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8.jpeg" ContentType="image/jpeg"/>
  <Override PartName="/word/media/image69.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0.jpeg" ContentType="image/jpeg"/>
  <Override PartName="/word/media/image99.jpeg" ContentType="image/jpeg"/>
  <Override PartName="/word/media/image93.jpeg" ContentType="image/jpeg"/>
  <Override PartName="/word/media/image90.jpeg" ContentType="image/jpeg"/>
  <Override PartName="/word/media/image110.jpeg" ContentType="image/jpeg"/>
  <Override PartName="/word/media/image67.jpeg" ContentType="image/jpeg"/>
  <Override PartName="/word/media/image95.jpeg" ContentType="image/jpeg"/>
  <Override PartName="/word/media/image96.jpeg" ContentType="image/jpeg"/>
  <Override PartName="/word/media/image112.jpeg" ContentType="image/jpeg"/>
  <Override PartName="/word/media/image92.jpeg" ContentType="image/jpeg"/>
  <Override PartName="/word/media/image65.jpeg" ContentType="image/jpeg"/>
  <Override PartName="/word/media/image76.jpeg" ContentType="image/jpeg"/>
  <Override PartName="/word/media/image66.jpeg" ContentType="image/jpeg"/>
  <Override PartName="/word/media/image91.jpeg" ContentType="image/jpeg"/>
  <Override PartName="/word/media/image111.jpeg" ContentType="image/jpeg"/>
  <Override PartName="/word/media/image94.jpeg" ContentType="image/jpeg"/>
  <Override PartName="/word/media/image20.jpeg" ContentType="image/jpeg"/>
  <Override PartName="/word/media/image7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21.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102.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103.jpeg" ContentType="image/jpeg"/>
  <Override PartName="/word/media/image83.jpeg" ContentType="image/jpeg"/>
  <Override PartName="/word/media/image24.jpeg" ContentType="image/jpeg"/>
  <Override PartName="/word/media/image25.jpeg" ContentType="image/jpeg"/>
  <Override PartName="/word/media/image84.jpeg" ContentType="image/jpeg"/>
  <Override PartName="/word/media/image10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Helvetica;Sans-Serif" w:hAnsi="Arial;Helvetica;Sans-Serif"/>
          <w:b/>
          <w:i w:val="false"/>
          <w:caps w:val="false"/>
          <w:smallCaps w:val="false"/>
          <w:sz w:val="20"/>
        </w:rPr>
      </w:pPr>
      <w:bookmarkStart w:id="0" w:name="regn013211-def14a.htm"/>
      <w:bookmarkStart w:id="1" w:name="ksregn013211def14a"/>
      <w:bookmarkEnd w:id="0"/>
      <w:bookmarkEnd w:id="1"/>
      <w:r>
        <w:rPr>
          <w:rFonts w:ascii="Arial;Helvetica;Sans-Serif" w:hAnsi="Arial;Helvetica;Sans-Serif"/>
          <w:b/>
          <w:i w:val="false"/>
          <w:caps w:val="false"/>
          <w:smallCaps w:val="false"/>
          <w:sz w:val="20"/>
        </w:rPr>
        <w:t xml:space="preserve">UNITED STATES </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SECURITIES AND EXCHANGE COMMISSION</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32"/>
        </w:rPr>
      </w:pPr>
      <w:bookmarkStart w:id="2" w:name="xdx_905_edei--DocumentType_dxL_c20240101"/>
      <w:bookmarkEnd w:id="2"/>
      <w:r>
        <w:rPr>
          <w:rFonts w:ascii="Arial;Helvetica;Sans-Serif" w:hAnsi="Arial;Helvetica;Sans-Serif"/>
          <w:b/>
          <w:i w:val="false"/>
          <w:caps w:val="false"/>
          <w:smallCaps w:val="false"/>
          <w:sz w:val="32"/>
        </w:rPr>
        <w:t>SCHEDULE 14A</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PROXY STATEMENT PURSUANT TO SECTION 14(a) </w:t>
      </w:r>
      <w:r>
        <w:rPr>
          <w:rFonts w:ascii="Arial;Helvetica;Sans-Serif" w:hAnsi="Arial;Helvetica;Sans-Serif"/>
          <w:b w:val="false"/>
          <w:i w:val="false"/>
          <w:caps w:val="false"/>
          <w:smallCaps w:val="false"/>
          <w:sz w:val="20"/>
        </w:rPr>
        <w:br/>
      </w:r>
      <w:r>
        <w:rPr>
          <w:rFonts w:ascii="Arial;Helvetica;Sans-Serif" w:hAnsi="Arial;Helvetica;Sans-Serif"/>
          <w:b/>
          <w:i w:val="false"/>
          <w:caps w:val="false"/>
          <w:smallCaps w:val="false"/>
          <w:sz w:val="20"/>
        </w:rPr>
        <w:t xml:space="preserve">OF THE SECURITIES EXCHANGE ACT OF 1934 </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(Amendment No.     )</w:t>
      </w:r>
    </w:p>
    <w:p>
      <w:pPr>
        <w:pStyle w:val="TextBody"/>
        <w:bidi w:val="0"/>
        <w:jc w:val="center"/>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390"/>
        <w:gridCol w:w="2105"/>
        <w:gridCol w:w="375"/>
        <w:gridCol w:w="3740"/>
      </w:tblGrid>
      <w:tr>
        <w:trPr/>
        <w:tc>
          <w:tcPr>
            <w:tcW w:w="390" w:type="dxa"/>
            <w:tcBorders/>
            <w:vAlign w:val="center"/>
          </w:tcPr>
          <w:p>
            <w:pPr>
              <w:pStyle w:val="TableContents"/>
              <w:bidi w:val="0"/>
              <w:spacing w:before="0" w:after="283"/>
              <w:jc w:val="right"/>
              <w:rPr/>
            </w:pPr>
            <w:r>
              <w:rPr/>
              <w:drawing>
                <wp:inline distT="0" distB="0" distL="0" distR="0">
                  <wp:extent cx="238125"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 cy="238125"/>
                          </a:xfrm>
                          <a:prstGeom prst="rect">
                            <a:avLst/>
                          </a:prstGeom>
                        </pic:spPr>
                      </pic:pic>
                    </a:graphicData>
                  </a:graphic>
                </wp:inline>
              </w:drawing>
            </w:r>
          </w:p>
        </w:tc>
        <w:tc>
          <w:tcPr>
            <w:tcW w:w="210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Filed by the Registrant</w:t>
            </w:r>
          </w:p>
        </w:tc>
        <w:tc>
          <w:tcPr>
            <w:tcW w:w="375" w:type="dxa"/>
            <w:tcBorders/>
            <w:vAlign w:val="center"/>
          </w:tcPr>
          <w:p>
            <w:pPr>
              <w:pStyle w:val="TableContents"/>
              <w:bidi w:val="0"/>
              <w:spacing w:before="0" w:after="283"/>
              <w:jc w:val="left"/>
              <w:rPr/>
            </w:pPr>
            <w:r>
              <w:rPr/>
              <w:drawing>
                <wp:inline distT="0" distB="0" distL="0" distR="0">
                  <wp:extent cx="238125" cy="23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 cy="238125"/>
                          </a:xfrm>
                          <a:prstGeom prst="rect">
                            <a:avLst/>
                          </a:prstGeom>
                        </pic:spPr>
                      </pic:pic>
                    </a:graphicData>
                  </a:graphic>
                </wp:inline>
              </w:drawing>
            </w:r>
          </w:p>
        </w:tc>
        <w:tc>
          <w:tcPr>
            <w:tcW w:w="3740"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Filed by a Party other than the Registrant</w:t>
            </w:r>
          </w:p>
        </w:tc>
      </w:tr>
    </w:tbl>
    <w:p>
      <w:pPr>
        <w:pStyle w:val="TextBody"/>
        <w:bidi w:val="0"/>
        <w:jc w:val="center"/>
        <w:rPr>
          <w:caps w:val="false"/>
          <w:smallCaps w:val="false"/>
        </w:rPr>
      </w:pPr>
      <w:r>
        <w:rPr>
          <w:caps w:val="false"/>
          <w:smallCaps w:val="false"/>
        </w:rPr>
        <w:t> </w:t>
      </w:r>
    </w:p>
    <w:tbl>
      <w:tblPr>
        <w:tblW w:w="7805" w:type="dxa"/>
        <w:jc w:val="left"/>
        <w:tblInd w:w="0" w:type="dxa"/>
        <w:tblLayout w:type="fixed"/>
        <w:tblCellMar>
          <w:top w:w="40" w:type="dxa"/>
          <w:left w:w="40" w:type="dxa"/>
          <w:bottom w:w="28" w:type="dxa"/>
          <w:right w:w="40" w:type="dxa"/>
        </w:tblCellMar>
      </w:tblPr>
      <w:tblGrid>
        <w:gridCol w:w="390"/>
        <w:gridCol w:w="7415"/>
      </w:tblGrid>
      <w:tr>
        <w:trPr/>
        <w:tc>
          <w:tcPr>
            <w:tcW w:w="7805" w:type="dxa"/>
            <w:gridSpan w:val="2"/>
            <w:tcBorders>
              <w:top w:val="single" w:sz="2" w:space="0" w:color="000000"/>
              <w:left w:val="single" w:sz="2" w:space="0" w:color="000000"/>
              <w:bottom w:val="single" w:sz="2" w:space="0" w:color="000000"/>
              <w:right w:val="single" w:sz="2" w:space="0" w:color="000000"/>
            </w:tcBorders>
            <w:shd w:fill="F1F1F1" w:val="clear"/>
            <w:vAlign w:val="center"/>
          </w:tcPr>
          <w:p>
            <w:pPr>
              <w:pStyle w:val="TableContents"/>
              <w:bidi w:val="0"/>
              <w:spacing w:before="0" w:after="283"/>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Check the appropriate box:</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Preliminary Proxy Statement</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Confidential, for Use of the Commission Only (as permitted by Rule 14A-6(E)(2))</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Definitive Proxy Statement</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Additional Materials</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Soliciting Material under §240.14a-12</w:t>
            </w:r>
          </w:p>
        </w:tc>
      </w:tr>
    </w:tbl>
    <w:p>
      <w:pPr>
        <w:pStyle w:val="TextBody"/>
        <w:bidi w:val="0"/>
        <w:jc w:val="center"/>
        <w:rPr>
          <w:caps w:val="false"/>
          <w:smallCaps w:val="false"/>
          <w:color w:val="3CF12F"/>
        </w:rPr>
      </w:pPr>
      <w:r>
        <w:rPr>
          <w:caps w:val="false"/>
          <w:smallCaps w:val="false"/>
          <w:color w:val="3CF12F"/>
        </w:rPr>
        <w:t> </w:t>
      </w:r>
    </w:p>
    <w:p>
      <w:pPr>
        <w:pStyle w:val="TextBody"/>
        <w:bidi w:val="0"/>
        <w:jc w:val="center"/>
        <w:rPr>
          <w:rFonts w:ascii="Arial;Helvetica;Sans-Serif" w:hAnsi="Arial;Helvetica;Sans-Serif"/>
          <w:b/>
          <w:i w:val="false"/>
          <w:caps w:val="false"/>
          <w:smallCaps w:val="false"/>
          <w:sz w:val="32"/>
        </w:rPr>
      </w:pPr>
      <w:bookmarkStart w:id="3" w:name="xdx_901_edei--EntityRegistrantName_c2024"/>
      <w:bookmarkEnd w:id="3"/>
      <w:r>
        <w:rPr>
          <w:rFonts w:ascii="Arial;Helvetica;Sans-Serif" w:hAnsi="Arial;Helvetica;Sans-Serif"/>
          <w:b/>
          <w:i w:val="false"/>
          <w:caps w:val="false"/>
          <w:smallCaps w:val="false"/>
          <w:sz w:val="32"/>
        </w:rPr>
        <w:t>REGENERON PHARMACEUTICALS, INC.</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181225" cy="257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181225" cy="25717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(Name of Registrant as Specified in Its Charter)</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(Name of Person(s) Filing Proxy Statement, if other than the Registrant)</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40" w:type="dxa"/>
          <w:left w:w="40" w:type="dxa"/>
          <w:bottom w:w="28" w:type="dxa"/>
          <w:right w:w="40" w:type="dxa"/>
        </w:tblCellMar>
      </w:tblPr>
      <w:tblGrid>
        <w:gridCol w:w="3385"/>
        <w:gridCol w:w="6820"/>
      </w:tblGrid>
      <w:tr>
        <w:trPr/>
        <w:tc>
          <w:tcPr>
            <w:tcW w:w="10205" w:type="dxa"/>
            <w:gridSpan w:val="2"/>
            <w:tcBorders>
              <w:top w:val="single" w:sz="2" w:space="0" w:color="000000"/>
              <w:left w:val="single" w:sz="2" w:space="0" w:color="000000"/>
              <w:bottom w:val="single" w:sz="2" w:space="0" w:color="000000"/>
              <w:right w:val="single" w:sz="2" w:space="0" w:color="000000"/>
            </w:tcBorders>
            <w:shd w:fill="F1F1F1" w:val="clear"/>
            <w:vAlign w:val="center"/>
          </w:tcPr>
          <w:p>
            <w:pPr>
              <w:pStyle w:val="TableContents"/>
              <w:bidi w:val="0"/>
              <w:spacing w:before="0" w:after="283"/>
              <w:jc w:val="left"/>
              <w:rPr>
                <w:b/>
                <w:sz w:val="24"/>
              </w:rPr>
            </w:pPr>
            <w:r>
              <w:rPr>
                <w:b/>
                <w:sz w:val="24"/>
              </w:rPr>
              <w:t>Payment of Filing Fee (Check all boxes that apply):</w:t>
            </w:r>
          </w:p>
        </w:tc>
      </w:tr>
      <w:tr>
        <w:trPr/>
        <w:tc>
          <w:tcPr>
            <w:tcW w:w="3385" w:type="dxa"/>
            <w:tcBorders>
              <w:left w:val="single" w:sz="2" w:space="0" w:color="000000"/>
              <w:bottom w:val="single" w:sz="2" w:space="0" w:color="000000"/>
              <w:right w:val="single" w:sz="2" w:space="0" w:color="000000"/>
            </w:tcBorders>
            <w:tcMar>
              <w:top w:w="0" w:type="dxa"/>
              <w:left w:w="8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8125" cy="238125"/>
                          </a:xfrm>
                          <a:prstGeom prst="rect">
                            <a:avLst/>
                          </a:prstGeom>
                        </pic:spPr>
                      </pic:pic>
                    </a:graphicData>
                  </a:graphic>
                </wp:inline>
              </w:drawing>
            </w:r>
          </w:p>
        </w:tc>
        <w:tc>
          <w:tcPr>
            <w:tcW w:w="6820" w:type="dxa"/>
            <w:tcBorders>
              <w:bottom w:val="single" w:sz="2" w:space="0" w:color="000000"/>
              <w:right w:val="single" w:sz="2" w:space="0" w:color="000000"/>
            </w:tcBorders>
            <w:tcMar>
              <w:top w:w="0" w:type="dxa"/>
              <w:left w:w="0" w:type="dxa"/>
              <w:right w:w="100" w:type="dxa"/>
            </w:tcMar>
            <w:vAlign w:val="center"/>
          </w:tcPr>
          <w:p>
            <w:pPr>
              <w:pStyle w:val="TableContents"/>
              <w:bidi w:val="0"/>
              <w:spacing w:before="0" w:after="283"/>
              <w:jc w:val="both"/>
              <w:rPr>
                <w:b/>
              </w:rPr>
            </w:pPr>
            <w:r>
              <w:rPr>
                <w:b/>
              </w:rPr>
              <w:t>No fee required.</w:t>
            </w:r>
          </w:p>
        </w:tc>
      </w:tr>
      <w:tr>
        <w:trPr/>
        <w:tc>
          <w:tcPr>
            <w:tcW w:w="3385" w:type="dxa"/>
            <w:tcBorders>
              <w:left w:val="single" w:sz="2" w:space="0" w:color="000000"/>
              <w:bottom w:val="single" w:sz="2" w:space="0" w:color="000000"/>
              <w:right w:val="single" w:sz="2" w:space="0" w:color="000000"/>
            </w:tcBorders>
            <w:tcMar>
              <w:top w:w="0" w:type="dxa"/>
              <w:left w:w="8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8125" cy="238125"/>
                          </a:xfrm>
                          <a:prstGeom prst="rect">
                            <a:avLst/>
                          </a:prstGeom>
                        </pic:spPr>
                      </pic:pic>
                    </a:graphicData>
                  </a:graphic>
                </wp:inline>
              </w:drawing>
            </w:r>
          </w:p>
        </w:tc>
        <w:tc>
          <w:tcPr>
            <w:tcW w:w="6820" w:type="dxa"/>
            <w:tcBorders>
              <w:bottom w:val="single" w:sz="2" w:space="0" w:color="000000"/>
              <w:right w:val="single" w:sz="2" w:space="0" w:color="000000"/>
            </w:tcBorders>
            <w:tcMar>
              <w:top w:w="0" w:type="dxa"/>
              <w:left w:w="0" w:type="dxa"/>
              <w:right w:w="100" w:type="dxa"/>
            </w:tcMar>
            <w:vAlign w:val="center"/>
          </w:tcPr>
          <w:p>
            <w:pPr>
              <w:pStyle w:val="TableContents"/>
              <w:bidi w:val="0"/>
              <w:spacing w:before="0" w:after="283"/>
              <w:jc w:val="both"/>
              <w:rPr>
                <w:b/>
              </w:rPr>
            </w:pPr>
            <w:r>
              <w:rPr>
                <w:b/>
              </w:rPr>
              <w:t>Fee paid previously with preliminary materials.</w:t>
            </w:r>
          </w:p>
        </w:tc>
      </w:tr>
      <w:tr>
        <w:trPr/>
        <w:tc>
          <w:tcPr>
            <w:tcW w:w="3385" w:type="dxa"/>
            <w:tcBorders>
              <w:left w:val="single" w:sz="2" w:space="0" w:color="000000"/>
              <w:bottom w:val="single" w:sz="2" w:space="0" w:color="000000"/>
              <w:right w:val="single" w:sz="2" w:space="0" w:color="000000"/>
            </w:tcBorders>
            <w:tcMar>
              <w:top w:w="0" w:type="dxa"/>
              <w:left w:w="8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8125" cy="238125"/>
                          </a:xfrm>
                          <a:prstGeom prst="rect">
                            <a:avLst/>
                          </a:prstGeom>
                        </pic:spPr>
                      </pic:pic>
                    </a:graphicData>
                  </a:graphic>
                </wp:inline>
              </w:drawing>
            </w:r>
          </w:p>
        </w:tc>
        <w:tc>
          <w:tcPr>
            <w:tcW w:w="6820" w:type="dxa"/>
            <w:tcBorders>
              <w:bottom w:val="single" w:sz="2" w:space="0" w:color="000000"/>
              <w:right w:val="single" w:sz="2" w:space="0" w:color="000000"/>
            </w:tcBorders>
            <w:tcMar>
              <w:top w:w="0" w:type="dxa"/>
              <w:left w:w="0" w:type="dxa"/>
              <w:right w:w="100" w:type="dxa"/>
            </w:tcMar>
            <w:vAlign w:val="center"/>
          </w:tcPr>
          <w:p>
            <w:pPr>
              <w:pStyle w:val="TableContents"/>
              <w:bidi w:val="0"/>
              <w:spacing w:before="0" w:after="283"/>
              <w:jc w:val="both"/>
              <w:rPr>
                <w:b/>
              </w:rPr>
            </w:pPr>
            <w:r>
              <w:rPr>
                <w:b/>
              </w:rPr>
              <w:t>Fee computed on table in exhibit required by Item 25(b) per Exchange Act Rules 14a-6(i)(1) and 0-11.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caps w:val="false"/>
          <w:smallCaps w:val="false"/>
          <w:color w:val="ED0775"/>
        </w:rPr>
      </w:pPr>
      <w:r>
        <w:rPr>
          <w:caps w:val="false"/>
          <w:smallCaps w:val="false"/>
          <w:color w:val="ED0775"/>
        </w:rPr>
        <w:drawing>
          <wp:inline distT="0" distB="0" distL="0" distR="0">
            <wp:extent cx="7620000" cy="97059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9705975"/>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caps w:val="false"/>
          <w:smallCaps w:val="false"/>
          <w:color w:val="ED0775"/>
        </w:rPr>
      </w:pPr>
      <w:r>
        <w:rPr>
          <w:caps w:val="false"/>
          <w:smallCaps w:val="false"/>
          <w:color w:val="ED0775"/>
        </w:rPr>
        <w:drawing>
          <wp:inline distT="0" distB="0" distL="0" distR="0">
            <wp:extent cx="7620000" cy="933894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9338945"/>
                    </a:xfrm>
                    <a:prstGeom prst="rect">
                      <a:avLst/>
                    </a:prstGeom>
                  </pic:spPr>
                </pic:pic>
              </a:graphicData>
            </a:graphic>
          </wp:inline>
        </w:drawing>
      </w:r>
    </w:p>
    <w:p>
      <w:pPr>
        <w:pStyle w:val="TextBody"/>
        <w:bidi w:val="0"/>
        <w:spacing w:before="0" w:after="0"/>
        <w:ind w:left="1600" w:right="0" w:hanging="0"/>
        <w:jc w:val="left"/>
        <w:rPr>
          <w:rFonts w:ascii="Arial;Helvetica;Sans-Serif" w:hAnsi="Arial;Helvetica;Sans-Serif"/>
          <w:b/>
          <w:i w:val="false"/>
          <w:caps w:val="false"/>
          <w:smallCaps w:val="false"/>
          <w:color w:val="C60C45"/>
          <w:sz w:val="44"/>
        </w:rPr>
      </w:pPr>
      <w:r>
        <w:rPr>
          <w:rFonts w:ascii="Arial;Helvetica;Sans-Serif" w:hAnsi="Arial;Helvetica;Sans-Serif"/>
          <w:b/>
          <w:i w:val="false"/>
          <w:caps w:val="false"/>
          <w:smallCaps w:val="false"/>
          <w:color w:val="C60C45"/>
          <w:sz w:val="44"/>
        </w:rPr>
        <w:t>PLEASE VIEW OUR 2024</w:t>
        <w:br/>
        <w:t>RESPONSIBILITY REPORT</w:t>
      </w:r>
    </w:p>
    <w:p>
      <w:pPr>
        <w:pStyle w:val="TextBody"/>
        <w:bidi w:val="0"/>
        <w:ind w:left="1600" w:right="0" w:hanging="0"/>
        <w:jc w:val="left"/>
        <w:rPr>
          <w:caps w:val="false"/>
          <w:smallCaps w:val="false"/>
          <w:color w:val="2864AF"/>
        </w:rPr>
      </w:pPr>
      <w:r>
        <w:rPr>
          <w:caps w:val="false"/>
          <w:smallCaps w:val="false"/>
          <w:color w:val="2864AF"/>
        </w:rPr>
        <w:t> </w:t>
      </w:r>
    </w:p>
    <w:p>
      <w:pPr>
        <w:pStyle w:val="TextBody"/>
        <w:bidi w:val="0"/>
        <w:spacing w:before="0" w:after="11300"/>
        <w:ind w:left="1600" w:right="0" w:hanging="0"/>
        <w:jc w:val="left"/>
        <w:rPr>
          <w:rFonts w:ascii="Arial;Helvetica;Sans-Serif" w:hAnsi="Arial;Helvetica;Sans-Serif"/>
          <w:b/>
          <w:i w:val="false"/>
          <w:caps w:val="false"/>
          <w:smallCaps w:val="false"/>
          <w:color w:val="3B5AA4"/>
          <w:sz w:val="32"/>
        </w:rPr>
      </w:pPr>
      <w:r>
        <w:rPr>
          <w:rFonts w:ascii="Arial;Helvetica;Sans-Serif" w:hAnsi="Arial;Helvetica;Sans-Serif"/>
          <w:b/>
          <w:i w:val="false"/>
          <w:caps w:val="false"/>
          <w:smallCaps w:val="false"/>
          <w:color w:val="3B5AA4"/>
          <w:sz w:val="32"/>
        </w:rPr>
        <w:t>regeneron.com/2024RR</w:t>
      </w:r>
    </w:p>
    <w:p>
      <w:pPr>
        <w:pStyle w:val="TextBody"/>
        <w:bidi w:val="0"/>
        <w:spacing w:before="0" w:after="0"/>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caps w:val="false"/>
          <w:smallCaps w:val="false"/>
        </w:rPr>
      </w:pPr>
      <w:r>
        <w:rPr>
          <w:caps w:val="false"/>
          <w:smallCaps w:val="false"/>
        </w:rPr>
        <w:drawing>
          <wp:inline distT="0" distB="0" distL="0" distR="0">
            <wp:extent cx="7620000" cy="752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00" cy="752475"/>
                    </a:xfrm>
                    <a:prstGeom prst="rect">
                      <a:avLst/>
                    </a:prstGeom>
                  </pic:spPr>
                </pic:pic>
              </a:graphicData>
            </a:graphic>
          </wp:inline>
        </w:drawing>
      </w:r>
    </w:p>
    <w:p>
      <w:pPr>
        <w:pStyle w:val="TextBody"/>
        <w:bidi w:val="0"/>
        <w:spacing w:before="0" w:after="0"/>
        <w:ind w:left="400" w:right="400" w:hanging="0"/>
        <w:jc w:val="right"/>
        <w:rPr>
          <w:rFonts w:ascii="Arial;Helvetica;Sans-Serif" w:hAnsi="Arial;Helvetica;Sans-Serif"/>
          <w:b/>
          <w:i w:val="false"/>
          <w:caps w:val="false"/>
          <w:smallCaps w:val="false"/>
          <w:color w:val="FFFFFF"/>
          <w:sz w:val="56"/>
        </w:rPr>
      </w:pPr>
      <w:r>
        <w:rPr>
          <w:rFonts w:ascii="Arial;Helvetica;Sans-Serif" w:hAnsi="Arial;Helvetica;Sans-Serif"/>
          <w:b/>
          <w:i w:val="false"/>
          <w:caps w:val="false"/>
          <w:smallCaps w:val="false"/>
          <w:color w:val="FFFFFF"/>
          <w:sz w:val="56"/>
        </w:rPr>
        <w:t>Regeneron by the Numbers</w:t>
      </w:r>
    </w:p>
    <w:p>
      <w:pPr>
        <w:pStyle w:val="TextBody"/>
        <w:bidi w:val="0"/>
        <w:jc w:val="right"/>
        <w:rPr>
          <w:caps w:val="false"/>
          <w:smallCaps w:val="false"/>
        </w:rPr>
      </w:pPr>
      <w:r>
        <w:rPr>
          <w:caps w:val="false"/>
          <w:smallCaps w:val="false"/>
        </w:rPr>
        <w:t> </w:t>
      </w:r>
    </w:p>
    <w:tbl>
      <w:tblPr>
        <w:tblW w:w="10205" w:type="dxa"/>
        <w:jc w:val="center"/>
        <w:tblInd w:w="0" w:type="dxa"/>
        <w:tblLayout w:type="fixed"/>
        <w:tblCellMar>
          <w:top w:w="0" w:type="dxa"/>
          <w:left w:w="0" w:type="dxa"/>
          <w:bottom w:w="500" w:type="dxa"/>
          <w:right w:w="0" w:type="dxa"/>
        </w:tblCellMar>
      </w:tblPr>
      <w:tblGrid>
        <w:gridCol w:w="2589"/>
        <w:gridCol w:w="300"/>
        <w:gridCol w:w="300"/>
        <w:gridCol w:w="3997"/>
        <w:gridCol w:w="210"/>
        <w:gridCol w:w="300"/>
        <w:gridCol w:w="2509"/>
      </w:tblGrid>
      <w:tr>
        <w:trPr/>
        <w:tc>
          <w:tcPr>
            <w:tcW w:w="2589" w:type="dxa"/>
            <w:tcBorders>
              <w:bottom w:val="single" w:sz="2" w:space="0" w:color="C60C44"/>
            </w:tcBorders>
            <w:vAlign w:val="center"/>
          </w:tcPr>
          <w:p>
            <w:pPr>
              <w:pStyle w:val="TableContents"/>
              <w:bidi w:val="0"/>
              <w:spacing w:before="0" w:after="283"/>
              <w:jc w:val="center"/>
              <w:rPr/>
            </w:pPr>
            <w:r>
              <w:rPr>
                <w:rFonts w:ascii="Arial;Helvetica;Sans-Serif" w:hAnsi="Arial;Helvetica;Sans-Serif"/>
                <w:b/>
                <w:i w:val="false"/>
                <w:caps w:val="false"/>
                <w:smallCaps w:val="false"/>
                <w:color w:val="3B5AA4"/>
                <w:sz w:val="52"/>
              </w:rPr>
              <w:t>14</w:t>
            </w:r>
            <w:r>
              <w:rPr/>
              <w:t xml:space="preserve"> </w:t>
              <w:br/>
            </w:r>
            <w:r>
              <w:rPr>
                <w:rFonts w:ascii="Arial;Helvetica;Sans-Serif" w:hAnsi="Arial;Helvetica;Sans-Serif"/>
                <w:b w:val="false"/>
                <w:i w:val="false"/>
                <w:caps w:val="false"/>
                <w:smallCaps w:val="false"/>
                <w:color w:val="231F20"/>
                <w:sz w:val="20"/>
              </w:rPr>
              <w:t>medicines approved in the</w:t>
            </w:r>
            <w:r>
              <w:rPr/>
              <w:t xml:space="preserve"> </w:t>
            </w:r>
            <w:r>
              <w:rPr>
                <w:rFonts w:ascii="Arial;Helvetica;Sans-Serif" w:hAnsi="Arial;Helvetica;Sans-Serif"/>
                <w:b w:val="false"/>
                <w:i w:val="false"/>
                <w:caps w:val="false"/>
                <w:smallCaps w:val="false"/>
                <w:color w:val="231F20"/>
                <w:sz w:val="20"/>
              </w:rPr>
              <w:t>United States or</w:t>
            </w:r>
            <w:r>
              <w:rPr/>
              <w:t xml:space="preserve"> </w:t>
            </w:r>
            <w:r>
              <w:rPr>
                <w:rFonts w:ascii="Arial;Helvetica;Sans-Serif" w:hAnsi="Arial;Helvetica;Sans-Serif"/>
                <w:b w:val="false"/>
                <w:i w:val="false"/>
                <w:caps w:val="false"/>
                <w:smallCaps w:val="false"/>
                <w:color w:val="231F20"/>
                <w:sz w:val="20"/>
              </w:rPr>
              <w:t>other countries</w:t>
            </w:r>
          </w:p>
        </w:tc>
        <w:tc>
          <w:tcPr>
            <w:tcW w:w="300" w:type="dxa"/>
            <w:tcBorders>
              <w:bottom w:val="single" w:sz="2" w:space="0" w:color="C60C44"/>
            </w:tcBorders>
            <w:vAlign w:val="center"/>
          </w:tcPr>
          <w:p>
            <w:pPr>
              <w:pStyle w:val="TableContents"/>
              <w:bidi w:val="0"/>
              <w:spacing w:before="0" w:after="283"/>
              <w:jc w:val="center"/>
              <w:rPr/>
            </w:pPr>
            <w:r>
              <w:rPr/>
              <w:t>     </w:t>
            </w:r>
          </w:p>
        </w:tc>
        <w:tc>
          <w:tcPr>
            <w:tcW w:w="300" w:type="dxa"/>
            <w:tcBorders>
              <w:left w:val="single" w:sz="2" w:space="0" w:color="C60C44"/>
              <w:bottom w:val="single" w:sz="2" w:space="0" w:color="C60C44"/>
            </w:tcBorders>
            <w:tcMar>
              <w:left w:w="28" w:type="dxa"/>
            </w:tcMar>
            <w:vAlign w:val="center"/>
          </w:tcPr>
          <w:p>
            <w:pPr>
              <w:pStyle w:val="TableContents"/>
              <w:bidi w:val="0"/>
              <w:spacing w:before="0" w:after="283"/>
              <w:jc w:val="center"/>
              <w:rPr/>
            </w:pPr>
            <w:r>
              <w:rPr/>
              <w:t>     </w:t>
            </w:r>
          </w:p>
        </w:tc>
        <w:tc>
          <w:tcPr>
            <w:tcW w:w="3997" w:type="dxa"/>
            <w:tcBorders>
              <w:bottom w:val="single" w:sz="2" w:space="0" w:color="C60C44"/>
            </w:tcBorders>
            <w:vAlign w:val="center"/>
          </w:tcPr>
          <w:p>
            <w:pPr>
              <w:pStyle w:val="TableContents"/>
              <w:bidi w:val="0"/>
              <w:spacing w:before="0" w:after="283"/>
              <w:jc w:val="center"/>
              <w:rPr/>
            </w:pPr>
            <w:r>
              <w:rPr>
                <w:rFonts w:ascii="Arial;Helvetica;Sans-Serif" w:hAnsi="Arial;Helvetica;Sans-Serif"/>
                <w:b/>
                <w:i w:val="false"/>
                <w:caps w:val="false"/>
                <w:smallCaps w:val="false"/>
                <w:color w:val="3B5AA4"/>
                <w:sz w:val="52"/>
              </w:rPr>
              <w:t>12</w:t>
            </w:r>
            <w:r>
              <w:rPr/>
              <w:t xml:space="preserve"> </w:t>
              <w:br/>
            </w:r>
            <w:r>
              <w:rPr>
                <w:rFonts w:ascii="Arial;Helvetica;Sans-Serif" w:hAnsi="Arial;Helvetica;Sans-Serif"/>
                <w:b w:val="false"/>
                <w:i w:val="false"/>
                <w:caps w:val="false"/>
                <w:smallCaps w:val="false"/>
                <w:color w:val="231F20"/>
                <w:sz w:val="20"/>
              </w:rPr>
              <w:t>approvals for additional</w:t>
            </w:r>
            <w:r>
              <w:rPr/>
              <w:t xml:space="preserve"> </w:t>
            </w:r>
            <w:r>
              <w:rPr>
                <w:rFonts w:ascii="Arial;Helvetica;Sans-Serif" w:hAnsi="Arial;Helvetica;Sans-Serif"/>
                <w:b w:val="false"/>
                <w:i w:val="false"/>
                <w:caps w:val="false"/>
                <w:smallCaps w:val="false"/>
                <w:color w:val="231F20"/>
                <w:sz w:val="20"/>
              </w:rPr>
              <w:t>indications or populations</w:t>
            </w:r>
            <w:r>
              <w:rPr/>
              <w:t xml:space="preserve"> </w:t>
            </w:r>
            <w:r>
              <w:rPr>
                <w:rFonts w:ascii="Arial;Helvetica;Sans-Serif" w:hAnsi="Arial;Helvetica;Sans-Serif"/>
                <w:b w:val="false"/>
                <w:i w:val="false"/>
                <w:caps w:val="false"/>
                <w:smallCaps w:val="false"/>
                <w:color w:val="231F20"/>
                <w:sz w:val="20"/>
              </w:rPr>
              <w:t>for existing products in the</w:t>
            </w:r>
            <w:r>
              <w:rPr/>
              <w:t xml:space="preserve"> </w:t>
            </w:r>
            <w:r>
              <w:rPr>
                <w:rFonts w:ascii="Arial;Helvetica;Sans-Serif" w:hAnsi="Arial;Helvetica;Sans-Serif"/>
                <w:b w:val="false"/>
                <w:i w:val="false"/>
                <w:caps w:val="false"/>
                <w:smallCaps w:val="false"/>
                <w:color w:val="231F20"/>
                <w:sz w:val="20"/>
              </w:rPr>
              <w:t>United States, European</w:t>
            </w:r>
            <w:r>
              <w:rPr/>
              <w:t xml:space="preserve"> </w:t>
            </w:r>
            <w:r>
              <w:rPr>
                <w:rFonts w:ascii="Arial;Helvetica;Sans-Serif" w:hAnsi="Arial;Helvetica;Sans-Serif"/>
                <w:b w:val="false"/>
                <w:i w:val="false"/>
                <w:caps w:val="false"/>
                <w:smallCaps w:val="false"/>
                <w:color w:val="231F20"/>
                <w:sz w:val="20"/>
              </w:rPr>
              <w:t>Union, and Japan in 2024</w:t>
            </w:r>
          </w:p>
        </w:tc>
        <w:tc>
          <w:tcPr>
            <w:tcW w:w="210" w:type="dxa"/>
            <w:tcBorders>
              <w:bottom w:val="single" w:sz="2" w:space="0" w:color="C60C44"/>
            </w:tcBorders>
            <w:vAlign w:val="center"/>
          </w:tcPr>
          <w:p>
            <w:pPr>
              <w:pStyle w:val="TableContents"/>
              <w:bidi w:val="0"/>
              <w:spacing w:before="0" w:after="283"/>
              <w:jc w:val="center"/>
              <w:rPr/>
            </w:pPr>
            <w:r>
              <w:rPr/>
              <w:t>     </w:t>
            </w:r>
          </w:p>
        </w:tc>
        <w:tc>
          <w:tcPr>
            <w:tcW w:w="300" w:type="dxa"/>
            <w:tcBorders>
              <w:left w:val="single" w:sz="2" w:space="0" w:color="C60C44"/>
              <w:bottom w:val="single" w:sz="2" w:space="0" w:color="C60C44"/>
            </w:tcBorders>
            <w:tcMar>
              <w:left w:w="28" w:type="dxa"/>
            </w:tcMar>
            <w:vAlign w:val="center"/>
          </w:tcPr>
          <w:p>
            <w:pPr>
              <w:pStyle w:val="TableContents"/>
              <w:bidi w:val="0"/>
              <w:spacing w:before="0" w:after="283"/>
              <w:jc w:val="center"/>
              <w:rPr/>
            </w:pPr>
            <w:r>
              <w:rPr/>
              <w:t>     </w:t>
            </w:r>
          </w:p>
        </w:tc>
        <w:tc>
          <w:tcPr>
            <w:tcW w:w="2509" w:type="dxa"/>
            <w:tcBorders>
              <w:bottom w:val="single" w:sz="2" w:space="0" w:color="C60C44"/>
            </w:tcBorders>
            <w:vAlign w:val="center"/>
          </w:tcPr>
          <w:p>
            <w:pPr>
              <w:pStyle w:val="TableContents"/>
              <w:bidi w:val="0"/>
              <w:spacing w:before="0" w:after="283"/>
              <w:jc w:val="center"/>
              <w:rPr/>
            </w:pPr>
            <w:r>
              <w:rPr>
                <w:rFonts w:ascii="Arial;Helvetica;Sans-Serif" w:hAnsi="Arial;Helvetica;Sans-Serif"/>
                <w:b/>
                <w:i w:val="false"/>
                <w:caps w:val="false"/>
                <w:smallCaps w:val="false"/>
                <w:color w:val="3B5AA4"/>
                <w:sz w:val="52"/>
              </w:rPr>
              <w:t>~40</w:t>
            </w:r>
            <w:r>
              <w:rPr/>
              <w:t xml:space="preserve"> </w:t>
              <w:br/>
            </w:r>
            <w:r>
              <w:rPr>
                <w:rFonts w:ascii="Arial;Helvetica;Sans-Serif" w:hAnsi="Arial;Helvetica;Sans-Serif"/>
                <w:b w:val="false"/>
                <w:i w:val="false"/>
                <w:caps w:val="false"/>
                <w:smallCaps w:val="false"/>
                <w:color w:val="231F20"/>
                <w:sz w:val="20"/>
              </w:rPr>
              <w:t>product candidates</w:t>
            </w:r>
            <w:r>
              <w:rPr/>
              <w:t xml:space="preserve"> </w:t>
            </w:r>
            <w:r>
              <w:rPr>
                <w:rFonts w:ascii="Arial;Helvetica;Sans-Serif" w:hAnsi="Arial;Helvetica;Sans-Serif"/>
                <w:b w:val="false"/>
                <w:i w:val="false"/>
                <w:caps w:val="false"/>
                <w:smallCaps w:val="false"/>
                <w:color w:val="231F20"/>
                <w:sz w:val="20"/>
              </w:rPr>
              <w:t>in clinical development</w:t>
            </w:r>
          </w:p>
        </w:tc>
      </w:tr>
      <w:tr>
        <w:trPr/>
        <w:tc>
          <w:tcPr>
            <w:tcW w:w="2589" w:type="dxa"/>
            <w:tcBorders>
              <w:bottom w:val="single" w:sz="2" w:space="0" w:color="C60C44"/>
            </w:tcBorders>
            <w:vAlign w:val="center"/>
          </w:tcPr>
          <w:p>
            <w:pPr>
              <w:pStyle w:val="TableContents"/>
              <w:bidi w:val="0"/>
              <w:spacing w:before="0" w:after="283"/>
              <w:jc w:val="center"/>
              <w:rPr/>
            </w:pPr>
            <w:r>
              <w:rPr>
                <w:rFonts w:ascii="Arial;Helvetica;Sans-Serif" w:hAnsi="Arial;Helvetica;Sans-Serif"/>
                <w:b/>
                <w:i w:val="false"/>
                <w:caps w:val="false"/>
                <w:smallCaps w:val="false"/>
                <w:color w:val="3B5AA4"/>
                <w:sz w:val="52"/>
              </w:rPr>
              <w:t>~50</w:t>
            </w:r>
            <w:r>
              <w:rPr/>
              <w:t xml:space="preserve"> </w:t>
              <w:br/>
            </w:r>
            <w:r>
              <w:rPr>
                <w:rFonts w:ascii="Arial;Helvetica;Sans-Serif" w:hAnsi="Arial;Helvetica;Sans-Serif"/>
                <w:b w:val="false"/>
                <w:i w:val="false"/>
                <w:caps w:val="false"/>
                <w:smallCaps w:val="false"/>
                <w:color w:val="231F20"/>
                <w:sz w:val="20"/>
              </w:rPr>
              <w:t>countries with clinical trials</w:t>
            </w:r>
          </w:p>
        </w:tc>
        <w:tc>
          <w:tcPr>
            <w:tcW w:w="300" w:type="dxa"/>
            <w:tcBorders>
              <w:bottom w:val="single" w:sz="2" w:space="0" w:color="C60C44"/>
            </w:tcBorders>
            <w:vAlign w:val="center"/>
          </w:tcPr>
          <w:p>
            <w:pPr>
              <w:pStyle w:val="TableContents"/>
              <w:bidi w:val="0"/>
              <w:spacing w:before="0" w:after="283"/>
              <w:jc w:val="center"/>
              <w:rPr/>
            </w:pPr>
            <w:r>
              <w:rPr/>
              <w:t> </w:t>
            </w:r>
          </w:p>
        </w:tc>
        <w:tc>
          <w:tcPr>
            <w:tcW w:w="300" w:type="dxa"/>
            <w:tcBorders>
              <w:left w:val="single" w:sz="2" w:space="0" w:color="C60C44"/>
              <w:bottom w:val="single" w:sz="2" w:space="0" w:color="C60C44"/>
            </w:tcBorders>
            <w:tcMar>
              <w:left w:w="28" w:type="dxa"/>
            </w:tcMar>
            <w:vAlign w:val="center"/>
          </w:tcPr>
          <w:p>
            <w:pPr>
              <w:pStyle w:val="TableContents"/>
              <w:bidi w:val="0"/>
              <w:spacing w:before="0" w:after="283"/>
              <w:jc w:val="center"/>
              <w:rPr/>
            </w:pPr>
            <w:r>
              <w:rPr/>
              <w:t> </w:t>
            </w:r>
          </w:p>
        </w:tc>
        <w:tc>
          <w:tcPr>
            <w:tcW w:w="3997" w:type="dxa"/>
            <w:tcBorders>
              <w:bottom w:val="single" w:sz="2" w:space="0" w:color="C60C44"/>
            </w:tcBorders>
            <w:vAlign w:val="center"/>
          </w:tcPr>
          <w:p>
            <w:pPr>
              <w:pStyle w:val="TableContents"/>
              <w:bidi w:val="0"/>
              <w:spacing w:before="0" w:after="283"/>
              <w:jc w:val="center"/>
              <w:rPr/>
            </w:pPr>
            <w:r>
              <w:rPr>
                <w:rFonts w:ascii="Arial;Helvetica;Sans-Serif" w:hAnsi="Arial;Helvetica;Sans-Serif"/>
                <w:b/>
                <w:i w:val="false"/>
                <w:caps w:val="false"/>
                <w:smallCaps w:val="false"/>
                <w:color w:val="3B5AA4"/>
                <w:sz w:val="52"/>
              </w:rPr>
              <w:t>100K+</w:t>
            </w:r>
            <w:r>
              <w:rPr/>
              <w:t xml:space="preserve"> </w:t>
              <w:br/>
            </w:r>
            <w:r>
              <w:rPr>
                <w:rFonts w:ascii="Arial;Helvetica;Sans-Serif" w:hAnsi="Arial;Helvetica;Sans-Serif"/>
                <w:b w:val="false"/>
                <w:i w:val="false"/>
                <w:caps w:val="false"/>
                <w:smallCaps w:val="false"/>
                <w:color w:val="231F20"/>
                <w:sz w:val="20"/>
              </w:rPr>
              <w:t>eligible patients given</w:t>
            </w:r>
            <w:r>
              <w:rPr/>
              <w:t xml:space="preserve"> </w:t>
            </w:r>
            <w:r>
              <w:rPr>
                <w:rFonts w:ascii="Arial;Helvetica;Sans-Serif" w:hAnsi="Arial;Helvetica;Sans-Serif"/>
                <w:b w:val="false"/>
                <w:i w:val="false"/>
                <w:caps w:val="false"/>
                <w:smallCaps w:val="false"/>
                <w:color w:val="231F20"/>
                <w:sz w:val="20"/>
              </w:rPr>
              <w:t>~$3.4B* worth of medicine</w:t>
            </w:r>
            <w:r>
              <w:rPr/>
              <w:t xml:space="preserve"> </w:t>
            </w:r>
            <w:r>
              <w:rPr>
                <w:rFonts w:ascii="Arial;Helvetica;Sans-Serif" w:hAnsi="Arial;Helvetica;Sans-Serif"/>
                <w:b w:val="false"/>
                <w:i w:val="false"/>
                <w:caps w:val="false"/>
                <w:smallCaps w:val="false"/>
                <w:color w:val="231F20"/>
                <w:sz w:val="20"/>
              </w:rPr>
              <w:t>at no cost through our</w:t>
            </w:r>
            <w:r>
              <w:rPr/>
              <w:t xml:space="preserve"> </w:t>
            </w:r>
            <w:r>
              <w:rPr>
                <w:rFonts w:ascii="Arial;Helvetica;Sans-Serif" w:hAnsi="Arial;Helvetica;Sans-Serif"/>
                <w:b w:val="false"/>
                <w:i w:val="false"/>
                <w:caps w:val="false"/>
                <w:smallCaps w:val="false"/>
                <w:color w:val="231F20"/>
                <w:sz w:val="20"/>
              </w:rPr>
              <w:t>products’ patient assistance</w:t>
            </w:r>
            <w:r>
              <w:rPr/>
              <w:t xml:space="preserve"> </w:t>
            </w:r>
            <w:r>
              <w:rPr>
                <w:rFonts w:ascii="Arial;Helvetica;Sans-Serif" w:hAnsi="Arial;Helvetica;Sans-Serif"/>
                <w:b w:val="false"/>
                <w:i w:val="false"/>
                <w:caps w:val="false"/>
                <w:smallCaps w:val="false"/>
                <w:color w:val="231F20"/>
                <w:sz w:val="20"/>
              </w:rPr>
              <w:t>programs in 2024</w:t>
            </w:r>
          </w:p>
        </w:tc>
        <w:tc>
          <w:tcPr>
            <w:tcW w:w="210" w:type="dxa"/>
            <w:tcBorders>
              <w:bottom w:val="single" w:sz="2" w:space="0" w:color="C60C44"/>
            </w:tcBorders>
            <w:vAlign w:val="center"/>
          </w:tcPr>
          <w:p>
            <w:pPr>
              <w:pStyle w:val="TableContents"/>
              <w:bidi w:val="0"/>
              <w:spacing w:before="0" w:after="283"/>
              <w:jc w:val="center"/>
              <w:rPr/>
            </w:pPr>
            <w:r>
              <w:rPr/>
              <w:t> </w:t>
            </w:r>
          </w:p>
        </w:tc>
        <w:tc>
          <w:tcPr>
            <w:tcW w:w="300" w:type="dxa"/>
            <w:tcBorders>
              <w:left w:val="single" w:sz="2" w:space="0" w:color="C60C44"/>
              <w:bottom w:val="single" w:sz="2" w:space="0" w:color="C60C44"/>
            </w:tcBorders>
            <w:tcMar>
              <w:left w:w="28" w:type="dxa"/>
            </w:tcMar>
            <w:vAlign w:val="center"/>
          </w:tcPr>
          <w:p>
            <w:pPr>
              <w:pStyle w:val="TableContents"/>
              <w:bidi w:val="0"/>
              <w:spacing w:before="0" w:after="283"/>
              <w:jc w:val="center"/>
              <w:rPr/>
            </w:pPr>
            <w:r>
              <w:rPr/>
              <w:t> </w:t>
            </w:r>
          </w:p>
        </w:tc>
        <w:tc>
          <w:tcPr>
            <w:tcW w:w="2509" w:type="dxa"/>
            <w:tcBorders>
              <w:bottom w:val="single" w:sz="2" w:space="0" w:color="C60C44"/>
            </w:tcBorders>
            <w:vAlign w:val="center"/>
          </w:tcPr>
          <w:p>
            <w:pPr>
              <w:pStyle w:val="TableContents"/>
              <w:bidi w:val="0"/>
              <w:spacing w:before="0" w:after="283"/>
              <w:jc w:val="center"/>
              <w:rPr/>
            </w:pPr>
            <w:r>
              <w:rPr>
                <w:rFonts w:ascii="Arial;Helvetica;Sans-Serif" w:hAnsi="Arial;Helvetica;Sans-Serif"/>
                <w:b/>
                <w:i w:val="false"/>
                <w:caps w:val="false"/>
                <w:smallCaps w:val="false"/>
                <w:color w:val="3B5AA4"/>
                <w:sz w:val="52"/>
              </w:rPr>
              <w:t>~3M</w:t>
            </w:r>
            <w:r>
              <w:rPr/>
              <w:t xml:space="preserve"> </w:t>
              <w:br/>
            </w:r>
            <w:r>
              <w:rPr>
                <w:rFonts w:ascii="Arial;Helvetica;Sans-Serif" w:hAnsi="Arial;Helvetica;Sans-Serif"/>
                <w:b w:val="false"/>
                <w:i w:val="false"/>
                <w:caps w:val="false"/>
                <w:smallCaps w:val="false"/>
                <w:color w:val="231F20"/>
                <w:sz w:val="20"/>
              </w:rPr>
              <w:t>exomes sequenced to date</w:t>
            </w:r>
            <w:r>
              <w:rPr/>
              <w:t xml:space="preserve"> </w:t>
            </w:r>
            <w:r>
              <w:rPr>
                <w:rFonts w:ascii="Arial;Helvetica;Sans-Serif" w:hAnsi="Arial;Helvetica;Sans-Serif"/>
                <w:b w:val="false"/>
                <w:i w:val="false"/>
                <w:caps w:val="false"/>
                <w:smallCaps w:val="false"/>
                <w:color w:val="231F20"/>
                <w:sz w:val="20"/>
              </w:rPr>
              <w:t>by Regeneron Genetics</w:t>
            </w:r>
            <w:r>
              <w:rPr/>
              <w:t xml:space="preserve"> </w:t>
            </w:r>
            <w:r>
              <w:rPr>
                <w:rFonts w:ascii="Arial;Helvetica;Sans-Serif" w:hAnsi="Arial;Helvetica;Sans-Serif"/>
                <w:b w:val="false"/>
                <w:i w:val="false"/>
                <w:caps w:val="false"/>
                <w:smallCaps w:val="false"/>
                <w:color w:val="231F20"/>
                <w:sz w:val="20"/>
              </w:rPr>
              <w:t>Center</w:t>
            </w:r>
            <w:r>
              <w:rPr>
                <w:rFonts w:ascii="Arial;Helvetica;Sans-Serif" w:hAnsi="Arial;Helvetica;Sans-Serif"/>
                <w:b w:val="false"/>
                <w:i w:val="false"/>
                <w:caps w:val="false"/>
                <w:smallCaps w:val="false"/>
                <w:color w:val="010101"/>
                <w:position w:val="7"/>
                <w:sz w:val="16"/>
                <w:sz w:val="20"/>
              </w:rPr>
              <w:t>®</w:t>
            </w:r>
          </w:p>
        </w:tc>
      </w:tr>
      <w:tr>
        <w:trPr/>
        <w:tc>
          <w:tcPr>
            <w:tcW w:w="2589" w:type="dxa"/>
            <w:tcBorders/>
            <w:tcMar>
              <w:bottom w:w="0" w:type="dxa"/>
            </w:tcMar>
            <w:vAlign w:val="center"/>
          </w:tcPr>
          <w:p>
            <w:pPr>
              <w:pStyle w:val="TableContents"/>
              <w:bidi w:val="0"/>
              <w:spacing w:before="0" w:after="283"/>
              <w:jc w:val="center"/>
              <w:rPr/>
            </w:pPr>
            <w:r>
              <w:rPr>
                <w:rFonts w:ascii="Arial;Helvetica;Sans-Serif" w:hAnsi="Arial;Helvetica;Sans-Serif"/>
                <w:b/>
                <w:i w:val="false"/>
                <w:caps w:val="false"/>
                <w:smallCaps w:val="false"/>
                <w:color w:val="3B5AA4"/>
                <w:sz w:val="52"/>
              </w:rPr>
              <w:t>15.1K+</w:t>
            </w:r>
            <w:r>
              <w:rPr/>
              <w:t xml:space="preserve"> </w:t>
              <w:br/>
            </w:r>
            <w:r>
              <w:rPr>
                <w:rFonts w:ascii="Arial;Helvetica;Sans-Serif" w:hAnsi="Arial;Helvetica;Sans-Serif"/>
                <w:b w:val="false"/>
                <w:i w:val="false"/>
                <w:caps w:val="false"/>
                <w:smallCaps w:val="false"/>
                <w:color w:val="231F20"/>
                <w:sz w:val="20"/>
              </w:rPr>
              <w:t>Regeneron colleagues</w:t>
            </w:r>
            <w:r>
              <w:rPr/>
              <w:t xml:space="preserve"> </w:t>
            </w:r>
            <w:r>
              <w:rPr>
                <w:rFonts w:ascii="Arial;Helvetica;Sans-Serif" w:hAnsi="Arial;Helvetica;Sans-Serif"/>
                <w:b w:val="false"/>
                <w:i w:val="false"/>
                <w:caps w:val="false"/>
                <w:smallCaps w:val="false"/>
                <w:color w:val="231F20"/>
                <w:sz w:val="20"/>
              </w:rPr>
              <w:t>worldwide at 2024 year-end</w:t>
            </w:r>
          </w:p>
        </w:tc>
        <w:tc>
          <w:tcPr>
            <w:tcW w:w="300" w:type="dxa"/>
            <w:tcBorders/>
            <w:tcMar>
              <w:bottom w:w="0" w:type="dxa"/>
            </w:tcMar>
            <w:vAlign w:val="center"/>
          </w:tcPr>
          <w:p>
            <w:pPr>
              <w:pStyle w:val="TableContents"/>
              <w:bidi w:val="0"/>
              <w:spacing w:before="0" w:after="283"/>
              <w:jc w:val="center"/>
              <w:rPr/>
            </w:pPr>
            <w:r>
              <w:rPr/>
              <w:t> </w:t>
            </w:r>
          </w:p>
        </w:tc>
        <w:tc>
          <w:tcPr>
            <w:tcW w:w="300" w:type="dxa"/>
            <w:tcBorders>
              <w:left w:val="single" w:sz="2" w:space="0" w:color="C60C44"/>
            </w:tcBorders>
            <w:tcMar>
              <w:left w:w="28" w:type="dxa"/>
              <w:bottom w:w="0" w:type="dxa"/>
            </w:tcMar>
            <w:vAlign w:val="center"/>
          </w:tcPr>
          <w:p>
            <w:pPr>
              <w:pStyle w:val="TableContents"/>
              <w:bidi w:val="0"/>
              <w:spacing w:before="0" w:after="283"/>
              <w:jc w:val="center"/>
              <w:rPr/>
            </w:pPr>
            <w:r>
              <w:rPr/>
              <w:t> </w:t>
            </w:r>
          </w:p>
        </w:tc>
        <w:tc>
          <w:tcPr>
            <w:tcW w:w="3997" w:type="dxa"/>
            <w:tcBorders/>
            <w:tcMar>
              <w:bottom w:w="0" w:type="dxa"/>
            </w:tcMar>
            <w:vAlign w:val="center"/>
          </w:tcPr>
          <w:p>
            <w:pPr>
              <w:pStyle w:val="TableContents"/>
              <w:bidi w:val="0"/>
              <w:spacing w:before="0" w:after="283"/>
              <w:jc w:val="center"/>
              <w:rPr/>
            </w:pPr>
            <w:r>
              <w:rPr>
                <w:rFonts w:ascii="Arial;Helvetica;Sans-Serif" w:hAnsi="Arial;Helvetica;Sans-Serif"/>
                <w:b/>
                <w:i w:val="false"/>
                <w:caps w:val="false"/>
                <w:smallCaps w:val="false"/>
                <w:color w:val="3B5AA4"/>
                <w:sz w:val="52"/>
              </w:rPr>
              <w:t>52%</w:t>
            </w:r>
            <w:r>
              <w:rPr/>
              <w:t xml:space="preserve"> </w:t>
              <w:br/>
            </w:r>
            <w:r>
              <w:rPr>
                <w:rFonts w:ascii="Arial;Helvetica;Sans-Serif" w:hAnsi="Arial;Helvetica;Sans-Serif"/>
                <w:b w:val="false"/>
                <w:i w:val="false"/>
                <w:caps w:val="false"/>
                <w:smallCaps w:val="false"/>
                <w:color w:val="231F20"/>
                <w:sz w:val="20"/>
              </w:rPr>
              <w:t>employee volunteerism</w:t>
            </w:r>
            <w:r>
              <w:rPr/>
              <w:t xml:space="preserve"> </w:t>
            </w:r>
            <w:r>
              <w:rPr>
                <w:rFonts w:ascii="Arial;Helvetica;Sans-Serif" w:hAnsi="Arial;Helvetica;Sans-Serif"/>
                <w:b w:val="false"/>
                <w:i w:val="false"/>
                <w:caps w:val="false"/>
                <w:smallCaps w:val="false"/>
                <w:color w:val="231F20"/>
                <w:sz w:val="20"/>
              </w:rPr>
              <w:t>rate in 2024</w:t>
            </w:r>
          </w:p>
        </w:tc>
        <w:tc>
          <w:tcPr>
            <w:tcW w:w="210" w:type="dxa"/>
            <w:tcBorders/>
            <w:tcMar>
              <w:bottom w:w="0" w:type="dxa"/>
            </w:tcMar>
            <w:vAlign w:val="center"/>
          </w:tcPr>
          <w:p>
            <w:pPr>
              <w:pStyle w:val="TableContents"/>
              <w:bidi w:val="0"/>
              <w:spacing w:before="0" w:after="283"/>
              <w:jc w:val="center"/>
              <w:rPr/>
            </w:pPr>
            <w:r>
              <w:rPr/>
              <w:t> </w:t>
            </w:r>
          </w:p>
        </w:tc>
        <w:tc>
          <w:tcPr>
            <w:tcW w:w="300" w:type="dxa"/>
            <w:tcBorders>
              <w:left w:val="single" w:sz="2" w:space="0" w:color="C60C44"/>
            </w:tcBorders>
            <w:tcMar>
              <w:left w:w="28" w:type="dxa"/>
              <w:bottom w:w="0" w:type="dxa"/>
            </w:tcMar>
            <w:vAlign w:val="center"/>
          </w:tcPr>
          <w:p>
            <w:pPr>
              <w:pStyle w:val="TableContents"/>
              <w:bidi w:val="0"/>
              <w:spacing w:before="0" w:after="283"/>
              <w:jc w:val="center"/>
              <w:rPr/>
            </w:pPr>
            <w:r>
              <w:rPr/>
              <w:t> </w:t>
            </w:r>
          </w:p>
        </w:tc>
        <w:tc>
          <w:tcPr>
            <w:tcW w:w="2509" w:type="dxa"/>
            <w:tcBorders/>
            <w:tcMar>
              <w:bottom w:w="0" w:type="dxa"/>
            </w:tcMar>
            <w:vAlign w:val="center"/>
          </w:tcPr>
          <w:p>
            <w:pPr>
              <w:pStyle w:val="TableContents"/>
              <w:bidi w:val="0"/>
              <w:spacing w:before="0" w:after="283"/>
              <w:jc w:val="center"/>
              <w:rPr/>
            </w:pPr>
            <w:r>
              <w:rPr>
                <w:rFonts w:ascii="Arial;Helvetica;Sans-Serif" w:hAnsi="Arial;Helvetica;Sans-Serif"/>
                <w:b/>
                <w:i w:val="false"/>
                <w:caps w:val="false"/>
                <w:smallCaps w:val="false"/>
                <w:color w:val="3B5AA4"/>
                <w:sz w:val="52"/>
              </w:rPr>
              <w:t>~3.2M</w:t>
            </w:r>
            <w:r>
              <w:rPr/>
              <w:t xml:space="preserve"> </w:t>
              <w:br/>
            </w:r>
            <w:r>
              <w:rPr>
                <w:rFonts w:ascii="Arial;Helvetica;Sans-Serif" w:hAnsi="Arial;Helvetica;Sans-Serif"/>
                <w:b w:val="false"/>
                <w:i w:val="false"/>
                <w:caps w:val="false"/>
                <w:smallCaps w:val="false"/>
                <w:color w:val="231F20"/>
                <w:sz w:val="20"/>
              </w:rPr>
              <w:t>students supported by</w:t>
            </w:r>
            <w:r>
              <w:rPr/>
              <w:t xml:space="preserve"> </w:t>
            </w:r>
            <w:r>
              <w:rPr>
                <w:rFonts w:ascii="Arial;Helvetica;Sans-Serif" w:hAnsi="Arial;Helvetica;Sans-Serif"/>
                <w:b w:val="false"/>
                <w:i w:val="false"/>
                <w:caps w:val="false"/>
                <w:smallCaps w:val="false"/>
                <w:color w:val="231F20"/>
                <w:sz w:val="20"/>
              </w:rPr>
              <w:t>Regeneron STEM initiatives</w:t>
            </w:r>
            <w:r>
              <w:rPr/>
              <w:t xml:space="preserve"> </w:t>
            </w:r>
            <w:r>
              <w:rPr>
                <w:rFonts w:ascii="Arial;Helvetica;Sans-Serif" w:hAnsi="Arial;Helvetica;Sans-Serif"/>
                <w:b w:val="false"/>
                <w:i w:val="false"/>
                <w:caps w:val="false"/>
                <w:smallCaps w:val="false"/>
                <w:color w:val="231F20"/>
                <w:sz w:val="20"/>
              </w:rPr>
              <w:t>since 2020</w:t>
            </w:r>
          </w:p>
        </w:tc>
      </w:tr>
    </w:tbl>
    <w:p>
      <w:pPr>
        <w:pStyle w:val="TextBody"/>
        <w:bidi w:val="0"/>
        <w:spacing w:before="0" w:after="0"/>
        <w:ind w:left="0" w:right="0" w:hanging="0"/>
        <w:jc w:val="center"/>
        <w:rPr>
          <w:caps w:val="false"/>
          <w:smallCaps w:val="false"/>
          <w:color w:val="ED0775"/>
        </w:rPr>
      </w:pPr>
      <w:r>
        <w:rPr>
          <w:caps w:val="false"/>
          <w:smallCaps w:val="false"/>
          <w:color w:val="ED0775"/>
        </w:rPr>
        <w:drawing>
          <wp:inline distT="0" distB="0" distL="0" distR="0">
            <wp:extent cx="7620000" cy="2476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00" cy="2476500"/>
                    </a:xfrm>
                    <a:prstGeom prst="rect">
                      <a:avLst/>
                    </a:prstGeom>
                  </pic:spPr>
                </pic:pic>
              </a:graphicData>
            </a:graphic>
          </wp:inline>
        </w:drawing>
      </w:r>
    </w:p>
    <w:tbl>
      <w:tblPr>
        <w:tblW w:w="3925" w:type="dxa"/>
        <w:jc w:val="center"/>
        <w:tblInd w:w="0" w:type="dxa"/>
        <w:tblLayout w:type="fixed"/>
        <w:tblCellMar>
          <w:top w:w="0" w:type="dxa"/>
          <w:left w:w="0" w:type="dxa"/>
          <w:bottom w:w="0" w:type="dxa"/>
          <w:right w:w="0" w:type="dxa"/>
        </w:tblCellMar>
      </w:tblPr>
      <w:tblGrid>
        <w:gridCol w:w="75"/>
        <w:gridCol w:w="80"/>
        <w:gridCol w:w="377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3770" w:type="dxa"/>
            <w:tcBorders/>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w:t>
            </w:r>
          </w:p>
        </w:tc>
        <w:tc>
          <w:tcPr>
            <w:tcW w:w="377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Based on 2024 year-end wholesale acquisition cost</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Heading1"/>
        <w:bidi w:val="0"/>
        <w:jc w:val="left"/>
        <w:rPr>
          <w:rFonts w:ascii="Arial;Helvetica;Sans-Serif" w:hAnsi="Arial;Helvetica;Sans-Serif"/>
          <w:b/>
          <w:i w:val="false"/>
          <w:caps w:val="false"/>
          <w:smallCaps w:val="false"/>
          <w:color w:val="3B5AA4"/>
          <w:sz w:val="56"/>
        </w:rPr>
      </w:pPr>
      <w:r>
        <w:rPr>
          <w:rFonts w:ascii="Arial;Helvetica;Sans-Serif" w:hAnsi="Arial;Helvetica;Sans-Serif"/>
          <w:b/>
          <w:i w:val="false"/>
          <w:caps w:val="false"/>
          <w:smallCaps w:val="false"/>
          <w:color w:val="3B5AA4"/>
          <w:sz w:val="56"/>
        </w:rPr>
        <w:t>Letter to Shareholders</w:t>
      </w:r>
    </w:p>
    <w:p>
      <w:pPr>
        <w:pStyle w:val="TextBody"/>
        <w:bidi w:val="0"/>
        <w:jc w:val="left"/>
        <w:rPr>
          <w:caps w:val="false"/>
          <w:smallCaps w:val="false"/>
          <w:color w:val="3B5AA4"/>
        </w:rPr>
      </w:pPr>
      <w:r>
        <w:rPr>
          <w:caps w:val="false"/>
          <w:smallCaps w:val="false"/>
          <w:color w:val="3B5AA4"/>
        </w:rPr>
        <w:t> </w:t>
      </w:r>
    </w:p>
    <w:tbl>
      <w:tblPr>
        <w:tblW w:w="5195" w:type="dxa"/>
        <w:jc w:val="left"/>
        <w:tblInd w:w="0" w:type="dxa"/>
        <w:tblLayout w:type="fixed"/>
        <w:tblCellMar>
          <w:top w:w="0" w:type="dxa"/>
          <w:left w:w="0" w:type="dxa"/>
          <w:bottom w:w="0" w:type="dxa"/>
          <w:right w:w="0" w:type="dxa"/>
        </w:tblCellMar>
      </w:tblPr>
      <w:tblGrid>
        <w:gridCol w:w="5060"/>
        <w:gridCol w:w="60"/>
        <w:gridCol w:w="75"/>
      </w:tblGrid>
      <w:tr>
        <w:trPr/>
        <w:tc>
          <w:tcPr>
            <w:tcW w:w="5060" w:type="dxa"/>
            <w:vMerge w:val="restart"/>
            <w:tcBorders/>
            <w:vAlign w:val="center"/>
          </w:tcPr>
          <w:p>
            <w:pPr>
              <w:pStyle w:val="TableContents"/>
              <w:bidi w:val="0"/>
              <w:spacing w:before="0" w:after="283"/>
              <w:jc w:val="left"/>
              <w:rPr>
                <w:rFonts w:ascii="Arial;Helvetica;Sans-Serif" w:hAnsi="Arial;Helvetica;Sans-Serif"/>
                <w:b/>
                <w:i w:val="false"/>
                <w:caps w:val="false"/>
                <w:smallCaps w:val="false"/>
                <w:color w:val="C60C44"/>
                <w:sz w:val="28"/>
              </w:rPr>
            </w:pPr>
            <w:r>
              <w:rPr>
                <w:rFonts w:ascii="Arial;Helvetica;Sans-Serif" w:hAnsi="Arial;Helvetica;Sans-Serif"/>
                <w:b/>
                <w:i w:val="false"/>
                <w:caps w:val="false"/>
                <w:smallCaps w:val="false"/>
                <w:color w:val="C60C44"/>
                <w:sz w:val="28"/>
              </w:rPr>
              <w:t>TO OUR FELLOW SHAREHOLDERS,</w:t>
            </w:r>
          </w:p>
        </w:tc>
        <w:tc>
          <w:tcPr>
            <w:tcW w:w="60" w:type="dxa"/>
            <w:tcBorders>
              <w:bottom w:val="single" w:sz="12" w:space="0" w:color="3B5AA4"/>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bl>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At Regeneron, we have always been driven by the belief that bold science leads to big breakthroughs. For nearly four decades, we have been at the forefront of scientific and technological innovation, pushing the boundaries of what is possible and redefining the way medicine is discovered, developed, and delivered. Today, we stand as a premier biotechnology company with a proven track record of converting scientific discoveries into life-changing medicines. With 14 approved medicines in the United States (“U.S.”) or other countries, including four current blockbuster therapies, our work has touched the lives of millions around the globe, helping them live fuller, healthier lives. Yet, as we survey our broad and robust clinical and scientific pipeline, we know the best is yet to come. We remain committed as ever to turning our science into real-world impact, delivering long-term growth for the company and lasting value for patients, society, and our shareholders. To do that, we cannot stand still. In a rapidly evolving industry, we are constantly challenging ourselves to raise the bar. Whether it is developing new standards of care or facing biosimilar competition, we view every challenge as an opportunity to refocus, reinvent, and ultimately bring best-in-class innovations to patients.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2024, the strength and durability of our blockbuster marketed products, Dupixent</w:t>
      </w:r>
      <w:r>
        <w:rPr>
          <w:rFonts w:ascii="Arial;Helvetica;Sans-Serif" w:hAnsi="Arial;Helvetica;Sans-Serif"/>
          <w:b w:val="false"/>
          <w:i w:val="false"/>
          <w:caps w:val="false"/>
          <w:smallCaps w:val="false"/>
          <w:color w:val="231F20"/>
          <w:position w:val="6"/>
          <w:sz w:val="14"/>
          <w:sz w:val="18"/>
        </w:rPr>
        <w:t>®</w:t>
      </w:r>
      <w:r>
        <w:rPr>
          <w:rFonts w:ascii="Arial;Helvetica;Sans-Serif" w:hAnsi="Arial;Helvetica;Sans-Serif"/>
          <w:b w:val="false"/>
          <w:i w:val="false"/>
          <w:caps w:val="false"/>
          <w:smallCaps w:val="false"/>
          <w:color w:val="231F20"/>
          <w:sz w:val="18"/>
        </w:rPr>
        <w:t xml:space="preserve"> (dupilumab), EYLEA HD</w:t>
      </w:r>
      <w:r>
        <w:rPr>
          <w:rFonts w:ascii="Arial;Helvetica;Sans-Serif" w:hAnsi="Arial;Helvetica;Sans-Serif"/>
          <w:b w:val="false"/>
          <w:i w:val="false"/>
          <w:caps w:val="false"/>
          <w:smallCaps w:val="false"/>
          <w:color w:val="231F20"/>
          <w:position w:val="6"/>
          <w:sz w:val="14"/>
          <w:sz w:val="18"/>
        </w:rPr>
        <w:t>®</w:t>
      </w:r>
      <w:r>
        <w:rPr>
          <w:rFonts w:ascii="Arial;Helvetica;Sans-Serif" w:hAnsi="Arial;Helvetica;Sans-Serif"/>
          <w:b w:val="false"/>
          <w:i w:val="false"/>
          <w:caps w:val="false"/>
          <w:smallCaps w:val="false"/>
          <w:color w:val="231F20"/>
          <w:sz w:val="18"/>
        </w:rPr>
        <w:t xml:space="preserve"> (aflibercept) 8 mg, EYLEA</w:t>
      </w:r>
      <w:r>
        <w:rPr>
          <w:rFonts w:ascii="Arial;Helvetica;Sans-Serif" w:hAnsi="Arial;Helvetica;Sans-Serif"/>
          <w:b w:val="false"/>
          <w:i w:val="false"/>
          <w:caps w:val="false"/>
          <w:smallCaps w:val="false"/>
          <w:color w:val="231F20"/>
          <w:position w:val="6"/>
          <w:sz w:val="14"/>
          <w:sz w:val="18"/>
        </w:rPr>
        <w:t>®</w:t>
      </w:r>
      <w:r>
        <w:rPr>
          <w:rFonts w:ascii="Arial;Helvetica;Sans-Serif" w:hAnsi="Arial;Helvetica;Sans-Serif"/>
          <w:b w:val="false"/>
          <w:i w:val="false"/>
          <w:caps w:val="false"/>
          <w:smallCaps w:val="false"/>
          <w:color w:val="231F20"/>
          <w:sz w:val="18"/>
        </w:rPr>
        <w:t xml:space="preserve"> (aflibercept) 2 mg, and Libtayo</w:t>
      </w:r>
      <w:r>
        <w:rPr>
          <w:rFonts w:ascii="Arial;Helvetica;Sans-Serif" w:hAnsi="Arial;Helvetica;Sans-Serif"/>
          <w:b w:val="false"/>
          <w:i w:val="false"/>
          <w:caps w:val="false"/>
          <w:smallCaps w:val="false"/>
          <w:color w:val="231F20"/>
          <w:position w:val="6"/>
          <w:sz w:val="14"/>
          <w:sz w:val="18"/>
        </w:rPr>
        <w:t>®</w:t>
      </w:r>
      <w:r>
        <w:rPr>
          <w:rFonts w:ascii="Arial;Helvetica;Sans-Serif" w:hAnsi="Arial;Helvetica;Sans-Serif"/>
          <w:b w:val="false"/>
          <w:i w:val="false"/>
          <w:caps w:val="false"/>
          <w:smallCaps w:val="false"/>
          <w:color w:val="231F20"/>
          <w:sz w:val="18"/>
        </w:rPr>
        <w:t xml:space="preserve"> (cemiplimab), contributed to full year total revenue of $14.2 billion, reflecting an 8 percent year-over-year increase. Dupixent surpassed the milestone last year for one million patients being on treatment worldwide and secured historic approvals as the first biologic treatment for chronic obstructive pulmonary disease (“COPD”) (approved in the U.S. and European Union (EU) in 2024) and as the first new targeted therapy in over a decade for chronic spontaneous urticaria (“CSU”) (approved in the U.S. in 2025), bringing hope to many patients who had long lacked effective options for these diseases. Dupixent is now approved as a leading treatment for seven related diseases worldwide. In addition to COPD and CSU, it is approved for certain patients with asthma, atopic dermatitis, chronic rhinosinusitis with nasal polyps, eosinophilic esophagitis, and prurigo nodularis. EYLEA HD and EYLEA continued to set the standard of care for serious retinal diseases, including age-related macular degeneration, diabetic eye disease, and retinal vein occlusion (“RVO”). We expect EYLEA HD to be further bolstered by the anticipated launch of our pre-filled syringe and by label expansions to include dosing flexibility and the addition of macular edema following RVO. Libtayo, our cornerstone cancer therapy, which is a leading medicine for non-melanoma skin cancers, became our fourth current blockbuster therapy by surpassing $1 billion in annual global net product sales, and recent positive Phase 3 data position it as a potential standard of care in high-risk adjuvant cutaneous squamous cell carcinoma, a cancer of the skin.</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strength of our pipeline, combined with our track record of consistent execution on our strategy, has positioned Regeneron for long-term success. Our financial strength has enabled us to invest in our research and development (“R&amp;D”) pipeline to support potential future growth. In 2024, we invested $5.1 billion in R&amp;D and allocated nearly $756 million of capital expenditures to, among other things, expand our Tarrytown, New York R&amp;D headquarters. We have constructed a fill/finish manufacturing facility in Rensselaer, New York that is undergoing process validation as required by regulatory authorities, and we also acquired a facility in upstate New York that has the potential to allow us to further expand our manufacturing capacity. In February 2025, for the first time in our company’s history, our board of directors approved the initiation of a quarterly cash dividend program, reflecting our long-term confidence in the durability of our business. Also in February 2025, we expanded our share repurchase authorization by $3 billion, bringing our total buyback capacity to $4.5 billion at the time of the announcement. Importantly, returning capital to shareholders through share repurchases and dividends does not impact our primary capital allocation priority of investing in our R&amp;D pipeline and our business. This combination of scientific ambition and disciplined capital allocation will allow us to remain focused on delivering long-term value to both patients and shareholders.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Our pipeline is poised to deliver the next wave of innovation</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we look to the future, our momentum continues to build. With a deep pipeline of approximately 40 product candidates in clinical trials, spanning a broad range of diseases, we are advancing the next generation of potential treatments. Our scientific engine is more productive than ever, and our pipeline is tackling some of the most complex and pressing challenges in medicine today. In the year ahead, we anticipate pivotal data readouts and proof-of-concept results that could yield first- or best-in-class opportunities in areas with high unmet medical need.</w:t>
      </w:r>
    </w:p>
    <w:p>
      <w:pPr>
        <w:pStyle w:val="TextBody"/>
        <w:bidi w:val="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6710"/>
        <w:gridCol w:w="1320"/>
        <w:gridCol w:w="5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38200" cy="95250"/>
                          </a:xfrm>
                          <a:prstGeom prst="rect">
                            <a:avLst/>
                          </a:prstGeom>
                        </pic:spPr>
                      </pic:pic>
                    </a:graphicData>
                  </a:graphic>
                </wp:inline>
              </w:drawing>
            </w:r>
          </w:p>
        </w:tc>
        <w:tc>
          <w:tcPr>
            <w:tcW w:w="5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work in inflammation and immunology continues to evolve in exciting ways with our newest FDA approval of Dupixent in CSU and the potential 2025 launch of Dupixent in the U.S. in bullous pemphigoid. We also see promising advancements in severe food allergies, where the combination of Dupixent and linvoseltamab (our BCMAxCD3 bispecific antibody) has the potential to eliminate and prevent the return of immunoglobulin E, the key driver of severe allergic reactions. In addition, we will read out data from our Phase 3 studies of itepekimab (our interleukin-33 antibody) in former smokers with COPD.</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ophthalmology, we anticipate strengthening the profile of EYLEA HD by offering it in a more convenient pre-filled syringe administration; broadening its label to include macular edema following RVO; and adding more dosing flexibility with every four-week dosing for certain indications. With these anticipated label enhancements, EYLEA HD will offer the broadest set of retinal disease indications with the greatest dosing flexibility of any product in the anti-VEGF space, positioning it to become the new standard of care in the category.</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oncology, we continue to push the boundaries of immunotherapy, harnessing the body’s own immune system to fight cancer. Linvoseltamab has demonstrated a differentiated clinical profile with nearly double the complete response rates of similar therapies for patients with relapsed/refractory multiple myeloma. Linvoseltamab was recently approved in the EU for relapsed/refractory multiple myeloma and the U.S. Food and Drug Administration (“FDA”) recently accepted our Biologics License Application (“BLA”) for this indication, with a target action date of July 10, 2025. We also achieved a significant milestone with odronextamab (our CD20xCD3 bispecific antibody) by marking the first regulatory approval from our bispecific antibody platform. Odronextamab was approved in the EU for the treatment of relapsed/refractory follicular lymphoma and diffuse large B-cell lymphoma. The FDA has also recently accepted our BLA for odronextamab in follicular lymphoma, with a target action date of July 30, 2025. Our most advanced Libtayo combination with fianlimab (our LAG-3 antibody) is also advancing rapidly in metastatic melanoma and non-small cell lung cancer, with a pivotal data readout in melanoma expected later this year. These advances in bispecific antibody technology and combination approaches, along with our rapidly expanding research in next-generation cell therapies through our newest R&amp;D unit, Regeneron Cell Medicines, are setting the stage for us to potentially lead in a new era in cancer treatment.</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Obesity remains one of the most pressing global health challenges, and we are developing differentiated treatments that go beyond current offerings and have the potential to help people maintain and even increase muscle mass while losing weight. Recent widespread adoption of GLP-1-related weight loss therapies, such as semaglutide, has raised concerns that there is a significant decrease of muscle mass associated with the resulting weight loss. Our Phase 2 COURAGE study, investigating the addition of trevogrumab (our myostatin GDF8-blocking antibody) to semaglutide, with and without garetosmab (our Activin A-blocking antibody), aims to evaluate the quality of weight loss and whether trevogrumab, with and without garetosmab, enables patients to maintain muscle mass during weight loss. This trial is now fully enrolled, and we anticipate initial data in the second half of 2025. In parallel, we are advancing an expansive pipeline of preclinical assets targeting novel biological pathways to address obesity’s complex metabolic and musculoskeletal impacts, with the goal of developing best-in-class therapies that offer both efficacy and long-term sustainability.</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Gene editing, gene silencing, and gene therapy are opening entirely new treatment possibilities, and our genetic medicines pipeline is poised to address diseases with underlying genetic drivers. DB-OTO, our investigational gene therapy for genetic hearing loss due to variants of the otoferlin gene, has delivered remarkable early results, with 10 out of 11 treated children showing significant hearing improvements, with some even reaching normal hearing levels. Our novel approach of combining an antibody, pozelimab, with an RNAi therapeutic, cemdisiran, both of which target the C5 component of the complement pathway, is being studied in multiple complement-mediated diseases, with our latest data demonstrating improved disease control compared to the standard of care in paroxysmal nocturnal hemoglobinuria, or PNH. This combination is also being evaluated in generalized myasthenia gravis, with pivotal results expected later this year. It is also being studied in geographic atrophy in dry age-related macular degeneration, where we believe our approach may have key advantages over FDA-approved intravitreal treatments. Our collaboration with Alnylam Pharmaceuticals, Inc. is also helping drive forward additional RNAi therapeutics for a variety of diseases, from metabolic dysfunction-associated steatohepatitis, or MASH, to neurodegenerative diseases. In addition, our collaboration with Intellia Therapeutics, Inc. positions us at the leading edge of CRISPR-based therapies. Our collaborative program using CRISPR to eliminate a pathologic gene (in ATTR amyloidosis) is in Phase 3 clinical development, and we have recently announced the first example of using CRISPR to insert a corrective human gene (for Factor IX deficiency, or Hemophilia B) into a specific genomic site in a living human being.</w:t>
      </w:r>
    </w:p>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Factor XI program has the potential to revolutionize anticoagulation therapy, which is currently markedly underutilized due to bleeding risks and concerns. Our program offers a unique two-pronged approach that reduces the risk of blood clots while potentially minimizing bleeding complications. Recent proof-of-concept data demonstrated robust clot reduction in patients following knee replacement surgery, and we are advancing these programs into broad pivotal studies across multiple indications.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Regeneron’s remarkable R&amp;D productivity has been driven by genetic discoveries made by the Regeneron Genetics Center</w:t>
      </w:r>
      <w:r>
        <w:rPr>
          <w:rFonts w:ascii="Arial;Helvetica;Sans-Serif" w:hAnsi="Arial;Helvetica;Sans-Serif"/>
          <w:b w:val="false"/>
          <w:i w:val="false"/>
          <w:caps w:val="false"/>
          <w:smallCaps w:val="false"/>
          <w:color w:val="231F20"/>
          <w:position w:val="6"/>
          <w:sz w:val="14"/>
          <w:sz w:val="18"/>
        </w:rPr>
        <w:t>®</w:t>
      </w:r>
      <w:r>
        <w:rPr>
          <w:rFonts w:ascii="Arial;Helvetica;Sans-Serif" w:hAnsi="Arial;Helvetica;Sans-Serif"/>
          <w:b w:val="false"/>
          <w:i w:val="false"/>
          <w:caps w:val="false"/>
          <w:smallCaps w:val="false"/>
          <w:color w:val="231F20"/>
          <w:sz w:val="18"/>
        </w:rPr>
        <w:t>, or RGC</w:t>
      </w:r>
      <w:r>
        <w:rPr>
          <w:rFonts w:ascii="Arial;Helvetica;Sans-Serif" w:hAnsi="Arial;Helvetica;Sans-Serif"/>
          <w:b w:val="false"/>
          <w:i w:val="false"/>
          <w:caps w:val="false"/>
          <w:smallCaps w:val="false"/>
          <w:color w:val="231F20"/>
          <w:position w:val="6"/>
          <w:sz w:val="14"/>
          <w:sz w:val="18"/>
        </w:rPr>
        <w:t>®</w:t>
      </w:r>
      <w:r>
        <w:rPr>
          <w:rFonts w:ascii="Arial;Helvetica;Sans-Serif" w:hAnsi="Arial;Helvetica;Sans-Serif"/>
          <w:b w:val="false"/>
          <w:i w:val="false"/>
          <w:caps w:val="false"/>
          <w:smallCaps w:val="false"/>
          <w:color w:val="231F20"/>
          <w:sz w:val="18"/>
        </w:rPr>
        <w:t>, which continues to inform target identification and clinical trial design. Over the past decade, we have created the world’s largest DNA sequence-linked health care database, encompassing nearly three million individuals. Thanks to our new collaboration with Truveta Inc., we are positioned to dramatically expand this database to include up to 10 million additional patient volunteers. This may allow us to enhance our ability to accelerate progress in discovering the science of humanity, improving the health of our families and communities, and lowering the cost of care, as well as enabling new approaches to healthcare analytics and healthcare management. We are now also emerging as leaders in high-throughput proteomics, as demonstrated by the RGC’s selection to generate proteomics data for the UK Biobank pharma proteomics project. This builds on our previous selection to provide sequence data for the UK Biobank.</w:t>
      </w:r>
    </w:p>
    <w:p>
      <w:pPr>
        <w:pStyle w:val="TextBody"/>
        <w:bidi w:val="0"/>
        <w:jc w:val="left"/>
        <w:rPr>
          <w:caps w:val="false"/>
          <w:smallCaps w:val="false"/>
          <w:color w:val="3B5AA4"/>
        </w:rPr>
      </w:pPr>
      <w:r>
        <w:rPr>
          <w:caps w:val="false"/>
          <w:smallCaps w:val="false"/>
          <w:color w:val="3B5AA4"/>
        </w:rPr>
        <w:t> </w:t>
      </w:r>
    </w:p>
    <w:p>
      <w:pPr>
        <w:pStyle w:val="TextBody"/>
        <w:bidi w:val="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Driving sustainable innovation through our responsible business strategy</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Beyond our medicines, we take our broader responsibility to society seriously. Just as we push the boundaries of science, we push ourselves to operate at the highest levels of innovation, integrity, and with a deep commitment to the communities we serve. We are very proud of our efforts to engage and inspire the next generation of great scientists, most notably by supporting the world’s leading high school science competitions, known as the Regeneron Science Talent Search and the Regeneron International Science and Engineering Fair, as well as related programs such as our Together for CHANGE</w:t>
      </w:r>
      <w:r>
        <w:rPr>
          <w:rFonts w:ascii="Arial;Helvetica;Sans-Serif" w:hAnsi="Arial;Helvetica;Sans-Serif"/>
          <w:b w:val="false"/>
          <w:i w:val="false"/>
          <w:caps w:val="false"/>
          <w:smallCaps w:val="false"/>
          <w:color w:val="231F20"/>
          <w:position w:val="6"/>
          <w:sz w:val="14"/>
          <w:sz w:val="18"/>
        </w:rPr>
        <w:t>TM</w:t>
      </w:r>
      <w:r>
        <w:rPr>
          <w:rFonts w:ascii="Arial;Helvetica;Sans-Serif" w:hAnsi="Arial;Helvetica;Sans-Serif"/>
          <w:b w:val="false"/>
          <w:i w:val="false"/>
          <w:caps w:val="false"/>
          <w:smallCaps w:val="false"/>
          <w:color w:val="231F20"/>
          <w:sz w:val="18"/>
        </w:rPr>
        <w:t xml:space="preserve"> efforts in Nashville, Tennessee.</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take a long-term view, prioritizing the issues that matter most to our business and our stakeholders. Guided by our corporate responsibility strategy, which is intentionally and inextricably linked to our business strategy, we focus on improving the lives of people with serious diseases, fostering a culture of integrity and ethics, and building sustainable communities. In 2024, we were included on the Dow Jones Sustainability World Index for the sixth consecutive year, validating the effectiveness of aligning corporate responsibility practices with Regeneron’s business operations. We believe this approach is fundamental to the resiliency and ethical foundation of both our organization and society, and we detail our progress annually in our Responsibility Report.</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closing, we have never been more excited about the future of Regeneron and our ability to transform the practice of medicine. In 2024, we delivered solid performance across our commercial portfolio, advanced our clinical pipeline, and moved forward the science and technology of the future. In 2025, we are well positioned to take it even further, as we harness the power of science and technology to bring much needed, life-changing medicines to patients.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Sincerely,</w:t>
      </w:r>
    </w:p>
    <w:p>
      <w:pPr>
        <w:pStyle w:val="TextBody"/>
        <w:bidi w:val="0"/>
        <w:jc w:val="left"/>
        <w:rPr>
          <w:caps w:val="false"/>
          <w:smallCaps w:val="false"/>
          <w:color w:val="231F20"/>
        </w:rPr>
      </w:pPr>
      <w:r>
        <w:rPr>
          <w:caps w:val="false"/>
          <w:smallCaps w:val="false"/>
          <w:color w:val="231F20"/>
        </w:rPr>
        <w:t> </w:t>
      </w:r>
    </w:p>
    <w:tbl>
      <w:tblPr>
        <w:tblW w:w="8860" w:type="dxa"/>
        <w:jc w:val="left"/>
        <w:tblInd w:w="0" w:type="dxa"/>
        <w:tblLayout w:type="fixed"/>
        <w:tblCellMar>
          <w:top w:w="0" w:type="dxa"/>
          <w:left w:w="0" w:type="dxa"/>
          <w:bottom w:w="0" w:type="dxa"/>
          <w:right w:w="0" w:type="dxa"/>
        </w:tblCellMar>
      </w:tblPr>
      <w:tblGrid>
        <w:gridCol w:w="4400"/>
        <w:gridCol w:w="60"/>
        <w:gridCol w:w="4325"/>
        <w:gridCol w:w="75"/>
      </w:tblGrid>
      <w:tr>
        <w:trPr/>
        <w:tc>
          <w:tcPr>
            <w:tcW w:w="4400" w:type="dxa"/>
            <w:tcBorders/>
            <w:vAlign w:val="center"/>
          </w:tcPr>
          <w:p>
            <w:pPr>
              <w:pStyle w:val="TableContents"/>
              <w:bidi w:val="0"/>
              <w:spacing w:before="0" w:after="283"/>
              <w:jc w:val="left"/>
              <w:rPr/>
            </w:pPr>
            <w:r>
              <w:rPr/>
              <w:drawing>
                <wp:inline distT="0" distB="0" distL="0" distR="0">
                  <wp:extent cx="1400175" cy="3429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400175" cy="3429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drawing>
                <wp:inline distT="0" distB="0" distL="0" distR="0">
                  <wp:extent cx="981075" cy="3429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81075" cy="342900"/>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Leonard S. Schleifer, M.D., Ph.D.</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George D. Yancopoulos, M.D., Ph.D.</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Board co-Chair, President and Chief Executive Officer</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Board co-Chair, President and Chief Scientific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6710"/>
        <w:gridCol w:w="1320"/>
        <w:gridCol w:w="63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38200" cy="95250"/>
                          </a:xfrm>
                          <a:prstGeom prst="rect">
                            <a:avLst/>
                          </a:prstGeom>
                        </pic:spPr>
                      </pic:pic>
                    </a:graphicData>
                  </a:graphic>
                </wp:inline>
              </w:drawing>
            </w:r>
          </w:p>
        </w:tc>
        <w:tc>
          <w:tcPr>
            <w:tcW w:w="63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iii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color w:val="231F20"/>
        </w:rPr>
      </w:pPr>
      <w:r>
        <w:rPr>
          <w:caps w:val="false"/>
          <w:smallCaps w:val="false"/>
          <w:color w:val="231F20"/>
        </w:rPr>
        <w:drawing>
          <wp:inline distT="0" distB="0" distL="0" distR="0">
            <wp:extent cx="2105025" cy="2476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105025" cy="247650"/>
                    </a:xfrm>
                    <a:prstGeom prst="rect">
                      <a:avLst/>
                    </a:prstGeom>
                  </pic:spPr>
                </pic:pic>
              </a:graphicData>
            </a:graphic>
          </wp:inline>
        </w:drawing>
      </w:r>
    </w:p>
    <w:p>
      <w:pPr>
        <w:pStyle w:val="TextBody"/>
        <w:bidi w:val="0"/>
        <w:spacing w:before="60" w:after="60"/>
        <w:ind w:left="60" w:right="6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REGENERON PHARMACEUTICALS, INC.</w:t>
        <w:br/>
        <w:t>777 Old Saw Mill River Road</w:t>
        <w:br/>
        <w:t>Tarrytown, New York 10591-6707</w:t>
      </w:r>
    </w:p>
    <w:p>
      <w:pPr>
        <w:pStyle w:val="TextBody"/>
        <w:bidi w:val="0"/>
        <w:spacing w:before="60" w:after="60"/>
        <w:ind w:left="60" w:right="60" w:hanging="0"/>
        <w:jc w:val="left"/>
        <w:rPr>
          <w:caps w:val="false"/>
          <w:smallCaps w:val="false"/>
          <w:color w:val="231F20"/>
        </w:rPr>
      </w:pPr>
      <w:r>
        <w:rPr>
          <w:caps w:val="false"/>
          <w:smallCaps w:val="false"/>
          <w:color w:val="231F20"/>
        </w:rPr>
        <w:t> </w:t>
      </w:r>
    </w:p>
    <w:p>
      <w:pPr>
        <w:pStyle w:val="Heading1"/>
        <w:bidi w:val="0"/>
        <w:jc w:val="left"/>
        <w:rPr>
          <w:rFonts w:ascii="Arial;Helvetica;Sans-Serif" w:hAnsi="Arial;Helvetica;Sans-Serif"/>
          <w:b/>
          <w:i w:val="false"/>
          <w:caps w:val="false"/>
          <w:smallCaps w:val="false"/>
          <w:color w:val="3B5AA4"/>
          <w:sz w:val="56"/>
        </w:rPr>
      </w:pPr>
      <w:r>
        <w:rPr>
          <w:rFonts w:ascii="Arial;Helvetica;Sans-Serif" w:hAnsi="Arial;Helvetica;Sans-Serif"/>
          <w:b/>
          <w:i w:val="false"/>
          <w:caps w:val="false"/>
          <w:smallCaps w:val="false"/>
          <w:color w:val="3B5AA4"/>
          <w:sz w:val="56"/>
        </w:rPr>
        <w:t>Notice of Annual Meeting of Shareholders</w:t>
      </w:r>
    </w:p>
    <w:p>
      <w:pPr>
        <w:pStyle w:val="TextBody"/>
        <w:bidi w:val="0"/>
        <w:jc w:val="left"/>
        <w:rPr>
          <w:caps w:val="false"/>
          <w:smallCaps w:val="false"/>
          <w:color w:val="3B5AA4"/>
        </w:rPr>
      </w:pPr>
      <w:r>
        <w:rPr>
          <w:caps w:val="false"/>
          <w:smallCaps w:val="false"/>
          <w:color w:val="3B5AA4"/>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The 2025 Annual Meeting of Shareholders of Regeneron Pharmaceuticals, Inc. (the “Company”) will be held on Friday, June 13, 2025, commencing at 10:30 a.m., Eastern Time, virtually via the Internet at </w:t>
      </w:r>
      <w:r>
        <w:rPr>
          <w:rFonts w:ascii="Arial;Helvetica;Sans-Serif" w:hAnsi="Arial;Helvetica;Sans-Serif"/>
          <w:b/>
          <w:i w:val="false"/>
          <w:caps w:val="false"/>
          <w:smallCaps w:val="false"/>
          <w:color w:val="3B5AA4"/>
          <w:sz w:val="18"/>
        </w:rPr>
        <w:t>www.virtualshareholdermeeting.com/REGN2025</w:t>
      </w:r>
      <w:r>
        <w:rPr>
          <w:rFonts w:ascii="Arial;Helvetica;Sans-Serif" w:hAnsi="Arial;Helvetica;Sans-Serif"/>
          <w:b w:val="false"/>
          <w:i w:val="false"/>
          <w:caps w:val="false"/>
          <w:smallCaps w:val="false"/>
          <w:color w:val="231F20"/>
          <w:sz w:val="18"/>
        </w:rPr>
        <w:t>, for the following purposes: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882"/>
        <w:gridCol w:w="60"/>
        <w:gridCol w:w="245"/>
        <w:gridCol w:w="2243"/>
        <w:gridCol w:w="60"/>
        <w:gridCol w:w="245"/>
        <w:gridCol w:w="1389"/>
        <w:gridCol w:w="60"/>
        <w:gridCol w:w="245"/>
        <w:gridCol w:w="1216"/>
        <w:gridCol w:w="60"/>
        <w:gridCol w:w="245"/>
        <w:gridCol w:w="1276"/>
        <w:gridCol w:w="60"/>
        <w:gridCol w:w="245"/>
        <w:gridCol w:w="1414"/>
      </w:tblGrid>
      <w:tr>
        <w:trPr/>
        <w:tc>
          <w:tcPr>
            <w:tcW w:w="260" w:type="dxa"/>
            <w:tcBorders/>
            <w:shd w:fill="EBEDF8" w:val="clear"/>
            <w:vAlign w:val="center"/>
          </w:tcPr>
          <w:p>
            <w:pPr>
              <w:pStyle w:val="TableContents"/>
              <w:bidi w:val="0"/>
              <w:spacing w:before="0" w:after="283"/>
              <w:jc w:val="left"/>
              <w:rPr/>
            </w:pPr>
            <w:r>
              <w:rPr/>
              <w:t> </w:t>
            </w:r>
          </w:p>
        </w:tc>
        <w:tc>
          <w:tcPr>
            <w:tcW w:w="882"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2243"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1389"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1216"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1276"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1414" w:type="dxa"/>
            <w:tcBorders/>
            <w:shd w:fill="EBEDF8" w:val="clear"/>
            <w:vAlign w:val="center"/>
          </w:tcPr>
          <w:p>
            <w:pPr>
              <w:pStyle w:val="TableContents"/>
              <w:bidi w:val="0"/>
              <w:spacing w:before="0" w:after="283"/>
              <w:jc w:val="left"/>
              <w:rPr/>
            </w:pPr>
            <w:r>
              <w:rPr/>
              <w:t> </w:t>
            </w:r>
          </w:p>
        </w:tc>
      </w:tr>
      <w:tr>
        <w:trPr/>
        <w:tc>
          <w:tcPr>
            <w:tcW w:w="260" w:type="dxa"/>
            <w:tcBorders/>
            <w:shd w:fill="EBEDF8" w:val="clear"/>
            <w:vAlign w:val="center"/>
          </w:tcPr>
          <w:p>
            <w:pPr>
              <w:pStyle w:val="TableContents"/>
              <w:bidi w:val="0"/>
              <w:spacing w:before="0" w:after="283"/>
              <w:jc w:val="right"/>
              <w:rPr>
                <w:rFonts w:ascii="Arial;Helvetica;Sans-Serif" w:hAnsi="Arial;Helvetica;Sans-Serif"/>
                <w:b/>
                <w:i w:val="false"/>
                <w:caps w:val="false"/>
                <w:smallCaps w:val="false"/>
                <w:color w:val="3B5AA4"/>
                <w:sz w:val="40"/>
              </w:rPr>
            </w:pPr>
            <w:r>
              <w:rPr>
                <w:rFonts w:ascii="Arial;Helvetica;Sans-Serif" w:hAnsi="Arial;Helvetica;Sans-Serif"/>
                <w:b/>
                <w:i w:val="false"/>
                <w:caps w:val="false"/>
                <w:smallCaps w:val="false"/>
                <w:color w:val="3B5AA4"/>
                <w:sz w:val="40"/>
              </w:rPr>
              <w:t>1</w:t>
            </w:r>
          </w:p>
        </w:tc>
        <w:tc>
          <w:tcPr>
            <w:tcW w:w="882" w:type="dxa"/>
            <w:tcBorders/>
            <w:shd w:fill="EBEDF8"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Elect four Class I directors for a three-year term</w:t>
            </w:r>
          </w:p>
        </w:tc>
        <w:tc>
          <w:tcPr>
            <w:tcW w:w="60" w:type="dxa"/>
            <w:tcBorders/>
            <w:shd w:fill="EBEDF8" w:val="clear"/>
            <w:vAlign w:val="center"/>
          </w:tcPr>
          <w:p>
            <w:pPr>
              <w:pStyle w:val="TableContents"/>
              <w:bidi w:val="0"/>
              <w:spacing w:before="0" w:after="283"/>
              <w:jc w:val="left"/>
              <w:rPr/>
            </w:pPr>
            <w:r>
              <w:rPr/>
              <w:t> </w:t>
            </w:r>
          </w:p>
        </w:tc>
        <w:tc>
          <w:tcPr>
            <w:tcW w:w="245" w:type="dxa"/>
            <w:tcBorders>
              <w:left w:val="single" w:sz="2" w:space="0" w:color="C60C44"/>
            </w:tcBorders>
            <w:shd w:fill="EBEDF8" w:val="clear"/>
            <w:tcMar>
              <w:left w:w="60" w:type="dxa"/>
            </w:tcMar>
            <w:vAlign w:val="center"/>
          </w:tcPr>
          <w:p>
            <w:pPr>
              <w:pStyle w:val="TableContents"/>
              <w:bidi w:val="0"/>
              <w:spacing w:before="0" w:after="283"/>
              <w:jc w:val="left"/>
              <w:rPr>
                <w:rFonts w:ascii="Arial;Helvetica;Sans-Serif" w:hAnsi="Arial;Helvetica;Sans-Serif"/>
                <w:b/>
                <w:i w:val="false"/>
                <w:caps w:val="false"/>
                <w:smallCaps w:val="false"/>
                <w:color w:val="3B5AA4"/>
                <w:sz w:val="40"/>
              </w:rPr>
            </w:pPr>
            <w:r>
              <w:rPr>
                <w:rFonts w:ascii="Arial;Helvetica;Sans-Serif" w:hAnsi="Arial;Helvetica;Sans-Serif"/>
                <w:b/>
                <w:i w:val="false"/>
                <w:caps w:val="false"/>
                <w:smallCaps w:val="false"/>
                <w:color w:val="3B5AA4"/>
                <w:sz w:val="40"/>
              </w:rPr>
              <w:t>2</w:t>
            </w:r>
          </w:p>
        </w:tc>
        <w:tc>
          <w:tcPr>
            <w:tcW w:w="2243" w:type="dxa"/>
            <w:tcBorders/>
            <w:shd w:fill="EBEDF8"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Ratify the appointment of PricewaterhouseCoopers LLP as the Company’s independent registered public accounting firm for the fiscal year ending December 31, 2025</w:t>
            </w:r>
          </w:p>
        </w:tc>
        <w:tc>
          <w:tcPr>
            <w:tcW w:w="60" w:type="dxa"/>
            <w:tcBorders/>
            <w:shd w:fill="EBEDF8" w:val="clear"/>
            <w:vAlign w:val="center"/>
          </w:tcPr>
          <w:p>
            <w:pPr>
              <w:pStyle w:val="TableContents"/>
              <w:bidi w:val="0"/>
              <w:spacing w:before="0" w:after="283"/>
              <w:jc w:val="left"/>
              <w:rPr/>
            </w:pPr>
            <w:r>
              <w:rPr/>
              <w:t> </w:t>
            </w:r>
          </w:p>
        </w:tc>
        <w:tc>
          <w:tcPr>
            <w:tcW w:w="245" w:type="dxa"/>
            <w:tcBorders>
              <w:left w:val="single" w:sz="2" w:space="0" w:color="C60C44"/>
            </w:tcBorders>
            <w:shd w:fill="EBEDF8" w:val="clear"/>
            <w:tcMar>
              <w:left w:w="60" w:type="dxa"/>
            </w:tcMar>
            <w:vAlign w:val="center"/>
          </w:tcPr>
          <w:p>
            <w:pPr>
              <w:pStyle w:val="TableContents"/>
              <w:bidi w:val="0"/>
              <w:spacing w:before="0" w:after="283"/>
              <w:jc w:val="left"/>
              <w:rPr>
                <w:rFonts w:ascii="Arial;Helvetica;Sans-Serif" w:hAnsi="Arial;Helvetica;Sans-Serif"/>
                <w:b/>
                <w:i w:val="false"/>
                <w:caps w:val="false"/>
                <w:smallCaps w:val="false"/>
                <w:color w:val="3B5AA4"/>
                <w:sz w:val="40"/>
              </w:rPr>
            </w:pPr>
            <w:r>
              <w:rPr>
                <w:rFonts w:ascii="Arial;Helvetica;Sans-Serif" w:hAnsi="Arial;Helvetica;Sans-Serif"/>
                <w:b/>
                <w:i w:val="false"/>
                <w:caps w:val="false"/>
                <w:smallCaps w:val="false"/>
                <w:color w:val="3B5AA4"/>
                <w:sz w:val="40"/>
              </w:rPr>
              <w:t>3</w:t>
            </w:r>
          </w:p>
        </w:tc>
        <w:tc>
          <w:tcPr>
            <w:tcW w:w="1389" w:type="dxa"/>
            <w:tcBorders/>
            <w:shd w:fill="EBEDF8"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Cast an advisory vote to approve the compensation of the Company’s Named Executive Officers as disclosed in these proxy materials (say-on-pay)</w:t>
            </w:r>
          </w:p>
        </w:tc>
        <w:tc>
          <w:tcPr>
            <w:tcW w:w="60" w:type="dxa"/>
            <w:tcBorders/>
            <w:shd w:fill="EBEDF8" w:val="clear"/>
            <w:vAlign w:val="center"/>
          </w:tcPr>
          <w:p>
            <w:pPr>
              <w:pStyle w:val="TableContents"/>
              <w:bidi w:val="0"/>
              <w:spacing w:before="0" w:after="283"/>
              <w:jc w:val="left"/>
              <w:rPr/>
            </w:pPr>
            <w:r>
              <w:rPr/>
              <w:t> </w:t>
            </w:r>
          </w:p>
        </w:tc>
        <w:tc>
          <w:tcPr>
            <w:tcW w:w="245" w:type="dxa"/>
            <w:tcBorders>
              <w:left w:val="single" w:sz="2" w:space="0" w:color="C60C44"/>
            </w:tcBorders>
            <w:shd w:fill="EBEDF8" w:val="clear"/>
            <w:tcMar>
              <w:left w:w="60" w:type="dxa"/>
            </w:tcMar>
            <w:vAlign w:val="center"/>
          </w:tcPr>
          <w:p>
            <w:pPr>
              <w:pStyle w:val="TableContents"/>
              <w:bidi w:val="0"/>
              <w:spacing w:before="0" w:after="283"/>
              <w:jc w:val="left"/>
              <w:rPr>
                <w:rFonts w:ascii="Arial;Helvetica;Sans-Serif" w:hAnsi="Arial;Helvetica;Sans-Serif"/>
                <w:b/>
                <w:i w:val="false"/>
                <w:caps w:val="false"/>
                <w:smallCaps w:val="false"/>
                <w:color w:val="3B5AA4"/>
                <w:sz w:val="40"/>
              </w:rPr>
            </w:pPr>
            <w:r>
              <w:rPr>
                <w:rFonts w:ascii="Arial;Helvetica;Sans-Serif" w:hAnsi="Arial;Helvetica;Sans-Serif"/>
                <w:b/>
                <w:i w:val="false"/>
                <w:caps w:val="false"/>
                <w:smallCaps w:val="false"/>
                <w:color w:val="3B5AA4"/>
                <w:sz w:val="40"/>
              </w:rPr>
              <w:t>4</w:t>
            </w:r>
          </w:p>
        </w:tc>
        <w:tc>
          <w:tcPr>
            <w:tcW w:w="1216" w:type="dxa"/>
            <w:tcBorders/>
            <w:shd w:fill="EBEDF8"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Approve an amendment to the Company’s Certificate of Incorporation to declassify the board of directors</w:t>
            </w:r>
          </w:p>
        </w:tc>
        <w:tc>
          <w:tcPr>
            <w:tcW w:w="60" w:type="dxa"/>
            <w:tcBorders/>
            <w:shd w:fill="EBEDF8" w:val="clear"/>
            <w:vAlign w:val="center"/>
          </w:tcPr>
          <w:p>
            <w:pPr>
              <w:pStyle w:val="TableContents"/>
              <w:bidi w:val="0"/>
              <w:spacing w:before="0" w:after="283"/>
              <w:jc w:val="left"/>
              <w:rPr/>
            </w:pPr>
            <w:r>
              <w:rPr/>
              <w:t> </w:t>
            </w:r>
          </w:p>
        </w:tc>
        <w:tc>
          <w:tcPr>
            <w:tcW w:w="245" w:type="dxa"/>
            <w:tcBorders>
              <w:left w:val="single" w:sz="2" w:space="0" w:color="C60C44"/>
            </w:tcBorders>
            <w:shd w:fill="EBEDF8" w:val="clear"/>
            <w:tcMar>
              <w:left w:w="60" w:type="dxa"/>
            </w:tcMar>
            <w:vAlign w:val="center"/>
          </w:tcPr>
          <w:p>
            <w:pPr>
              <w:pStyle w:val="TableContents"/>
              <w:bidi w:val="0"/>
              <w:spacing w:before="0" w:after="283"/>
              <w:jc w:val="left"/>
              <w:rPr>
                <w:rFonts w:ascii="Arial;Helvetica;Sans-Serif" w:hAnsi="Arial;Helvetica;Sans-Serif"/>
                <w:b/>
                <w:i w:val="false"/>
                <w:caps w:val="false"/>
                <w:smallCaps w:val="false"/>
                <w:color w:val="3B5AA4"/>
                <w:sz w:val="40"/>
              </w:rPr>
            </w:pPr>
            <w:r>
              <w:rPr>
                <w:rFonts w:ascii="Arial;Helvetica;Sans-Serif" w:hAnsi="Arial;Helvetica;Sans-Serif"/>
                <w:b/>
                <w:i w:val="false"/>
                <w:caps w:val="false"/>
                <w:smallCaps w:val="false"/>
                <w:color w:val="3B5AA4"/>
                <w:sz w:val="40"/>
              </w:rPr>
              <w:t>5</w:t>
            </w:r>
          </w:p>
        </w:tc>
        <w:tc>
          <w:tcPr>
            <w:tcW w:w="1276" w:type="dxa"/>
            <w:tcBorders/>
            <w:shd w:fill="EBEDF8"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Approve two amendments to the Company’s Certificate of Incorporation to eliminate supermajority vote requirements</w:t>
            </w:r>
          </w:p>
        </w:tc>
        <w:tc>
          <w:tcPr>
            <w:tcW w:w="60" w:type="dxa"/>
            <w:tcBorders/>
            <w:shd w:fill="EBEDF8" w:val="clear"/>
            <w:vAlign w:val="center"/>
          </w:tcPr>
          <w:p>
            <w:pPr>
              <w:pStyle w:val="TableContents"/>
              <w:bidi w:val="0"/>
              <w:spacing w:before="0" w:after="283"/>
              <w:jc w:val="left"/>
              <w:rPr/>
            </w:pPr>
            <w:r>
              <w:rPr/>
              <w:t> </w:t>
            </w:r>
          </w:p>
        </w:tc>
        <w:tc>
          <w:tcPr>
            <w:tcW w:w="245" w:type="dxa"/>
            <w:tcBorders>
              <w:left w:val="single" w:sz="2" w:space="0" w:color="C60C44"/>
            </w:tcBorders>
            <w:shd w:fill="EBEDF8" w:val="clear"/>
            <w:tcMar>
              <w:left w:w="60" w:type="dxa"/>
            </w:tcMar>
            <w:vAlign w:val="center"/>
          </w:tcPr>
          <w:p>
            <w:pPr>
              <w:pStyle w:val="TableContents"/>
              <w:bidi w:val="0"/>
              <w:spacing w:before="0" w:after="283"/>
              <w:jc w:val="left"/>
              <w:rPr>
                <w:rFonts w:ascii="Arial;Helvetica;Sans-Serif" w:hAnsi="Arial;Helvetica;Sans-Serif"/>
                <w:b/>
                <w:i w:val="false"/>
                <w:caps w:val="false"/>
                <w:smallCaps w:val="false"/>
                <w:color w:val="3B5AA4"/>
                <w:sz w:val="40"/>
              </w:rPr>
            </w:pPr>
            <w:r>
              <w:rPr>
                <w:rFonts w:ascii="Arial;Helvetica;Sans-Serif" w:hAnsi="Arial;Helvetica;Sans-Serif"/>
                <w:b/>
                <w:i w:val="false"/>
                <w:caps w:val="false"/>
                <w:smallCaps w:val="false"/>
                <w:color w:val="3B5AA4"/>
                <w:sz w:val="40"/>
              </w:rPr>
              <w:t>6</w:t>
            </w:r>
          </w:p>
        </w:tc>
        <w:tc>
          <w:tcPr>
            <w:tcW w:w="1414" w:type="dxa"/>
            <w:tcBorders/>
            <w:shd w:fill="EBEDF8"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Act upon such other matters as may properly come before the meeting and any adjournment(s) or postponement(s) thereof</w:t>
            </w:r>
          </w:p>
        </w:tc>
      </w:tr>
      <w:tr>
        <w:trPr/>
        <w:tc>
          <w:tcPr>
            <w:tcW w:w="260" w:type="dxa"/>
            <w:tcBorders/>
            <w:shd w:fill="EBEDF8" w:val="clear"/>
            <w:vAlign w:val="center"/>
          </w:tcPr>
          <w:p>
            <w:pPr>
              <w:pStyle w:val="TableContents"/>
              <w:bidi w:val="0"/>
              <w:spacing w:before="0" w:after="283"/>
              <w:jc w:val="left"/>
              <w:rPr/>
            </w:pPr>
            <w:r>
              <w:rPr/>
              <w:t> </w:t>
            </w:r>
          </w:p>
        </w:tc>
        <w:tc>
          <w:tcPr>
            <w:tcW w:w="882"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2243"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1389"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1216"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1276"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left"/>
              <w:rPr/>
            </w:pPr>
            <w:r>
              <w:rPr/>
              <w:t> </w:t>
            </w:r>
          </w:p>
        </w:tc>
        <w:tc>
          <w:tcPr>
            <w:tcW w:w="1414" w:type="dxa"/>
            <w:tcBorders/>
            <w:shd w:fill="EBEDF8" w:val="clear"/>
            <w:vAlign w:val="center"/>
          </w:tcPr>
          <w:p>
            <w:pPr>
              <w:pStyle w:val="TableContents"/>
              <w:bidi w:val="0"/>
              <w:spacing w:before="0" w:after="283"/>
              <w:jc w:val="left"/>
              <w:rPr/>
            </w:pPr>
            <w:r>
              <w:rPr/>
              <w:t> </w:t>
            </w:r>
          </w:p>
        </w:tc>
      </w:tr>
    </w:tbl>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has fixed the close of business on April 15, 2025 as the record date for determining shareholders entitled to notice of, and to vote at, the Annual Meeting and at any adjournment(s) or postponement(s) thereof.</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Pursuant to the rules of the Securities and Exchange Commission, we have elected to use the “Notice and Access” method of providing our proxy materials over the Internet. Accordingly, we will mail, beginning on or about April 29, 2025, a Notice of Internet Availability of Proxy Materials to our shareholders of record and beneficial owners as of the record date (other than (i) those who previously elected to receive proxy materials by e-mail, (ii) those who have previously asked to receive paper copies of the proxy materials, and (iii) shareholders who participate and hold shares of common stock in the Regeneron Pharmaceuticals, Inc. 401(k) Savings Plan or the Regeneron Ireland Share Participation Plan). As of the date of mailing of the Notice of Internet Availability of Proxy Materials, all shareholders and beneficial owners will have the ability to access all of the proxy materials on a website referenced in the Notice of Internet Availability of Proxy Materials.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Notice of Internet Availability of Proxy Materials also contains a toll-free telephone number, an e-mail address, and a website where shareholders can request a paper or electronic copy of the proxy statement, our 2024 annual report, and/or a form of proxy relating to the Annual Meeting. These materials are available free of charge. The Notice of Internet Availability of Proxy Materials also contains information on how to access and vote the form of proxy.</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have opted to hold the Annual Meeting as a virtual-only meeting, which means that you will not be able to attend the Annual Meeting in person. All shareholders will be able to attend the Annual Meeting and participate electronically, which will allow them to vote their shares on the date of the Annual Meeting and ask questions during the meeting. We have designed the format of the Annual Meeting to ensure that shareholders are afforded similar rights and opportunities to participate as they would at an in-person meeting.</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Authorized by the Board of Directors,</w:t>
      </w:r>
    </w:p>
    <w:p>
      <w:pPr>
        <w:pStyle w:val="TextBody"/>
        <w:bidi w:val="0"/>
        <w:jc w:val="left"/>
        <w:rPr>
          <w:caps w:val="false"/>
          <w:smallCaps w:val="false"/>
          <w:color w:val="231F20"/>
        </w:rPr>
      </w:pPr>
      <w:r>
        <w:rPr>
          <w:caps w:val="false"/>
          <w:smallCaps w:val="false"/>
          <w:color w:val="231F20"/>
        </w:rPr>
        <w:t> </w:t>
      </w:r>
    </w:p>
    <w:p>
      <w:pPr>
        <w:pStyle w:val="TextBody"/>
        <w:bidi w:val="0"/>
        <w:jc w:val="left"/>
        <w:rPr>
          <w:caps w:val="false"/>
          <w:smallCaps w:val="false"/>
          <w:color w:val="231F20"/>
        </w:rPr>
      </w:pPr>
      <w:r>
        <w:rPr>
          <w:caps w:val="false"/>
          <w:smallCaps w:val="false"/>
          <w:color w:val="231F20"/>
        </w:rPr>
        <w:drawing>
          <wp:inline distT="0" distB="0" distL="0" distR="0">
            <wp:extent cx="1247775" cy="4381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47775" cy="438150"/>
                    </a:xfrm>
                    <a:prstGeom prst="rect">
                      <a:avLst/>
                    </a:prstGeom>
                  </pic:spPr>
                </pic:pic>
              </a:graphicData>
            </a:graphic>
          </wp:inline>
        </w:drawing>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Joseph J. LaRosa</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Executive Vice President, General Counsel and Secretary</w:t>
        <w:br/>
        <w:t>April 29, 2025</w:t>
      </w:r>
    </w:p>
    <w:p>
      <w:pPr>
        <w:pStyle w:val="TextBody"/>
        <w:bidi w:val="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6710"/>
        <w:gridCol w:w="1320"/>
        <w:gridCol w:w="63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38200" cy="95250"/>
                          </a:xfrm>
                          <a:prstGeom prst="rect">
                            <a:avLst/>
                          </a:prstGeom>
                        </pic:spPr>
                      </pic:pic>
                    </a:graphicData>
                  </a:graphic>
                </wp:inline>
              </w:drawing>
            </w:r>
          </w:p>
        </w:tc>
        <w:tc>
          <w:tcPr>
            <w:tcW w:w="63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iv</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i w:val="false"/>
          <w:caps w:val="false"/>
          <w:smallCaps w:val="false"/>
          <w:color w:val="3B5AA4"/>
          <w:sz w:val="56"/>
        </w:rPr>
      </w:pPr>
      <w:bookmarkStart w:id="4" w:name="toc"/>
      <w:bookmarkEnd w:id="4"/>
      <w:r>
        <w:rPr>
          <w:rFonts w:ascii="Arial;Helvetica;Sans-Serif" w:hAnsi="Arial;Helvetica;Sans-Serif"/>
          <w:b/>
          <w:i w:val="false"/>
          <w:caps w:val="false"/>
          <w:smallCaps w:val="false"/>
          <w:color w:val="3B5AA4"/>
          <w:sz w:val="56"/>
        </w:rPr>
        <w:t>Table of Contents</w:t>
      </w:r>
    </w:p>
    <w:p>
      <w:pPr>
        <w:pStyle w:val="TextBody"/>
        <w:bidi w:val="0"/>
        <w:jc w:val="left"/>
        <w:rPr>
          <w:caps w:val="false"/>
          <w:smallCaps w:val="false"/>
          <w:color w:val="3B5AA4"/>
        </w:rPr>
      </w:pPr>
      <w:r>
        <w:rPr>
          <w:caps w:val="false"/>
          <w:smallCaps w:val="false"/>
          <w:color w:val="3B5AA4"/>
        </w:rPr>
        <w:t> </w:t>
      </w:r>
    </w:p>
    <w:tbl>
      <w:tblPr>
        <w:tblW w:w="7330" w:type="dxa"/>
        <w:jc w:val="left"/>
        <w:tblInd w:w="0" w:type="dxa"/>
        <w:tblLayout w:type="fixed"/>
        <w:tblCellMar>
          <w:top w:w="0" w:type="dxa"/>
          <w:left w:w="0" w:type="dxa"/>
          <w:bottom w:w="0" w:type="dxa"/>
          <w:right w:w="0" w:type="dxa"/>
        </w:tblCellMar>
      </w:tblPr>
      <w:tblGrid>
        <w:gridCol w:w="420"/>
        <w:gridCol w:w="6665"/>
        <w:gridCol w:w="245"/>
      </w:tblGrid>
      <w:tr>
        <w:trPr/>
        <w:tc>
          <w:tcPr>
            <w:tcW w:w="7085" w:type="dxa"/>
            <w:gridSpan w:val="2"/>
            <w:tcBorders/>
            <w:vAlign w:val="center"/>
          </w:tcPr>
          <w:p>
            <w:pPr>
              <w:pStyle w:val="TableContents"/>
              <w:bidi w:val="0"/>
              <w:spacing w:before="0" w:after="283"/>
              <w:jc w:val="left"/>
              <w:rPr/>
            </w:pPr>
            <w:hyperlink w:anchor="regn013211-def14aa001">
              <w:r>
                <w:rPr>
                  <w:rStyle w:val="InternetLink"/>
                  <w:rFonts w:ascii="Arial;Helvetica;Sans-Serif" w:hAnsi="Arial;Helvetica;Sans-Serif"/>
                  <w:b/>
                  <w:i w:val="false"/>
                  <w:caps w:val="false"/>
                  <w:smallCaps w:val="false"/>
                  <w:strike w:val="false"/>
                  <w:dstrike w:val="false"/>
                  <w:color w:val="3B5AA4"/>
                  <w:sz w:val="18"/>
                  <w:u w:val="none"/>
                  <w:effect w:val="none"/>
                </w:rPr>
                <w:t>Introduction</w:t>
              </w:r>
            </w:hyperlink>
          </w:p>
        </w:tc>
        <w:tc>
          <w:tcPr>
            <w:tcW w:w="245" w:type="dxa"/>
            <w:tcBorders/>
            <w:vAlign w:val="center"/>
          </w:tcPr>
          <w:p>
            <w:pPr>
              <w:pStyle w:val="TableContents"/>
              <w:bidi w:val="0"/>
              <w:spacing w:before="0" w:after="283"/>
              <w:jc w:val="right"/>
              <w:rPr/>
            </w:pPr>
            <w:hyperlink w:anchor="regn013211-def14aa001">
              <w:r>
                <w:rPr>
                  <w:rStyle w:val="InternetLink"/>
                  <w:rFonts w:ascii="Arial;Helvetica;Sans-Serif" w:hAnsi="Arial;Helvetica;Sans-Serif"/>
                  <w:b/>
                  <w:i w:val="false"/>
                  <w:caps w:val="false"/>
                  <w:smallCaps w:val="false"/>
                  <w:strike w:val="false"/>
                  <w:dstrike w:val="false"/>
                  <w:color w:val="3B5AA4"/>
                  <w:sz w:val="18"/>
                  <w:u w:val="none"/>
                  <w:effect w:val="none"/>
                </w:rPr>
                <w:t>1</w:t>
              </w:r>
            </w:hyperlink>
          </w:p>
        </w:tc>
      </w:tr>
      <w:tr>
        <w:trPr/>
        <w:tc>
          <w:tcPr>
            <w:tcW w:w="7085" w:type="dxa"/>
            <w:gridSpan w:val="2"/>
            <w:tcBorders/>
            <w:vAlign w:val="center"/>
          </w:tcPr>
          <w:p>
            <w:pPr>
              <w:pStyle w:val="TableContents"/>
              <w:bidi w:val="0"/>
              <w:spacing w:before="0" w:after="283"/>
              <w:jc w:val="left"/>
              <w:rPr/>
            </w:pPr>
            <w:hyperlink w:anchor="regn013211-def14aa002">
              <w:r>
                <w:rPr>
                  <w:rStyle w:val="InternetLink"/>
                  <w:rFonts w:ascii="Arial;Helvetica;Sans-Serif" w:hAnsi="Arial;Helvetica;Sans-Serif"/>
                  <w:b/>
                  <w:i w:val="false"/>
                  <w:caps w:val="false"/>
                  <w:smallCaps w:val="false"/>
                  <w:strike w:val="false"/>
                  <w:dstrike w:val="false"/>
                  <w:color w:val="000000"/>
                  <w:sz w:val="18"/>
                  <w:u w:val="none"/>
                  <w:effect w:val="none"/>
                </w:rPr>
                <w:t>Annual Meeting Dashboard</w:t>
              </w:r>
            </w:hyperlink>
          </w:p>
        </w:tc>
        <w:tc>
          <w:tcPr>
            <w:tcW w:w="245" w:type="dxa"/>
            <w:tcBorders/>
            <w:vAlign w:val="center"/>
          </w:tcPr>
          <w:p>
            <w:pPr>
              <w:pStyle w:val="TableContents"/>
              <w:bidi w:val="0"/>
              <w:spacing w:before="0" w:after="283"/>
              <w:jc w:val="right"/>
              <w:rPr/>
            </w:pPr>
            <w:hyperlink w:anchor="regn013211-def14aa002">
              <w:r>
                <w:rPr>
                  <w:rStyle w:val="InternetLink"/>
                  <w:rFonts w:ascii="Arial;Helvetica;Sans-Serif" w:hAnsi="Arial;Helvetica;Sans-Serif"/>
                  <w:b/>
                  <w:i w:val="false"/>
                  <w:caps w:val="false"/>
                  <w:smallCaps w:val="false"/>
                  <w:strike w:val="false"/>
                  <w:dstrike w:val="false"/>
                  <w:color w:val="000000"/>
                  <w:sz w:val="18"/>
                  <w:u w:val="none"/>
                  <w:effect w:val="none"/>
                </w:rPr>
                <w:t>1</w:t>
              </w:r>
            </w:hyperlink>
          </w:p>
        </w:tc>
      </w:tr>
      <w:tr>
        <w:trPr/>
        <w:tc>
          <w:tcPr>
            <w:tcW w:w="7085" w:type="dxa"/>
            <w:gridSpan w:val="2"/>
            <w:tcBorders/>
            <w:vAlign w:val="center"/>
          </w:tcPr>
          <w:p>
            <w:pPr>
              <w:pStyle w:val="TableContents"/>
              <w:bidi w:val="0"/>
              <w:spacing w:before="0" w:after="283"/>
              <w:jc w:val="left"/>
              <w:rPr/>
            </w:pPr>
            <w:hyperlink w:anchor="regn013211-def14aa003">
              <w:r>
                <w:rPr>
                  <w:rStyle w:val="InternetLink"/>
                  <w:rFonts w:ascii="Arial;Helvetica;Sans-Serif" w:hAnsi="Arial;Helvetica;Sans-Serif"/>
                  <w:b/>
                  <w:i w:val="false"/>
                  <w:caps w:val="false"/>
                  <w:smallCaps w:val="false"/>
                  <w:strike w:val="false"/>
                  <w:dstrike w:val="false"/>
                  <w:color w:val="000000"/>
                  <w:sz w:val="18"/>
                  <w:u w:val="none"/>
                  <w:effect w:val="none"/>
                </w:rPr>
                <w:t>Regeneron’s Story</w:t>
              </w:r>
            </w:hyperlink>
          </w:p>
        </w:tc>
        <w:tc>
          <w:tcPr>
            <w:tcW w:w="245" w:type="dxa"/>
            <w:tcBorders/>
            <w:vAlign w:val="center"/>
          </w:tcPr>
          <w:p>
            <w:pPr>
              <w:pStyle w:val="TableContents"/>
              <w:bidi w:val="0"/>
              <w:spacing w:before="0" w:after="283"/>
              <w:jc w:val="right"/>
              <w:rPr/>
            </w:pPr>
            <w:hyperlink w:anchor="regn013211-def14aa003">
              <w:r>
                <w:rPr>
                  <w:rStyle w:val="InternetLink"/>
                  <w:rFonts w:ascii="Arial;Helvetica;Sans-Serif" w:hAnsi="Arial;Helvetica;Sans-Serif"/>
                  <w:b/>
                  <w:i w:val="false"/>
                  <w:caps w:val="false"/>
                  <w:smallCaps w:val="false"/>
                  <w:strike w:val="false"/>
                  <w:dstrike w:val="false"/>
                  <w:color w:val="000000"/>
                  <w:sz w:val="18"/>
                  <w:u w:val="none"/>
                  <w:effect w:val="none"/>
                </w:rPr>
                <w:t>2</w:t>
              </w:r>
            </w:hyperlink>
          </w:p>
        </w:tc>
      </w:tr>
      <w:tr>
        <w:trPr/>
        <w:tc>
          <w:tcPr>
            <w:tcW w:w="7085" w:type="dxa"/>
            <w:gridSpan w:val="2"/>
            <w:tcBorders/>
            <w:vAlign w:val="center"/>
          </w:tcPr>
          <w:p>
            <w:pPr>
              <w:pStyle w:val="TableContents"/>
              <w:bidi w:val="0"/>
              <w:spacing w:before="0" w:after="283"/>
              <w:jc w:val="left"/>
              <w:rPr/>
            </w:pPr>
            <w:hyperlink w:anchor="regn013211-def14aa004">
              <w:r>
                <w:rPr>
                  <w:rStyle w:val="InternetLink"/>
                  <w:rFonts w:ascii="Arial;Helvetica;Sans-Serif" w:hAnsi="Arial;Helvetica;Sans-Serif"/>
                  <w:b/>
                  <w:i w:val="false"/>
                  <w:caps w:val="false"/>
                  <w:smallCaps w:val="false"/>
                  <w:strike w:val="false"/>
                  <w:dstrike w:val="false"/>
                  <w:color w:val="000000"/>
                  <w:sz w:val="18"/>
                  <w:u w:val="none"/>
                  <w:effect w:val="none"/>
                </w:rPr>
                <w:t>What’s New for 2024</w:t>
              </w:r>
            </w:hyperlink>
          </w:p>
        </w:tc>
        <w:tc>
          <w:tcPr>
            <w:tcW w:w="245" w:type="dxa"/>
            <w:tcBorders/>
            <w:vAlign w:val="center"/>
          </w:tcPr>
          <w:p>
            <w:pPr>
              <w:pStyle w:val="TableContents"/>
              <w:bidi w:val="0"/>
              <w:spacing w:before="0" w:after="283"/>
              <w:jc w:val="right"/>
              <w:rPr/>
            </w:pPr>
            <w:hyperlink w:anchor="regn013211-def14aa004">
              <w:r>
                <w:rPr>
                  <w:rStyle w:val="InternetLink"/>
                  <w:rFonts w:ascii="Arial;Helvetica;Sans-Serif" w:hAnsi="Arial;Helvetica;Sans-Serif"/>
                  <w:b/>
                  <w:i w:val="false"/>
                  <w:caps w:val="false"/>
                  <w:smallCaps w:val="false"/>
                  <w:strike w:val="false"/>
                  <w:dstrike w:val="false"/>
                  <w:color w:val="000000"/>
                  <w:sz w:val="18"/>
                  <w:u w:val="none"/>
                  <w:effect w:val="none"/>
                </w:rPr>
                <w:t>3</w:t>
              </w:r>
            </w:hyperlink>
          </w:p>
        </w:tc>
      </w:tr>
      <w:tr>
        <w:trPr/>
        <w:tc>
          <w:tcPr>
            <w:tcW w:w="7085" w:type="dxa"/>
            <w:gridSpan w:val="2"/>
            <w:tcBorders/>
            <w:vAlign w:val="center"/>
          </w:tcPr>
          <w:p>
            <w:pPr>
              <w:pStyle w:val="TableContents"/>
              <w:bidi w:val="0"/>
              <w:spacing w:before="0" w:after="283"/>
              <w:jc w:val="left"/>
              <w:rPr/>
            </w:pPr>
            <w:hyperlink w:anchor="regn013211-def14aa005">
              <w:r>
                <w:rPr>
                  <w:rStyle w:val="InternetLink"/>
                  <w:rFonts w:ascii="Arial;Helvetica;Sans-Serif" w:hAnsi="Arial;Helvetica;Sans-Serif"/>
                  <w:b w:val="false"/>
                  <w:i w:val="false"/>
                  <w:caps w:val="false"/>
                  <w:smallCaps w:val="false"/>
                  <w:strike w:val="false"/>
                  <w:dstrike w:val="false"/>
                  <w:color w:val="000000"/>
                  <w:sz w:val="18"/>
                  <w:u w:val="none"/>
                  <w:effect w:val="none"/>
                </w:rPr>
                <w:t>Continued Focus on Extensive Shareholder Engagement Program</w:t>
              </w:r>
            </w:hyperlink>
          </w:p>
        </w:tc>
        <w:tc>
          <w:tcPr>
            <w:tcW w:w="245" w:type="dxa"/>
            <w:tcBorders/>
            <w:vAlign w:val="center"/>
          </w:tcPr>
          <w:p>
            <w:pPr>
              <w:pStyle w:val="TableContents"/>
              <w:bidi w:val="0"/>
              <w:spacing w:before="0" w:after="283"/>
              <w:jc w:val="right"/>
              <w:rPr/>
            </w:pPr>
            <w:hyperlink w:anchor="regn013211-def14aa005">
              <w:r>
                <w:rPr>
                  <w:rStyle w:val="InternetLink"/>
                  <w:rFonts w:ascii="Arial;Helvetica;Sans-Serif" w:hAnsi="Arial;Helvetica;Sans-Serif"/>
                  <w:b w:val="false"/>
                  <w:i w:val="false"/>
                  <w:caps w:val="false"/>
                  <w:smallCaps w:val="false"/>
                  <w:strike w:val="false"/>
                  <w:dstrike w:val="false"/>
                  <w:color w:val="000000"/>
                  <w:sz w:val="18"/>
                  <w:u w:val="none"/>
                  <w:effect w:val="none"/>
                </w:rPr>
                <w:t>3</w:t>
              </w:r>
            </w:hyperlink>
          </w:p>
        </w:tc>
      </w:tr>
      <w:tr>
        <w:trPr/>
        <w:tc>
          <w:tcPr>
            <w:tcW w:w="7085" w:type="dxa"/>
            <w:gridSpan w:val="2"/>
            <w:tcBorders/>
            <w:vAlign w:val="center"/>
          </w:tcPr>
          <w:p>
            <w:pPr>
              <w:pStyle w:val="TableContents"/>
              <w:bidi w:val="0"/>
              <w:spacing w:before="0" w:after="283"/>
              <w:jc w:val="left"/>
              <w:rPr/>
            </w:pPr>
            <w:hyperlink w:anchor="regn013211-def14aa006">
              <w:r>
                <w:rPr>
                  <w:rStyle w:val="InternetLink"/>
                  <w:rFonts w:ascii="Arial;Helvetica;Sans-Serif" w:hAnsi="Arial;Helvetica;Sans-Serif"/>
                  <w:b w:val="false"/>
                  <w:i w:val="false"/>
                  <w:caps w:val="false"/>
                  <w:smallCaps w:val="false"/>
                  <w:strike w:val="false"/>
                  <w:dstrike w:val="false"/>
                  <w:color w:val="000000"/>
                  <w:sz w:val="18"/>
                  <w:u w:val="none"/>
                  <w:effect w:val="none"/>
                </w:rPr>
                <w:t>Governance-Related Actions in Response to Shareholder Feedback</w:t>
              </w:r>
            </w:hyperlink>
          </w:p>
        </w:tc>
        <w:tc>
          <w:tcPr>
            <w:tcW w:w="245" w:type="dxa"/>
            <w:tcBorders/>
            <w:vAlign w:val="center"/>
          </w:tcPr>
          <w:p>
            <w:pPr>
              <w:pStyle w:val="TableContents"/>
              <w:bidi w:val="0"/>
              <w:spacing w:before="0" w:after="283"/>
              <w:jc w:val="right"/>
              <w:rPr/>
            </w:pPr>
            <w:hyperlink w:anchor="regn013211-def14aa006">
              <w:r>
                <w:rPr>
                  <w:rStyle w:val="InternetLink"/>
                  <w:rFonts w:ascii="Arial;Helvetica;Sans-Serif" w:hAnsi="Arial;Helvetica;Sans-Serif"/>
                  <w:b w:val="false"/>
                  <w:i w:val="false"/>
                  <w:caps w:val="false"/>
                  <w:smallCaps w:val="false"/>
                  <w:strike w:val="false"/>
                  <w:dstrike w:val="false"/>
                  <w:color w:val="000000"/>
                  <w:sz w:val="18"/>
                  <w:u w:val="none"/>
                  <w:effect w:val="none"/>
                </w:rPr>
                <w:t>3</w:t>
              </w:r>
            </w:hyperlink>
          </w:p>
        </w:tc>
      </w:tr>
      <w:tr>
        <w:trPr/>
        <w:tc>
          <w:tcPr>
            <w:tcW w:w="7085" w:type="dxa"/>
            <w:gridSpan w:val="2"/>
            <w:tcBorders/>
            <w:vAlign w:val="center"/>
          </w:tcPr>
          <w:p>
            <w:pPr>
              <w:pStyle w:val="TableContents"/>
              <w:bidi w:val="0"/>
              <w:spacing w:before="0" w:after="283"/>
              <w:jc w:val="left"/>
              <w:rPr/>
            </w:pPr>
            <w:hyperlink w:anchor="regn013211-def14aa007">
              <w:r>
                <w:rPr>
                  <w:rStyle w:val="InternetLink"/>
                  <w:rFonts w:ascii="Arial;Helvetica;Sans-Serif" w:hAnsi="Arial;Helvetica;Sans-Serif"/>
                  <w:b w:val="false"/>
                  <w:i w:val="false"/>
                  <w:caps w:val="false"/>
                  <w:smallCaps w:val="false"/>
                  <w:strike w:val="false"/>
                  <w:dstrike w:val="false"/>
                  <w:color w:val="000000"/>
                  <w:sz w:val="18"/>
                  <w:u w:val="none"/>
                  <w:effect w:val="none"/>
                </w:rPr>
                <w:t>Key Compensation Decisions</w:t>
              </w:r>
            </w:hyperlink>
          </w:p>
        </w:tc>
        <w:tc>
          <w:tcPr>
            <w:tcW w:w="245" w:type="dxa"/>
            <w:tcBorders/>
            <w:vAlign w:val="center"/>
          </w:tcPr>
          <w:p>
            <w:pPr>
              <w:pStyle w:val="TableContents"/>
              <w:bidi w:val="0"/>
              <w:spacing w:before="0" w:after="283"/>
              <w:jc w:val="right"/>
              <w:rPr/>
            </w:pPr>
            <w:hyperlink w:anchor="regn013211-def14aa007">
              <w:r>
                <w:rPr>
                  <w:rStyle w:val="InternetLink"/>
                  <w:rFonts w:ascii="Arial;Helvetica;Sans-Serif" w:hAnsi="Arial;Helvetica;Sans-Serif"/>
                  <w:b w:val="false"/>
                  <w:i w:val="false"/>
                  <w:caps w:val="false"/>
                  <w:smallCaps w:val="false"/>
                  <w:strike w:val="false"/>
                  <w:dstrike w:val="false"/>
                  <w:color w:val="000000"/>
                  <w:sz w:val="18"/>
                  <w:u w:val="none"/>
                  <w:effect w:val="none"/>
                </w:rPr>
                <w:t>3</w:t>
              </w:r>
            </w:hyperlink>
          </w:p>
        </w:tc>
      </w:tr>
      <w:tr>
        <w:trPr/>
        <w:tc>
          <w:tcPr>
            <w:tcW w:w="7085" w:type="dxa"/>
            <w:gridSpan w:val="2"/>
            <w:tcBorders/>
            <w:vAlign w:val="center"/>
          </w:tcPr>
          <w:p>
            <w:pPr>
              <w:pStyle w:val="TableContents"/>
              <w:bidi w:val="0"/>
              <w:spacing w:before="0" w:after="283"/>
              <w:jc w:val="left"/>
              <w:rPr/>
            </w:pPr>
            <w:hyperlink w:anchor="regn013211-def14aa008">
              <w:r>
                <w:rPr>
                  <w:rStyle w:val="InternetLink"/>
                  <w:rFonts w:ascii="Arial;Helvetica;Sans-Serif" w:hAnsi="Arial;Helvetica;Sans-Serif"/>
                  <w:b w:val="false"/>
                  <w:i w:val="false"/>
                  <w:caps w:val="false"/>
                  <w:smallCaps w:val="false"/>
                  <w:strike w:val="false"/>
                  <w:dstrike w:val="false"/>
                  <w:color w:val="000000"/>
                  <w:sz w:val="18"/>
                  <w:u w:val="none"/>
                  <w:effect w:val="none"/>
                </w:rPr>
                <w:t>Business Highlights</w:t>
              </w:r>
            </w:hyperlink>
          </w:p>
        </w:tc>
        <w:tc>
          <w:tcPr>
            <w:tcW w:w="245" w:type="dxa"/>
            <w:tcBorders/>
            <w:vAlign w:val="center"/>
          </w:tcPr>
          <w:p>
            <w:pPr>
              <w:pStyle w:val="TableContents"/>
              <w:bidi w:val="0"/>
              <w:spacing w:before="0" w:after="283"/>
              <w:jc w:val="right"/>
              <w:rPr/>
            </w:pPr>
            <w:hyperlink w:anchor="regn013211-def14aa008">
              <w:r>
                <w:rPr>
                  <w:rStyle w:val="InternetLink"/>
                  <w:rFonts w:ascii="Arial;Helvetica;Sans-Serif" w:hAnsi="Arial;Helvetica;Sans-Serif"/>
                  <w:b w:val="false"/>
                  <w:i w:val="false"/>
                  <w:caps w:val="false"/>
                  <w:smallCaps w:val="false"/>
                  <w:strike w:val="false"/>
                  <w:dstrike w:val="false"/>
                  <w:color w:val="000000"/>
                  <w:sz w:val="18"/>
                  <w:u w:val="none"/>
                  <w:effect w:val="none"/>
                </w:rPr>
                <w:t>3</w:t>
              </w:r>
            </w:hyperlink>
          </w:p>
        </w:tc>
      </w:tr>
      <w:tr>
        <w:trPr/>
        <w:tc>
          <w:tcPr>
            <w:tcW w:w="7085" w:type="dxa"/>
            <w:gridSpan w:val="2"/>
            <w:tcBorders/>
            <w:vAlign w:val="center"/>
          </w:tcPr>
          <w:p>
            <w:pPr>
              <w:pStyle w:val="TableContents"/>
              <w:bidi w:val="0"/>
              <w:spacing w:before="0" w:after="283"/>
              <w:jc w:val="left"/>
              <w:rPr/>
            </w:pPr>
            <w:hyperlink w:anchor="regn013211-def14aa009">
              <w:r>
                <w:rPr>
                  <w:rStyle w:val="InternetLink"/>
                  <w:rFonts w:ascii="Arial;Helvetica;Sans-Serif" w:hAnsi="Arial;Helvetica;Sans-Serif"/>
                  <w:b w:val="false"/>
                  <w:i w:val="false"/>
                  <w:caps w:val="false"/>
                  <w:smallCaps w:val="false"/>
                  <w:strike w:val="false"/>
                  <w:dstrike w:val="false"/>
                  <w:color w:val="000000"/>
                  <w:sz w:val="18"/>
                  <w:u w:val="none"/>
                  <w:effect w:val="none"/>
                </w:rPr>
                <w:t>Board Snapshot</w:t>
              </w:r>
            </w:hyperlink>
          </w:p>
        </w:tc>
        <w:tc>
          <w:tcPr>
            <w:tcW w:w="245" w:type="dxa"/>
            <w:tcBorders/>
            <w:vAlign w:val="center"/>
          </w:tcPr>
          <w:p>
            <w:pPr>
              <w:pStyle w:val="TableContents"/>
              <w:bidi w:val="0"/>
              <w:spacing w:before="0" w:after="283"/>
              <w:jc w:val="right"/>
              <w:rPr/>
            </w:pPr>
            <w:hyperlink w:anchor="regn013211-def14aa009">
              <w:r>
                <w:rPr>
                  <w:rStyle w:val="InternetLink"/>
                  <w:rFonts w:ascii="Arial;Helvetica;Sans-Serif" w:hAnsi="Arial;Helvetica;Sans-Serif"/>
                  <w:b w:val="false"/>
                  <w:i w:val="false"/>
                  <w:caps w:val="false"/>
                  <w:smallCaps w:val="false"/>
                  <w:strike w:val="false"/>
                  <w:dstrike w:val="false"/>
                  <w:color w:val="000000"/>
                  <w:sz w:val="18"/>
                  <w:u w:val="none"/>
                  <w:effect w:val="none"/>
                </w:rPr>
                <w:t>4</w:t>
              </w:r>
            </w:hyperlink>
          </w:p>
        </w:tc>
      </w:tr>
      <w:tr>
        <w:trPr/>
        <w:tc>
          <w:tcPr>
            <w:tcW w:w="7085" w:type="dxa"/>
            <w:gridSpan w:val="2"/>
            <w:tcBorders/>
            <w:vAlign w:val="center"/>
          </w:tcPr>
          <w:p>
            <w:pPr>
              <w:pStyle w:val="TableContents"/>
              <w:bidi w:val="0"/>
              <w:spacing w:before="0" w:after="283"/>
              <w:jc w:val="left"/>
              <w:rPr/>
            </w:pPr>
            <w:hyperlink w:anchor="regn013211-def14aa010">
              <w:r>
                <w:rPr>
                  <w:rStyle w:val="InternetLink"/>
                  <w:rFonts w:ascii="Arial;Helvetica;Sans-Serif" w:hAnsi="Arial;Helvetica;Sans-Serif"/>
                  <w:b/>
                  <w:i w:val="false"/>
                  <w:caps w:val="false"/>
                  <w:smallCaps w:val="false"/>
                  <w:strike w:val="false"/>
                  <w:dstrike w:val="false"/>
                  <w:color w:val="3B5AA4"/>
                  <w:sz w:val="18"/>
                  <w:u w:val="none"/>
                  <w:effect w:val="none"/>
                </w:rPr>
                <w:t>Board of Directors</w:t>
              </w:r>
            </w:hyperlink>
          </w:p>
        </w:tc>
        <w:tc>
          <w:tcPr>
            <w:tcW w:w="245" w:type="dxa"/>
            <w:tcBorders/>
            <w:vAlign w:val="center"/>
          </w:tcPr>
          <w:p>
            <w:pPr>
              <w:pStyle w:val="TableContents"/>
              <w:bidi w:val="0"/>
              <w:spacing w:before="0" w:after="283"/>
              <w:jc w:val="right"/>
              <w:rPr/>
            </w:pPr>
            <w:hyperlink w:anchor="regn013211-def14aa010">
              <w:r>
                <w:rPr>
                  <w:rStyle w:val="InternetLink"/>
                  <w:rFonts w:ascii="Arial;Helvetica;Sans-Serif" w:hAnsi="Arial;Helvetica;Sans-Serif"/>
                  <w:b/>
                  <w:i w:val="false"/>
                  <w:caps w:val="false"/>
                  <w:smallCaps w:val="false"/>
                  <w:strike w:val="false"/>
                  <w:dstrike w:val="false"/>
                  <w:color w:val="3B5AA4"/>
                  <w:sz w:val="18"/>
                  <w:u w:val="none"/>
                  <w:effect w:val="none"/>
                </w:rPr>
                <w:t>5</w:t>
              </w:r>
            </w:hyperlink>
          </w:p>
        </w:tc>
      </w:tr>
      <w:tr>
        <w:trPr/>
        <w:tc>
          <w:tcPr>
            <w:tcW w:w="7085" w:type="dxa"/>
            <w:gridSpan w:val="2"/>
            <w:tcBorders/>
            <w:vAlign w:val="center"/>
          </w:tcPr>
          <w:p>
            <w:pPr>
              <w:pStyle w:val="TableContents"/>
              <w:bidi w:val="0"/>
              <w:spacing w:before="0" w:after="283"/>
              <w:jc w:val="left"/>
              <w:rPr/>
            </w:pPr>
            <w:hyperlink w:anchor="regn013211-def14aa011">
              <w:r>
                <w:rPr>
                  <w:rStyle w:val="InternetLink"/>
                  <w:rFonts w:ascii="Arial;Helvetica;Sans-Serif" w:hAnsi="Arial;Helvetica;Sans-Serif"/>
                  <w:b/>
                  <w:i w:val="false"/>
                  <w:caps w:val="false"/>
                  <w:smallCaps w:val="false"/>
                  <w:strike w:val="false"/>
                  <w:dstrike w:val="false"/>
                  <w:color w:val="000000"/>
                  <w:sz w:val="18"/>
                  <w:u w:val="none"/>
                  <w:effect w:val="none"/>
                </w:rPr>
                <w:t>Meet the Board</w:t>
              </w:r>
            </w:hyperlink>
          </w:p>
        </w:tc>
        <w:tc>
          <w:tcPr>
            <w:tcW w:w="245" w:type="dxa"/>
            <w:tcBorders/>
            <w:vAlign w:val="center"/>
          </w:tcPr>
          <w:p>
            <w:pPr>
              <w:pStyle w:val="TableContents"/>
              <w:bidi w:val="0"/>
              <w:spacing w:before="0" w:after="283"/>
              <w:jc w:val="right"/>
              <w:rPr/>
            </w:pPr>
            <w:hyperlink w:anchor="regn013211-def14aa011">
              <w:r>
                <w:rPr>
                  <w:rStyle w:val="InternetLink"/>
                  <w:rFonts w:ascii="Arial;Helvetica;Sans-Serif" w:hAnsi="Arial;Helvetica;Sans-Serif"/>
                  <w:b/>
                  <w:i w:val="false"/>
                  <w:caps w:val="false"/>
                  <w:smallCaps w:val="false"/>
                  <w:strike w:val="false"/>
                  <w:dstrike w:val="false"/>
                  <w:color w:val="000000"/>
                  <w:sz w:val="18"/>
                  <w:u w:val="none"/>
                  <w:effect w:val="none"/>
                </w:rPr>
                <w:t>5</w:t>
              </w:r>
            </w:hyperlink>
          </w:p>
        </w:tc>
      </w:tr>
      <w:tr>
        <w:trPr/>
        <w:tc>
          <w:tcPr>
            <w:tcW w:w="7085" w:type="dxa"/>
            <w:gridSpan w:val="2"/>
            <w:tcBorders/>
            <w:vAlign w:val="center"/>
          </w:tcPr>
          <w:p>
            <w:pPr>
              <w:pStyle w:val="TableContents"/>
              <w:bidi w:val="0"/>
              <w:spacing w:before="0" w:after="283"/>
              <w:jc w:val="left"/>
              <w:rPr/>
            </w:pPr>
            <w:hyperlink w:anchor="regn013211-def14aa012">
              <w:r>
                <w:rPr>
                  <w:rStyle w:val="InternetLink"/>
                  <w:rFonts w:ascii="Arial;Helvetica;Sans-Serif" w:hAnsi="Arial;Helvetica;Sans-Serif"/>
                  <w:b/>
                  <w:i w:val="false"/>
                  <w:caps w:val="false"/>
                  <w:smallCaps w:val="false"/>
                  <w:strike w:val="false"/>
                  <w:dstrike w:val="false"/>
                  <w:color w:val="000000"/>
                  <w:sz w:val="18"/>
                  <w:u w:val="none"/>
                  <w:effect w:val="none"/>
                </w:rPr>
                <w:t>Director Independence</w:t>
              </w:r>
            </w:hyperlink>
          </w:p>
        </w:tc>
        <w:tc>
          <w:tcPr>
            <w:tcW w:w="245" w:type="dxa"/>
            <w:tcBorders/>
            <w:vAlign w:val="center"/>
          </w:tcPr>
          <w:p>
            <w:pPr>
              <w:pStyle w:val="TableContents"/>
              <w:bidi w:val="0"/>
              <w:spacing w:before="0" w:after="283"/>
              <w:jc w:val="right"/>
              <w:rPr/>
            </w:pPr>
            <w:hyperlink w:anchor="regn013211-def14aa012">
              <w:r>
                <w:rPr>
                  <w:rStyle w:val="InternetLink"/>
                  <w:rFonts w:ascii="Arial;Helvetica;Sans-Serif" w:hAnsi="Arial;Helvetica;Sans-Serif"/>
                  <w:b/>
                  <w:i w:val="false"/>
                  <w:caps w:val="false"/>
                  <w:smallCaps w:val="false"/>
                  <w:strike w:val="false"/>
                  <w:dstrike w:val="false"/>
                  <w:color w:val="000000"/>
                  <w:sz w:val="18"/>
                  <w:u w:val="none"/>
                  <w:effect w:val="none"/>
                </w:rPr>
                <w:t>20</w:t>
              </w:r>
            </w:hyperlink>
          </w:p>
        </w:tc>
      </w:tr>
      <w:tr>
        <w:trPr/>
        <w:tc>
          <w:tcPr>
            <w:tcW w:w="7085" w:type="dxa"/>
            <w:gridSpan w:val="2"/>
            <w:tcBorders/>
            <w:vAlign w:val="center"/>
          </w:tcPr>
          <w:p>
            <w:pPr>
              <w:pStyle w:val="TableContents"/>
              <w:bidi w:val="0"/>
              <w:spacing w:before="0" w:after="283"/>
              <w:jc w:val="left"/>
              <w:rPr/>
            </w:pPr>
            <w:hyperlink w:anchor="regn013211-def14aa013">
              <w:r>
                <w:rPr>
                  <w:rStyle w:val="InternetLink"/>
                  <w:rFonts w:ascii="Arial;Helvetica;Sans-Serif" w:hAnsi="Arial;Helvetica;Sans-Serif"/>
                  <w:b/>
                  <w:i w:val="false"/>
                  <w:caps w:val="false"/>
                  <w:smallCaps w:val="false"/>
                  <w:strike w:val="false"/>
                  <w:dstrike w:val="false"/>
                  <w:color w:val="000000"/>
                  <w:sz w:val="18"/>
                  <w:u w:val="none"/>
                  <w:effect w:val="none"/>
                </w:rPr>
                <w:t>Board Committees</w:t>
              </w:r>
            </w:hyperlink>
          </w:p>
        </w:tc>
        <w:tc>
          <w:tcPr>
            <w:tcW w:w="245" w:type="dxa"/>
            <w:tcBorders/>
            <w:vAlign w:val="center"/>
          </w:tcPr>
          <w:p>
            <w:pPr>
              <w:pStyle w:val="TableContents"/>
              <w:bidi w:val="0"/>
              <w:spacing w:before="0" w:after="283"/>
              <w:jc w:val="right"/>
              <w:rPr/>
            </w:pPr>
            <w:hyperlink w:anchor="regn013211-def14aa013">
              <w:r>
                <w:rPr>
                  <w:rStyle w:val="InternetLink"/>
                  <w:rFonts w:ascii="Arial;Helvetica;Sans-Serif" w:hAnsi="Arial;Helvetica;Sans-Serif"/>
                  <w:b/>
                  <w:i w:val="false"/>
                  <w:caps w:val="false"/>
                  <w:smallCaps w:val="false"/>
                  <w:strike w:val="false"/>
                  <w:dstrike w:val="false"/>
                  <w:color w:val="000000"/>
                  <w:sz w:val="18"/>
                  <w:u w:val="none"/>
                  <w:effect w:val="none"/>
                </w:rPr>
                <w:t>20</w:t>
              </w:r>
            </w:hyperlink>
          </w:p>
        </w:tc>
      </w:tr>
      <w:tr>
        <w:trPr/>
        <w:tc>
          <w:tcPr>
            <w:tcW w:w="7085" w:type="dxa"/>
            <w:gridSpan w:val="2"/>
            <w:tcBorders/>
            <w:vAlign w:val="center"/>
          </w:tcPr>
          <w:p>
            <w:pPr>
              <w:pStyle w:val="TableContents"/>
              <w:bidi w:val="0"/>
              <w:spacing w:before="0" w:after="283"/>
              <w:jc w:val="left"/>
              <w:rPr/>
            </w:pPr>
            <w:hyperlink w:anchor="regn013211-def14aa014">
              <w:r>
                <w:rPr>
                  <w:rStyle w:val="InternetLink"/>
                  <w:rFonts w:ascii="Arial;Helvetica;Sans-Serif" w:hAnsi="Arial;Helvetica;Sans-Serif"/>
                  <w:b/>
                  <w:i w:val="false"/>
                  <w:caps w:val="false"/>
                  <w:smallCaps w:val="false"/>
                  <w:strike w:val="false"/>
                  <w:dstrike w:val="false"/>
                  <w:color w:val="000000"/>
                  <w:sz w:val="18"/>
                  <w:u w:val="none"/>
                  <w:effect w:val="none"/>
                </w:rPr>
                <w:t>Compensation of Directors</w:t>
              </w:r>
            </w:hyperlink>
          </w:p>
        </w:tc>
        <w:tc>
          <w:tcPr>
            <w:tcW w:w="245" w:type="dxa"/>
            <w:tcBorders/>
            <w:vAlign w:val="center"/>
          </w:tcPr>
          <w:p>
            <w:pPr>
              <w:pStyle w:val="TableContents"/>
              <w:bidi w:val="0"/>
              <w:spacing w:before="0" w:after="283"/>
              <w:jc w:val="right"/>
              <w:rPr/>
            </w:pPr>
            <w:hyperlink w:anchor="regn013211-def14aa014">
              <w:r>
                <w:rPr>
                  <w:rStyle w:val="InternetLink"/>
                  <w:rFonts w:ascii="Arial;Helvetica;Sans-Serif" w:hAnsi="Arial;Helvetica;Sans-Serif"/>
                  <w:b/>
                  <w:i w:val="false"/>
                  <w:caps w:val="false"/>
                  <w:smallCaps w:val="false"/>
                  <w:strike w:val="false"/>
                  <w:dstrike w:val="false"/>
                  <w:color w:val="000000"/>
                  <w:sz w:val="18"/>
                  <w:u w:val="none"/>
                  <w:effect w:val="none"/>
                </w:rPr>
                <w:t>24</w:t>
              </w:r>
            </w:hyperlink>
          </w:p>
        </w:tc>
      </w:tr>
      <w:tr>
        <w:trPr/>
        <w:tc>
          <w:tcPr>
            <w:tcW w:w="708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420" w:type="dxa"/>
            <w:tcBorders>
              <w:left w:val="single" w:sz="24" w:space="0" w:color="3B5AA4"/>
            </w:tcBorders>
            <w:shd w:fill="EBEDF8" w:val="clear"/>
            <w:tcMar>
              <w:left w:w="100" w:type="dxa"/>
            </w:tcMar>
            <w:vAlign w:val="center"/>
          </w:tcPr>
          <w:p>
            <w:pPr>
              <w:pStyle w:val="TableContents"/>
              <w:bidi w:val="0"/>
              <w:spacing w:before="0" w:after="283"/>
              <w:jc w:val="center"/>
              <w:rPr/>
            </w:pPr>
            <w:r>
              <w:rPr/>
              <w:drawing>
                <wp:inline distT="0" distB="0" distL="0" distR="0">
                  <wp:extent cx="257175" cy="2476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57175" cy="247650"/>
                          </a:xfrm>
                          <a:prstGeom prst="rect">
                            <a:avLst/>
                          </a:prstGeom>
                        </pic:spPr>
                      </pic:pic>
                    </a:graphicData>
                  </a:graphic>
                </wp:inline>
              </w:drawing>
            </w:r>
          </w:p>
        </w:tc>
        <w:tc>
          <w:tcPr>
            <w:tcW w:w="6665" w:type="dxa"/>
            <w:tcBorders/>
            <w:shd w:fill="EBEDF8" w:val="clear"/>
            <w:vAlign w:val="center"/>
          </w:tcPr>
          <w:p>
            <w:pPr>
              <w:pStyle w:val="TableContents"/>
              <w:bidi w:val="0"/>
              <w:spacing w:before="0" w:after="283"/>
              <w:jc w:val="left"/>
              <w:rPr/>
            </w:pPr>
            <w:hyperlink w:anchor="regn013211-def14aa015">
              <w:r>
                <w:rPr>
                  <w:rStyle w:val="InternetLink"/>
                  <w:rFonts w:ascii="Arial;Helvetica;Sans-Serif" w:hAnsi="Arial;Helvetica;Sans-Serif"/>
                  <w:b w:val="false"/>
                  <w:i w:val="false"/>
                  <w:caps w:val="false"/>
                  <w:smallCaps w:val="false"/>
                  <w:strike w:val="false"/>
                  <w:dstrike w:val="false"/>
                  <w:color w:val="000000"/>
                  <w:sz w:val="18"/>
                  <w:u w:val="none"/>
                  <w:effect w:val="none"/>
                </w:rPr>
                <w:t xml:space="preserve">PROPOSAL No. 1 </w:t>
              </w:r>
            </w:hyperlink>
            <w:hyperlink w:anchor="regn013211-def14aa015">
              <w:r>
                <w:rPr>
                  <w:rStyle w:val="InternetLink"/>
                  <w:rFonts w:ascii="Arial;Helvetica;Sans-Serif" w:hAnsi="Arial;Helvetica;Sans-Serif"/>
                  <w:b/>
                  <w:i w:val="false"/>
                  <w:caps w:val="false"/>
                  <w:smallCaps w:val="false"/>
                  <w:strike w:val="false"/>
                  <w:dstrike w:val="false"/>
                  <w:color w:val="3B5AA4"/>
                  <w:sz w:val="18"/>
                  <w:u w:val="none"/>
                  <w:effect w:val="none"/>
                </w:rPr>
                <w:br/>
                <w:t>Election of Directors</w:t>
              </w:r>
            </w:hyperlink>
          </w:p>
        </w:tc>
        <w:tc>
          <w:tcPr>
            <w:tcW w:w="245" w:type="dxa"/>
            <w:tcBorders/>
            <w:shd w:fill="EBEDF8" w:val="clear"/>
            <w:vAlign w:val="center"/>
          </w:tcPr>
          <w:p>
            <w:pPr>
              <w:pStyle w:val="TableContents"/>
              <w:bidi w:val="0"/>
              <w:spacing w:before="0" w:after="283"/>
              <w:jc w:val="right"/>
              <w:rPr/>
            </w:pPr>
            <w:hyperlink w:anchor="regn013211-def14aa015">
              <w:r>
                <w:rPr>
                  <w:rStyle w:val="InternetLink"/>
                  <w:rFonts w:ascii="Arial;Helvetica;Sans-Serif" w:hAnsi="Arial;Helvetica;Sans-Serif"/>
                  <w:b/>
                  <w:i w:val="false"/>
                  <w:caps w:val="false"/>
                  <w:smallCaps w:val="false"/>
                  <w:strike w:val="false"/>
                  <w:dstrike w:val="false"/>
                  <w:color w:val="3B5AA4"/>
                  <w:sz w:val="18"/>
                  <w:u w:val="none"/>
                  <w:effect w:val="none"/>
                </w:rPr>
                <w:t>27</w:t>
              </w:r>
            </w:hyperlink>
          </w:p>
        </w:tc>
      </w:tr>
      <w:tr>
        <w:trPr/>
        <w:tc>
          <w:tcPr>
            <w:tcW w:w="708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085" w:type="dxa"/>
            <w:gridSpan w:val="2"/>
            <w:tcBorders/>
            <w:vAlign w:val="center"/>
          </w:tcPr>
          <w:p>
            <w:pPr>
              <w:pStyle w:val="TableContents"/>
              <w:bidi w:val="0"/>
              <w:spacing w:before="0" w:after="283"/>
              <w:jc w:val="left"/>
              <w:rPr/>
            </w:pPr>
            <w:hyperlink w:anchor="regn013211-def14aa016">
              <w:r>
                <w:rPr>
                  <w:rStyle w:val="InternetLink"/>
                  <w:rFonts w:ascii="Arial;Helvetica;Sans-Serif" w:hAnsi="Arial;Helvetica;Sans-Serif"/>
                  <w:b/>
                  <w:i w:val="false"/>
                  <w:caps w:val="false"/>
                  <w:smallCaps w:val="false"/>
                  <w:strike w:val="false"/>
                  <w:dstrike w:val="false"/>
                  <w:color w:val="3B5AA4"/>
                  <w:sz w:val="18"/>
                  <w:u w:val="none"/>
                  <w:effect w:val="none"/>
                </w:rPr>
                <w:t>Corporate Governance</w:t>
              </w:r>
            </w:hyperlink>
          </w:p>
        </w:tc>
        <w:tc>
          <w:tcPr>
            <w:tcW w:w="245" w:type="dxa"/>
            <w:tcBorders/>
            <w:vAlign w:val="center"/>
          </w:tcPr>
          <w:p>
            <w:pPr>
              <w:pStyle w:val="TableContents"/>
              <w:bidi w:val="0"/>
              <w:spacing w:before="0" w:after="283"/>
              <w:jc w:val="right"/>
              <w:rPr/>
            </w:pPr>
            <w:hyperlink w:anchor="regn013211-def14aa016">
              <w:r>
                <w:rPr>
                  <w:rStyle w:val="InternetLink"/>
                  <w:rFonts w:ascii="Arial;Helvetica;Sans-Serif" w:hAnsi="Arial;Helvetica;Sans-Serif"/>
                  <w:b/>
                  <w:i w:val="false"/>
                  <w:caps w:val="false"/>
                  <w:smallCaps w:val="false"/>
                  <w:strike w:val="false"/>
                  <w:dstrike w:val="false"/>
                  <w:color w:val="3B5AA4"/>
                  <w:sz w:val="18"/>
                  <w:u w:val="none"/>
                  <w:effect w:val="none"/>
                </w:rPr>
                <w:t>28</w:t>
              </w:r>
            </w:hyperlink>
          </w:p>
        </w:tc>
      </w:tr>
      <w:tr>
        <w:trPr/>
        <w:tc>
          <w:tcPr>
            <w:tcW w:w="7085" w:type="dxa"/>
            <w:gridSpan w:val="2"/>
            <w:tcBorders/>
            <w:vAlign w:val="center"/>
          </w:tcPr>
          <w:p>
            <w:pPr>
              <w:pStyle w:val="TableContents"/>
              <w:bidi w:val="0"/>
              <w:spacing w:before="0" w:after="283"/>
              <w:jc w:val="left"/>
              <w:rPr/>
            </w:pPr>
            <w:hyperlink w:anchor="regn013211-def14aa017">
              <w:r>
                <w:rPr>
                  <w:rStyle w:val="InternetLink"/>
                  <w:rFonts w:ascii="Arial;Helvetica;Sans-Serif" w:hAnsi="Arial;Helvetica;Sans-Serif"/>
                  <w:b/>
                  <w:i w:val="false"/>
                  <w:caps w:val="false"/>
                  <w:smallCaps w:val="false"/>
                  <w:strike w:val="false"/>
                  <w:dstrike w:val="false"/>
                  <w:color w:val="000000"/>
                  <w:sz w:val="18"/>
                  <w:u w:val="none"/>
                  <w:effect w:val="none"/>
                </w:rPr>
                <w:t>Governance Overview</w:t>
              </w:r>
            </w:hyperlink>
          </w:p>
        </w:tc>
        <w:tc>
          <w:tcPr>
            <w:tcW w:w="245" w:type="dxa"/>
            <w:tcBorders/>
            <w:vAlign w:val="center"/>
          </w:tcPr>
          <w:p>
            <w:pPr>
              <w:pStyle w:val="TableContents"/>
              <w:bidi w:val="0"/>
              <w:spacing w:before="0" w:after="283"/>
              <w:jc w:val="right"/>
              <w:rPr/>
            </w:pPr>
            <w:hyperlink w:anchor="regn013211-def14aa017">
              <w:r>
                <w:rPr>
                  <w:rStyle w:val="InternetLink"/>
                  <w:rFonts w:ascii="Arial;Helvetica;Sans-Serif" w:hAnsi="Arial;Helvetica;Sans-Serif"/>
                  <w:b/>
                  <w:i w:val="false"/>
                  <w:caps w:val="false"/>
                  <w:smallCaps w:val="false"/>
                  <w:strike w:val="false"/>
                  <w:dstrike w:val="false"/>
                  <w:color w:val="000000"/>
                  <w:sz w:val="18"/>
                  <w:u w:val="none"/>
                  <w:effect w:val="none"/>
                </w:rPr>
                <w:t>28</w:t>
              </w:r>
            </w:hyperlink>
          </w:p>
        </w:tc>
      </w:tr>
      <w:tr>
        <w:trPr/>
        <w:tc>
          <w:tcPr>
            <w:tcW w:w="7085" w:type="dxa"/>
            <w:gridSpan w:val="2"/>
            <w:tcBorders/>
            <w:vAlign w:val="center"/>
          </w:tcPr>
          <w:p>
            <w:pPr>
              <w:pStyle w:val="TableContents"/>
              <w:bidi w:val="0"/>
              <w:spacing w:before="0" w:after="283"/>
              <w:jc w:val="left"/>
              <w:rPr/>
            </w:pPr>
            <w:hyperlink w:anchor="regn013211-def14aa018">
              <w:r>
                <w:rPr>
                  <w:rStyle w:val="InternetLink"/>
                  <w:rFonts w:ascii="Arial;Helvetica;Sans-Serif" w:hAnsi="Arial;Helvetica;Sans-Serif"/>
                  <w:b/>
                  <w:i w:val="false"/>
                  <w:caps w:val="false"/>
                  <w:smallCaps w:val="false"/>
                  <w:strike w:val="false"/>
                  <w:dstrike w:val="false"/>
                  <w:color w:val="000000"/>
                  <w:sz w:val="18"/>
                  <w:u w:val="none"/>
                  <w:effect w:val="none"/>
                </w:rPr>
                <w:t>Board Governance</w:t>
              </w:r>
            </w:hyperlink>
          </w:p>
        </w:tc>
        <w:tc>
          <w:tcPr>
            <w:tcW w:w="245" w:type="dxa"/>
            <w:tcBorders/>
            <w:vAlign w:val="center"/>
          </w:tcPr>
          <w:p>
            <w:pPr>
              <w:pStyle w:val="TableContents"/>
              <w:bidi w:val="0"/>
              <w:spacing w:before="0" w:after="283"/>
              <w:jc w:val="right"/>
              <w:rPr/>
            </w:pPr>
            <w:hyperlink w:anchor="regn013211-def14aa018">
              <w:r>
                <w:rPr>
                  <w:rStyle w:val="InternetLink"/>
                  <w:rFonts w:ascii="Arial;Helvetica;Sans-Serif" w:hAnsi="Arial;Helvetica;Sans-Serif"/>
                  <w:b/>
                  <w:i w:val="false"/>
                  <w:caps w:val="false"/>
                  <w:smallCaps w:val="false"/>
                  <w:strike w:val="false"/>
                  <w:dstrike w:val="false"/>
                  <w:color w:val="000000"/>
                  <w:sz w:val="18"/>
                  <w:u w:val="none"/>
                  <w:effect w:val="none"/>
                </w:rPr>
                <w:t>29</w:t>
              </w:r>
            </w:hyperlink>
          </w:p>
        </w:tc>
      </w:tr>
      <w:tr>
        <w:trPr/>
        <w:tc>
          <w:tcPr>
            <w:tcW w:w="7085" w:type="dxa"/>
            <w:gridSpan w:val="2"/>
            <w:tcBorders/>
            <w:vAlign w:val="center"/>
          </w:tcPr>
          <w:p>
            <w:pPr>
              <w:pStyle w:val="TableContents"/>
              <w:bidi w:val="0"/>
              <w:spacing w:before="0" w:after="283"/>
              <w:jc w:val="left"/>
              <w:rPr/>
            </w:pPr>
            <w:hyperlink w:anchor="regn013211-def14aa019">
              <w:r>
                <w:rPr>
                  <w:rStyle w:val="InternetLink"/>
                  <w:rFonts w:ascii="Arial;Helvetica;Sans-Serif" w:hAnsi="Arial;Helvetica;Sans-Serif"/>
                  <w:b w:val="false"/>
                  <w:i w:val="false"/>
                  <w:caps w:val="false"/>
                  <w:smallCaps w:val="false"/>
                  <w:strike w:val="false"/>
                  <w:dstrike w:val="false"/>
                  <w:color w:val="000000"/>
                  <w:sz w:val="18"/>
                  <w:u w:val="none"/>
                  <w:effect w:val="none"/>
                </w:rPr>
                <w:t>Board Structure and Proposed Board Declassification</w:t>
              </w:r>
            </w:hyperlink>
          </w:p>
        </w:tc>
        <w:tc>
          <w:tcPr>
            <w:tcW w:w="245" w:type="dxa"/>
            <w:tcBorders/>
            <w:vAlign w:val="center"/>
          </w:tcPr>
          <w:p>
            <w:pPr>
              <w:pStyle w:val="TableContents"/>
              <w:bidi w:val="0"/>
              <w:spacing w:before="0" w:after="283"/>
              <w:jc w:val="right"/>
              <w:rPr/>
            </w:pPr>
            <w:hyperlink w:anchor="regn013211-def14aa019">
              <w:r>
                <w:rPr>
                  <w:rStyle w:val="InternetLink"/>
                  <w:rFonts w:ascii="Arial;Helvetica;Sans-Serif" w:hAnsi="Arial;Helvetica;Sans-Serif"/>
                  <w:b w:val="false"/>
                  <w:i w:val="false"/>
                  <w:caps w:val="false"/>
                  <w:smallCaps w:val="false"/>
                  <w:strike w:val="false"/>
                  <w:dstrike w:val="false"/>
                  <w:color w:val="000000"/>
                  <w:sz w:val="18"/>
                  <w:u w:val="none"/>
                  <w:effect w:val="none"/>
                </w:rPr>
                <w:t>29</w:t>
              </w:r>
            </w:hyperlink>
          </w:p>
        </w:tc>
      </w:tr>
      <w:tr>
        <w:trPr/>
        <w:tc>
          <w:tcPr>
            <w:tcW w:w="7085" w:type="dxa"/>
            <w:gridSpan w:val="2"/>
            <w:tcBorders/>
            <w:vAlign w:val="center"/>
          </w:tcPr>
          <w:p>
            <w:pPr>
              <w:pStyle w:val="TableContents"/>
              <w:bidi w:val="0"/>
              <w:spacing w:before="0" w:after="283"/>
              <w:jc w:val="left"/>
              <w:rPr/>
            </w:pPr>
            <w:hyperlink w:anchor="regn013211-def14aa020">
              <w:r>
                <w:rPr>
                  <w:rStyle w:val="InternetLink"/>
                  <w:rFonts w:ascii="Arial;Helvetica;Sans-Serif" w:hAnsi="Arial;Helvetica;Sans-Serif"/>
                  <w:b w:val="false"/>
                  <w:i w:val="false"/>
                  <w:caps w:val="false"/>
                  <w:smallCaps w:val="false"/>
                  <w:strike w:val="false"/>
                  <w:dstrike w:val="false"/>
                  <w:color w:val="000000"/>
                  <w:sz w:val="18"/>
                  <w:u w:val="none"/>
                  <w:effect w:val="none"/>
                </w:rPr>
                <w:t>Board Meetings and Attendance of Directors</w:t>
              </w:r>
            </w:hyperlink>
          </w:p>
        </w:tc>
        <w:tc>
          <w:tcPr>
            <w:tcW w:w="245" w:type="dxa"/>
            <w:tcBorders/>
            <w:vAlign w:val="center"/>
          </w:tcPr>
          <w:p>
            <w:pPr>
              <w:pStyle w:val="TableContents"/>
              <w:bidi w:val="0"/>
              <w:spacing w:before="0" w:after="283"/>
              <w:jc w:val="right"/>
              <w:rPr/>
            </w:pPr>
            <w:hyperlink w:anchor="regn013211-def14aa020">
              <w:r>
                <w:rPr>
                  <w:rStyle w:val="InternetLink"/>
                  <w:rFonts w:ascii="Arial;Helvetica;Sans-Serif" w:hAnsi="Arial;Helvetica;Sans-Serif"/>
                  <w:b w:val="false"/>
                  <w:i w:val="false"/>
                  <w:caps w:val="false"/>
                  <w:smallCaps w:val="false"/>
                  <w:strike w:val="false"/>
                  <w:dstrike w:val="false"/>
                  <w:color w:val="000000"/>
                  <w:sz w:val="18"/>
                  <w:u w:val="none"/>
                  <w:effect w:val="none"/>
                </w:rPr>
                <w:t>29</w:t>
              </w:r>
            </w:hyperlink>
          </w:p>
        </w:tc>
      </w:tr>
      <w:tr>
        <w:trPr/>
        <w:tc>
          <w:tcPr>
            <w:tcW w:w="7085" w:type="dxa"/>
            <w:gridSpan w:val="2"/>
            <w:tcBorders/>
            <w:vAlign w:val="center"/>
          </w:tcPr>
          <w:p>
            <w:pPr>
              <w:pStyle w:val="TableContents"/>
              <w:bidi w:val="0"/>
              <w:spacing w:before="0" w:after="283"/>
              <w:jc w:val="left"/>
              <w:rPr/>
            </w:pPr>
            <w:hyperlink w:anchor="regn013211-def14aa021">
              <w:r>
                <w:rPr>
                  <w:rStyle w:val="InternetLink"/>
                  <w:rFonts w:ascii="Arial;Helvetica;Sans-Serif" w:hAnsi="Arial;Helvetica;Sans-Serif"/>
                  <w:b w:val="false"/>
                  <w:i w:val="false"/>
                  <w:caps w:val="false"/>
                  <w:smallCaps w:val="false"/>
                  <w:strike w:val="false"/>
                  <w:dstrike w:val="false"/>
                  <w:color w:val="000000"/>
                  <w:sz w:val="18"/>
                  <w:u w:val="none"/>
                  <w:effect w:val="none"/>
                </w:rPr>
                <w:t>Director Refreshment Philosophy</w:t>
              </w:r>
            </w:hyperlink>
          </w:p>
        </w:tc>
        <w:tc>
          <w:tcPr>
            <w:tcW w:w="245" w:type="dxa"/>
            <w:tcBorders/>
            <w:vAlign w:val="center"/>
          </w:tcPr>
          <w:p>
            <w:pPr>
              <w:pStyle w:val="TableContents"/>
              <w:bidi w:val="0"/>
              <w:spacing w:before="0" w:after="283"/>
              <w:jc w:val="right"/>
              <w:rPr/>
            </w:pPr>
            <w:hyperlink w:anchor="regn013211-def14aa021">
              <w:r>
                <w:rPr>
                  <w:rStyle w:val="InternetLink"/>
                  <w:rFonts w:ascii="Arial;Helvetica;Sans-Serif" w:hAnsi="Arial;Helvetica;Sans-Serif"/>
                  <w:b w:val="false"/>
                  <w:i w:val="false"/>
                  <w:caps w:val="false"/>
                  <w:smallCaps w:val="false"/>
                  <w:strike w:val="false"/>
                  <w:dstrike w:val="false"/>
                  <w:color w:val="000000"/>
                  <w:sz w:val="18"/>
                  <w:u w:val="none"/>
                  <w:effect w:val="none"/>
                </w:rPr>
                <w:t>30</w:t>
              </w:r>
            </w:hyperlink>
          </w:p>
        </w:tc>
      </w:tr>
      <w:tr>
        <w:trPr/>
        <w:tc>
          <w:tcPr>
            <w:tcW w:w="7085" w:type="dxa"/>
            <w:gridSpan w:val="2"/>
            <w:tcBorders/>
            <w:vAlign w:val="center"/>
          </w:tcPr>
          <w:p>
            <w:pPr>
              <w:pStyle w:val="TableContents"/>
              <w:bidi w:val="0"/>
              <w:spacing w:before="0" w:after="283"/>
              <w:jc w:val="left"/>
              <w:rPr/>
            </w:pPr>
            <w:hyperlink w:anchor="regn013211-def14aa022">
              <w:r>
                <w:rPr>
                  <w:rStyle w:val="InternetLink"/>
                  <w:rFonts w:ascii="Arial;Helvetica;Sans-Serif" w:hAnsi="Arial;Helvetica;Sans-Serif"/>
                  <w:b w:val="false"/>
                  <w:i w:val="false"/>
                  <w:caps w:val="false"/>
                  <w:smallCaps w:val="false"/>
                  <w:strike w:val="false"/>
                  <w:dstrike w:val="false"/>
                  <w:color w:val="000000"/>
                  <w:sz w:val="18"/>
                  <w:u w:val="none"/>
                  <w:effect w:val="none"/>
                </w:rPr>
                <w:t>Procedures Relating to Nominees; Board Succession Planning</w:t>
              </w:r>
            </w:hyperlink>
          </w:p>
        </w:tc>
        <w:tc>
          <w:tcPr>
            <w:tcW w:w="245" w:type="dxa"/>
            <w:tcBorders/>
            <w:vAlign w:val="center"/>
          </w:tcPr>
          <w:p>
            <w:pPr>
              <w:pStyle w:val="TableContents"/>
              <w:bidi w:val="0"/>
              <w:spacing w:before="0" w:after="283"/>
              <w:jc w:val="right"/>
              <w:rPr/>
            </w:pPr>
            <w:hyperlink w:anchor="regn013211-def14aa022">
              <w:r>
                <w:rPr>
                  <w:rStyle w:val="InternetLink"/>
                  <w:rFonts w:ascii="Arial;Helvetica;Sans-Serif" w:hAnsi="Arial;Helvetica;Sans-Serif"/>
                  <w:b w:val="false"/>
                  <w:i w:val="false"/>
                  <w:caps w:val="false"/>
                  <w:smallCaps w:val="false"/>
                  <w:strike w:val="false"/>
                  <w:dstrike w:val="false"/>
                  <w:color w:val="000000"/>
                  <w:sz w:val="18"/>
                  <w:u w:val="none"/>
                  <w:effect w:val="none"/>
                </w:rPr>
                <w:t>31</w:t>
              </w:r>
            </w:hyperlink>
          </w:p>
        </w:tc>
      </w:tr>
      <w:tr>
        <w:trPr/>
        <w:tc>
          <w:tcPr>
            <w:tcW w:w="7085" w:type="dxa"/>
            <w:gridSpan w:val="2"/>
            <w:tcBorders/>
            <w:vAlign w:val="center"/>
          </w:tcPr>
          <w:p>
            <w:pPr>
              <w:pStyle w:val="TableContents"/>
              <w:bidi w:val="0"/>
              <w:spacing w:before="0" w:after="283"/>
              <w:jc w:val="left"/>
              <w:rPr/>
            </w:pPr>
            <w:hyperlink w:anchor="regn013211-def14aa023">
              <w:r>
                <w:rPr>
                  <w:rStyle w:val="InternetLink"/>
                  <w:rFonts w:ascii="Arial;Helvetica;Sans-Serif" w:hAnsi="Arial;Helvetica;Sans-Serif"/>
                  <w:b w:val="false"/>
                  <w:i w:val="false"/>
                  <w:caps w:val="false"/>
                  <w:smallCaps w:val="false"/>
                  <w:strike w:val="false"/>
                  <w:dstrike w:val="false"/>
                  <w:color w:val="000000"/>
                  <w:sz w:val="18"/>
                  <w:u w:val="none"/>
                  <w:effect w:val="none"/>
                </w:rPr>
                <w:t>Director Onboarding</w:t>
              </w:r>
            </w:hyperlink>
          </w:p>
        </w:tc>
        <w:tc>
          <w:tcPr>
            <w:tcW w:w="245" w:type="dxa"/>
            <w:tcBorders/>
            <w:vAlign w:val="center"/>
          </w:tcPr>
          <w:p>
            <w:pPr>
              <w:pStyle w:val="TableContents"/>
              <w:bidi w:val="0"/>
              <w:spacing w:before="0" w:after="283"/>
              <w:jc w:val="right"/>
              <w:rPr/>
            </w:pPr>
            <w:hyperlink w:anchor="regn013211-def14aa023">
              <w:r>
                <w:rPr>
                  <w:rStyle w:val="InternetLink"/>
                  <w:rFonts w:ascii="Arial;Helvetica;Sans-Serif" w:hAnsi="Arial;Helvetica;Sans-Serif"/>
                  <w:b w:val="false"/>
                  <w:i w:val="false"/>
                  <w:caps w:val="false"/>
                  <w:smallCaps w:val="false"/>
                  <w:strike w:val="false"/>
                  <w:dstrike w:val="false"/>
                  <w:color w:val="000000"/>
                  <w:sz w:val="18"/>
                  <w:u w:val="none"/>
                  <w:effect w:val="none"/>
                </w:rPr>
                <w:t>32</w:t>
              </w:r>
            </w:hyperlink>
          </w:p>
        </w:tc>
      </w:tr>
      <w:tr>
        <w:trPr/>
        <w:tc>
          <w:tcPr>
            <w:tcW w:w="7085" w:type="dxa"/>
            <w:gridSpan w:val="2"/>
            <w:tcBorders/>
            <w:vAlign w:val="center"/>
          </w:tcPr>
          <w:p>
            <w:pPr>
              <w:pStyle w:val="TableContents"/>
              <w:bidi w:val="0"/>
              <w:spacing w:before="0" w:after="283"/>
              <w:jc w:val="left"/>
              <w:rPr/>
            </w:pPr>
            <w:hyperlink w:anchor="regn013211-def14aa024">
              <w:r>
                <w:rPr>
                  <w:rStyle w:val="InternetLink"/>
                  <w:rFonts w:ascii="Arial;Helvetica;Sans-Serif" w:hAnsi="Arial;Helvetica;Sans-Serif"/>
                  <w:b w:val="false"/>
                  <w:i w:val="false"/>
                  <w:caps w:val="false"/>
                  <w:smallCaps w:val="false"/>
                  <w:strike w:val="false"/>
                  <w:dstrike w:val="false"/>
                  <w:color w:val="000000"/>
                  <w:sz w:val="18"/>
                  <w:u w:val="none"/>
                  <w:effect w:val="none"/>
                </w:rPr>
                <w:t>Board and Committee Self-Assessments</w:t>
              </w:r>
            </w:hyperlink>
          </w:p>
        </w:tc>
        <w:tc>
          <w:tcPr>
            <w:tcW w:w="245" w:type="dxa"/>
            <w:tcBorders/>
            <w:vAlign w:val="center"/>
          </w:tcPr>
          <w:p>
            <w:pPr>
              <w:pStyle w:val="TableContents"/>
              <w:bidi w:val="0"/>
              <w:spacing w:before="0" w:after="283"/>
              <w:jc w:val="right"/>
              <w:rPr/>
            </w:pPr>
            <w:hyperlink w:anchor="regn013211-def14aa024">
              <w:r>
                <w:rPr>
                  <w:rStyle w:val="InternetLink"/>
                  <w:rFonts w:ascii="Arial;Helvetica;Sans-Serif" w:hAnsi="Arial;Helvetica;Sans-Serif"/>
                  <w:b w:val="false"/>
                  <w:i w:val="false"/>
                  <w:caps w:val="false"/>
                  <w:smallCaps w:val="false"/>
                  <w:strike w:val="false"/>
                  <w:dstrike w:val="false"/>
                  <w:color w:val="000000"/>
                  <w:sz w:val="18"/>
                  <w:u w:val="none"/>
                  <w:effect w:val="none"/>
                </w:rPr>
                <w:t>32</w:t>
              </w:r>
            </w:hyperlink>
          </w:p>
        </w:tc>
      </w:tr>
      <w:tr>
        <w:trPr/>
        <w:tc>
          <w:tcPr>
            <w:tcW w:w="7085" w:type="dxa"/>
            <w:gridSpan w:val="2"/>
            <w:tcBorders/>
            <w:vAlign w:val="center"/>
          </w:tcPr>
          <w:p>
            <w:pPr>
              <w:pStyle w:val="TableContents"/>
              <w:bidi w:val="0"/>
              <w:spacing w:before="0" w:after="283"/>
              <w:jc w:val="left"/>
              <w:rPr/>
            </w:pPr>
            <w:hyperlink w:anchor="regn013211-def14aa025">
              <w:r>
                <w:rPr>
                  <w:rStyle w:val="InternetLink"/>
                  <w:rFonts w:ascii="Arial;Helvetica;Sans-Serif" w:hAnsi="Arial;Helvetica;Sans-Serif"/>
                  <w:b w:val="false"/>
                  <w:i w:val="false"/>
                  <w:caps w:val="false"/>
                  <w:smallCaps w:val="false"/>
                  <w:strike w:val="false"/>
                  <w:dstrike w:val="false"/>
                  <w:color w:val="000000"/>
                  <w:sz w:val="18"/>
                  <w:u w:val="none"/>
                  <w:effect w:val="none"/>
                </w:rPr>
                <w:t>Board Leadership</w:t>
              </w:r>
            </w:hyperlink>
          </w:p>
        </w:tc>
        <w:tc>
          <w:tcPr>
            <w:tcW w:w="245" w:type="dxa"/>
            <w:tcBorders/>
            <w:vAlign w:val="center"/>
          </w:tcPr>
          <w:p>
            <w:pPr>
              <w:pStyle w:val="TableContents"/>
              <w:bidi w:val="0"/>
              <w:spacing w:before="0" w:after="283"/>
              <w:jc w:val="right"/>
              <w:rPr/>
            </w:pPr>
            <w:hyperlink w:anchor="regn013211-def14aa025">
              <w:r>
                <w:rPr>
                  <w:rStyle w:val="InternetLink"/>
                  <w:rFonts w:ascii="Arial;Helvetica;Sans-Serif" w:hAnsi="Arial;Helvetica;Sans-Serif"/>
                  <w:b w:val="false"/>
                  <w:i w:val="false"/>
                  <w:caps w:val="false"/>
                  <w:smallCaps w:val="false"/>
                  <w:strike w:val="false"/>
                  <w:dstrike w:val="false"/>
                  <w:color w:val="000000"/>
                  <w:sz w:val="18"/>
                  <w:u w:val="none"/>
                  <w:effect w:val="none"/>
                </w:rPr>
                <w:t>33</w:t>
              </w:r>
            </w:hyperlink>
          </w:p>
        </w:tc>
      </w:tr>
      <w:tr>
        <w:trPr/>
        <w:tc>
          <w:tcPr>
            <w:tcW w:w="7085" w:type="dxa"/>
            <w:gridSpan w:val="2"/>
            <w:tcBorders/>
            <w:vAlign w:val="center"/>
          </w:tcPr>
          <w:p>
            <w:pPr>
              <w:pStyle w:val="TableContents"/>
              <w:bidi w:val="0"/>
              <w:spacing w:before="0" w:after="283"/>
              <w:jc w:val="left"/>
              <w:rPr/>
            </w:pPr>
            <w:hyperlink w:anchor="regn013211-def14aa026">
              <w:r>
                <w:rPr>
                  <w:rStyle w:val="InternetLink"/>
                  <w:rFonts w:ascii="Arial;Helvetica;Sans-Serif" w:hAnsi="Arial;Helvetica;Sans-Serif"/>
                  <w:b w:val="false"/>
                  <w:i w:val="false"/>
                  <w:caps w:val="false"/>
                  <w:smallCaps w:val="false"/>
                  <w:strike w:val="false"/>
                  <w:dstrike w:val="false"/>
                  <w:color w:val="000000"/>
                  <w:sz w:val="18"/>
                  <w:u w:val="none"/>
                  <w:effect w:val="none"/>
                </w:rPr>
                <w:t>Management Succession Planning and Talent Development Process</w:t>
              </w:r>
            </w:hyperlink>
          </w:p>
        </w:tc>
        <w:tc>
          <w:tcPr>
            <w:tcW w:w="245" w:type="dxa"/>
            <w:tcBorders/>
            <w:vAlign w:val="center"/>
          </w:tcPr>
          <w:p>
            <w:pPr>
              <w:pStyle w:val="TableContents"/>
              <w:bidi w:val="0"/>
              <w:spacing w:before="0" w:after="283"/>
              <w:jc w:val="right"/>
              <w:rPr/>
            </w:pPr>
            <w:hyperlink w:anchor="regn013211-def14aa026">
              <w:r>
                <w:rPr>
                  <w:rStyle w:val="InternetLink"/>
                  <w:rFonts w:ascii="Arial;Helvetica;Sans-Serif" w:hAnsi="Arial;Helvetica;Sans-Serif"/>
                  <w:b w:val="false"/>
                  <w:i w:val="false"/>
                  <w:caps w:val="false"/>
                  <w:smallCaps w:val="false"/>
                  <w:strike w:val="false"/>
                  <w:dstrike w:val="false"/>
                  <w:color w:val="000000"/>
                  <w:sz w:val="18"/>
                  <w:u w:val="none"/>
                  <w:effect w:val="none"/>
                </w:rPr>
                <w:t>35</w:t>
              </w:r>
            </w:hyperlink>
          </w:p>
        </w:tc>
      </w:tr>
      <w:tr>
        <w:trPr/>
        <w:tc>
          <w:tcPr>
            <w:tcW w:w="7085" w:type="dxa"/>
            <w:gridSpan w:val="2"/>
            <w:tcBorders/>
            <w:vAlign w:val="center"/>
          </w:tcPr>
          <w:p>
            <w:pPr>
              <w:pStyle w:val="TableContents"/>
              <w:bidi w:val="0"/>
              <w:spacing w:before="0" w:after="283"/>
              <w:jc w:val="left"/>
              <w:rPr/>
            </w:pPr>
            <w:hyperlink w:anchor="regn013211-def14aa027">
              <w:r>
                <w:rPr>
                  <w:rStyle w:val="InternetLink"/>
                  <w:rFonts w:ascii="Arial;Helvetica;Sans-Serif" w:hAnsi="Arial;Helvetica;Sans-Serif"/>
                  <w:b w:val="false"/>
                  <w:i w:val="false"/>
                  <w:caps w:val="false"/>
                  <w:smallCaps w:val="false"/>
                  <w:strike w:val="false"/>
                  <w:dstrike w:val="false"/>
                  <w:color w:val="000000"/>
                  <w:sz w:val="18"/>
                  <w:u w:val="none"/>
                  <w:effect w:val="none"/>
                </w:rPr>
                <w:t>Board Oversight of Risk</w:t>
              </w:r>
            </w:hyperlink>
          </w:p>
        </w:tc>
        <w:tc>
          <w:tcPr>
            <w:tcW w:w="245" w:type="dxa"/>
            <w:tcBorders/>
            <w:vAlign w:val="center"/>
          </w:tcPr>
          <w:p>
            <w:pPr>
              <w:pStyle w:val="TableContents"/>
              <w:bidi w:val="0"/>
              <w:spacing w:before="0" w:after="283"/>
              <w:jc w:val="right"/>
              <w:rPr/>
            </w:pPr>
            <w:hyperlink w:anchor="regn013211-def14aa027">
              <w:r>
                <w:rPr>
                  <w:rStyle w:val="InternetLink"/>
                  <w:rFonts w:ascii="Arial;Helvetica;Sans-Serif" w:hAnsi="Arial;Helvetica;Sans-Serif"/>
                  <w:b w:val="false"/>
                  <w:i w:val="false"/>
                  <w:caps w:val="false"/>
                  <w:smallCaps w:val="false"/>
                  <w:strike w:val="false"/>
                  <w:dstrike w:val="false"/>
                  <w:color w:val="000000"/>
                  <w:sz w:val="18"/>
                  <w:u w:val="none"/>
                  <w:effect w:val="none"/>
                </w:rPr>
                <w:t>36</w:t>
              </w:r>
            </w:hyperlink>
          </w:p>
        </w:tc>
      </w:tr>
      <w:tr>
        <w:trPr/>
        <w:tc>
          <w:tcPr>
            <w:tcW w:w="7085" w:type="dxa"/>
            <w:gridSpan w:val="2"/>
            <w:tcBorders/>
            <w:vAlign w:val="center"/>
          </w:tcPr>
          <w:p>
            <w:pPr>
              <w:pStyle w:val="TableContents"/>
              <w:bidi w:val="0"/>
              <w:spacing w:before="0" w:after="283"/>
              <w:jc w:val="left"/>
              <w:rPr/>
            </w:pPr>
            <w:hyperlink w:anchor="regn013211-def14aa028">
              <w:r>
                <w:rPr>
                  <w:rStyle w:val="InternetLink"/>
                  <w:rFonts w:ascii="Arial;Helvetica;Sans-Serif" w:hAnsi="Arial;Helvetica;Sans-Serif"/>
                  <w:b w:val="false"/>
                  <w:i w:val="false"/>
                  <w:caps w:val="false"/>
                  <w:smallCaps w:val="false"/>
                  <w:strike w:val="false"/>
                  <w:dstrike w:val="false"/>
                  <w:color w:val="000000"/>
                  <w:sz w:val="18"/>
                  <w:u w:val="none"/>
                  <w:effect w:val="none"/>
                </w:rPr>
                <w:t>Communicating with the Board</w:t>
              </w:r>
            </w:hyperlink>
          </w:p>
        </w:tc>
        <w:tc>
          <w:tcPr>
            <w:tcW w:w="245" w:type="dxa"/>
            <w:tcBorders/>
            <w:vAlign w:val="center"/>
          </w:tcPr>
          <w:p>
            <w:pPr>
              <w:pStyle w:val="TableContents"/>
              <w:bidi w:val="0"/>
              <w:spacing w:before="0" w:after="283"/>
              <w:jc w:val="right"/>
              <w:rPr/>
            </w:pPr>
            <w:hyperlink w:anchor="regn013211-def14aa028">
              <w:r>
                <w:rPr>
                  <w:rStyle w:val="InternetLink"/>
                  <w:rFonts w:ascii="Arial;Helvetica;Sans-Serif" w:hAnsi="Arial;Helvetica;Sans-Serif"/>
                  <w:b w:val="false"/>
                  <w:i w:val="false"/>
                  <w:caps w:val="false"/>
                  <w:smallCaps w:val="false"/>
                  <w:strike w:val="false"/>
                  <w:dstrike w:val="false"/>
                  <w:color w:val="000000"/>
                  <w:sz w:val="18"/>
                  <w:u w:val="none"/>
                  <w:effect w:val="none"/>
                </w:rPr>
                <w:t>37</w:t>
              </w:r>
            </w:hyperlink>
          </w:p>
        </w:tc>
      </w:tr>
      <w:tr>
        <w:trPr/>
        <w:tc>
          <w:tcPr>
            <w:tcW w:w="7085" w:type="dxa"/>
            <w:gridSpan w:val="2"/>
            <w:tcBorders/>
            <w:vAlign w:val="center"/>
          </w:tcPr>
          <w:p>
            <w:pPr>
              <w:pStyle w:val="TableContents"/>
              <w:bidi w:val="0"/>
              <w:spacing w:before="0" w:after="283"/>
              <w:jc w:val="left"/>
              <w:rPr/>
            </w:pPr>
            <w:hyperlink w:anchor="regn013211-def14aa029">
              <w:r>
                <w:rPr>
                  <w:rStyle w:val="InternetLink"/>
                  <w:rFonts w:ascii="Arial;Helvetica;Sans-Serif" w:hAnsi="Arial;Helvetica;Sans-Serif"/>
                  <w:b/>
                  <w:i w:val="false"/>
                  <w:caps w:val="false"/>
                  <w:smallCaps w:val="false"/>
                  <w:strike w:val="false"/>
                  <w:dstrike w:val="false"/>
                  <w:color w:val="000000"/>
                  <w:sz w:val="18"/>
                  <w:u w:val="none"/>
                  <w:effect w:val="none"/>
                </w:rPr>
                <w:t>Longstanding Commitment to Shareholder Engagement</w:t>
              </w:r>
            </w:hyperlink>
          </w:p>
        </w:tc>
        <w:tc>
          <w:tcPr>
            <w:tcW w:w="245" w:type="dxa"/>
            <w:tcBorders/>
            <w:vAlign w:val="center"/>
          </w:tcPr>
          <w:p>
            <w:pPr>
              <w:pStyle w:val="TableContents"/>
              <w:bidi w:val="0"/>
              <w:spacing w:before="0" w:after="283"/>
              <w:jc w:val="right"/>
              <w:rPr/>
            </w:pPr>
            <w:hyperlink w:anchor="regn013211-def14aa029">
              <w:r>
                <w:rPr>
                  <w:rStyle w:val="InternetLink"/>
                  <w:rFonts w:ascii="Arial;Helvetica;Sans-Serif" w:hAnsi="Arial;Helvetica;Sans-Serif"/>
                  <w:b/>
                  <w:i w:val="false"/>
                  <w:caps w:val="false"/>
                  <w:smallCaps w:val="false"/>
                  <w:strike w:val="false"/>
                  <w:dstrike w:val="false"/>
                  <w:color w:val="000000"/>
                  <w:sz w:val="18"/>
                  <w:u w:val="none"/>
                  <w:effect w:val="none"/>
                </w:rPr>
                <w:t>37</w:t>
              </w:r>
            </w:hyperlink>
          </w:p>
        </w:tc>
      </w:tr>
      <w:tr>
        <w:trPr/>
        <w:tc>
          <w:tcPr>
            <w:tcW w:w="7085" w:type="dxa"/>
            <w:gridSpan w:val="2"/>
            <w:tcBorders/>
            <w:vAlign w:val="center"/>
          </w:tcPr>
          <w:p>
            <w:pPr>
              <w:pStyle w:val="TableContents"/>
              <w:bidi w:val="0"/>
              <w:spacing w:before="0" w:after="283"/>
              <w:jc w:val="left"/>
              <w:rPr/>
            </w:pPr>
            <w:hyperlink w:anchor="regn013211-def14aa030">
              <w:r>
                <w:rPr>
                  <w:rStyle w:val="InternetLink"/>
                  <w:rFonts w:ascii="Arial;Helvetica;Sans-Serif" w:hAnsi="Arial;Helvetica;Sans-Serif"/>
                  <w:b/>
                  <w:i w:val="false"/>
                  <w:caps w:val="false"/>
                  <w:smallCaps w:val="false"/>
                  <w:strike w:val="false"/>
                  <w:dstrike w:val="false"/>
                  <w:color w:val="000000"/>
                  <w:sz w:val="18"/>
                  <w:u w:val="none"/>
                  <w:effect w:val="none"/>
                </w:rPr>
                <w:t>Capital Structure</w:t>
              </w:r>
            </w:hyperlink>
          </w:p>
        </w:tc>
        <w:tc>
          <w:tcPr>
            <w:tcW w:w="245" w:type="dxa"/>
            <w:tcBorders/>
            <w:vAlign w:val="center"/>
          </w:tcPr>
          <w:p>
            <w:pPr>
              <w:pStyle w:val="TableContents"/>
              <w:bidi w:val="0"/>
              <w:spacing w:before="0" w:after="283"/>
              <w:jc w:val="right"/>
              <w:rPr/>
            </w:pPr>
            <w:hyperlink w:anchor="regn013211-def14aa030">
              <w:r>
                <w:rPr>
                  <w:rStyle w:val="InternetLink"/>
                  <w:rFonts w:ascii="Arial;Helvetica;Sans-Serif" w:hAnsi="Arial;Helvetica;Sans-Serif"/>
                  <w:b/>
                  <w:i w:val="false"/>
                  <w:caps w:val="false"/>
                  <w:smallCaps w:val="false"/>
                  <w:strike w:val="false"/>
                  <w:dstrike w:val="false"/>
                  <w:color w:val="000000"/>
                  <w:sz w:val="18"/>
                  <w:u w:val="none"/>
                  <w:effect w:val="none"/>
                </w:rPr>
                <w:t>40</w:t>
              </w:r>
            </w:hyperlink>
          </w:p>
        </w:tc>
      </w:tr>
      <w:tr>
        <w:trPr/>
        <w:tc>
          <w:tcPr>
            <w:tcW w:w="7085" w:type="dxa"/>
            <w:gridSpan w:val="2"/>
            <w:tcBorders/>
            <w:vAlign w:val="center"/>
          </w:tcPr>
          <w:p>
            <w:pPr>
              <w:pStyle w:val="TableContents"/>
              <w:bidi w:val="0"/>
              <w:spacing w:before="0" w:after="283"/>
              <w:jc w:val="left"/>
              <w:rPr/>
            </w:pPr>
            <w:hyperlink w:anchor="regn013211-def14aa031">
              <w:r>
                <w:rPr>
                  <w:rStyle w:val="InternetLink"/>
                  <w:rFonts w:ascii="Arial;Helvetica;Sans-Serif" w:hAnsi="Arial;Helvetica;Sans-Serif"/>
                  <w:b/>
                  <w:i w:val="false"/>
                  <w:caps w:val="false"/>
                  <w:smallCaps w:val="false"/>
                  <w:strike w:val="false"/>
                  <w:dstrike w:val="false"/>
                  <w:color w:val="000000"/>
                  <w:sz w:val="18"/>
                  <w:u w:val="none"/>
                  <w:effect w:val="none"/>
                </w:rPr>
                <w:t>Other Governance Policies</w:t>
              </w:r>
            </w:hyperlink>
          </w:p>
        </w:tc>
        <w:tc>
          <w:tcPr>
            <w:tcW w:w="245" w:type="dxa"/>
            <w:tcBorders/>
            <w:vAlign w:val="center"/>
          </w:tcPr>
          <w:p>
            <w:pPr>
              <w:pStyle w:val="TableContents"/>
              <w:bidi w:val="0"/>
              <w:spacing w:before="0" w:after="283"/>
              <w:jc w:val="right"/>
              <w:rPr/>
            </w:pPr>
            <w:hyperlink w:anchor="regn013211-def14aa031">
              <w:r>
                <w:rPr>
                  <w:rStyle w:val="InternetLink"/>
                  <w:rFonts w:ascii="Arial;Helvetica;Sans-Serif" w:hAnsi="Arial;Helvetica;Sans-Serif"/>
                  <w:b/>
                  <w:i w:val="false"/>
                  <w:caps w:val="false"/>
                  <w:smallCaps w:val="false"/>
                  <w:strike w:val="false"/>
                  <w:dstrike w:val="false"/>
                  <w:color w:val="000000"/>
                  <w:sz w:val="18"/>
                  <w:u w:val="none"/>
                  <w:effect w:val="none"/>
                </w:rPr>
                <w:t>42</w:t>
              </w:r>
            </w:hyperlink>
          </w:p>
        </w:tc>
      </w:tr>
      <w:tr>
        <w:trPr/>
        <w:tc>
          <w:tcPr>
            <w:tcW w:w="7085" w:type="dxa"/>
            <w:gridSpan w:val="2"/>
            <w:tcBorders/>
            <w:vAlign w:val="center"/>
          </w:tcPr>
          <w:p>
            <w:pPr>
              <w:pStyle w:val="TableContents"/>
              <w:bidi w:val="0"/>
              <w:spacing w:before="0" w:after="283"/>
              <w:jc w:val="left"/>
              <w:rPr/>
            </w:pPr>
            <w:hyperlink w:anchor="regn013211-def14aa032">
              <w:r>
                <w:rPr>
                  <w:rStyle w:val="InternetLink"/>
                  <w:rFonts w:ascii="Arial;Helvetica;Sans-Serif" w:hAnsi="Arial;Helvetica;Sans-Serif"/>
                  <w:b w:val="false"/>
                  <w:i w:val="false"/>
                  <w:caps w:val="false"/>
                  <w:smallCaps w:val="false"/>
                  <w:strike w:val="false"/>
                  <w:dstrike w:val="false"/>
                  <w:color w:val="000000"/>
                  <w:sz w:val="18"/>
                  <w:u w:val="none"/>
                  <w:effect w:val="none"/>
                </w:rPr>
                <w:t>Code of Ethics</w:t>
              </w:r>
            </w:hyperlink>
          </w:p>
        </w:tc>
        <w:tc>
          <w:tcPr>
            <w:tcW w:w="245" w:type="dxa"/>
            <w:tcBorders/>
            <w:vAlign w:val="center"/>
          </w:tcPr>
          <w:p>
            <w:pPr>
              <w:pStyle w:val="TableContents"/>
              <w:bidi w:val="0"/>
              <w:spacing w:before="0" w:after="283"/>
              <w:jc w:val="right"/>
              <w:rPr/>
            </w:pPr>
            <w:hyperlink w:anchor="regn013211-def14aa032">
              <w:r>
                <w:rPr>
                  <w:rStyle w:val="InternetLink"/>
                  <w:rFonts w:ascii="Arial;Helvetica;Sans-Serif" w:hAnsi="Arial;Helvetica;Sans-Serif"/>
                  <w:b w:val="false"/>
                  <w:i w:val="false"/>
                  <w:caps w:val="false"/>
                  <w:smallCaps w:val="false"/>
                  <w:strike w:val="false"/>
                  <w:dstrike w:val="false"/>
                  <w:color w:val="000000"/>
                  <w:sz w:val="18"/>
                  <w:u w:val="none"/>
                  <w:effect w:val="none"/>
                </w:rPr>
                <w:t>42</w:t>
              </w:r>
            </w:hyperlink>
          </w:p>
        </w:tc>
      </w:tr>
      <w:tr>
        <w:trPr/>
        <w:tc>
          <w:tcPr>
            <w:tcW w:w="7085" w:type="dxa"/>
            <w:gridSpan w:val="2"/>
            <w:tcBorders/>
            <w:vAlign w:val="center"/>
          </w:tcPr>
          <w:p>
            <w:pPr>
              <w:pStyle w:val="TableContents"/>
              <w:bidi w:val="0"/>
              <w:spacing w:before="0" w:after="283"/>
              <w:jc w:val="left"/>
              <w:rPr/>
            </w:pPr>
            <w:hyperlink w:anchor="regn013211-def14aa033">
              <w:r>
                <w:rPr>
                  <w:rStyle w:val="InternetLink"/>
                  <w:rFonts w:ascii="Arial;Helvetica;Sans-Serif" w:hAnsi="Arial;Helvetica;Sans-Serif"/>
                  <w:b w:val="false"/>
                  <w:i w:val="false"/>
                  <w:caps w:val="false"/>
                  <w:smallCaps w:val="false"/>
                  <w:strike w:val="false"/>
                  <w:dstrike w:val="false"/>
                  <w:color w:val="000000"/>
                  <w:sz w:val="18"/>
                  <w:u w:val="none"/>
                  <w:effect w:val="none"/>
                </w:rPr>
                <w:t>Public Policy Engagement</w:t>
              </w:r>
            </w:hyperlink>
          </w:p>
        </w:tc>
        <w:tc>
          <w:tcPr>
            <w:tcW w:w="245" w:type="dxa"/>
            <w:tcBorders/>
            <w:vAlign w:val="center"/>
          </w:tcPr>
          <w:p>
            <w:pPr>
              <w:pStyle w:val="TableContents"/>
              <w:bidi w:val="0"/>
              <w:spacing w:before="0" w:after="283"/>
              <w:jc w:val="right"/>
              <w:rPr/>
            </w:pPr>
            <w:hyperlink w:anchor="regn013211-def14aa033">
              <w:r>
                <w:rPr>
                  <w:rStyle w:val="InternetLink"/>
                  <w:rFonts w:ascii="Arial;Helvetica;Sans-Serif" w:hAnsi="Arial;Helvetica;Sans-Serif"/>
                  <w:b w:val="false"/>
                  <w:i w:val="false"/>
                  <w:caps w:val="false"/>
                  <w:smallCaps w:val="false"/>
                  <w:strike w:val="false"/>
                  <w:dstrike w:val="false"/>
                  <w:color w:val="000000"/>
                  <w:sz w:val="18"/>
                  <w:u w:val="none"/>
                  <w:effect w:val="none"/>
                </w:rPr>
                <w:t>42</w:t>
              </w:r>
            </w:hyperlink>
          </w:p>
        </w:tc>
      </w:tr>
      <w:tr>
        <w:trPr/>
        <w:tc>
          <w:tcPr>
            <w:tcW w:w="7085" w:type="dxa"/>
            <w:gridSpan w:val="2"/>
            <w:tcBorders/>
            <w:vAlign w:val="center"/>
          </w:tcPr>
          <w:p>
            <w:pPr>
              <w:pStyle w:val="TableContents"/>
              <w:bidi w:val="0"/>
              <w:spacing w:before="0" w:after="283"/>
              <w:jc w:val="left"/>
              <w:rPr/>
            </w:pPr>
            <w:hyperlink w:anchor="regn013211-def14aa034">
              <w:r>
                <w:rPr>
                  <w:rStyle w:val="InternetLink"/>
                  <w:rFonts w:ascii="Arial;Helvetica;Sans-Serif" w:hAnsi="Arial;Helvetica;Sans-Serif"/>
                  <w:b w:val="false"/>
                  <w:i w:val="false"/>
                  <w:caps w:val="false"/>
                  <w:smallCaps w:val="false"/>
                  <w:strike w:val="false"/>
                  <w:dstrike w:val="false"/>
                  <w:color w:val="000000"/>
                  <w:sz w:val="18"/>
                  <w:u w:val="none"/>
                  <w:effect w:val="none"/>
                </w:rPr>
                <w:t>Stock Ownership Guidelines</w:t>
              </w:r>
            </w:hyperlink>
          </w:p>
        </w:tc>
        <w:tc>
          <w:tcPr>
            <w:tcW w:w="245" w:type="dxa"/>
            <w:tcBorders/>
            <w:vAlign w:val="center"/>
          </w:tcPr>
          <w:p>
            <w:pPr>
              <w:pStyle w:val="TableContents"/>
              <w:bidi w:val="0"/>
              <w:spacing w:before="0" w:after="283"/>
              <w:jc w:val="right"/>
              <w:rPr/>
            </w:pPr>
            <w:hyperlink w:anchor="regn013211-def14aa034">
              <w:r>
                <w:rPr>
                  <w:rStyle w:val="InternetLink"/>
                  <w:rFonts w:ascii="Arial;Helvetica;Sans-Serif" w:hAnsi="Arial;Helvetica;Sans-Serif"/>
                  <w:b w:val="false"/>
                  <w:i w:val="false"/>
                  <w:caps w:val="false"/>
                  <w:smallCaps w:val="false"/>
                  <w:strike w:val="false"/>
                  <w:dstrike w:val="false"/>
                  <w:color w:val="000000"/>
                  <w:sz w:val="18"/>
                  <w:u w:val="none"/>
                  <w:effect w:val="none"/>
                </w:rPr>
                <w:t>42</w:t>
              </w:r>
            </w:hyperlink>
          </w:p>
        </w:tc>
      </w:tr>
      <w:tr>
        <w:trPr/>
        <w:tc>
          <w:tcPr>
            <w:tcW w:w="7085" w:type="dxa"/>
            <w:gridSpan w:val="2"/>
            <w:tcBorders/>
            <w:vAlign w:val="center"/>
          </w:tcPr>
          <w:p>
            <w:pPr>
              <w:pStyle w:val="TableContents"/>
              <w:bidi w:val="0"/>
              <w:spacing w:before="0" w:after="283"/>
              <w:jc w:val="left"/>
              <w:rPr/>
            </w:pPr>
            <w:hyperlink w:anchor="regn013211-def14aa035">
              <w:r>
                <w:rPr>
                  <w:rStyle w:val="InternetLink"/>
                  <w:rFonts w:ascii="Arial;Helvetica;Sans-Serif" w:hAnsi="Arial;Helvetica;Sans-Serif"/>
                  <w:b w:val="false"/>
                  <w:i w:val="false"/>
                  <w:caps w:val="false"/>
                  <w:smallCaps w:val="false"/>
                  <w:strike w:val="false"/>
                  <w:dstrike w:val="false"/>
                  <w:color w:val="000000"/>
                  <w:sz w:val="18"/>
                  <w:u w:val="none"/>
                  <w:effect w:val="none"/>
                </w:rPr>
                <w:t>Insider Trading Policy</w:t>
              </w:r>
            </w:hyperlink>
          </w:p>
        </w:tc>
        <w:tc>
          <w:tcPr>
            <w:tcW w:w="245" w:type="dxa"/>
            <w:tcBorders/>
            <w:vAlign w:val="center"/>
          </w:tcPr>
          <w:p>
            <w:pPr>
              <w:pStyle w:val="TableContents"/>
              <w:bidi w:val="0"/>
              <w:spacing w:before="0" w:after="283"/>
              <w:jc w:val="right"/>
              <w:rPr/>
            </w:pPr>
            <w:hyperlink w:anchor="regn013211-def14aa035">
              <w:r>
                <w:rPr>
                  <w:rStyle w:val="InternetLink"/>
                  <w:rFonts w:ascii="Arial;Helvetica;Sans-Serif" w:hAnsi="Arial;Helvetica;Sans-Serif"/>
                  <w:b w:val="false"/>
                  <w:i w:val="false"/>
                  <w:caps w:val="false"/>
                  <w:smallCaps w:val="false"/>
                  <w:strike w:val="false"/>
                  <w:dstrike w:val="false"/>
                  <w:color w:val="000000"/>
                  <w:sz w:val="18"/>
                  <w:u w:val="none"/>
                  <w:effect w:val="none"/>
                </w:rPr>
                <w:t>42</w:t>
              </w:r>
            </w:hyperlink>
          </w:p>
        </w:tc>
      </w:tr>
      <w:tr>
        <w:trPr/>
        <w:tc>
          <w:tcPr>
            <w:tcW w:w="7085" w:type="dxa"/>
            <w:gridSpan w:val="2"/>
            <w:tcBorders/>
            <w:vAlign w:val="center"/>
          </w:tcPr>
          <w:p>
            <w:pPr>
              <w:pStyle w:val="TableContents"/>
              <w:bidi w:val="0"/>
              <w:spacing w:before="0" w:after="283"/>
              <w:jc w:val="left"/>
              <w:rPr/>
            </w:pPr>
            <w:hyperlink w:anchor="regn013211-def14aa036">
              <w:r>
                <w:rPr>
                  <w:rStyle w:val="InternetLink"/>
                  <w:rFonts w:ascii="Arial;Helvetica;Sans-Serif" w:hAnsi="Arial;Helvetica;Sans-Serif"/>
                  <w:b/>
                  <w:i w:val="false"/>
                  <w:caps w:val="false"/>
                  <w:smallCaps w:val="false"/>
                  <w:strike w:val="false"/>
                  <w:dstrike w:val="false"/>
                  <w:color w:val="3B5AA4"/>
                  <w:sz w:val="18"/>
                  <w:u w:val="none"/>
                  <w:effect w:val="none"/>
                </w:rPr>
                <w:t>The Company</w:t>
              </w:r>
            </w:hyperlink>
          </w:p>
        </w:tc>
        <w:tc>
          <w:tcPr>
            <w:tcW w:w="245" w:type="dxa"/>
            <w:tcBorders/>
            <w:vAlign w:val="center"/>
          </w:tcPr>
          <w:p>
            <w:pPr>
              <w:pStyle w:val="TableContents"/>
              <w:bidi w:val="0"/>
              <w:spacing w:before="0" w:after="283"/>
              <w:jc w:val="right"/>
              <w:rPr/>
            </w:pPr>
            <w:hyperlink w:anchor="regn013211-def14aa036">
              <w:r>
                <w:rPr>
                  <w:rStyle w:val="InternetLink"/>
                  <w:rFonts w:ascii="Arial;Helvetica;Sans-Serif" w:hAnsi="Arial;Helvetica;Sans-Serif"/>
                  <w:b/>
                  <w:i w:val="false"/>
                  <w:caps w:val="false"/>
                  <w:smallCaps w:val="false"/>
                  <w:strike w:val="false"/>
                  <w:dstrike w:val="false"/>
                  <w:color w:val="3B5AA4"/>
                  <w:sz w:val="18"/>
                  <w:u w:val="none"/>
                  <w:effect w:val="none"/>
                </w:rPr>
                <w:t>43</w:t>
              </w:r>
            </w:hyperlink>
          </w:p>
        </w:tc>
      </w:tr>
      <w:tr>
        <w:trPr/>
        <w:tc>
          <w:tcPr>
            <w:tcW w:w="7085" w:type="dxa"/>
            <w:gridSpan w:val="2"/>
            <w:tcBorders/>
            <w:vAlign w:val="center"/>
          </w:tcPr>
          <w:p>
            <w:pPr>
              <w:pStyle w:val="TableContents"/>
              <w:bidi w:val="0"/>
              <w:spacing w:before="0" w:after="283"/>
              <w:jc w:val="left"/>
              <w:rPr/>
            </w:pPr>
            <w:hyperlink w:anchor="regn013211-def14aa037">
              <w:r>
                <w:rPr>
                  <w:rStyle w:val="InternetLink"/>
                  <w:rFonts w:ascii="Arial;Helvetica;Sans-Serif" w:hAnsi="Arial;Helvetica;Sans-Serif"/>
                  <w:b/>
                  <w:i w:val="false"/>
                  <w:caps w:val="false"/>
                  <w:smallCaps w:val="false"/>
                  <w:strike w:val="false"/>
                  <w:dstrike w:val="false"/>
                  <w:color w:val="000000"/>
                  <w:sz w:val="18"/>
                  <w:u w:val="none"/>
                  <w:effect w:val="none"/>
                </w:rPr>
                <w:t>Executive Officers of the Company</w:t>
              </w:r>
            </w:hyperlink>
          </w:p>
        </w:tc>
        <w:tc>
          <w:tcPr>
            <w:tcW w:w="245" w:type="dxa"/>
            <w:tcBorders/>
            <w:vAlign w:val="center"/>
          </w:tcPr>
          <w:p>
            <w:pPr>
              <w:pStyle w:val="TableContents"/>
              <w:bidi w:val="0"/>
              <w:spacing w:before="0" w:after="283"/>
              <w:jc w:val="right"/>
              <w:rPr/>
            </w:pPr>
            <w:hyperlink w:anchor="regn013211-def14aa037">
              <w:r>
                <w:rPr>
                  <w:rStyle w:val="InternetLink"/>
                  <w:rFonts w:ascii="Arial;Helvetica;Sans-Serif" w:hAnsi="Arial;Helvetica;Sans-Serif"/>
                  <w:b/>
                  <w:i w:val="false"/>
                  <w:caps w:val="false"/>
                  <w:smallCaps w:val="false"/>
                  <w:strike w:val="false"/>
                  <w:dstrike w:val="false"/>
                  <w:color w:val="000000"/>
                  <w:sz w:val="18"/>
                  <w:u w:val="none"/>
                  <w:effect w:val="none"/>
                </w:rPr>
                <w:t>43</w:t>
              </w:r>
            </w:hyperlink>
          </w:p>
        </w:tc>
      </w:tr>
      <w:tr>
        <w:trPr/>
        <w:tc>
          <w:tcPr>
            <w:tcW w:w="7085" w:type="dxa"/>
            <w:gridSpan w:val="2"/>
            <w:tcBorders/>
            <w:vAlign w:val="center"/>
          </w:tcPr>
          <w:p>
            <w:pPr>
              <w:pStyle w:val="TableContents"/>
              <w:bidi w:val="0"/>
              <w:spacing w:before="0" w:after="283"/>
              <w:jc w:val="left"/>
              <w:rPr/>
            </w:pPr>
            <w:hyperlink w:anchor="regn013211-def14aa038">
              <w:r>
                <w:rPr>
                  <w:rStyle w:val="InternetLink"/>
                  <w:rFonts w:ascii="Arial;Helvetica;Sans-Serif" w:hAnsi="Arial;Helvetica;Sans-Serif"/>
                  <w:b/>
                  <w:i w:val="false"/>
                  <w:caps w:val="false"/>
                  <w:smallCaps w:val="false"/>
                  <w:strike w:val="false"/>
                  <w:dstrike w:val="false"/>
                  <w:color w:val="000000"/>
                  <w:sz w:val="18"/>
                  <w:u w:val="none"/>
                  <w:effect w:val="none"/>
                </w:rPr>
                <w:t>Corporate Responsibility</w:t>
              </w:r>
            </w:hyperlink>
          </w:p>
        </w:tc>
        <w:tc>
          <w:tcPr>
            <w:tcW w:w="245" w:type="dxa"/>
            <w:tcBorders/>
            <w:vAlign w:val="center"/>
          </w:tcPr>
          <w:p>
            <w:pPr>
              <w:pStyle w:val="TableContents"/>
              <w:bidi w:val="0"/>
              <w:spacing w:before="0" w:after="283"/>
              <w:jc w:val="right"/>
              <w:rPr/>
            </w:pPr>
            <w:hyperlink w:anchor="regn013211-def14aa038">
              <w:r>
                <w:rPr>
                  <w:rStyle w:val="InternetLink"/>
                  <w:rFonts w:ascii="Arial;Helvetica;Sans-Serif" w:hAnsi="Arial;Helvetica;Sans-Serif"/>
                  <w:b/>
                  <w:i w:val="false"/>
                  <w:caps w:val="false"/>
                  <w:smallCaps w:val="false"/>
                  <w:strike w:val="false"/>
                  <w:dstrike w:val="false"/>
                  <w:color w:val="000000"/>
                  <w:sz w:val="18"/>
                  <w:u w:val="none"/>
                  <w:effect w:val="none"/>
                </w:rPr>
                <w:t>46</w:t>
              </w:r>
            </w:hyperlink>
          </w:p>
        </w:tc>
      </w:tr>
      <w:tr>
        <w:trPr/>
        <w:tc>
          <w:tcPr>
            <w:tcW w:w="7085" w:type="dxa"/>
            <w:gridSpan w:val="2"/>
            <w:tcBorders/>
            <w:vAlign w:val="center"/>
          </w:tcPr>
          <w:p>
            <w:pPr>
              <w:pStyle w:val="TableContents"/>
              <w:bidi w:val="0"/>
              <w:spacing w:before="0" w:after="283"/>
              <w:jc w:val="left"/>
              <w:rPr/>
            </w:pPr>
            <w:hyperlink w:anchor="regn013211-def14aa039">
              <w:r>
                <w:rPr>
                  <w:rStyle w:val="InternetLink"/>
                  <w:rFonts w:ascii="Arial;Helvetica;Sans-Serif" w:hAnsi="Arial;Helvetica;Sans-Serif"/>
                  <w:b/>
                  <w:i w:val="false"/>
                  <w:caps w:val="false"/>
                  <w:smallCaps w:val="false"/>
                  <w:strike w:val="false"/>
                  <w:dstrike w:val="false"/>
                  <w:color w:val="000000"/>
                  <w:sz w:val="18"/>
                  <w:u w:val="none"/>
                  <w:effect w:val="none"/>
                </w:rPr>
                <w:t>Certain Relationships and Related Transactions</w:t>
              </w:r>
            </w:hyperlink>
          </w:p>
        </w:tc>
        <w:tc>
          <w:tcPr>
            <w:tcW w:w="245" w:type="dxa"/>
            <w:tcBorders/>
            <w:vAlign w:val="center"/>
          </w:tcPr>
          <w:p>
            <w:pPr>
              <w:pStyle w:val="TableContents"/>
              <w:bidi w:val="0"/>
              <w:spacing w:before="0" w:after="283"/>
              <w:jc w:val="right"/>
              <w:rPr/>
            </w:pPr>
            <w:hyperlink w:anchor="regn013211-def14aa039">
              <w:r>
                <w:rPr>
                  <w:rStyle w:val="InternetLink"/>
                  <w:rFonts w:ascii="Arial;Helvetica;Sans-Serif" w:hAnsi="Arial;Helvetica;Sans-Serif"/>
                  <w:b/>
                  <w:i w:val="false"/>
                  <w:caps w:val="false"/>
                  <w:smallCaps w:val="false"/>
                  <w:strike w:val="false"/>
                  <w:dstrike w:val="false"/>
                  <w:color w:val="000000"/>
                  <w:sz w:val="18"/>
                  <w:u w:val="none"/>
                  <w:effect w:val="none"/>
                </w:rPr>
                <w:t>49</w:t>
              </w:r>
            </w:hyperlink>
          </w:p>
        </w:tc>
      </w:tr>
      <w:tr>
        <w:trPr/>
        <w:tc>
          <w:tcPr>
            <w:tcW w:w="7085" w:type="dxa"/>
            <w:gridSpan w:val="2"/>
            <w:tcBorders/>
            <w:vAlign w:val="center"/>
          </w:tcPr>
          <w:p>
            <w:pPr>
              <w:pStyle w:val="TableContents"/>
              <w:bidi w:val="0"/>
              <w:spacing w:before="0" w:after="283"/>
              <w:jc w:val="left"/>
              <w:rPr/>
            </w:pPr>
            <w:hyperlink w:anchor="regn013211-def14aa040">
              <w:r>
                <w:rPr>
                  <w:rStyle w:val="InternetLink"/>
                  <w:rFonts w:ascii="Arial;Helvetica;Sans-Serif" w:hAnsi="Arial;Helvetica;Sans-Serif"/>
                  <w:b w:val="false"/>
                  <w:i w:val="false"/>
                  <w:caps w:val="false"/>
                  <w:smallCaps w:val="false"/>
                  <w:strike w:val="false"/>
                  <w:dstrike w:val="false"/>
                  <w:color w:val="000000"/>
                  <w:sz w:val="18"/>
                  <w:u w:val="none"/>
                  <w:effect w:val="none"/>
                </w:rPr>
                <w:t>Review, Approval, or Ratification of Transactions with Related Persons</w:t>
              </w:r>
            </w:hyperlink>
          </w:p>
        </w:tc>
        <w:tc>
          <w:tcPr>
            <w:tcW w:w="245" w:type="dxa"/>
            <w:tcBorders/>
            <w:vAlign w:val="center"/>
          </w:tcPr>
          <w:p>
            <w:pPr>
              <w:pStyle w:val="TableContents"/>
              <w:bidi w:val="0"/>
              <w:spacing w:before="0" w:after="283"/>
              <w:jc w:val="right"/>
              <w:rPr/>
            </w:pPr>
            <w:hyperlink w:anchor="regn013211-def14aa040">
              <w:r>
                <w:rPr>
                  <w:rStyle w:val="InternetLink"/>
                  <w:rFonts w:ascii="Arial;Helvetica;Sans-Serif" w:hAnsi="Arial;Helvetica;Sans-Serif"/>
                  <w:b w:val="false"/>
                  <w:i w:val="false"/>
                  <w:caps w:val="false"/>
                  <w:smallCaps w:val="false"/>
                  <w:strike w:val="false"/>
                  <w:dstrike w:val="false"/>
                  <w:color w:val="000000"/>
                  <w:sz w:val="18"/>
                  <w:u w:val="none"/>
                  <w:effect w:val="none"/>
                </w:rPr>
                <w:t>49</w:t>
              </w:r>
            </w:hyperlink>
          </w:p>
        </w:tc>
      </w:tr>
      <w:tr>
        <w:trPr/>
        <w:tc>
          <w:tcPr>
            <w:tcW w:w="7085" w:type="dxa"/>
            <w:gridSpan w:val="2"/>
            <w:tcBorders/>
            <w:vAlign w:val="center"/>
          </w:tcPr>
          <w:p>
            <w:pPr>
              <w:pStyle w:val="TableContents"/>
              <w:bidi w:val="0"/>
              <w:spacing w:before="0" w:after="283"/>
              <w:jc w:val="left"/>
              <w:rPr/>
            </w:pPr>
            <w:hyperlink w:anchor="regn013211-def14aa041">
              <w:r>
                <w:rPr>
                  <w:rStyle w:val="InternetLink"/>
                  <w:rFonts w:ascii="Arial;Helvetica;Sans-Serif" w:hAnsi="Arial;Helvetica;Sans-Serif"/>
                  <w:b w:val="false"/>
                  <w:i w:val="false"/>
                  <w:caps w:val="false"/>
                  <w:smallCaps w:val="false"/>
                  <w:strike w:val="false"/>
                  <w:dstrike w:val="false"/>
                  <w:color w:val="000000"/>
                  <w:sz w:val="18"/>
                  <w:u w:val="none"/>
                  <w:effect w:val="none"/>
                </w:rPr>
                <w:t>Other</w:t>
              </w:r>
            </w:hyperlink>
          </w:p>
        </w:tc>
        <w:tc>
          <w:tcPr>
            <w:tcW w:w="245" w:type="dxa"/>
            <w:tcBorders/>
            <w:vAlign w:val="center"/>
          </w:tcPr>
          <w:p>
            <w:pPr>
              <w:pStyle w:val="TableContents"/>
              <w:bidi w:val="0"/>
              <w:spacing w:before="0" w:after="283"/>
              <w:jc w:val="right"/>
              <w:rPr/>
            </w:pPr>
            <w:hyperlink w:anchor="regn013211-def14aa041">
              <w:r>
                <w:rPr>
                  <w:rStyle w:val="InternetLink"/>
                  <w:rFonts w:ascii="Arial;Helvetica;Sans-Serif" w:hAnsi="Arial;Helvetica;Sans-Serif"/>
                  <w:b w:val="false"/>
                  <w:i w:val="false"/>
                  <w:caps w:val="false"/>
                  <w:smallCaps w:val="false"/>
                  <w:strike w:val="false"/>
                  <w:dstrike w:val="false"/>
                  <w:color w:val="000000"/>
                  <w:sz w:val="18"/>
                  <w:u w:val="none"/>
                  <w:effect w:val="none"/>
                </w:rPr>
                <w:t>49</w:t>
              </w:r>
            </w:hyperlink>
          </w:p>
        </w:tc>
      </w:tr>
      <w:tr>
        <w:trPr/>
        <w:tc>
          <w:tcPr>
            <w:tcW w:w="7085" w:type="dxa"/>
            <w:gridSpan w:val="2"/>
            <w:tcBorders/>
            <w:vAlign w:val="center"/>
          </w:tcPr>
          <w:p>
            <w:pPr>
              <w:pStyle w:val="TableContents"/>
              <w:bidi w:val="0"/>
              <w:spacing w:before="0" w:after="283"/>
              <w:jc w:val="left"/>
              <w:rPr/>
            </w:pPr>
            <w:hyperlink w:anchor="regn013211-def14aa042">
              <w:r>
                <w:rPr>
                  <w:rStyle w:val="InternetLink"/>
                  <w:rFonts w:ascii="Arial;Helvetica;Sans-Serif" w:hAnsi="Arial;Helvetica;Sans-Serif"/>
                  <w:b/>
                  <w:i w:val="false"/>
                  <w:caps w:val="false"/>
                  <w:smallCaps w:val="false"/>
                  <w:strike w:val="false"/>
                  <w:dstrike w:val="false"/>
                  <w:color w:val="000000"/>
                  <w:sz w:val="18"/>
                  <w:u w:val="none"/>
                  <w:effect w:val="none"/>
                </w:rPr>
                <w:t>Security Ownership of Certain Beneficial Owners and Management</w:t>
              </w:r>
            </w:hyperlink>
          </w:p>
        </w:tc>
        <w:tc>
          <w:tcPr>
            <w:tcW w:w="245" w:type="dxa"/>
            <w:tcBorders/>
            <w:vAlign w:val="center"/>
          </w:tcPr>
          <w:p>
            <w:pPr>
              <w:pStyle w:val="TableContents"/>
              <w:bidi w:val="0"/>
              <w:spacing w:before="0" w:after="283"/>
              <w:jc w:val="right"/>
              <w:rPr/>
            </w:pPr>
            <w:hyperlink w:anchor="regn013211-def14aa042">
              <w:r>
                <w:rPr>
                  <w:rStyle w:val="InternetLink"/>
                  <w:rFonts w:ascii="Arial;Helvetica;Sans-Serif" w:hAnsi="Arial;Helvetica;Sans-Serif"/>
                  <w:b/>
                  <w:i w:val="false"/>
                  <w:caps w:val="false"/>
                  <w:smallCaps w:val="false"/>
                  <w:strike w:val="false"/>
                  <w:dstrike w:val="false"/>
                  <w:color w:val="000000"/>
                  <w:sz w:val="18"/>
                  <w:u w:val="none"/>
                  <w:effect w:val="none"/>
                </w:rPr>
                <w:t>50</w:t>
              </w:r>
            </w:hyperlink>
          </w:p>
        </w:tc>
      </w:tr>
      <w:tr>
        <w:trPr/>
        <w:tc>
          <w:tcPr>
            <w:tcW w:w="7085" w:type="dxa"/>
            <w:gridSpan w:val="2"/>
            <w:tcBorders/>
            <w:vAlign w:val="center"/>
          </w:tcPr>
          <w:p>
            <w:pPr>
              <w:pStyle w:val="TableContents"/>
              <w:bidi w:val="0"/>
              <w:spacing w:before="0" w:after="283"/>
              <w:jc w:val="left"/>
              <w:rPr/>
            </w:pPr>
            <w:hyperlink w:anchor="regn013211-def14aa043">
              <w:r>
                <w:rPr>
                  <w:rStyle w:val="InternetLink"/>
                  <w:rFonts w:ascii="Arial;Helvetica;Sans-Serif" w:hAnsi="Arial;Helvetica;Sans-Serif"/>
                  <w:b/>
                  <w:i w:val="false"/>
                  <w:caps w:val="false"/>
                  <w:smallCaps w:val="false"/>
                  <w:strike w:val="false"/>
                  <w:dstrike w:val="false"/>
                  <w:color w:val="000000"/>
                  <w:sz w:val="18"/>
                  <w:u w:val="none"/>
                  <w:effect w:val="none"/>
                </w:rPr>
                <w:t>Audit Matters</w:t>
              </w:r>
            </w:hyperlink>
          </w:p>
        </w:tc>
        <w:tc>
          <w:tcPr>
            <w:tcW w:w="245" w:type="dxa"/>
            <w:tcBorders/>
            <w:vAlign w:val="center"/>
          </w:tcPr>
          <w:p>
            <w:pPr>
              <w:pStyle w:val="TableContents"/>
              <w:bidi w:val="0"/>
              <w:spacing w:before="0" w:after="283"/>
              <w:jc w:val="right"/>
              <w:rPr/>
            </w:pPr>
            <w:hyperlink w:anchor="regn013211-def14aa043">
              <w:r>
                <w:rPr>
                  <w:rStyle w:val="InternetLink"/>
                  <w:rFonts w:ascii="Arial;Helvetica;Sans-Serif" w:hAnsi="Arial;Helvetica;Sans-Serif"/>
                  <w:b/>
                  <w:i w:val="false"/>
                  <w:caps w:val="false"/>
                  <w:smallCaps w:val="false"/>
                  <w:strike w:val="false"/>
                  <w:dstrike w:val="false"/>
                  <w:color w:val="000000"/>
                  <w:sz w:val="18"/>
                  <w:u w:val="none"/>
                  <w:effect w:val="none"/>
                </w:rPr>
                <w:t>54</w:t>
              </w:r>
            </w:hyperlink>
          </w:p>
        </w:tc>
      </w:tr>
      <w:tr>
        <w:trPr/>
        <w:tc>
          <w:tcPr>
            <w:tcW w:w="7085" w:type="dxa"/>
            <w:gridSpan w:val="2"/>
            <w:tcBorders/>
            <w:vAlign w:val="center"/>
          </w:tcPr>
          <w:p>
            <w:pPr>
              <w:pStyle w:val="TableContents"/>
              <w:bidi w:val="0"/>
              <w:spacing w:before="0" w:after="283"/>
              <w:jc w:val="left"/>
              <w:rPr/>
            </w:pPr>
            <w:hyperlink w:anchor="regn013211-def14aa044">
              <w:r>
                <w:rPr>
                  <w:rStyle w:val="InternetLink"/>
                  <w:rFonts w:ascii="Arial;Helvetica;Sans-Serif" w:hAnsi="Arial;Helvetica;Sans-Serif"/>
                  <w:b w:val="false"/>
                  <w:i w:val="false"/>
                  <w:caps w:val="false"/>
                  <w:smallCaps w:val="false"/>
                  <w:strike w:val="false"/>
                  <w:dstrike w:val="false"/>
                  <w:color w:val="000000"/>
                  <w:sz w:val="18"/>
                  <w:u w:val="none"/>
                  <w:effect w:val="none"/>
                </w:rPr>
                <w:t>Introduction</w:t>
              </w:r>
            </w:hyperlink>
          </w:p>
        </w:tc>
        <w:tc>
          <w:tcPr>
            <w:tcW w:w="245" w:type="dxa"/>
            <w:tcBorders/>
            <w:vAlign w:val="center"/>
          </w:tcPr>
          <w:p>
            <w:pPr>
              <w:pStyle w:val="TableContents"/>
              <w:bidi w:val="0"/>
              <w:spacing w:before="0" w:after="283"/>
              <w:jc w:val="right"/>
              <w:rPr/>
            </w:pPr>
            <w:hyperlink w:anchor="regn013211-def14aa044">
              <w:r>
                <w:rPr>
                  <w:rStyle w:val="InternetLink"/>
                  <w:rFonts w:ascii="Arial;Helvetica;Sans-Serif" w:hAnsi="Arial;Helvetica;Sans-Serif"/>
                  <w:b w:val="false"/>
                  <w:i w:val="false"/>
                  <w:caps w:val="false"/>
                  <w:smallCaps w:val="false"/>
                  <w:strike w:val="false"/>
                  <w:dstrike w:val="false"/>
                  <w:color w:val="000000"/>
                  <w:sz w:val="18"/>
                  <w:u w:val="none"/>
                  <w:effect w:val="none"/>
                </w:rPr>
                <w:t>54</w:t>
              </w:r>
            </w:hyperlink>
          </w:p>
        </w:tc>
      </w:tr>
      <w:tr>
        <w:trPr/>
        <w:tc>
          <w:tcPr>
            <w:tcW w:w="7085" w:type="dxa"/>
            <w:gridSpan w:val="2"/>
            <w:tcBorders/>
            <w:vAlign w:val="center"/>
          </w:tcPr>
          <w:p>
            <w:pPr>
              <w:pStyle w:val="TableContents"/>
              <w:bidi w:val="0"/>
              <w:spacing w:before="0" w:after="283"/>
              <w:jc w:val="left"/>
              <w:rPr/>
            </w:pPr>
            <w:hyperlink w:anchor="regn013211-def14aa045">
              <w:r>
                <w:rPr>
                  <w:rStyle w:val="InternetLink"/>
                  <w:rFonts w:ascii="Arial;Helvetica;Sans-Serif" w:hAnsi="Arial;Helvetica;Sans-Serif"/>
                  <w:b w:val="false"/>
                  <w:i w:val="false"/>
                  <w:caps w:val="false"/>
                  <w:smallCaps w:val="false"/>
                  <w:strike w:val="false"/>
                  <w:dstrike w:val="false"/>
                  <w:color w:val="000000"/>
                  <w:sz w:val="18"/>
                  <w:u w:val="none"/>
                  <w:effect w:val="none"/>
                </w:rPr>
                <w:t>Information about Fees Paid to Independent Registered Public Accounting Firm</w:t>
              </w:r>
            </w:hyperlink>
          </w:p>
        </w:tc>
        <w:tc>
          <w:tcPr>
            <w:tcW w:w="245" w:type="dxa"/>
            <w:tcBorders/>
            <w:vAlign w:val="center"/>
          </w:tcPr>
          <w:p>
            <w:pPr>
              <w:pStyle w:val="TableContents"/>
              <w:bidi w:val="0"/>
              <w:spacing w:before="0" w:after="283"/>
              <w:jc w:val="right"/>
              <w:rPr/>
            </w:pPr>
            <w:hyperlink w:anchor="regn013211-def14aa045">
              <w:r>
                <w:rPr>
                  <w:rStyle w:val="InternetLink"/>
                  <w:rFonts w:ascii="Arial;Helvetica;Sans-Serif" w:hAnsi="Arial;Helvetica;Sans-Serif"/>
                  <w:b w:val="false"/>
                  <w:i w:val="false"/>
                  <w:caps w:val="false"/>
                  <w:smallCaps w:val="false"/>
                  <w:strike w:val="false"/>
                  <w:dstrike w:val="false"/>
                  <w:color w:val="000000"/>
                  <w:sz w:val="18"/>
                  <w:u w:val="none"/>
                  <w:effect w:val="none"/>
                </w:rPr>
                <w:t>55</w:t>
              </w:r>
            </w:hyperlink>
          </w:p>
        </w:tc>
      </w:tr>
      <w:tr>
        <w:trPr/>
        <w:tc>
          <w:tcPr>
            <w:tcW w:w="7085" w:type="dxa"/>
            <w:gridSpan w:val="2"/>
            <w:tcBorders/>
            <w:vAlign w:val="center"/>
          </w:tcPr>
          <w:p>
            <w:pPr>
              <w:pStyle w:val="TableContents"/>
              <w:bidi w:val="0"/>
              <w:spacing w:before="0" w:after="283"/>
              <w:jc w:val="left"/>
              <w:rPr/>
            </w:pPr>
            <w:hyperlink w:anchor="regn013211-def14aa046">
              <w:r>
                <w:rPr>
                  <w:rStyle w:val="InternetLink"/>
                  <w:rFonts w:ascii="Arial;Helvetica;Sans-Serif" w:hAnsi="Arial;Helvetica;Sans-Serif"/>
                  <w:b w:val="false"/>
                  <w:i w:val="false"/>
                  <w:caps w:val="false"/>
                  <w:smallCaps w:val="false"/>
                  <w:strike w:val="false"/>
                  <w:dstrike w:val="false"/>
                  <w:color w:val="000000"/>
                  <w:sz w:val="18"/>
                  <w:u w:val="none"/>
                  <w:effect w:val="none"/>
                </w:rPr>
                <w:t>Audit Committee Report</w:t>
              </w:r>
            </w:hyperlink>
          </w:p>
        </w:tc>
        <w:tc>
          <w:tcPr>
            <w:tcW w:w="245" w:type="dxa"/>
            <w:tcBorders/>
            <w:vAlign w:val="center"/>
          </w:tcPr>
          <w:p>
            <w:pPr>
              <w:pStyle w:val="TableContents"/>
              <w:bidi w:val="0"/>
              <w:spacing w:before="0" w:after="283"/>
              <w:jc w:val="right"/>
              <w:rPr/>
            </w:pPr>
            <w:hyperlink w:anchor="regn013211-def14aa046">
              <w:r>
                <w:rPr>
                  <w:rStyle w:val="InternetLink"/>
                  <w:rFonts w:ascii="Arial;Helvetica;Sans-Serif" w:hAnsi="Arial;Helvetica;Sans-Serif"/>
                  <w:b w:val="false"/>
                  <w:i w:val="false"/>
                  <w:caps w:val="false"/>
                  <w:smallCaps w:val="false"/>
                  <w:strike w:val="false"/>
                  <w:dstrike w:val="false"/>
                  <w:color w:val="000000"/>
                  <w:sz w:val="18"/>
                  <w:u w:val="none"/>
                  <w:effect w:val="none"/>
                </w:rPr>
                <w:t>56</w:t>
              </w:r>
            </w:hyperlink>
          </w:p>
        </w:tc>
      </w:tr>
      <w:tr>
        <w:trPr/>
        <w:tc>
          <w:tcPr>
            <w:tcW w:w="708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420" w:type="dxa"/>
            <w:tcBorders>
              <w:left w:val="single" w:sz="24" w:space="0" w:color="3B5AA4"/>
            </w:tcBorders>
            <w:shd w:fill="EBEDF8" w:val="clear"/>
            <w:tcMar>
              <w:left w:w="100" w:type="dxa"/>
            </w:tcMar>
            <w:vAlign w:val="center"/>
          </w:tcPr>
          <w:p>
            <w:pPr>
              <w:pStyle w:val="TableContents"/>
              <w:bidi w:val="0"/>
              <w:spacing w:before="0" w:after="283"/>
              <w:jc w:val="center"/>
              <w:rPr/>
            </w:pPr>
            <w:r>
              <w:rPr/>
              <w:drawing>
                <wp:inline distT="0" distB="0" distL="0" distR="0">
                  <wp:extent cx="257175" cy="2476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57175" cy="247650"/>
                          </a:xfrm>
                          <a:prstGeom prst="rect">
                            <a:avLst/>
                          </a:prstGeom>
                        </pic:spPr>
                      </pic:pic>
                    </a:graphicData>
                  </a:graphic>
                </wp:inline>
              </w:drawing>
            </w:r>
          </w:p>
        </w:tc>
        <w:tc>
          <w:tcPr>
            <w:tcW w:w="6665" w:type="dxa"/>
            <w:tcBorders/>
            <w:shd w:fill="EBEDF8" w:val="clear"/>
            <w:vAlign w:val="center"/>
          </w:tcPr>
          <w:p>
            <w:pPr>
              <w:pStyle w:val="TableContents"/>
              <w:bidi w:val="0"/>
              <w:spacing w:before="0" w:after="283"/>
              <w:jc w:val="left"/>
              <w:rPr/>
            </w:pPr>
            <w:hyperlink w:anchor="regn013211-def14aa047">
              <w:r>
                <w:rPr>
                  <w:rStyle w:val="InternetLink"/>
                  <w:rFonts w:ascii="Arial;Helvetica;Sans-Serif" w:hAnsi="Arial;Helvetica;Sans-Serif"/>
                  <w:b w:val="false"/>
                  <w:i w:val="false"/>
                  <w:caps w:val="false"/>
                  <w:smallCaps w:val="false"/>
                  <w:strike w:val="false"/>
                  <w:dstrike w:val="false"/>
                  <w:color w:val="000000"/>
                  <w:sz w:val="18"/>
                  <w:u w:val="none"/>
                  <w:effect w:val="none"/>
                </w:rPr>
                <w:t xml:space="preserve">PROPOSAL No. 2 </w:t>
              </w:r>
            </w:hyperlink>
            <w:hyperlink w:anchor="regn013211-def14aa047">
              <w:r>
                <w:rPr>
                  <w:rStyle w:val="InternetLink"/>
                  <w:rFonts w:ascii="Arial;Helvetica;Sans-Serif" w:hAnsi="Arial;Helvetica;Sans-Serif"/>
                  <w:b/>
                  <w:i w:val="false"/>
                  <w:caps w:val="false"/>
                  <w:smallCaps w:val="false"/>
                  <w:strike w:val="false"/>
                  <w:dstrike w:val="false"/>
                  <w:color w:val="3B5AA4"/>
                  <w:sz w:val="18"/>
                  <w:u w:val="none"/>
                  <w:effect w:val="none"/>
                </w:rPr>
                <w:br/>
                <w:t>Ratification of Appointment of Independent Registered Public Accounting Firm</w:t>
              </w:r>
            </w:hyperlink>
          </w:p>
        </w:tc>
        <w:tc>
          <w:tcPr>
            <w:tcW w:w="245" w:type="dxa"/>
            <w:tcBorders/>
            <w:shd w:fill="EBEDF8" w:val="clear"/>
            <w:vAlign w:val="center"/>
          </w:tcPr>
          <w:p>
            <w:pPr>
              <w:pStyle w:val="TableContents"/>
              <w:bidi w:val="0"/>
              <w:spacing w:before="0" w:after="283"/>
              <w:jc w:val="right"/>
              <w:rPr/>
            </w:pPr>
            <w:hyperlink w:anchor="regn013211-def14aa047">
              <w:r>
                <w:rPr>
                  <w:rStyle w:val="InternetLink"/>
                  <w:rFonts w:ascii="Arial;Helvetica;Sans-Serif" w:hAnsi="Arial;Helvetica;Sans-Serif"/>
                  <w:b/>
                  <w:i w:val="false"/>
                  <w:caps w:val="false"/>
                  <w:smallCaps w:val="false"/>
                  <w:strike w:val="false"/>
                  <w:dstrike w:val="false"/>
                  <w:color w:val="3B5AA4"/>
                  <w:sz w:val="18"/>
                  <w:u w:val="none"/>
                  <w:effect w:val="none"/>
                </w:rPr>
                <w:t>56</w:t>
              </w:r>
            </w:hyperlink>
          </w:p>
        </w:tc>
      </w:tr>
      <w:tr>
        <w:trPr/>
        <w:tc>
          <w:tcPr>
            <w:tcW w:w="708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085" w:type="dxa"/>
            <w:gridSpan w:val="2"/>
            <w:tcBorders/>
            <w:vAlign w:val="center"/>
          </w:tcPr>
          <w:p>
            <w:pPr>
              <w:pStyle w:val="TableContents"/>
              <w:bidi w:val="0"/>
              <w:spacing w:before="0" w:after="283"/>
              <w:jc w:val="left"/>
              <w:rPr/>
            </w:pPr>
            <w:hyperlink w:anchor="regn013211-def14aa048">
              <w:r>
                <w:rPr>
                  <w:rStyle w:val="InternetLink"/>
                  <w:rFonts w:ascii="Arial;Helvetica;Sans-Serif" w:hAnsi="Arial;Helvetica;Sans-Serif"/>
                  <w:b/>
                  <w:i w:val="false"/>
                  <w:caps w:val="false"/>
                  <w:smallCaps w:val="false"/>
                  <w:strike w:val="false"/>
                  <w:dstrike w:val="false"/>
                  <w:color w:val="3B5AA4"/>
                  <w:sz w:val="18"/>
                  <w:u w:val="none"/>
                  <w:effect w:val="none"/>
                </w:rPr>
                <w:t>Compensation-Related Matters</w:t>
              </w:r>
            </w:hyperlink>
          </w:p>
        </w:tc>
        <w:tc>
          <w:tcPr>
            <w:tcW w:w="245" w:type="dxa"/>
            <w:tcBorders/>
            <w:vAlign w:val="center"/>
          </w:tcPr>
          <w:p>
            <w:pPr>
              <w:pStyle w:val="TableContents"/>
              <w:bidi w:val="0"/>
              <w:spacing w:before="0" w:after="283"/>
              <w:jc w:val="right"/>
              <w:rPr/>
            </w:pPr>
            <w:hyperlink w:anchor="regn013211-def14aa048">
              <w:r>
                <w:rPr>
                  <w:rStyle w:val="InternetLink"/>
                  <w:rFonts w:ascii="Arial;Helvetica;Sans-Serif" w:hAnsi="Arial;Helvetica;Sans-Serif"/>
                  <w:b/>
                  <w:i w:val="false"/>
                  <w:caps w:val="false"/>
                  <w:smallCaps w:val="false"/>
                  <w:strike w:val="false"/>
                  <w:dstrike w:val="false"/>
                  <w:color w:val="3B5AA4"/>
                  <w:sz w:val="18"/>
                  <w:u w:val="none"/>
                  <w:effect w:val="none"/>
                </w:rPr>
                <w:t>57</w:t>
              </w:r>
            </w:hyperlink>
          </w:p>
        </w:tc>
      </w:tr>
      <w:tr>
        <w:trPr/>
        <w:tc>
          <w:tcPr>
            <w:tcW w:w="7085" w:type="dxa"/>
            <w:gridSpan w:val="2"/>
            <w:tcBorders/>
            <w:vAlign w:val="center"/>
          </w:tcPr>
          <w:p>
            <w:pPr>
              <w:pStyle w:val="TableContents"/>
              <w:bidi w:val="0"/>
              <w:spacing w:before="0" w:after="283"/>
              <w:jc w:val="left"/>
              <w:rPr/>
            </w:pPr>
            <w:hyperlink w:anchor="regn013211-def14aa049">
              <w:r>
                <w:rPr>
                  <w:rStyle w:val="InternetLink"/>
                  <w:rFonts w:ascii="Arial;Helvetica;Sans-Serif" w:hAnsi="Arial;Helvetica;Sans-Serif"/>
                  <w:b/>
                  <w:i w:val="false"/>
                  <w:caps w:val="false"/>
                  <w:smallCaps w:val="false"/>
                  <w:strike w:val="false"/>
                  <w:dstrike w:val="false"/>
                  <w:color w:val="000000"/>
                  <w:sz w:val="18"/>
                  <w:u w:val="none"/>
                  <w:effect w:val="none"/>
                </w:rPr>
                <w:t>Compensation Discussion and Analysis</w:t>
              </w:r>
            </w:hyperlink>
          </w:p>
        </w:tc>
        <w:tc>
          <w:tcPr>
            <w:tcW w:w="245" w:type="dxa"/>
            <w:tcBorders/>
            <w:vAlign w:val="center"/>
          </w:tcPr>
          <w:p>
            <w:pPr>
              <w:pStyle w:val="TableContents"/>
              <w:bidi w:val="0"/>
              <w:spacing w:before="0" w:after="283"/>
              <w:jc w:val="right"/>
              <w:rPr/>
            </w:pPr>
            <w:hyperlink w:anchor="regn013211-def14aa049">
              <w:r>
                <w:rPr>
                  <w:rStyle w:val="InternetLink"/>
                  <w:rFonts w:ascii="Arial;Helvetica;Sans-Serif" w:hAnsi="Arial;Helvetica;Sans-Serif"/>
                  <w:b/>
                  <w:i w:val="false"/>
                  <w:caps w:val="false"/>
                  <w:smallCaps w:val="false"/>
                  <w:strike w:val="false"/>
                  <w:dstrike w:val="false"/>
                  <w:color w:val="000000"/>
                  <w:sz w:val="18"/>
                  <w:u w:val="none"/>
                  <w:effect w:val="none"/>
                </w:rPr>
                <w:t>57</w:t>
              </w:r>
            </w:hyperlink>
          </w:p>
        </w:tc>
      </w:tr>
      <w:tr>
        <w:trPr/>
        <w:tc>
          <w:tcPr>
            <w:tcW w:w="7085" w:type="dxa"/>
            <w:gridSpan w:val="2"/>
            <w:tcBorders/>
            <w:vAlign w:val="center"/>
          </w:tcPr>
          <w:p>
            <w:pPr>
              <w:pStyle w:val="TableContents"/>
              <w:bidi w:val="0"/>
              <w:spacing w:before="0" w:after="283"/>
              <w:jc w:val="left"/>
              <w:rPr/>
            </w:pPr>
            <w:hyperlink w:anchor="regn013211-def14aa050">
              <w:r>
                <w:rPr>
                  <w:rStyle w:val="InternetLink"/>
                  <w:rFonts w:ascii="Arial;Helvetica;Sans-Serif" w:hAnsi="Arial;Helvetica;Sans-Serif"/>
                  <w:b w:val="false"/>
                  <w:i w:val="false"/>
                  <w:caps w:val="false"/>
                  <w:smallCaps w:val="false"/>
                  <w:strike w:val="false"/>
                  <w:dstrike w:val="false"/>
                  <w:color w:val="000000"/>
                  <w:sz w:val="18"/>
                  <w:u w:val="none"/>
                  <w:effect w:val="none"/>
                </w:rPr>
                <w:t>Our Named Executive Officers</w:t>
              </w:r>
            </w:hyperlink>
          </w:p>
        </w:tc>
        <w:tc>
          <w:tcPr>
            <w:tcW w:w="245" w:type="dxa"/>
            <w:tcBorders/>
            <w:vAlign w:val="center"/>
          </w:tcPr>
          <w:p>
            <w:pPr>
              <w:pStyle w:val="TableContents"/>
              <w:bidi w:val="0"/>
              <w:spacing w:before="0" w:after="283"/>
              <w:jc w:val="right"/>
              <w:rPr/>
            </w:pPr>
            <w:hyperlink w:anchor="regn013211-def14aa050">
              <w:r>
                <w:rPr>
                  <w:rStyle w:val="InternetLink"/>
                  <w:rFonts w:ascii="Arial;Helvetica;Sans-Serif" w:hAnsi="Arial;Helvetica;Sans-Serif"/>
                  <w:b w:val="false"/>
                  <w:i w:val="false"/>
                  <w:caps w:val="false"/>
                  <w:smallCaps w:val="false"/>
                  <w:strike w:val="false"/>
                  <w:dstrike w:val="false"/>
                  <w:color w:val="000000"/>
                  <w:sz w:val="18"/>
                  <w:u w:val="none"/>
                  <w:effect w:val="none"/>
                </w:rPr>
                <w:t>57</w:t>
              </w:r>
            </w:hyperlink>
          </w:p>
        </w:tc>
      </w:tr>
      <w:tr>
        <w:trPr/>
        <w:tc>
          <w:tcPr>
            <w:tcW w:w="7085" w:type="dxa"/>
            <w:gridSpan w:val="2"/>
            <w:tcBorders/>
            <w:vAlign w:val="center"/>
          </w:tcPr>
          <w:p>
            <w:pPr>
              <w:pStyle w:val="TableContents"/>
              <w:bidi w:val="0"/>
              <w:spacing w:before="0" w:after="283"/>
              <w:jc w:val="left"/>
              <w:rPr/>
            </w:pPr>
            <w:hyperlink w:anchor="regn013211-def14aa051">
              <w:r>
                <w:rPr>
                  <w:rStyle w:val="InternetLink"/>
                  <w:rFonts w:ascii="Arial;Helvetica;Sans-Serif" w:hAnsi="Arial;Helvetica;Sans-Serif"/>
                  <w:b w:val="false"/>
                  <w:i w:val="false"/>
                  <w:caps w:val="false"/>
                  <w:smallCaps w:val="false"/>
                  <w:strike w:val="false"/>
                  <w:dstrike w:val="false"/>
                  <w:color w:val="000000"/>
                  <w:sz w:val="18"/>
                  <w:u w:val="none"/>
                  <w:effect w:val="none"/>
                </w:rPr>
                <w:t>Executive Summary</w:t>
              </w:r>
            </w:hyperlink>
          </w:p>
        </w:tc>
        <w:tc>
          <w:tcPr>
            <w:tcW w:w="245" w:type="dxa"/>
            <w:tcBorders/>
            <w:vAlign w:val="center"/>
          </w:tcPr>
          <w:p>
            <w:pPr>
              <w:pStyle w:val="TableContents"/>
              <w:bidi w:val="0"/>
              <w:spacing w:before="0" w:after="283"/>
              <w:jc w:val="right"/>
              <w:rPr/>
            </w:pPr>
            <w:hyperlink w:anchor="regn013211-def14aa051">
              <w:r>
                <w:rPr>
                  <w:rStyle w:val="InternetLink"/>
                  <w:rFonts w:ascii="Arial;Helvetica;Sans-Serif" w:hAnsi="Arial;Helvetica;Sans-Serif"/>
                  <w:b w:val="false"/>
                  <w:i w:val="false"/>
                  <w:caps w:val="false"/>
                  <w:smallCaps w:val="false"/>
                  <w:strike w:val="false"/>
                  <w:dstrike w:val="false"/>
                  <w:color w:val="000000"/>
                  <w:sz w:val="18"/>
                  <w:u w:val="none"/>
                  <w:effect w:val="none"/>
                </w:rPr>
                <w:t>58</w:t>
              </w:r>
            </w:hyperlink>
          </w:p>
        </w:tc>
      </w:tr>
      <w:tr>
        <w:trPr/>
        <w:tc>
          <w:tcPr>
            <w:tcW w:w="7085" w:type="dxa"/>
            <w:gridSpan w:val="2"/>
            <w:tcBorders/>
            <w:vAlign w:val="center"/>
          </w:tcPr>
          <w:p>
            <w:pPr>
              <w:pStyle w:val="TableContents"/>
              <w:bidi w:val="0"/>
              <w:spacing w:before="0" w:after="283"/>
              <w:jc w:val="left"/>
              <w:rPr/>
            </w:pPr>
            <w:hyperlink w:anchor="regn013211-def14aa052">
              <w:r>
                <w:rPr>
                  <w:rStyle w:val="InternetLink"/>
                  <w:rFonts w:ascii="Arial;Helvetica;Sans-Serif" w:hAnsi="Arial;Helvetica;Sans-Serif"/>
                  <w:b w:val="false"/>
                  <w:i w:val="false"/>
                  <w:caps w:val="false"/>
                  <w:smallCaps w:val="false"/>
                  <w:strike w:val="false"/>
                  <w:dstrike w:val="false"/>
                  <w:color w:val="000000"/>
                  <w:sz w:val="18"/>
                  <w:u w:val="none"/>
                  <w:effect w:val="none"/>
                </w:rPr>
                <w:t>Introduction to Our Compensation Program</w:t>
              </w:r>
            </w:hyperlink>
          </w:p>
        </w:tc>
        <w:tc>
          <w:tcPr>
            <w:tcW w:w="245" w:type="dxa"/>
            <w:tcBorders/>
            <w:vAlign w:val="center"/>
          </w:tcPr>
          <w:p>
            <w:pPr>
              <w:pStyle w:val="TableContents"/>
              <w:bidi w:val="0"/>
              <w:spacing w:before="0" w:after="283"/>
              <w:jc w:val="right"/>
              <w:rPr/>
            </w:pPr>
            <w:hyperlink w:anchor="regn013211-def14aa052">
              <w:r>
                <w:rPr>
                  <w:rStyle w:val="InternetLink"/>
                  <w:rFonts w:ascii="Arial;Helvetica;Sans-Serif" w:hAnsi="Arial;Helvetica;Sans-Serif"/>
                  <w:b w:val="false"/>
                  <w:i w:val="false"/>
                  <w:caps w:val="false"/>
                  <w:smallCaps w:val="false"/>
                  <w:strike w:val="false"/>
                  <w:dstrike w:val="false"/>
                  <w:color w:val="000000"/>
                  <w:sz w:val="18"/>
                  <w:u w:val="none"/>
                  <w:effect w:val="none"/>
                </w:rPr>
                <w:t>58</w:t>
              </w:r>
            </w:hyperlink>
          </w:p>
        </w:tc>
      </w:tr>
      <w:tr>
        <w:trPr/>
        <w:tc>
          <w:tcPr>
            <w:tcW w:w="7085" w:type="dxa"/>
            <w:gridSpan w:val="2"/>
            <w:tcBorders/>
            <w:vAlign w:val="center"/>
          </w:tcPr>
          <w:p>
            <w:pPr>
              <w:pStyle w:val="TableContents"/>
              <w:bidi w:val="0"/>
              <w:spacing w:before="0" w:after="283"/>
              <w:jc w:val="left"/>
              <w:rPr/>
            </w:pPr>
            <w:hyperlink w:anchor="regn013211-def14aa053">
              <w:r>
                <w:rPr>
                  <w:rStyle w:val="InternetLink"/>
                  <w:rFonts w:ascii="Arial;Helvetica;Sans-Serif" w:hAnsi="Arial;Helvetica;Sans-Serif"/>
                  <w:b w:val="false"/>
                  <w:i w:val="false"/>
                  <w:caps w:val="false"/>
                  <w:smallCaps w:val="false"/>
                  <w:strike w:val="false"/>
                  <w:dstrike w:val="false"/>
                  <w:color w:val="000000"/>
                  <w:sz w:val="18"/>
                  <w:u w:val="none"/>
                  <w:effect w:val="none"/>
                </w:rPr>
                <w:t>What’s New for 2024</w:t>
              </w:r>
            </w:hyperlink>
          </w:p>
        </w:tc>
        <w:tc>
          <w:tcPr>
            <w:tcW w:w="245" w:type="dxa"/>
            <w:tcBorders/>
            <w:vAlign w:val="center"/>
          </w:tcPr>
          <w:p>
            <w:pPr>
              <w:pStyle w:val="TableContents"/>
              <w:bidi w:val="0"/>
              <w:spacing w:before="0" w:after="283"/>
              <w:jc w:val="right"/>
              <w:rPr/>
            </w:pPr>
            <w:hyperlink w:anchor="regn013211-def14aa053">
              <w:r>
                <w:rPr>
                  <w:rStyle w:val="InternetLink"/>
                  <w:rFonts w:ascii="Arial;Helvetica;Sans-Serif" w:hAnsi="Arial;Helvetica;Sans-Serif"/>
                  <w:b w:val="false"/>
                  <w:i w:val="false"/>
                  <w:caps w:val="false"/>
                  <w:smallCaps w:val="false"/>
                  <w:strike w:val="false"/>
                  <w:dstrike w:val="false"/>
                  <w:color w:val="000000"/>
                  <w:sz w:val="18"/>
                  <w:u w:val="none"/>
                  <w:effect w:val="none"/>
                </w:rPr>
                <w:t>59</w:t>
              </w:r>
            </w:hyperlink>
          </w:p>
        </w:tc>
      </w:tr>
      <w:tr>
        <w:trPr/>
        <w:tc>
          <w:tcPr>
            <w:tcW w:w="7085" w:type="dxa"/>
            <w:gridSpan w:val="2"/>
            <w:tcBorders/>
            <w:vAlign w:val="center"/>
          </w:tcPr>
          <w:p>
            <w:pPr>
              <w:pStyle w:val="TableContents"/>
              <w:bidi w:val="0"/>
              <w:spacing w:before="0" w:after="283"/>
              <w:jc w:val="left"/>
              <w:rPr/>
            </w:pPr>
            <w:hyperlink w:anchor="regn013211-def14aa054">
              <w:r>
                <w:rPr>
                  <w:rStyle w:val="InternetLink"/>
                  <w:rFonts w:ascii="Arial;Helvetica;Sans-Serif" w:hAnsi="Arial;Helvetica;Sans-Serif"/>
                  <w:b w:val="false"/>
                  <w:i w:val="false"/>
                  <w:caps w:val="false"/>
                  <w:smallCaps w:val="false"/>
                  <w:strike w:val="false"/>
                  <w:dstrike w:val="false"/>
                  <w:color w:val="000000"/>
                  <w:sz w:val="18"/>
                  <w:u w:val="none"/>
                  <w:effect w:val="none"/>
                </w:rPr>
                <w:t>Compensation Program Overview</w:t>
              </w:r>
            </w:hyperlink>
          </w:p>
        </w:tc>
        <w:tc>
          <w:tcPr>
            <w:tcW w:w="245" w:type="dxa"/>
            <w:tcBorders/>
            <w:vAlign w:val="center"/>
          </w:tcPr>
          <w:p>
            <w:pPr>
              <w:pStyle w:val="TableContents"/>
              <w:bidi w:val="0"/>
              <w:spacing w:before="0" w:after="283"/>
              <w:jc w:val="right"/>
              <w:rPr/>
            </w:pPr>
            <w:hyperlink w:anchor="regn013211-def14aa054">
              <w:r>
                <w:rPr>
                  <w:rStyle w:val="InternetLink"/>
                  <w:rFonts w:ascii="Arial;Helvetica;Sans-Serif" w:hAnsi="Arial;Helvetica;Sans-Serif"/>
                  <w:b w:val="false"/>
                  <w:i w:val="false"/>
                  <w:caps w:val="false"/>
                  <w:smallCaps w:val="false"/>
                  <w:strike w:val="false"/>
                  <w:dstrike w:val="false"/>
                  <w:color w:val="000000"/>
                  <w:sz w:val="18"/>
                  <w:u w:val="none"/>
                  <w:effect w:val="none"/>
                </w:rPr>
                <w:t>62</w:t>
              </w:r>
            </w:hyperlink>
          </w:p>
        </w:tc>
      </w:tr>
      <w:tr>
        <w:trPr/>
        <w:tc>
          <w:tcPr>
            <w:tcW w:w="7085" w:type="dxa"/>
            <w:gridSpan w:val="2"/>
            <w:tcBorders/>
            <w:vAlign w:val="center"/>
          </w:tcPr>
          <w:p>
            <w:pPr>
              <w:pStyle w:val="TableContents"/>
              <w:bidi w:val="0"/>
              <w:spacing w:before="0" w:after="283"/>
              <w:jc w:val="left"/>
              <w:rPr/>
            </w:pPr>
            <w:hyperlink w:anchor="regn013211-def14aa055">
              <w:r>
                <w:rPr>
                  <w:rStyle w:val="InternetLink"/>
                  <w:rFonts w:ascii="Arial;Helvetica;Sans-Serif" w:hAnsi="Arial;Helvetica;Sans-Serif"/>
                  <w:b w:val="false"/>
                  <w:i w:val="false"/>
                  <w:caps w:val="false"/>
                  <w:smallCaps w:val="false"/>
                  <w:strike w:val="false"/>
                  <w:dstrike w:val="false"/>
                  <w:color w:val="000000"/>
                  <w:sz w:val="18"/>
                  <w:u w:val="none"/>
                  <w:effect w:val="none"/>
                </w:rPr>
                <w:t>Compensation Program Objectives and Principles</w:t>
              </w:r>
            </w:hyperlink>
          </w:p>
        </w:tc>
        <w:tc>
          <w:tcPr>
            <w:tcW w:w="245" w:type="dxa"/>
            <w:tcBorders/>
            <w:vAlign w:val="center"/>
          </w:tcPr>
          <w:p>
            <w:pPr>
              <w:pStyle w:val="TableContents"/>
              <w:bidi w:val="0"/>
              <w:spacing w:before="0" w:after="283"/>
              <w:jc w:val="right"/>
              <w:rPr/>
            </w:pPr>
            <w:hyperlink w:anchor="regn013211-def14aa055">
              <w:r>
                <w:rPr>
                  <w:rStyle w:val="InternetLink"/>
                  <w:rFonts w:ascii="Arial;Helvetica;Sans-Serif" w:hAnsi="Arial;Helvetica;Sans-Serif"/>
                  <w:b w:val="false"/>
                  <w:i w:val="false"/>
                  <w:caps w:val="false"/>
                  <w:smallCaps w:val="false"/>
                  <w:strike w:val="false"/>
                  <w:dstrike w:val="false"/>
                  <w:color w:val="000000"/>
                  <w:sz w:val="18"/>
                  <w:u w:val="none"/>
                  <w:effect w:val="none"/>
                </w:rPr>
                <w:t>62</w:t>
              </w:r>
            </w:hyperlink>
          </w:p>
        </w:tc>
      </w:tr>
      <w:tr>
        <w:trPr/>
        <w:tc>
          <w:tcPr>
            <w:tcW w:w="7085" w:type="dxa"/>
            <w:gridSpan w:val="2"/>
            <w:tcBorders/>
            <w:vAlign w:val="center"/>
          </w:tcPr>
          <w:p>
            <w:pPr>
              <w:pStyle w:val="TableContents"/>
              <w:bidi w:val="0"/>
              <w:spacing w:before="0" w:after="283"/>
              <w:jc w:val="left"/>
              <w:rPr/>
            </w:pPr>
            <w:hyperlink w:anchor="regn013211-def14aa056">
              <w:r>
                <w:rPr>
                  <w:rStyle w:val="InternetLink"/>
                  <w:rFonts w:ascii="Arial;Helvetica;Sans-Serif" w:hAnsi="Arial;Helvetica;Sans-Serif"/>
                  <w:b w:val="false"/>
                  <w:i w:val="false"/>
                  <w:caps w:val="false"/>
                  <w:smallCaps w:val="false"/>
                  <w:strike w:val="false"/>
                  <w:dstrike w:val="false"/>
                  <w:color w:val="000000"/>
                  <w:sz w:val="18"/>
                  <w:u w:val="none"/>
                  <w:effect w:val="none"/>
                </w:rPr>
                <w:t>How Our Pay Program Works</w:t>
              </w:r>
            </w:hyperlink>
          </w:p>
        </w:tc>
        <w:tc>
          <w:tcPr>
            <w:tcW w:w="245" w:type="dxa"/>
            <w:tcBorders/>
            <w:vAlign w:val="center"/>
          </w:tcPr>
          <w:p>
            <w:pPr>
              <w:pStyle w:val="TableContents"/>
              <w:bidi w:val="0"/>
              <w:spacing w:before="0" w:after="283"/>
              <w:jc w:val="right"/>
              <w:rPr/>
            </w:pPr>
            <w:hyperlink w:anchor="regn013211-def14aa056">
              <w:r>
                <w:rPr>
                  <w:rStyle w:val="InternetLink"/>
                  <w:rFonts w:ascii="Arial;Helvetica;Sans-Serif" w:hAnsi="Arial;Helvetica;Sans-Serif"/>
                  <w:b w:val="false"/>
                  <w:i w:val="false"/>
                  <w:caps w:val="false"/>
                  <w:smallCaps w:val="false"/>
                  <w:strike w:val="false"/>
                  <w:dstrike w:val="false"/>
                  <w:color w:val="000000"/>
                  <w:sz w:val="18"/>
                  <w:u w:val="none"/>
                  <w:effect w:val="none"/>
                </w:rPr>
                <w:t>63</w:t>
              </w:r>
            </w:hyperlink>
          </w:p>
        </w:tc>
      </w:tr>
      <w:tr>
        <w:trPr/>
        <w:tc>
          <w:tcPr>
            <w:tcW w:w="7085" w:type="dxa"/>
            <w:gridSpan w:val="2"/>
            <w:tcBorders/>
            <w:vAlign w:val="center"/>
          </w:tcPr>
          <w:p>
            <w:pPr>
              <w:pStyle w:val="TableContents"/>
              <w:bidi w:val="0"/>
              <w:spacing w:before="0" w:after="283"/>
              <w:jc w:val="left"/>
              <w:rPr/>
            </w:pPr>
            <w:hyperlink w:anchor="regn013211-def14aa057">
              <w:r>
                <w:rPr>
                  <w:rStyle w:val="InternetLink"/>
                  <w:rFonts w:ascii="Arial;Helvetica;Sans-Serif" w:hAnsi="Arial;Helvetica;Sans-Serif"/>
                  <w:b w:val="false"/>
                  <w:i w:val="false"/>
                  <w:caps w:val="false"/>
                  <w:smallCaps w:val="false"/>
                  <w:strike w:val="false"/>
                  <w:dstrike w:val="false"/>
                  <w:color w:val="000000"/>
                  <w:sz w:val="18"/>
                  <w:u w:val="none"/>
                  <w:effect w:val="none"/>
                </w:rPr>
                <w:t>Key Governance Features</w:t>
              </w:r>
            </w:hyperlink>
          </w:p>
        </w:tc>
        <w:tc>
          <w:tcPr>
            <w:tcW w:w="245" w:type="dxa"/>
            <w:tcBorders/>
            <w:vAlign w:val="center"/>
          </w:tcPr>
          <w:p>
            <w:pPr>
              <w:pStyle w:val="TableContents"/>
              <w:bidi w:val="0"/>
              <w:spacing w:before="0" w:after="283"/>
              <w:jc w:val="right"/>
              <w:rPr/>
            </w:pPr>
            <w:hyperlink w:anchor="regn013211-def14aa057">
              <w:r>
                <w:rPr>
                  <w:rStyle w:val="InternetLink"/>
                  <w:rFonts w:ascii="Arial;Helvetica;Sans-Serif" w:hAnsi="Arial;Helvetica;Sans-Serif"/>
                  <w:b w:val="false"/>
                  <w:i w:val="false"/>
                  <w:caps w:val="false"/>
                  <w:smallCaps w:val="false"/>
                  <w:strike w:val="false"/>
                  <w:dstrike w:val="false"/>
                  <w:color w:val="000000"/>
                  <w:sz w:val="18"/>
                  <w:u w:val="none"/>
                  <w:effect w:val="none"/>
                </w:rPr>
                <w:t>64</w:t>
              </w:r>
            </w:hyperlink>
          </w:p>
        </w:tc>
      </w:tr>
      <w:tr>
        <w:trPr/>
        <w:tc>
          <w:tcPr>
            <w:tcW w:w="7085" w:type="dxa"/>
            <w:gridSpan w:val="2"/>
            <w:tcBorders/>
            <w:vAlign w:val="center"/>
          </w:tcPr>
          <w:p>
            <w:pPr>
              <w:pStyle w:val="TableContents"/>
              <w:bidi w:val="0"/>
              <w:spacing w:before="0" w:after="283"/>
              <w:jc w:val="left"/>
              <w:rPr/>
            </w:pPr>
            <w:hyperlink w:anchor="regn013211-def14aa058">
              <w:r>
                <w:rPr>
                  <w:rStyle w:val="InternetLink"/>
                  <w:rFonts w:ascii="Arial;Helvetica;Sans-Serif" w:hAnsi="Arial;Helvetica;Sans-Serif"/>
                  <w:b w:val="false"/>
                  <w:i w:val="false"/>
                  <w:caps w:val="false"/>
                  <w:smallCaps w:val="false"/>
                  <w:strike w:val="false"/>
                  <w:dstrike w:val="false"/>
                  <w:color w:val="000000"/>
                  <w:sz w:val="18"/>
                  <w:u w:val="none"/>
                  <w:effect w:val="none"/>
                </w:rPr>
                <w:t>Components of Executive Pay: What We Pay and Why We Pay It</w:t>
              </w:r>
            </w:hyperlink>
          </w:p>
        </w:tc>
        <w:tc>
          <w:tcPr>
            <w:tcW w:w="245" w:type="dxa"/>
            <w:tcBorders/>
            <w:vAlign w:val="center"/>
          </w:tcPr>
          <w:p>
            <w:pPr>
              <w:pStyle w:val="TableContents"/>
              <w:bidi w:val="0"/>
              <w:spacing w:before="0" w:after="283"/>
              <w:jc w:val="right"/>
              <w:rPr/>
            </w:pPr>
            <w:hyperlink w:anchor="regn013211-def14aa058">
              <w:r>
                <w:rPr>
                  <w:rStyle w:val="InternetLink"/>
                  <w:rFonts w:ascii="Arial;Helvetica;Sans-Serif" w:hAnsi="Arial;Helvetica;Sans-Serif"/>
                  <w:b w:val="false"/>
                  <w:i w:val="false"/>
                  <w:caps w:val="false"/>
                  <w:smallCaps w:val="false"/>
                  <w:strike w:val="false"/>
                  <w:dstrike w:val="false"/>
                  <w:color w:val="000000"/>
                  <w:sz w:val="18"/>
                  <w:u w:val="none"/>
                  <w:effect w:val="none"/>
                </w:rPr>
                <w:t>65</w:t>
              </w:r>
            </w:hyperlink>
          </w:p>
        </w:tc>
      </w:tr>
      <w:tr>
        <w:trPr/>
        <w:tc>
          <w:tcPr>
            <w:tcW w:w="7085" w:type="dxa"/>
            <w:gridSpan w:val="2"/>
            <w:tcBorders/>
            <w:vAlign w:val="center"/>
          </w:tcPr>
          <w:p>
            <w:pPr>
              <w:pStyle w:val="TableContents"/>
              <w:bidi w:val="0"/>
              <w:spacing w:before="0" w:after="283"/>
              <w:jc w:val="left"/>
              <w:rPr/>
            </w:pPr>
            <w:hyperlink w:anchor="regn013211-def14aa059">
              <w:r>
                <w:rPr>
                  <w:rStyle w:val="InternetLink"/>
                  <w:rFonts w:ascii="Arial;Helvetica;Sans-Serif" w:hAnsi="Arial;Helvetica;Sans-Serif"/>
                  <w:b w:val="false"/>
                  <w:i w:val="false"/>
                  <w:caps w:val="false"/>
                  <w:smallCaps w:val="false"/>
                  <w:strike w:val="false"/>
                  <w:dstrike w:val="false"/>
                  <w:color w:val="000000"/>
                  <w:sz w:val="18"/>
                  <w:u w:val="none"/>
                  <w:effect w:val="none"/>
                </w:rPr>
                <w:t>Base Salaries</w:t>
              </w:r>
            </w:hyperlink>
          </w:p>
        </w:tc>
        <w:tc>
          <w:tcPr>
            <w:tcW w:w="245" w:type="dxa"/>
            <w:tcBorders/>
            <w:vAlign w:val="center"/>
          </w:tcPr>
          <w:p>
            <w:pPr>
              <w:pStyle w:val="TableContents"/>
              <w:bidi w:val="0"/>
              <w:spacing w:before="0" w:after="283"/>
              <w:jc w:val="right"/>
              <w:rPr/>
            </w:pPr>
            <w:hyperlink w:anchor="regn013211-def14aa059">
              <w:r>
                <w:rPr>
                  <w:rStyle w:val="InternetLink"/>
                  <w:rFonts w:ascii="Arial;Helvetica;Sans-Serif" w:hAnsi="Arial;Helvetica;Sans-Serif"/>
                  <w:b w:val="false"/>
                  <w:i w:val="false"/>
                  <w:caps w:val="false"/>
                  <w:smallCaps w:val="false"/>
                  <w:strike w:val="false"/>
                  <w:dstrike w:val="false"/>
                  <w:color w:val="000000"/>
                  <w:sz w:val="18"/>
                  <w:u w:val="none"/>
                  <w:effect w:val="none"/>
                </w:rPr>
                <w:t>65</w:t>
              </w:r>
            </w:hyperlink>
          </w:p>
        </w:tc>
      </w:tr>
      <w:tr>
        <w:trPr/>
        <w:tc>
          <w:tcPr>
            <w:tcW w:w="7085" w:type="dxa"/>
            <w:gridSpan w:val="2"/>
            <w:tcBorders/>
            <w:vAlign w:val="center"/>
          </w:tcPr>
          <w:p>
            <w:pPr>
              <w:pStyle w:val="TableContents"/>
              <w:bidi w:val="0"/>
              <w:spacing w:before="0" w:after="283"/>
              <w:jc w:val="left"/>
              <w:rPr/>
            </w:pPr>
            <w:hyperlink w:anchor="regn013211-def14aa060">
              <w:r>
                <w:rPr>
                  <w:rStyle w:val="InternetLink"/>
                  <w:rFonts w:ascii="Arial;Helvetica;Sans-Serif" w:hAnsi="Arial;Helvetica;Sans-Serif"/>
                  <w:b w:val="false"/>
                  <w:i w:val="false"/>
                  <w:caps w:val="false"/>
                  <w:smallCaps w:val="false"/>
                  <w:strike w:val="false"/>
                  <w:dstrike w:val="false"/>
                  <w:color w:val="000000"/>
                  <w:sz w:val="18"/>
                  <w:u w:val="none"/>
                  <w:effect w:val="none"/>
                </w:rPr>
                <w:t>Annual Cash Incentives</w:t>
              </w:r>
            </w:hyperlink>
          </w:p>
        </w:tc>
        <w:tc>
          <w:tcPr>
            <w:tcW w:w="245" w:type="dxa"/>
            <w:tcBorders/>
            <w:vAlign w:val="center"/>
          </w:tcPr>
          <w:p>
            <w:pPr>
              <w:pStyle w:val="TableContents"/>
              <w:bidi w:val="0"/>
              <w:spacing w:before="0" w:after="283"/>
              <w:jc w:val="right"/>
              <w:rPr/>
            </w:pPr>
            <w:hyperlink w:anchor="regn013211-def14aa060">
              <w:r>
                <w:rPr>
                  <w:rStyle w:val="InternetLink"/>
                  <w:rFonts w:ascii="Arial;Helvetica;Sans-Serif" w:hAnsi="Arial;Helvetica;Sans-Serif"/>
                  <w:b w:val="false"/>
                  <w:i w:val="false"/>
                  <w:caps w:val="false"/>
                  <w:smallCaps w:val="false"/>
                  <w:strike w:val="false"/>
                  <w:dstrike w:val="false"/>
                  <w:color w:val="000000"/>
                  <w:sz w:val="18"/>
                  <w:u w:val="none"/>
                  <w:effect w:val="none"/>
                </w:rPr>
                <w:t>66</w:t>
              </w:r>
            </w:hyperlink>
          </w:p>
        </w:tc>
      </w:tr>
      <w:tr>
        <w:trPr/>
        <w:tc>
          <w:tcPr>
            <w:tcW w:w="7085" w:type="dxa"/>
            <w:gridSpan w:val="2"/>
            <w:tcBorders/>
            <w:vAlign w:val="center"/>
          </w:tcPr>
          <w:p>
            <w:pPr>
              <w:pStyle w:val="TableContents"/>
              <w:bidi w:val="0"/>
              <w:spacing w:before="0" w:after="283"/>
              <w:jc w:val="left"/>
              <w:rPr/>
            </w:pPr>
            <w:hyperlink w:anchor="regn013211-def14aa061">
              <w:r>
                <w:rPr>
                  <w:rStyle w:val="InternetLink"/>
                  <w:rFonts w:ascii="Arial;Helvetica;Sans-Serif" w:hAnsi="Arial;Helvetica;Sans-Serif"/>
                  <w:b w:val="false"/>
                  <w:i w:val="false"/>
                  <w:caps w:val="false"/>
                  <w:smallCaps w:val="false"/>
                  <w:strike w:val="false"/>
                  <w:dstrike w:val="false"/>
                  <w:color w:val="000000"/>
                  <w:sz w:val="18"/>
                  <w:u w:val="none"/>
                  <w:effect w:val="none"/>
                </w:rPr>
                <w:t>Annual Equity Awards</w:t>
              </w:r>
            </w:hyperlink>
          </w:p>
        </w:tc>
        <w:tc>
          <w:tcPr>
            <w:tcW w:w="245" w:type="dxa"/>
            <w:tcBorders/>
            <w:vAlign w:val="center"/>
          </w:tcPr>
          <w:p>
            <w:pPr>
              <w:pStyle w:val="TableContents"/>
              <w:bidi w:val="0"/>
              <w:spacing w:before="0" w:after="283"/>
              <w:jc w:val="right"/>
              <w:rPr/>
            </w:pPr>
            <w:hyperlink w:anchor="regn013211-def14aa061">
              <w:r>
                <w:rPr>
                  <w:rStyle w:val="InternetLink"/>
                  <w:rFonts w:ascii="Arial;Helvetica;Sans-Serif" w:hAnsi="Arial;Helvetica;Sans-Serif"/>
                  <w:b w:val="false"/>
                  <w:i w:val="false"/>
                  <w:caps w:val="false"/>
                  <w:smallCaps w:val="false"/>
                  <w:strike w:val="false"/>
                  <w:dstrike w:val="false"/>
                  <w:color w:val="000000"/>
                  <w:sz w:val="18"/>
                  <w:u w:val="none"/>
                  <w:effect w:val="none"/>
                </w:rPr>
                <w:t>70</w:t>
              </w:r>
            </w:hyperlink>
          </w:p>
        </w:tc>
      </w:tr>
      <w:tr>
        <w:trPr/>
        <w:tc>
          <w:tcPr>
            <w:tcW w:w="7085" w:type="dxa"/>
            <w:gridSpan w:val="2"/>
            <w:tcBorders/>
            <w:vAlign w:val="center"/>
          </w:tcPr>
          <w:p>
            <w:pPr>
              <w:pStyle w:val="TableContents"/>
              <w:bidi w:val="0"/>
              <w:spacing w:before="0" w:after="283"/>
              <w:jc w:val="left"/>
              <w:rPr/>
            </w:pPr>
            <w:hyperlink w:anchor="regn013211-def14aa062">
              <w:r>
                <w:rPr>
                  <w:rStyle w:val="InternetLink"/>
                  <w:rFonts w:ascii="Arial;Helvetica;Sans-Serif" w:hAnsi="Arial;Helvetica;Sans-Serif"/>
                  <w:b w:val="false"/>
                  <w:i w:val="false"/>
                  <w:caps w:val="false"/>
                  <w:smallCaps w:val="false"/>
                  <w:strike w:val="false"/>
                  <w:dstrike w:val="false"/>
                  <w:color w:val="000000"/>
                  <w:sz w:val="18"/>
                  <w:u w:val="none"/>
                  <w:effect w:val="none"/>
                </w:rPr>
                <w:t>Perquisites and Personal Benefits</w:t>
              </w:r>
            </w:hyperlink>
          </w:p>
        </w:tc>
        <w:tc>
          <w:tcPr>
            <w:tcW w:w="245" w:type="dxa"/>
            <w:tcBorders/>
            <w:vAlign w:val="center"/>
          </w:tcPr>
          <w:p>
            <w:pPr>
              <w:pStyle w:val="TableContents"/>
              <w:bidi w:val="0"/>
              <w:spacing w:before="0" w:after="283"/>
              <w:jc w:val="right"/>
              <w:rPr/>
            </w:pPr>
            <w:hyperlink w:anchor="regn013211-def14aa062">
              <w:r>
                <w:rPr>
                  <w:rStyle w:val="InternetLink"/>
                  <w:rFonts w:ascii="Arial;Helvetica;Sans-Serif" w:hAnsi="Arial;Helvetica;Sans-Serif"/>
                  <w:b w:val="false"/>
                  <w:i w:val="false"/>
                  <w:caps w:val="false"/>
                  <w:smallCaps w:val="false"/>
                  <w:strike w:val="false"/>
                  <w:dstrike w:val="false"/>
                  <w:color w:val="000000"/>
                  <w:sz w:val="18"/>
                  <w:u w:val="none"/>
                  <w:effect w:val="none"/>
                </w:rPr>
                <w:t>73</w:t>
              </w:r>
            </w:hyperlink>
          </w:p>
        </w:tc>
      </w:tr>
      <w:tr>
        <w:trPr/>
        <w:tc>
          <w:tcPr>
            <w:tcW w:w="7085" w:type="dxa"/>
            <w:gridSpan w:val="2"/>
            <w:tcBorders/>
            <w:vAlign w:val="center"/>
          </w:tcPr>
          <w:p>
            <w:pPr>
              <w:pStyle w:val="TableContents"/>
              <w:bidi w:val="0"/>
              <w:spacing w:before="0" w:after="283"/>
              <w:jc w:val="left"/>
              <w:rPr/>
            </w:pPr>
            <w:hyperlink w:anchor="regn013211-def14aa063">
              <w:r>
                <w:rPr>
                  <w:rStyle w:val="InternetLink"/>
                  <w:rFonts w:ascii="Arial;Helvetica;Sans-Serif" w:hAnsi="Arial;Helvetica;Sans-Serif"/>
                  <w:b w:val="false"/>
                  <w:i w:val="false"/>
                  <w:caps w:val="false"/>
                  <w:smallCaps w:val="false"/>
                  <w:strike w:val="false"/>
                  <w:dstrike w:val="false"/>
                  <w:color w:val="000000"/>
                  <w:sz w:val="18"/>
                  <w:u w:val="none"/>
                  <w:effect w:val="none"/>
                </w:rPr>
                <w:t>Potential Severance Payments</w:t>
              </w:r>
            </w:hyperlink>
          </w:p>
        </w:tc>
        <w:tc>
          <w:tcPr>
            <w:tcW w:w="245" w:type="dxa"/>
            <w:tcBorders/>
            <w:vAlign w:val="center"/>
          </w:tcPr>
          <w:p>
            <w:pPr>
              <w:pStyle w:val="TableContents"/>
              <w:bidi w:val="0"/>
              <w:spacing w:before="0" w:after="283"/>
              <w:jc w:val="right"/>
              <w:rPr/>
            </w:pPr>
            <w:hyperlink w:anchor="regn013211-def14aa063">
              <w:r>
                <w:rPr>
                  <w:rStyle w:val="InternetLink"/>
                  <w:rFonts w:ascii="Arial;Helvetica;Sans-Serif" w:hAnsi="Arial;Helvetica;Sans-Serif"/>
                  <w:b w:val="false"/>
                  <w:i w:val="false"/>
                  <w:caps w:val="false"/>
                  <w:smallCaps w:val="false"/>
                  <w:strike w:val="false"/>
                  <w:dstrike w:val="false"/>
                  <w:color w:val="000000"/>
                  <w:sz w:val="18"/>
                  <w:u w:val="none"/>
                  <w:effect w:val="none"/>
                </w:rPr>
                <w:t>73</w:t>
              </w:r>
            </w:hyperlink>
          </w:p>
        </w:tc>
      </w:tr>
      <w:tr>
        <w:trPr/>
        <w:tc>
          <w:tcPr>
            <w:tcW w:w="7085" w:type="dxa"/>
            <w:gridSpan w:val="2"/>
            <w:tcBorders/>
            <w:vAlign w:val="center"/>
          </w:tcPr>
          <w:p>
            <w:pPr>
              <w:pStyle w:val="TableContents"/>
              <w:bidi w:val="0"/>
              <w:spacing w:before="0" w:after="283"/>
              <w:jc w:val="left"/>
              <w:rPr/>
            </w:pPr>
            <w:hyperlink w:anchor="regn013211-def14aa064">
              <w:r>
                <w:rPr>
                  <w:rStyle w:val="InternetLink"/>
                  <w:rFonts w:ascii="Arial;Helvetica;Sans-Serif" w:hAnsi="Arial;Helvetica;Sans-Serif"/>
                  <w:b w:val="false"/>
                  <w:i w:val="false"/>
                  <w:caps w:val="false"/>
                  <w:smallCaps w:val="false"/>
                  <w:strike w:val="false"/>
                  <w:dstrike w:val="false"/>
                  <w:color w:val="000000"/>
                  <w:sz w:val="18"/>
                  <w:u w:val="none"/>
                  <w:effect w:val="none"/>
                </w:rPr>
                <w:t>Compensation Processes</w:t>
              </w:r>
            </w:hyperlink>
          </w:p>
        </w:tc>
        <w:tc>
          <w:tcPr>
            <w:tcW w:w="245" w:type="dxa"/>
            <w:tcBorders/>
            <w:vAlign w:val="center"/>
          </w:tcPr>
          <w:p>
            <w:pPr>
              <w:pStyle w:val="TableContents"/>
              <w:bidi w:val="0"/>
              <w:spacing w:before="0" w:after="283"/>
              <w:jc w:val="right"/>
              <w:rPr/>
            </w:pPr>
            <w:hyperlink w:anchor="regn013211-def14aa064">
              <w:r>
                <w:rPr>
                  <w:rStyle w:val="InternetLink"/>
                  <w:rFonts w:ascii="Arial;Helvetica;Sans-Serif" w:hAnsi="Arial;Helvetica;Sans-Serif"/>
                  <w:b w:val="false"/>
                  <w:i w:val="false"/>
                  <w:caps w:val="false"/>
                  <w:smallCaps w:val="false"/>
                  <w:strike w:val="false"/>
                  <w:dstrike w:val="false"/>
                  <w:color w:val="000000"/>
                  <w:sz w:val="18"/>
                  <w:u w:val="none"/>
                  <w:effect w:val="none"/>
                </w:rPr>
                <w:t>74</w:t>
              </w:r>
            </w:hyperlink>
          </w:p>
        </w:tc>
      </w:tr>
      <w:tr>
        <w:trPr/>
        <w:tc>
          <w:tcPr>
            <w:tcW w:w="7085" w:type="dxa"/>
            <w:gridSpan w:val="2"/>
            <w:tcBorders/>
            <w:vAlign w:val="center"/>
          </w:tcPr>
          <w:p>
            <w:pPr>
              <w:pStyle w:val="TableContents"/>
              <w:bidi w:val="0"/>
              <w:spacing w:before="0" w:after="283"/>
              <w:jc w:val="left"/>
              <w:rPr/>
            </w:pPr>
            <w:hyperlink w:anchor="regn013211-def14aa065">
              <w:r>
                <w:rPr>
                  <w:rStyle w:val="InternetLink"/>
                  <w:rFonts w:ascii="Arial;Helvetica;Sans-Serif" w:hAnsi="Arial;Helvetica;Sans-Serif"/>
                  <w:b w:val="false"/>
                  <w:i w:val="false"/>
                  <w:caps w:val="false"/>
                  <w:smallCaps w:val="false"/>
                  <w:strike w:val="false"/>
                  <w:dstrike w:val="false"/>
                  <w:color w:val="000000"/>
                  <w:sz w:val="18"/>
                  <w:u w:val="none"/>
                  <w:effect w:val="none"/>
                </w:rPr>
                <w:t>Compensation Committee</w:t>
              </w:r>
            </w:hyperlink>
          </w:p>
        </w:tc>
        <w:tc>
          <w:tcPr>
            <w:tcW w:w="245" w:type="dxa"/>
            <w:tcBorders/>
            <w:vAlign w:val="center"/>
          </w:tcPr>
          <w:p>
            <w:pPr>
              <w:pStyle w:val="TableContents"/>
              <w:bidi w:val="0"/>
              <w:spacing w:before="0" w:after="283"/>
              <w:jc w:val="right"/>
              <w:rPr/>
            </w:pPr>
            <w:hyperlink w:anchor="regn013211-def14aa065">
              <w:r>
                <w:rPr>
                  <w:rStyle w:val="InternetLink"/>
                  <w:rFonts w:ascii="Arial;Helvetica;Sans-Serif" w:hAnsi="Arial;Helvetica;Sans-Serif"/>
                  <w:b w:val="false"/>
                  <w:i w:val="false"/>
                  <w:caps w:val="false"/>
                  <w:smallCaps w:val="false"/>
                  <w:strike w:val="false"/>
                  <w:dstrike w:val="false"/>
                  <w:color w:val="000000"/>
                  <w:sz w:val="18"/>
                  <w:u w:val="none"/>
                  <w:effect w:val="none"/>
                </w:rPr>
                <w:t>74</w:t>
              </w:r>
            </w:hyperlink>
          </w:p>
        </w:tc>
      </w:tr>
      <w:tr>
        <w:trPr/>
        <w:tc>
          <w:tcPr>
            <w:tcW w:w="7085" w:type="dxa"/>
            <w:gridSpan w:val="2"/>
            <w:tcBorders/>
            <w:vAlign w:val="center"/>
          </w:tcPr>
          <w:p>
            <w:pPr>
              <w:pStyle w:val="TableContents"/>
              <w:bidi w:val="0"/>
              <w:spacing w:before="0" w:after="283"/>
              <w:jc w:val="left"/>
              <w:rPr/>
            </w:pPr>
            <w:hyperlink w:anchor="regn013211-def14aa066">
              <w:r>
                <w:rPr>
                  <w:rStyle w:val="InternetLink"/>
                  <w:rFonts w:ascii="Arial;Helvetica;Sans-Serif" w:hAnsi="Arial;Helvetica;Sans-Serif"/>
                  <w:b w:val="false"/>
                  <w:i w:val="false"/>
                  <w:caps w:val="false"/>
                  <w:smallCaps w:val="false"/>
                  <w:strike w:val="false"/>
                  <w:dstrike w:val="false"/>
                  <w:color w:val="000000"/>
                  <w:sz w:val="18"/>
                  <w:u w:val="none"/>
                  <w:effect w:val="none"/>
                </w:rPr>
                <w:t>Management; Management’s Compensation Consultant</w:t>
              </w:r>
            </w:hyperlink>
          </w:p>
        </w:tc>
        <w:tc>
          <w:tcPr>
            <w:tcW w:w="245" w:type="dxa"/>
            <w:tcBorders/>
            <w:vAlign w:val="center"/>
          </w:tcPr>
          <w:p>
            <w:pPr>
              <w:pStyle w:val="TableContents"/>
              <w:bidi w:val="0"/>
              <w:spacing w:before="0" w:after="283"/>
              <w:jc w:val="right"/>
              <w:rPr/>
            </w:pPr>
            <w:hyperlink w:anchor="regn013211-def14aa066">
              <w:r>
                <w:rPr>
                  <w:rStyle w:val="InternetLink"/>
                  <w:rFonts w:ascii="Arial;Helvetica;Sans-Serif" w:hAnsi="Arial;Helvetica;Sans-Serif"/>
                  <w:b w:val="false"/>
                  <w:i w:val="false"/>
                  <w:caps w:val="false"/>
                  <w:smallCaps w:val="false"/>
                  <w:strike w:val="false"/>
                  <w:dstrike w:val="false"/>
                  <w:color w:val="000000"/>
                  <w:sz w:val="18"/>
                  <w:u w:val="none"/>
                  <w:effect w:val="none"/>
                </w:rPr>
                <w:t>75</w:t>
              </w:r>
            </w:hyperlink>
          </w:p>
        </w:tc>
      </w:tr>
      <w:tr>
        <w:trPr/>
        <w:tc>
          <w:tcPr>
            <w:tcW w:w="7085" w:type="dxa"/>
            <w:gridSpan w:val="2"/>
            <w:tcBorders/>
            <w:vAlign w:val="center"/>
          </w:tcPr>
          <w:p>
            <w:pPr>
              <w:pStyle w:val="TableContents"/>
              <w:bidi w:val="0"/>
              <w:spacing w:before="0" w:after="283"/>
              <w:jc w:val="left"/>
              <w:rPr/>
            </w:pPr>
            <w:hyperlink w:anchor="regn013211-def14aa067">
              <w:r>
                <w:rPr>
                  <w:rStyle w:val="InternetLink"/>
                  <w:rFonts w:ascii="Arial;Helvetica;Sans-Serif" w:hAnsi="Arial;Helvetica;Sans-Serif"/>
                  <w:b w:val="false"/>
                  <w:i w:val="false"/>
                  <w:caps w:val="false"/>
                  <w:smallCaps w:val="false"/>
                  <w:strike w:val="false"/>
                  <w:dstrike w:val="false"/>
                  <w:color w:val="000000"/>
                  <w:sz w:val="18"/>
                  <w:u w:val="none"/>
                  <w:effect w:val="none"/>
                </w:rPr>
                <w:t>Shareholder Input and Outreach and the 2024 Say-on-Pay Vote Result</w:t>
              </w:r>
            </w:hyperlink>
          </w:p>
        </w:tc>
        <w:tc>
          <w:tcPr>
            <w:tcW w:w="245" w:type="dxa"/>
            <w:tcBorders/>
            <w:vAlign w:val="center"/>
          </w:tcPr>
          <w:p>
            <w:pPr>
              <w:pStyle w:val="TableContents"/>
              <w:bidi w:val="0"/>
              <w:spacing w:before="0" w:after="283"/>
              <w:jc w:val="right"/>
              <w:rPr/>
            </w:pPr>
            <w:hyperlink w:anchor="regn013211-def14aa067">
              <w:r>
                <w:rPr>
                  <w:rStyle w:val="InternetLink"/>
                  <w:rFonts w:ascii="Arial;Helvetica;Sans-Serif" w:hAnsi="Arial;Helvetica;Sans-Serif"/>
                  <w:b w:val="false"/>
                  <w:i w:val="false"/>
                  <w:caps w:val="false"/>
                  <w:smallCaps w:val="false"/>
                  <w:strike w:val="false"/>
                  <w:dstrike w:val="false"/>
                  <w:color w:val="000000"/>
                  <w:sz w:val="18"/>
                  <w:u w:val="none"/>
                  <w:effect w:val="none"/>
                </w:rPr>
                <w:t>75</w:t>
              </w:r>
            </w:hyperlink>
          </w:p>
        </w:tc>
      </w:tr>
      <w:tr>
        <w:trPr/>
        <w:tc>
          <w:tcPr>
            <w:tcW w:w="7085" w:type="dxa"/>
            <w:gridSpan w:val="2"/>
            <w:tcBorders/>
            <w:vAlign w:val="center"/>
          </w:tcPr>
          <w:p>
            <w:pPr>
              <w:pStyle w:val="TableContents"/>
              <w:bidi w:val="0"/>
              <w:spacing w:before="0" w:after="283"/>
              <w:jc w:val="left"/>
              <w:rPr/>
            </w:pPr>
            <w:hyperlink w:anchor="regn013211-def14aa068">
              <w:r>
                <w:rPr>
                  <w:rStyle w:val="InternetLink"/>
                  <w:rFonts w:ascii="Arial;Helvetica;Sans-Serif" w:hAnsi="Arial;Helvetica;Sans-Serif"/>
                  <w:b w:val="false"/>
                  <w:i w:val="false"/>
                  <w:caps w:val="false"/>
                  <w:smallCaps w:val="false"/>
                  <w:strike w:val="false"/>
                  <w:dstrike w:val="false"/>
                  <w:color w:val="000000"/>
                  <w:sz w:val="18"/>
                  <w:u w:val="none"/>
                  <w:effect w:val="none"/>
                </w:rPr>
                <w:t>Independent Compensation Consultant</w:t>
              </w:r>
            </w:hyperlink>
          </w:p>
        </w:tc>
        <w:tc>
          <w:tcPr>
            <w:tcW w:w="245" w:type="dxa"/>
            <w:tcBorders/>
            <w:vAlign w:val="center"/>
          </w:tcPr>
          <w:p>
            <w:pPr>
              <w:pStyle w:val="TableContents"/>
              <w:bidi w:val="0"/>
              <w:spacing w:before="0" w:after="283"/>
              <w:jc w:val="right"/>
              <w:rPr/>
            </w:pPr>
            <w:hyperlink w:anchor="regn013211-def14aa068">
              <w:r>
                <w:rPr>
                  <w:rStyle w:val="InternetLink"/>
                  <w:rFonts w:ascii="Arial;Helvetica;Sans-Serif" w:hAnsi="Arial;Helvetica;Sans-Serif"/>
                  <w:b w:val="false"/>
                  <w:i w:val="false"/>
                  <w:caps w:val="false"/>
                  <w:smallCaps w:val="false"/>
                  <w:strike w:val="false"/>
                  <w:dstrike w:val="false"/>
                  <w:color w:val="000000"/>
                  <w:sz w:val="18"/>
                  <w:u w:val="none"/>
                  <w:effect w:val="none"/>
                </w:rPr>
                <w:t>77</w:t>
              </w:r>
            </w:hyperlink>
          </w:p>
        </w:tc>
      </w:tr>
      <w:tr>
        <w:trPr/>
        <w:tc>
          <w:tcPr>
            <w:tcW w:w="7085" w:type="dxa"/>
            <w:gridSpan w:val="2"/>
            <w:tcBorders/>
            <w:vAlign w:val="center"/>
          </w:tcPr>
          <w:p>
            <w:pPr>
              <w:pStyle w:val="TableContents"/>
              <w:bidi w:val="0"/>
              <w:spacing w:before="0" w:after="283"/>
              <w:jc w:val="left"/>
              <w:rPr/>
            </w:pPr>
            <w:hyperlink w:anchor="regn013211-def14aa069">
              <w:r>
                <w:rPr>
                  <w:rStyle w:val="InternetLink"/>
                  <w:rFonts w:ascii="Arial;Helvetica;Sans-Serif" w:hAnsi="Arial;Helvetica;Sans-Serif"/>
                  <w:b w:val="false"/>
                  <w:i w:val="false"/>
                  <w:caps w:val="false"/>
                  <w:smallCaps w:val="false"/>
                  <w:strike w:val="false"/>
                  <w:dstrike w:val="false"/>
                  <w:color w:val="000000"/>
                  <w:sz w:val="18"/>
                  <w:u w:val="none"/>
                  <w:effect w:val="none"/>
                </w:rPr>
                <w:t>Peer and Other Market Data</w:t>
              </w:r>
            </w:hyperlink>
          </w:p>
        </w:tc>
        <w:tc>
          <w:tcPr>
            <w:tcW w:w="245" w:type="dxa"/>
            <w:tcBorders/>
            <w:vAlign w:val="center"/>
          </w:tcPr>
          <w:p>
            <w:pPr>
              <w:pStyle w:val="TableContents"/>
              <w:bidi w:val="0"/>
              <w:spacing w:before="0" w:after="283"/>
              <w:jc w:val="right"/>
              <w:rPr/>
            </w:pPr>
            <w:hyperlink w:anchor="regn013211-def14aa069">
              <w:r>
                <w:rPr>
                  <w:rStyle w:val="InternetLink"/>
                  <w:rFonts w:ascii="Arial;Helvetica;Sans-Serif" w:hAnsi="Arial;Helvetica;Sans-Serif"/>
                  <w:b w:val="false"/>
                  <w:i w:val="false"/>
                  <w:caps w:val="false"/>
                  <w:smallCaps w:val="false"/>
                  <w:strike w:val="false"/>
                  <w:dstrike w:val="false"/>
                  <w:color w:val="000000"/>
                  <w:sz w:val="18"/>
                  <w:u w:val="none"/>
                  <w:effect w:val="none"/>
                </w:rPr>
                <w:t>77</w:t>
              </w:r>
            </w:hyperlink>
          </w:p>
        </w:tc>
      </w:tr>
      <w:tr>
        <w:trPr/>
        <w:tc>
          <w:tcPr>
            <w:tcW w:w="7085" w:type="dxa"/>
            <w:gridSpan w:val="2"/>
            <w:tcBorders/>
            <w:vAlign w:val="center"/>
          </w:tcPr>
          <w:p>
            <w:pPr>
              <w:pStyle w:val="TableContents"/>
              <w:bidi w:val="0"/>
              <w:spacing w:before="0" w:after="283"/>
              <w:jc w:val="left"/>
              <w:rPr/>
            </w:pPr>
            <w:hyperlink w:anchor="regn013211-def14aa070">
              <w:r>
                <w:rPr>
                  <w:rStyle w:val="InternetLink"/>
                  <w:rFonts w:ascii="Arial;Helvetica;Sans-Serif" w:hAnsi="Arial;Helvetica;Sans-Serif"/>
                  <w:b w:val="false"/>
                  <w:i w:val="false"/>
                  <w:caps w:val="false"/>
                  <w:smallCaps w:val="false"/>
                  <w:strike w:val="false"/>
                  <w:dstrike w:val="false"/>
                  <w:color w:val="000000"/>
                  <w:sz w:val="18"/>
                  <w:u w:val="none"/>
                  <w:effect w:val="none"/>
                </w:rPr>
                <w:t>Risk Assessment</w:t>
              </w:r>
            </w:hyperlink>
          </w:p>
        </w:tc>
        <w:tc>
          <w:tcPr>
            <w:tcW w:w="245" w:type="dxa"/>
            <w:tcBorders/>
            <w:vAlign w:val="center"/>
          </w:tcPr>
          <w:p>
            <w:pPr>
              <w:pStyle w:val="TableContents"/>
              <w:bidi w:val="0"/>
              <w:spacing w:before="0" w:after="283"/>
              <w:jc w:val="right"/>
              <w:rPr/>
            </w:pPr>
            <w:hyperlink w:anchor="regn013211-def14aa070">
              <w:r>
                <w:rPr>
                  <w:rStyle w:val="InternetLink"/>
                  <w:rFonts w:ascii="Arial;Helvetica;Sans-Serif" w:hAnsi="Arial;Helvetica;Sans-Serif"/>
                  <w:b w:val="false"/>
                  <w:i w:val="false"/>
                  <w:caps w:val="false"/>
                  <w:smallCaps w:val="false"/>
                  <w:strike w:val="false"/>
                  <w:dstrike w:val="false"/>
                  <w:color w:val="000000"/>
                  <w:sz w:val="18"/>
                  <w:u w:val="none"/>
                  <w:effect w:val="none"/>
                </w:rPr>
                <w:t>79</w:t>
              </w:r>
            </w:hyperlink>
          </w:p>
        </w:tc>
      </w:tr>
      <w:tr>
        <w:trPr/>
        <w:tc>
          <w:tcPr>
            <w:tcW w:w="7085" w:type="dxa"/>
            <w:gridSpan w:val="2"/>
            <w:tcBorders/>
            <w:vAlign w:val="center"/>
          </w:tcPr>
          <w:p>
            <w:pPr>
              <w:pStyle w:val="TableContents"/>
              <w:bidi w:val="0"/>
              <w:spacing w:before="0" w:after="283"/>
              <w:jc w:val="left"/>
              <w:rPr/>
            </w:pPr>
            <w:hyperlink w:anchor="regn013211-def14aa071">
              <w:r>
                <w:rPr>
                  <w:rStyle w:val="InternetLink"/>
                  <w:rFonts w:ascii="Arial;Helvetica;Sans-Serif" w:hAnsi="Arial;Helvetica;Sans-Serif"/>
                  <w:b w:val="false"/>
                  <w:i w:val="false"/>
                  <w:caps w:val="false"/>
                  <w:smallCaps w:val="false"/>
                  <w:strike w:val="false"/>
                  <w:dstrike w:val="false"/>
                  <w:color w:val="000000"/>
                  <w:sz w:val="18"/>
                  <w:u w:val="none"/>
                  <w:effect w:val="none"/>
                </w:rPr>
                <w:t>Tax Implications</w:t>
              </w:r>
            </w:hyperlink>
          </w:p>
        </w:tc>
        <w:tc>
          <w:tcPr>
            <w:tcW w:w="245" w:type="dxa"/>
            <w:tcBorders/>
            <w:vAlign w:val="center"/>
          </w:tcPr>
          <w:p>
            <w:pPr>
              <w:pStyle w:val="TableContents"/>
              <w:bidi w:val="0"/>
              <w:spacing w:before="0" w:after="283"/>
              <w:jc w:val="right"/>
              <w:rPr/>
            </w:pPr>
            <w:hyperlink w:anchor="regn013211-def14aa071">
              <w:r>
                <w:rPr>
                  <w:rStyle w:val="InternetLink"/>
                  <w:rFonts w:ascii="Arial;Helvetica;Sans-Serif" w:hAnsi="Arial;Helvetica;Sans-Serif"/>
                  <w:b w:val="false"/>
                  <w:i w:val="false"/>
                  <w:caps w:val="false"/>
                  <w:smallCaps w:val="false"/>
                  <w:strike w:val="false"/>
                  <w:dstrike w:val="false"/>
                  <w:color w:val="000000"/>
                  <w:sz w:val="18"/>
                  <w:u w:val="none"/>
                  <w:effect w:val="none"/>
                </w:rPr>
                <w:t>79</w:t>
              </w:r>
            </w:hyperlink>
          </w:p>
        </w:tc>
      </w:tr>
      <w:tr>
        <w:trPr/>
        <w:tc>
          <w:tcPr>
            <w:tcW w:w="7085" w:type="dxa"/>
            <w:gridSpan w:val="2"/>
            <w:tcBorders/>
            <w:vAlign w:val="center"/>
          </w:tcPr>
          <w:p>
            <w:pPr>
              <w:pStyle w:val="TableContents"/>
              <w:bidi w:val="0"/>
              <w:spacing w:before="0" w:after="283"/>
              <w:jc w:val="left"/>
              <w:rPr/>
            </w:pPr>
            <w:hyperlink w:anchor="regn013211-def14aa072">
              <w:r>
                <w:rPr>
                  <w:rStyle w:val="InternetLink"/>
                  <w:rFonts w:ascii="Arial;Helvetica;Sans-Serif" w:hAnsi="Arial;Helvetica;Sans-Serif"/>
                  <w:b w:val="false"/>
                  <w:i w:val="false"/>
                  <w:caps w:val="false"/>
                  <w:smallCaps w:val="false"/>
                  <w:strike w:val="false"/>
                  <w:dstrike w:val="false"/>
                  <w:color w:val="000000"/>
                  <w:sz w:val="18"/>
                  <w:u w:val="none"/>
                  <w:effect w:val="none"/>
                </w:rPr>
                <w:t>Compensation Committee Report</w:t>
              </w:r>
            </w:hyperlink>
          </w:p>
        </w:tc>
        <w:tc>
          <w:tcPr>
            <w:tcW w:w="245" w:type="dxa"/>
            <w:tcBorders/>
            <w:vAlign w:val="center"/>
          </w:tcPr>
          <w:p>
            <w:pPr>
              <w:pStyle w:val="TableContents"/>
              <w:bidi w:val="0"/>
              <w:spacing w:before="0" w:after="283"/>
              <w:jc w:val="right"/>
              <w:rPr/>
            </w:pPr>
            <w:hyperlink w:anchor="regn013211-def14aa072">
              <w:r>
                <w:rPr>
                  <w:rStyle w:val="InternetLink"/>
                  <w:rFonts w:ascii="Arial;Helvetica;Sans-Serif" w:hAnsi="Arial;Helvetica;Sans-Serif"/>
                  <w:b w:val="false"/>
                  <w:i w:val="false"/>
                  <w:caps w:val="false"/>
                  <w:smallCaps w:val="false"/>
                  <w:strike w:val="false"/>
                  <w:dstrike w:val="false"/>
                  <w:color w:val="000000"/>
                  <w:sz w:val="18"/>
                  <w:u w:val="none"/>
                  <w:effect w:val="none"/>
                </w:rPr>
                <w:t>80</w:t>
              </w:r>
            </w:hyperlink>
          </w:p>
        </w:tc>
      </w:tr>
      <w:tr>
        <w:trPr/>
        <w:tc>
          <w:tcPr>
            <w:tcW w:w="7085" w:type="dxa"/>
            <w:gridSpan w:val="2"/>
            <w:tcBorders/>
            <w:vAlign w:val="center"/>
          </w:tcPr>
          <w:p>
            <w:pPr>
              <w:pStyle w:val="TableContents"/>
              <w:bidi w:val="0"/>
              <w:spacing w:before="0" w:after="283"/>
              <w:jc w:val="left"/>
              <w:rPr/>
            </w:pPr>
            <w:hyperlink w:anchor="regn013211-def14aa073">
              <w:r>
                <w:rPr>
                  <w:rStyle w:val="InternetLink"/>
                  <w:rFonts w:ascii="Arial;Helvetica;Sans-Serif" w:hAnsi="Arial;Helvetica;Sans-Serif"/>
                  <w:b w:val="false"/>
                  <w:i w:val="false"/>
                  <w:caps w:val="false"/>
                  <w:smallCaps w:val="false"/>
                  <w:strike w:val="false"/>
                  <w:dstrike w:val="false"/>
                  <w:color w:val="000000"/>
                  <w:sz w:val="18"/>
                  <w:u w:val="none"/>
                  <w:effect w:val="none"/>
                </w:rPr>
                <w:t>Compensation Committee Interlocks and Insider Participation</w:t>
              </w:r>
            </w:hyperlink>
          </w:p>
        </w:tc>
        <w:tc>
          <w:tcPr>
            <w:tcW w:w="245" w:type="dxa"/>
            <w:tcBorders/>
            <w:vAlign w:val="center"/>
          </w:tcPr>
          <w:p>
            <w:pPr>
              <w:pStyle w:val="TableContents"/>
              <w:bidi w:val="0"/>
              <w:spacing w:before="0" w:after="283"/>
              <w:jc w:val="right"/>
              <w:rPr/>
            </w:pPr>
            <w:hyperlink w:anchor="regn013211-def14aa073">
              <w:r>
                <w:rPr>
                  <w:rStyle w:val="InternetLink"/>
                  <w:rFonts w:ascii="Arial;Helvetica;Sans-Serif" w:hAnsi="Arial;Helvetica;Sans-Serif"/>
                  <w:b w:val="false"/>
                  <w:i w:val="false"/>
                  <w:caps w:val="false"/>
                  <w:smallCaps w:val="false"/>
                  <w:strike w:val="false"/>
                  <w:dstrike w:val="false"/>
                  <w:color w:val="000000"/>
                  <w:sz w:val="18"/>
                  <w:u w:val="none"/>
                  <w:effect w:val="none"/>
                </w:rPr>
                <w:t>80</w:t>
              </w:r>
            </w:hyperlink>
          </w:p>
        </w:tc>
      </w:tr>
      <w:tr>
        <w:trPr/>
        <w:tc>
          <w:tcPr>
            <w:tcW w:w="7085" w:type="dxa"/>
            <w:gridSpan w:val="2"/>
            <w:tcBorders/>
            <w:vAlign w:val="center"/>
          </w:tcPr>
          <w:p>
            <w:pPr>
              <w:pStyle w:val="TableContents"/>
              <w:bidi w:val="0"/>
              <w:spacing w:before="0" w:after="283"/>
              <w:jc w:val="left"/>
              <w:rPr/>
            </w:pPr>
            <w:hyperlink w:anchor="regn013211-def14aa074">
              <w:r>
                <w:rPr>
                  <w:rStyle w:val="InternetLink"/>
                  <w:rFonts w:ascii="Arial;Helvetica;Sans-Serif" w:hAnsi="Arial;Helvetica;Sans-Serif"/>
                  <w:b/>
                  <w:i w:val="false"/>
                  <w:caps w:val="false"/>
                  <w:smallCaps w:val="false"/>
                  <w:strike w:val="false"/>
                  <w:dstrike w:val="false"/>
                  <w:color w:val="000000"/>
                  <w:sz w:val="18"/>
                  <w:u w:val="none"/>
                  <w:effect w:val="none"/>
                </w:rPr>
                <w:t>Compensation Dashboard</w:t>
              </w:r>
            </w:hyperlink>
          </w:p>
        </w:tc>
        <w:tc>
          <w:tcPr>
            <w:tcW w:w="245" w:type="dxa"/>
            <w:tcBorders/>
            <w:vAlign w:val="center"/>
          </w:tcPr>
          <w:p>
            <w:pPr>
              <w:pStyle w:val="TableContents"/>
              <w:bidi w:val="0"/>
              <w:spacing w:before="0" w:after="283"/>
              <w:jc w:val="right"/>
              <w:rPr/>
            </w:pPr>
            <w:hyperlink w:anchor="regn013211-def14aa074">
              <w:r>
                <w:rPr>
                  <w:rStyle w:val="InternetLink"/>
                  <w:rFonts w:ascii="Arial;Helvetica;Sans-Serif" w:hAnsi="Arial;Helvetica;Sans-Serif"/>
                  <w:b/>
                  <w:i w:val="false"/>
                  <w:caps w:val="false"/>
                  <w:smallCaps w:val="false"/>
                  <w:strike w:val="false"/>
                  <w:dstrike w:val="false"/>
                  <w:color w:val="000000"/>
                  <w:sz w:val="18"/>
                  <w:u w:val="none"/>
                  <w:effect w:val="none"/>
                </w:rPr>
                <w:t>81</w:t>
              </w:r>
            </w:hyperlink>
          </w:p>
        </w:tc>
      </w:tr>
      <w:tr>
        <w:trPr/>
        <w:tc>
          <w:tcPr>
            <w:tcW w:w="7085" w:type="dxa"/>
            <w:gridSpan w:val="2"/>
            <w:tcBorders/>
            <w:vAlign w:val="center"/>
          </w:tcPr>
          <w:p>
            <w:pPr>
              <w:pStyle w:val="TableContents"/>
              <w:bidi w:val="0"/>
              <w:spacing w:before="0" w:after="283"/>
              <w:jc w:val="left"/>
              <w:rPr/>
            </w:pPr>
            <w:hyperlink w:anchor="regn013211-def14aa075">
              <w:r>
                <w:rPr>
                  <w:rStyle w:val="InternetLink"/>
                  <w:rFonts w:ascii="Arial;Helvetica;Sans-Serif" w:hAnsi="Arial;Helvetica;Sans-Serif"/>
                  <w:b w:val="false"/>
                  <w:i w:val="false"/>
                  <w:caps w:val="false"/>
                  <w:smallCaps w:val="false"/>
                  <w:strike w:val="false"/>
                  <w:dstrike w:val="false"/>
                  <w:color w:val="000000"/>
                  <w:sz w:val="18"/>
                  <w:u w:val="none"/>
                  <w:effect w:val="none"/>
                </w:rPr>
                <w:t>2024 Executive Compensation Tables</w:t>
              </w:r>
            </w:hyperlink>
          </w:p>
        </w:tc>
        <w:tc>
          <w:tcPr>
            <w:tcW w:w="245" w:type="dxa"/>
            <w:tcBorders/>
            <w:vAlign w:val="center"/>
          </w:tcPr>
          <w:p>
            <w:pPr>
              <w:pStyle w:val="TableContents"/>
              <w:bidi w:val="0"/>
              <w:spacing w:before="0" w:after="283"/>
              <w:jc w:val="right"/>
              <w:rPr/>
            </w:pPr>
            <w:hyperlink w:anchor="regn013211-def14aa075">
              <w:r>
                <w:rPr>
                  <w:rStyle w:val="InternetLink"/>
                  <w:rFonts w:ascii="Arial;Helvetica;Sans-Serif" w:hAnsi="Arial;Helvetica;Sans-Serif"/>
                  <w:b w:val="false"/>
                  <w:i w:val="false"/>
                  <w:caps w:val="false"/>
                  <w:smallCaps w:val="false"/>
                  <w:strike w:val="false"/>
                  <w:dstrike w:val="false"/>
                  <w:color w:val="000000"/>
                  <w:sz w:val="18"/>
                  <w:u w:val="none"/>
                  <w:effect w:val="none"/>
                </w:rPr>
                <w:t>81</w:t>
              </w:r>
            </w:hyperlink>
          </w:p>
        </w:tc>
      </w:tr>
      <w:tr>
        <w:trPr/>
        <w:tc>
          <w:tcPr>
            <w:tcW w:w="7085" w:type="dxa"/>
            <w:gridSpan w:val="2"/>
            <w:tcBorders/>
            <w:vAlign w:val="center"/>
          </w:tcPr>
          <w:p>
            <w:pPr>
              <w:pStyle w:val="TableContents"/>
              <w:bidi w:val="0"/>
              <w:spacing w:before="0" w:after="283"/>
              <w:jc w:val="left"/>
              <w:rPr/>
            </w:pPr>
            <w:hyperlink w:anchor="regn013211-def14aa076">
              <w:r>
                <w:rPr>
                  <w:rStyle w:val="InternetLink"/>
                  <w:rFonts w:ascii="Arial;Helvetica;Sans-Serif" w:hAnsi="Arial;Helvetica;Sans-Serif"/>
                  <w:b w:val="false"/>
                  <w:i w:val="false"/>
                  <w:caps w:val="false"/>
                  <w:smallCaps w:val="false"/>
                  <w:strike w:val="false"/>
                  <w:dstrike w:val="false"/>
                  <w:color w:val="000000"/>
                  <w:sz w:val="18"/>
                  <w:u w:val="none"/>
                  <w:effect w:val="none"/>
                </w:rPr>
                <w:t>2024 Summary Compensation Table</w:t>
              </w:r>
            </w:hyperlink>
          </w:p>
        </w:tc>
        <w:tc>
          <w:tcPr>
            <w:tcW w:w="245" w:type="dxa"/>
            <w:tcBorders/>
            <w:vAlign w:val="center"/>
          </w:tcPr>
          <w:p>
            <w:pPr>
              <w:pStyle w:val="TableContents"/>
              <w:bidi w:val="0"/>
              <w:spacing w:before="0" w:after="283"/>
              <w:jc w:val="right"/>
              <w:rPr/>
            </w:pPr>
            <w:hyperlink w:anchor="regn013211-def14aa076">
              <w:r>
                <w:rPr>
                  <w:rStyle w:val="InternetLink"/>
                  <w:rFonts w:ascii="Arial;Helvetica;Sans-Serif" w:hAnsi="Arial;Helvetica;Sans-Serif"/>
                  <w:b w:val="false"/>
                  <w:i w:val="false"/>
                  <w:caps w:val="false"/>
                  <w:smallCaps w:val="false"/>
                  <w:strike w:val="false"/>
                  <w:dstrike w:val="false"/>
                  <w:color w:val="000000"/>
                  <w:sz w:val="18"/>
                  <w:u w:val="none"/>
                  <w:effect w:val="none"/>
                </w:rPr>
                <w:t>81</w:t>
              </w:r>
            </w:hyperlink>
          </w:p>
        </w:tc>
      </w:tr>
      <w:tr>
        <w:trPr/>
        <w:tc>
          <w:tcPr>
            <w:tcW w:w="7085" w:type="dxa"/>
            <w:gridSpan w:val="2"/>
            <w:tcBorders/>
            <w:vAlign w:val="center"/>
          </w:tcPr>
          <w:p>
            <w:pPr>
              <w:pStyle w:val="TableContents"/>
              <w:bidi w:val="0"/>
              <w:spacing w:before="0" w:after="283"/>
              <w:jc w:val="left"/>
              <w:rPr/>
            </w:pPr>
            <w:hyperlink w:anchor="regn013211-def14aa077">
              <w:r>
                <w:rPr>
                  <w:rStyle w:val="InternetLink"/>
                  <w:rFonts w:ascii="Arial;Helvetica;Sans-Serif" w:hAnsi="Arial;Helvetica;Sans-Serif"/>
                  <w:b w:val="false"/>
                  <w:i w:val="false"/>
                  <w:caps w:val="false"/>
                  <w:smallCaps w:val="false"/>
                  <w:strike w:val="false"/>
                  <w:dstrike w:val="false"/>
                  <w:color w:val="000000"/>
                  <w:sz w:val="18"/>
                  <w:u w:val="none"/>
                  <w:effect w:val="none"/>
                </w:rPr>
                <w:t>2024 Grants of Plan-Based Awards</w:t>
              </w:r>
            </w:hyperlink>
          </w:p>
        </w:tc>
        <w:tc>
          <w:tcPr>
            <w:tcW w:w="245" w:type="dxa"/>
            <w:tcBorders/>
            <w:vAlign w:val="center"/>
          </w:tcPr>
          <w:p>
            <w:pPr>
              <w:pStyle w:val="TableContents"/>
              <w:bidi w:val="0"/>
              <w:spacing w:before="0" w:after="283"/>
              <w:jc w:val="right"/>
              <w:rPr/>
            </w:pPr>
            <w:hyperlink w:anchor="regn013211-def14aa077">
              <w:r>
                <w:rPr>
                  <w:rStyle w:val="InternetLink"/>
                  <w:rFonts w:ascii="Arial;Helvetica;Sans-Serif" w:hAnsi="Arial;Helvetica;Sans-Serif"/>
                  <w:b w:val="false"/>
                  <w:i w:val="false"/>
                  <w:caps w:val="false"/>
                  <w:smallCaps w:val="false"/>
                  <w:strike w:val="false"/>
                  <w:dstrike w:val="false"/>
                  <w:color w:val="000000"/>
                  <w:sz w:val="18"/>
                  <w:u w:val="none"/>
                  <w:effect w:val="none"/>
                </w:rPr>
                <w:t>82</w:t>
              </w:r>
            </w:hyperlink>
          </w:p>
        </w:tc>
      </w:tr>
    </w:tbl>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v</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205" w:type="dxa"/>
        <w:jc w:val="left"/>
        <w:tblInd w:w="0" w:type="dxa"/>
        <w:tblLayout w:type="fixed"/>
        <w:tblCellMar>
          <w:top w:w="0" w:type="dxa"/>
          <w:left w:w="0" w:type="dxa"/>
          <w:bottom w:w="0" w:type="dxa"/>
          <w:right w:w="0" w:type="dxa"/>
        </w:tblCellMar>
      </w:tblPr>
      <w:tblGrid>
        <w:gridCol w:w="446"/>
        <w:gridCol w:w="9408"/>
        <w:gridCol w:w="351"/>
      </w:tblGrid>
      <w:tr>
        <w:trPr/>
        <w:tc>
          <w:tcPr>
            <w:tcW w:w="9854" w:type="dxa"/>
            <w:gridSpan w:val="2"/>
            <w:tcBorders/>
            <w:vAlign w:val="center"/>
          </w:tcPr>
          <w:p>
            <w:pPr>
              <w:pStyle w:val="TableContents"/>
              <w:bidi w:val="0"/>
              <w:spacing w:before="0" w:after="283"/>
              <w:jc w:val="left"/>
              <w:rPr/>
            </w:pPr>
            <w:hyperlink w:anchor="regn013211-def14aa078">
              <w:r>
                <w:rPr>
                  <w:rStyle w:val="InternetLink"/>
                  <w:rFonts w:ascii="Arial;Helvetica;Sans-Serif" w:hAnsi="Arial;Helvetica;Sans-Serif"/>
                  <w:b w:val="false"/>
                  <w:i w:val="false"/>
                  <w:caps w:val="false"/>
                  <w:smallCaps w:val="false"/>
                  <w:strike w:val="false"/>
                  <w:dstrike w:val="false"/>
                  <w:color w:val="000000"/>
                  <w:sz w:val="18"/>
                  <w:u w:val="none"/>
                  <w:effect w:val="none"/>
                </w:rPr>
                <w:t>Outstanding Equity Awards at 2024 Fiscal Year-End</w:t>
              </w:r>
            </w:hyperlink>
          </w:p>
        </w:tc>
        <w:tc>
          <w:tcPr>
            <w:tcW w:w="351" w:type="dxa"/>
            <w:tcBorders/>
            <w:vAlign w:val="center"/>
          </w:tcPr>
          <w:p>
            <w:pPr>
              <w:pStyle w:val="TableContents"/>
              <w:bidi w:val="0"/>
              <w:spacing w:before="0" w:after="283"/>
              <w:jc w:val="right"/>
              <w:rPr/>
            </w:pPr>
            <w:hyperlink w:anchor="regn013211-def14aa078">
              <w:r>
                <w:rPr>
                  <w:rStyle w:val="InternetLink"/>
                  <w:rFonts w:ascii="Arial;Helvetica;Sans-Serif" w:hAnsi="Arial;Helvetica;Sans-Serif"/>
                  <w:b w:val="false"/>
                  <w:i w:val="false"/>
                  <w:caps w:val="false"/>
                  <w:smallCaps w:val="false"/>
                  <w:strike w:val="false"/>
                  <w:dstrike w:val="false"/>
                  <w:color w:val="000000"/>
                  <w:sz w:val="18"/>
                  <w:u w:val="none"/>
                  <w:effect w:val="none"/>
                </w:rPr>
                <w:t>83</w:t>
              </w:r>
            </w:hyperlink>
          </w:p>
        </w:tc>
      </w:tr>
      <w:tr>
        <w:trPr/>
        <w:tc>
          <w:tcPr>
            <w:tcW w:w="9854" w:type="dxa"/>
            <w:gridSpan w:val="2"/>
            <w:tcBorders/>
            <w:vAlign w:val="center"/>
          </w:tcPr>
          <w:p>
            <w:pPr>
              <w:pStyle w:val="TableContents"/>
              <w:bidi w:val="0"/>
              <w:spacing w:before="0" w:after="283"/>
              <w:jc w:val="left"/>
              <w:rPr/>
            </w:pPr>
            <w:hyperlink w:anchor="regn013211-def14aa079">
              <w:r>
                <w:rPr>
                  <w:rStyle w:val="InternetLink"/>
                  <w:rFonts w:ascii="Arial;Helvetica;Sans-Serif" w:hAnsi="Arial;Helvetica;Sans-Serif"/>
                  <w:b w:val="false"/>
                  <w:i w:val="false"/>
                  <w:caps w:val="false"/>
                  <w:smallCaps w:val="false"/>
                  <w:strike w:val="false"/>
                  <w:dstrike w:val="false"/>
                  <w:color w:val="000000"/>
                  <w:sz w:val="18"/>
                  <w:u w:val="none"/>
                  <w:effect w:val="none"/>
                </w:rPr>
                <w:t>2024 Option Exercises and Stock Vested</w:t>
              </w:r>
            </w:hyperlink>
          </w:p>
        </w:tc>
        <w:tc>
          <w:tcPr>
            <w:tcW w:w="351" w:type="dxa"/>
            <w:tcBorders/>
            <w:vAlign w:val="center"/>
          </w:tcPr>
          <w:p>
            <w:pPr>
              <w:pStyle w:val="TableContents"/>
              <w:bidi w:val="0"/>
              <w:spacing w:before="0" w:after="283"/>
              <w:jc w:val="right"/>
              <w:rPr/>
            </w:pPr>
            <w:hyperlink w:anchor="regn013211-def14aa079">
              <w:r>
                <w:rPr>
                  <w:rStyle w:val="InternetLink"/>
                  <w:rFonts w:ascii="Arial;Helvetica;Sans-Serif" w:hAnsi="Arial;Helvetica;Sans-Serif"/>
                  <w:b w:val="false"/>
                  <w:i w:val="false"/>
                  <w:caps w:val="false"/>
                  <w:smallCaps w:val="false"/>
                  <w:strike w:val="false"/>
                  <w:dstrike w:val="false"/>
                  <w:color w:val="000000"/>
                  <w:sz w:val="18"/>
                  <w:u w:val="none"/>
                  <w:effect w:val="none"/>
                </w:rPr>
                <w:t>85</w:t>
              </w:r>
            </w:hyperlink>
          </w:p>
        </w:tc>
      </w:tr>
      <w:tr>
        <w:trPr/>
        <w:tc>
          <w:tcPr>
            <w:tcW w:w="9854" w:type="dxa"/>
            <w:gridSpan w:val="2"/>
            <w:tcBorders/>
            <w:vAlign w:val="center"/>
          </w:tcPr>
          <w:p>
            <w:pPr>
              <w:pStyle w:val="TableContents"/>
              <w:bidi w:val="0"/>
              <w:spacing w:before="0" w:after="283"/>
              <w:jc w:val="left"/>
              <w:rPr/>
            </w:pPr>
            <w:hyperlink w:anchor="regn013211-def14aa080">
              <w:r>
                <w:rPr>
                  <w:rStyle w:val="InternetLink"/>
                  <w:rFonts w:ascii="Arial;Helvetica;Sans-Serif" w:hAnsi="Arial;Helvetica;Sans-Serif"/>
                  <w:b w:val="false"/>
                  <w:i w:val="false"/>
                  <w:caps w:val="false"/>
                  <w:smallCaps w:val="false"/>
                  <w:strike w:val="false"/>
                  <w:dstrike w:val="false"/>
                  <w:color w:val="000000"/>
                  <w:sz w:val="18"/>
                  <w:u w:val="none"/>
                  <w:effect w:val="none"/>
                </w:rPr>
                <w:t>Post-Employment Compensation</w:t>
              </w:r>
            </w:hyperlink>
          </w:p>
        </w:tc>
        <w:tc>
          <w:tcPr>
            <w:tcW w:w="351" w:type="dxa"/>
            <w:tcBorders/>
            <w:vAlign w:val="center"/>
          </w:tcPr>
          <w:p>
            <w:pPr>
              <w:pStyle w:val="TableContents"/>
              <w:bidi w:val="0"/>
              <w:spacing w:before="0" w:after="283"/>
              <w:jc w:val="right"/>
              <w:rPr/>
            </w:pPr>
            <w:hyperlink w:anchor="regn013211-def14aa080">
              <w:r>
                <w:rPr>
                  <w:rStyle w:val="InternetLink"/>
                  <w:rFonts w:ascii="Arial;Helvetica;Sans-Serif" w:hAnsi="Arial;Helvetica;Sans-Serif"/>
                  <w:b w:val="false"/>
                  <w:i w:val="false"/>
                  <w:caps w:val="false"/>
                  <w:smallCaps w:val="false"/>
                  <w:strike w:val="false"/>
                  <w:dstrike w:val="false"/>
                  <w:color w:val="000000"/>
                  <w:sz w:val="18"/>
                  <w:u w:val="none"/>
                  <w:effect w:val="none"/>
                </w:rPr>
                <w:t>86</w:t>
              </w:r>
            </w:hyperlink>
          </w:p>
        </w:tc>
      </w:tr>
      <w:tr>
        <w:trPr/>
        <w:tc>
          <w:tcPr>
            <w:tcW w:w="9854" w:type="dxa"/>
            <w:gridSpan w:val="2"/>
            <w:tcBorders/>
            <w:vAlign w:val="center"/>
          </w:tcPr>
          <w:p>
            <w:pPr>
              <w:pStyle w:val="TableContents"/>
              <w:bidi w:val="0"/>
              <w:spacing w:before="0" w:after="283"/>
              <w:jc w:val="left"/>
              <w:rPr/>
            </w:pPr>
            <w:hyperlink w:anchor="regn013211-def14aa081">
              <w:r>
                <w:rPr>
                  <w:rStyle w:val="InternetLink"/>
                  <w:rFonts w:ascii="Arial;Helvetica;Sans-Serif" w:hAnsi="Arial;Helvetica;Sans-Serif"/>
                  <w:b w:val="false"/>
                  <w:i w:val="false"/>
                  <w:caps w:val="false"/>
                  <w:smallCaps w:val="false"/>
                  <w:strike w:val="false"/>
                  <w:dstrike w:val="false"/>
                  <w:color w:val="000000"/>
                  <w:sz w:val="18"/>
                  <w:u w:val="none"/>
                  <w:effect w:val="none"/>
                </w:rPr>
                <w:t>Additional Compensation Information</w:t>
              </w:r>
            </w:hyperlink>
          </w:p>
        </w:tc>
        <w:tc>
          <w:tcPr>
            <w:tcW w:w="351" w:type="dxa"/>
            <w:tcBorders/>
            <w:vAlign w:val="center"/>
          </w:tcPr>
          <w:p>
            <w:pPr>
              <w:pStyle w:val="TableContents"/>
              <w:bidi w:val="0"/>
              <w:spacing w:before="0" w:after="283"/>
              <w:jc w:val="right"/>
              <w:rPr/>
            </w:pPr>
            <w:hyperlink w:anchor="regn013211-def14aa081">
              <w:r>
                <w:rPr>
                  <w:rStyle w:val="InternetLink"/>
                  <w:rFonts w:ascii="Arial;Helvetica;Sans-Serif" w:hAnsi="Arial;Helvetica;Sans-Serif"/>
                  <w:b w:val="false"/>
                  <w:i w:val="false"/>
                  <w:caps w:val="false"/>
                  <w:smallCaps w:val="false"/>
                  <w:strike w:val="false"/>
                  <w:dstrike w:val="false"/>
                  <w:color w:val="000000"/>
                  <w:sz w:val="18"/>
                  <w:u w:val="none"/>
                  <w:effect w:val="none"/>
                </w:rPr>
                <w:t>90</w:t>
              </w:r>
            </w:hyperlink>
          </w:p>
        </w:tc>
      </w:tr>
      <w:tr>
        <w:trPr/>
        <w:tc>
          <w:tcPr>
            <w:tcW w:w="9854" w:type="dxa"/>
            <w:gridSpan w:val="2"/>
            <w:tcBorders/>
            <w:vAlign w:val="center"/>
          </w:tcPr>
          <w:p>
            <w:pPr>
              <w:pStyle w:val="TableContents"/>
              <w:bidi w:val="0"/>
              <w:spacing w:before="0" w:after="283"/>
              <w:jc w:val="left"/>
              <w:rPr/>
            </w:pPr>
            <w:hyperlink w:anchor="regn013211-def14aa082">
              <w:r>
                <w:rPr>
                  <w:rStyle w:val="InternetLink"/>
                  <w:rFonts w:ascii="Arial;Helvetica;Sans-Serif" w:hAnsi="Arial;Helvetica;Sans-Serif"/>
                  <w:b w:val="false"/>
                  <w:i w:val="false"/>
                  <w:caps w:val="false"/>
                  <w:smallCaps w:val="false"/>
                  <w:strike w:val="false"/>
                  <w:dstrike w:val="false"/>
                  <w:color w:val="000000"/>
                  <w:sz w:val="18"/>
                  <w:u w:val="none"/>
                  <w:effect w:val="none"/>
                </w:rPr>
                <w:t>Annual Cash Incentives</w:t>
              </w:r>
            </w:hyperlink>
          </w:p>
        </w:tc>
        <w:tc>
          <w:tcPr>
            <w:tcW w:w="351" w:type="dxa"/>
            <w:tcBorders/>
            <w:vAlign w:val="center"/>
          </w:tcPr>
          <w:p>
            <w:pPr>
              <w:pStyle w:val="TableContents"/>
              <w:bidi w:val="0"/>
              <w:spacing w:before="0" w:after="283"/>
              <w:jc w:val="right"/>
              <w:rPr/>
            </w:pPr>
            <w:hyperlink w:anchor="regn013211-def14aa082">
              <w:r>
                <w:rPr>
                  <w:rStyle w:val="InternetLink"/>
                  <w:rFonts w:ascii="Arial;Helvetica;Sans-Serif" w:hAnsi="Arial;Helvetica;Sans-Serif"/>
                  <w:b w:val="false"/>
                  <w:i w:val="false"/>
                  <w:caps w:val="false"/>
                  <w:smallCaps w:val="false"/>
                  <w:strike w:val="false"/>
                  <w:dstrike w:val="false"/>
                  <w:color w:val="000000"/>
                  <w:sz w:val="18"/>
                  <w:u w:val="none"/>
                  <w:effect w:val="none"/>
                </w:rPr>
                <w:t>90</w:t>
              </w:r>
            </w:hyperlink>
          </w:p>
        </w:tc>
      </w:tr>
      <w:tr>
        <w:trPr/>
        <w:tc>
          <w:tcPr>
            <w:tcW w:w="9854" w:type="dxa"/>
            <w:gridSpan w:val="2"/>
            <w:tcBorders/>
            <w:vAlign w:val="center"/>
          </w:tcPr>
          <w:p>
            <w:pPr>
              <w:pStyle w:val="TableContents"/>
              <w:bidi w:val="0"/>
              <w:spacing w:before="0" w:after="283"/>
              <w:jc w:val="left"/>
              <w:rPr/>
            </w:pPr>
            <w:hyperlink w:anchor="regn013211-def14aa083">
              <w:r>
                <w:rPr>
                  <w:rStyle w:val="InternetLink"/>
                  <w:rFonts w:ascii="Arial;Helvetica;Sans-Serif" w:hAnsi="Arial;Helvetica;Sans-Serif"/>
                  <w:b w:val="false"/>
                  <w:i w:val="false"/>
                  <w:caps w:val="false"/>
                  <w:smallCaps w:val="false"/>
                  <w:strike w:val="false"/>
                  <w:dstrike w:val="false"/>
                  <w:color w:val="000000"/>
                  <w:sz w:val="18"/>
                  <w:u w:val="none"/>
                  <w:effect w:val="none"/>
                </w:rPr>
                <w:t>Perquisites and Personal Benefits</w:t>
              </w:r>
            </w:hyperlink>
          </w:p>
        </w:tc>
        <w:tc>
          <w:tcPr>
            <w:tcW w:w="351" w:type="dxa"/>
            <w:tcBorders/>
            <w:vAlign w:val="center"/>
          </w:tcPr>
          <w:p>
            <w:pPr>
              <w:pStyle w:val="TableContents"/>
              <w:bidi w:val="0"/>
              <w:spacing w:before="0" w:after="283"/>
              <w:jc w:val="right"/>
              <w:rPr/>
            </w:pPr>
            <w:hyperlink w:anchor="regn013211-def14aa083">
              <w:r>
                <w:rPr>
                  <w:rStyle w:val="InternetLink"/>
                  <w:rFonts w:ascii="Arial;Helvetica;Sans-Serif" w:hAnsi="Arial;Helvetica;Sans-Serif"/>
                  <w:b w:val="false"/>
                  <w:i w:val="false"/>
                  <w:caps w:val="false"/>
                  <w:smallCaps w:val="false"/>
                  <w:strike w:val="false"/>
                  <w:dstrike w:val="false"/>
                  <w:color w:val="000000"/>
                  <w:sz w:val="18"/>
                  <w:u w:val="none"/>
                  <w:effect w:val="none"/>
                </w:rPr>
                <w:t>92</w:t>
              </w:r>
            </w:hyperlink>
          </w:p>
        </w:tc>
      </w:tr>
      <w:tr>
        <w:trPr/>
        <w:tc>
          <w:tcPr>
            <w:tcW w:w="9854" w:type="dxa"/>
            <w:gridSpan w:val="2"/>
            <w:tcBorders/>
            <w:vAlign w:val="center"/>
          </w:tcPr>
          <w:p>
            <w:pPr>
              <w:pStyle w:val="TableContents"/>
              <w:bidi w:val="0"/>
              <w:spacing w:before="0" w:after="283"/>
              <w:jc w:val="left"/>
              <w:rPr/>
            </w:pPr>
            <w:hyperlink w:anchor="regn013211-def14aa084">
              <w:r>
                <w:rPr>
                  <w:rStyle w:val="InternetLink"/>
                  <w:rFonts w:ascii="Arial;Helvetica;Sans-Serif" w:hAnsi="Arial;Helvetica;Sans-Serif"/>
                  <w:b w:val="false"/>
                  <w:i w:val="false"/>
                  <w:caps w:val="false"/>
                  <w:smallCaps w:val="false"/>
                  <w:strike w:val="false"/>
                  <w:dstrike w:val="false"/>
                  <w:color w:val="000000"/>
                  <w:sz w:val="18"/>
                  <w:u w:val="none"/>
                  <w:effect w:val="none"/>
                </w:rPr>
                <w:t>Potential Severance Payments</w:t>
              </w:r>
            </w:hyperlink>
          </w:p>
        </w:tc>
        <w:tc>
          <w:tcPr>
            <w:tcW w:w="351" w:type="dxa"/>
            <w:tcBorders/>
            <w:vAlign w:val="center"/>
          </w:tcPr>
          <w:p>
            <w:pPr>
              <w:pStyle w:val="TableContents"/>
              <w:bidi w:val="0"/>
              <w:spacing w:before="0" w:after="283"/>
              <w:jc w:val="right"/>
              <w:rPr/>
            </w:pPr>
            <w:hyperlink w:anchor="regn013211-def14aa084">
              <w:r>
                <w:rPr>
                  <w:rStyle w:val="InternetLink"/>
                  <w:rFonts w:ascii="Arial;Helvetica;Sans-Serif" w:hAnsi="Arial;Helvetica;Sans-Serif"/>
                  <w:b w:val="false"/>
                  <w:i w:val="false"/>
                  <w:caps w:val="false"/>
                  <w:smallCaps w:val="false"/>
                  <w:strike w:val="false"/>
                  <w:dstrike w:val="false"/>
                  <w:color w:val="000000"/>
                  <w:sz w:val="18"/>
                  <w:u w:val="none"/>
                  <w:effect w:val="none"/>
                </w:rPr>
                <w:t>93</w:t>
              </w:r>
            </w:hyperlink>
          </w:p>
        </w:tc>
      </w:tr>
      <w:tr>
        <w:trPr/>
        <w:tc>
          <w:tcPr>
            <w:tcW w:w="9854" w:type="dxa"/>
            <w:gridSpan w:val="2"/>
            <w:tcBorders/>
            <w:vAlign w:val="center"/>
          </w:tcPr>
          <w:p>
            <w:pPr>
              <w:pStyle w:val="TableContents"/>
              <w:bidi w:val="0"/>
              <w:spacing w:before="0" w:after="283"/>
              <w:jc w:val="left"/>
              <w:rPr/>
            </w:pPr>
            <w:hyperlink w:anchor="regn013211-def14aa085">
              <w:r>
                <w:rPr>
                  <w:rStyle w:val="InternetLink"/>
                  <w:rFonts w:ascii="Arial;Helvetica;Sans-Serif" w:hAnsi="Arial;Helvetica;Sans-Serif"/>
                  <w:b w:val="false"/>
                  <w:i w:val="false"/>
                  <w:caps w:val="false"/>
                  <w:smallCaps w:val="false"/>
                  <w:strike w:val="false"/>
                  <w:dstrike w:val="false"/>
                  <w:color w:val="000000"/>
                  <w:sz w:val="18"/>
                  <w:u w:val="none"/>
                  <w:effect w:val="none"/>
                </w:rPr>
                <w:t>Pay Ratio</w:t>
              </w:r>
            </w:hyperlink>
          </w:p>
        </w:tc>
        <w:tc>
          <w:tcPr>
            <w:tcW w:w="351" w:type="dxa"/>
            <w:tcBorders/>
            <w:vAlign w:val="center"/>
          </w:tcPr>
          <w:p>
            <w:pPr>
              <w:pStyle w:val="TableContents"/>
              <w:bidi w:val="0"/>
              <w:spacing w:before="0" w:after="283"/>
              <w:jc w:val="right"/>
              <w:rPr/>
            </w:pPr>
            <w:hyperlink w:anchor="regn013211-def14aa085">
              <w:r>
                <w:rPr>
                  <w:rStyle w:val="InternetLink"/>
                  <w:rFonts w:ascii="Arial;Helvetica;Sans-Serif" w:hAnsi="Arial;Helvetica;Sans-Serif"/>
                  <w:b w:val="false"/>
                  <w:i w:val="false"/>
                  <w:caps w:val="false"/>
                  <w:smallCaps w:val="false"/>
                  <w:strike w:val="false"/>
                  <w:dstrike w:val="false"/>
                  <w:color w:val="000000"/>
                  <w:sz w:val="18"/>
                  <w:u w:val="none"/>
                  <w:effect w:val="none"/>
                </w:rPr>
                <w:t>94</w:t>
              </w:r>
            </w:hyperlink>
          </w:p>
        </w:tc>
      </w:tr>
      <w:tr>
        <w:trPr/>
        <w:tc>
          <w:tcPr>
            <w:tcW w:w="9854" w:type="dxa"/>
            <w:gridSpan w:val="2"/>
            <w:tcBorders/>
            <w:vAlign w:val="center"/>
          </w:tcPr>
          <w:p>
            <w:pPr>
              <w:pStyle w:val="TableContents"/>
              <w:bidi w:val="0"/>
              <w:spacing w:before="0" w:after="283"/>
              <w:jc w:val="left"/>
              <w:rPr/>
            </w:pPr>
            <w:hyperlink w:anchor="regn013211-def14aa086">
              <w:r>
                <w:rPr>
                  <w:rStyle w:val="InternetLink"/>
                  <w:rFonts w:ascii="Arial;Helvetica;Sans-Serif" w:hAnsi="Arial;Helvetica;Sans-Serif"/>
                  <w:b w:val="false"/>
                  <w:i w:val="false"/>
                  <w:caps w:val="false"/>
                  <w:smallCaps w:val="false"/>
                  <w:strike w:val="false"/>
                  <w:dstrike w:val="false"/>
                  <w:color w:val="000000"/>
                  <w:sz w:val="18"/>
                  <w:u w:val="none"/>
                  <w:effect w:val="none"/>
                </w:rPr>
                <w:t>Pay Versus Performance</w:t>
              </w:r>
            </w:hyperlink>
          </w:p>
        </w:tc>
        <w:tc>
          <w:tcPr>
            <w:tcW w:w="351" w:type="dxa"/>
            <w:tcBorders/>
            <w:vAlign w:val="center"/>
          </w:tcPr>
          <w:p>
            <w:pPr>
              <w:pStyle w:val="TableContents"/>
              <w:bidi w:val="0"/>
              <w:spacing w:before="0" w:after="283"/>
              <w:jc w:val="right"/>
              <w:rPr/>
            </w:pPr>
            <w:hyperlink w:anchor="regn013211-def14aa086">
              <w:r>
                <w:rPr>
                  <w:rStyle w:val="InternetLink"/>
                  <w:rFonts w:ascii="Arial;Helvetica;Sans-Serif" w:hAnsi="Arial;Helvetica;Sans-Serif"/>
                  <w:b w:val="false"/>
                  <w:i w:val="false"/>
                  <w:caps w:val="false"/>
                  <w:smallCaps w:val="false"/>
                  <w:strike w:val="false"/>
                  <w:dstrike w:val="false"/>
                  <w:color w:val="000000"/>
                  <w:sz w:val="18"/>
                  <w:u w:val="none"/>
                  <w:effect w:val="none"/>
                </w:rPr>
                <w:t>95</w:t>
              </w:r>
            </w:hyperlink>
          </w:p>
        </w:tc>
      </w:tr>
      <w:tr>
        <w:trPr/>
        <w:tc>
          <w:tcPr>
            <w:tcW w:w="9854" w:type="dxa"/>
            <w:gridSpan w:val="2"/>
            <w:tcBorders/>
            <w:vAlign w:val="center"/>
          </w:tcPr>
          <w:p>
            <w:pPr>
              <w:pStyle w:val="TableContents"/>
              <w:bidi w:val="0"/>
              <w:spacing w:before="0" w:after="283"/>
              <w:jc w:val="left"/>
              <w:rPr/>
            </w:pPr>
            <w:hyperlink w:anchor="regn013211-def14aa087">
              <w:r>
                <w:rPr>
                  <w:rStyle w:val="InternetLink"/>
                  <w:rFonts w:ascii="Arial;Helvetica;Sans-Serif" w:hAnsi="Arial;Helvetica;Sans-Serif"/>
                  <w:b w:val="false"/>
                  <w:i w:val="false"/>
                  <w:caps w:val="false"/>
                  <w:smallCaps w:val="false"/>
                  <w:strike w:val="false"/>
                  <w:dstrike w:val="false"/>
                  <w:color w:val="000000"/>
                  <w:sz w:val="18"/>
                  <w:u w:val="none"/>
                  <w:effect w:val="none"/>
                </w:rPr>
                <w:t>Equity Compensation Information</w:t>
              </w:r>
            </w:hyperlink>
          </w:p>
        </w:tc>
        <w:tc>
          <w:tcPr>
            <w:tcW w:w="351" w:type="dxa"/>
            <w:tcBorders/>
            <w:vAlign w:val="center"/>
          </w:tcPr>
          <w:p>
            <w:pPr>
              <w:pStyle w:val="TableContents"/>
              <w:bidi w:val="0"/>
              <w:spacing w:before="0" w:after="283"/>
              <w:jc w:val="right"/>
              <w:rPr/>
            </w:pPr>
            <w:hyperlink w:anchor="regn013211-def14aa087">
              <w:r>
                <w:rPr>
                  <w:rStyle w:val="InternetLink"/>
                  <w:rFonts w:ascii="Arial;Helvetica;Sans-Serif" w:hAnsi="Arial;Helvetica;Sans-Serif"/>
                  <w:b w:val="false"/>
                  <w:i w:val="false"/>
                  <w:caps w:val="false"/>
                  <w:smallCaps w:val="false"/>
                  <w:strike w:val="false"/>
                  <w:dstrike w:val="false"/>
                  <w:color w:val="000000"/>
                  <w:sz w:val="18"/>
                  <w:u w:val="none"/>
                  <w:effect w:val="none"/>
                </w:rPr>
                <w:t>98</w:t>
              </w:r>
            </w:hyperlink>
          </w:p>
        </w:tc>
      </w:tr>
      <w:tr>
        <w:trPr/>
        <w:tc>
          <w:tcPr>
            <w:tcW w:w="9854" w:type="dxa"/>
            <w:gridSpan w:val="2"/>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right"/>
              <w:rPr/>
            </w:pPr>
            <w:r>
              <w:rPr/>
              <w:t> </w:t>
            </w:r>
          </w:p>
        </w:tc>
      </w:tr>
      <w:tr>
        <w:trPr/>
        <w:tc>
          <w:tcPr>
            <w:tcW w:w="446" w:type="dxa"/>
            <w:tcBorders>
              <w:left w:val="single" w:sz="24" w:space="0" w:color="3B5AA4"/>
            </w:tcBorders>
            <w:shd w:fill="EBEDF8" w:val="clear"/>
            <w:tcMar>
              <w:left w:w="100" w:type="dxa"/>
            </w:tcMar>
            <w:vAlign w:val="center"/>
          </w:tcPr>
          <w:p>
            <w:pPr>
              <w:pStyle w:val="TableContents"/>
              <w:bidi w:val="0"/>
              <w:spacing w:before="0" w:after="283"/>
              <w:jc w:val="center"/>
              <w:rPr/>
            </w:pPr>
            <w:r>
              <w:rPr/>
              <w:drawing>
                <wp:inline distT="0" distB="0" distL="0" distR="0">
                  <wp:extent cx="257175" cy="2476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57175" cy="247650"/>
                          </a:xfrm>
                          <a:prstGeom prst="rect">
                            <a:avLst/>
                          </a:prstGeom>
                        </pic:spPr>
                      </pic:pic>
                    </a:graphicData>
                  </a:graphic>
                </wp:inline>
              </w:drawing>
            </w:r>
          </w:p>
        </w:tc>
        <w:tc>
          <w:tcPr>
            <w:tcW w:w="9408" w:type="dxa"/>
            <w:tcBorders/>
            <w:shd w:fill="EBEDF8" w:val="clear"/>
            <w:vAlign w:val="center"/>
          </w:tcPr>
          <w:p>
            <w:pPr>
              <w:pStyle w:val="TableContents"/>
              <w:bidi w:val="0"/>
              <w:spacing w:before="0" w:after="283"/>
              <w:jc w:val="left"/>
              <w:rPr/>
            </w:pPr>
            <w:hyperlink w:anchor="regn013211-def14aa088">
              <w:r>
                <w:rPr>
                  <w:rStyle w:val="InternetLink"/>
                  <w:rFonts w:ascii="Arial;Helvetica;Sans-Serif" w:hAnsi="Arial;Helvetica;Sans-Serif"/>
                  <w:b w:val="false"/>
                  <w:i w:val="false"/>
                  <w:caps w:val="false"/>
                  <w:smallCaps w:val="false"/>
                  <w:strike w:val="false"/>
                  <w:dstrike w:val="false"/>
                  <w:color w:val="000000"/>
                  <w:sz w:val="18"/>
                  <w:u w:val="none"/>
                  <w:effect w:val="none"/>
                </w:rPr>
                <w:t xml:space="preserve">PROPOSAL No. 3 </w:t>
              </w:r>
            </w:hyperlink>
            <w:hyperlink w:anchor="regn013211-def14aa088">
              <w:r>
                <w:rPr>
                  <w:rStyle w:val="InternetLink"/>
                  <w:rFonts w:ascii="Arial;Helvetica;Sans-Serif" w:hAnsi="Arial;Helvetica;Sans-Serif"/>
                  <w:b/>
                  <w:i w:val="false"/>
                  <w:caps w:val="false"/>
                  <w:smallCaps w:val="false"/>
                  <w:strike w:val="false"/>
                  <w:dstrike w:val="false"/>
                  <w:color w:val="3B5AA4"/>
                  <w:sz w:val="18"/>
                  <w:u w:val="none"/>
                  <w:effect w:val="none"/>
                </w:rPr>
                <w:br/>
                <w:t>Advisory Vote on Compensation of Named Executive Officers (Say-on-Pay)</w:t>
              </w:r>
            </w:hyperlink>
          </w:p>
        </w:tc>
        <w:tc>
          <w:tcPr>
            <w:tcW w:w="351" w:type="dxa"/>
            <w:tcBorders/>
            <w:shd w:fill="EBEDF8" w:val="clear"/>
            <w:vAlign w:val="center"/>
          </w:tcPr>
          <w:p>
            <w:pPr>
              <w:pStyle w:val="TableContents"/>
              <w:bidi w:val="0"/>
              <w:spacing w:before="0" w:after="283"/>
              <w:jc w:val="right"/>
              <w:rPr/>
            </w:pPr>
            <w:hyperlink w:anchor="regn013211-def14aa088">
              <w:r>
                <w:rPr>
                  <w:rStyle w:val="InternetLink"/>
                  <w:rFonts w:ascii="Arial;Helvetica;Sans-Serif" w:hAnsi="Arial;Helvetica;Sans-Serif"/>
                  <w:b/>
                  <w:i w:val="false"/>
                  <w:caps w:val="false"/>
                  <w:smallCaps w:val="false"/>
                  <w:strike w:val="false"/>
                  <w:dstrike w:val="false"/>
                  <w:color w:val="3B5AA4"/>
                  <w:sz w:val="18"/>
                  <w:u w:val="none"/>
                  <w:effect w:val="none"/>
                </w:rPr>
                <w:t>101</w:t>
              </w:r>
            </w:hyperlink>
          </w:p>
        </w:tc>
      </w:tr>
      <w:tr>
        <w:trPr/>
        <w:tc>
          <w:tcPr>
            <w:tcW w:w="9854" w:type="dxa"/>
            <w:gridSpan w:val="2"/>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right"/>
              <w:rPr/>
            </w:pPr>
            <w:r>
              <w:rPr/>
              <w:t> </w:t>
            </w:r>
          </w:p>
        </w:tc>
      </w:tr>
      <w:tr>
        <w:trPr/>
        <w:tc>
          <w:tcPr>
            <w:tcW w:w="9854" w:type="dxa"/>
            <w:gridSpan w:val="2"/>
            <w:tcBorders/>
            <w:vAlign w:val="center"/>
          </w:tcPr>
          <w:p>
            <w:pPr>
              <w:pStyle w:val="TableContents"/>
              <w:bidi w:val="0"/>
              <w:spacing w:before="0" w:after="283"/>
              <w:jc w:val="left"/>
              <w:rPr/>
            </w:pPr>
            <w:hyperlink w:anchor="regn013211-def14aa089">
              <w:r>
                <w:rPr>
                  <w:rStyle w:val="InternetLink"/>
                  <w:rFonts w:ascii="Arial;Helvetica;Sans-Serif" w:hAnsi="Arial;Helvetica;Sans-Serif"/>
                  <w:b/>
                  <w:i w:val="false"/>
                  <w:caps w:val="false"/>
                  <w:smallCaps w:val="false"/>
                  <w:strike w:val="false"/>
                  <w:dstrike w:val="false"/>
                  <w:color w:val="3B5AA4"/>
                  <w:sz w:val="18"/>
                  <w:u w:val="none"/>
                  <w:effect w:val="none"/>
                </w:rPr>
                <w:t>Other Matters</w:t>
              </w:r>
            </w:hyperlink>
          </w:p>
        </w:tc>
        <w:tc>
          <w:tcPr>
            <w:tcW w:w="351" w:type="dxa"/>
            <w:tcBorders/>
            <w:vAlign w:val="center"/>
          </w:tcPr>
          <w:p>
            <w:pPr>
              <w:pStyle w:val="TableContents"/>
              <w:bidi w:val="0"/>
              <w:spacing w:before="0" w:after="283"/>
              <w:jc w:val="right"/>
              <w:rPr/>
            </w:pPr>
            <w:hyperlink w:anchor="regn013211-def14aa089">
              <w:r>
                <w:rPr>
                  <w:rStyle w:val="InternetLink"/>
                  <w:rFonts w:ascii="Arial;Helvetica;Sans-Serif" w:hAnsi="Arial;Helvetica;Sans-Serif"/>
                  <w:b/>
                  <w:i w:val="false"/>
                  <w:caps w:val="false"/>
                  <w:smallCaps w:val="false"/>
                  <w:strike w:val="false"/>
                  <w:dstrike w:val="false"/>
                  <w:color w:val="3B5AA4"/>
                  <w:sz w:val="18"/>
                  <w:u w:val="none"/>
                  <w:effect w:val="none"/>
                </w:rPr>
                <w:t>102</w:t>
              </w:r>
            </w:hyperlink>
          </w:p>
        </w:tc>
      </w:tr>
      <w:tr>
        <w:trPr/>
        <w:tc>
          <w:tcPr>
            <w:tcW w:w="9854" w:type="dxa"/>
            <w:gridSpan w:val="2"/>
            <w:tcBorders/>
            <w:vAlign w:val="center"/>
          </w:tcPr>
          <w:p>
            <w:pPr>
              <w:pStyle w:val="TableContents"/>
              <w:bidi w:val="0"/>
              <w:spacing w:before="0" w:after="283"/>
              <w:jc w:val="left"/>
              <w:rPr/>
            </w:pPr>
            <w:hyperlink w:anchor="regn013211-def14aa090">
              <w:r>
                <w:rPr>
                  <w:rStyle w:val="InternetLink"/>
                  <w:rFonts w:ascii="Arial;Helvetica;Sans-Serif" w:hAnsi="Arial;Helvetica;Sans-Serif"/>
                  <w:b/>
                  <w:i w:val="false"/>
                  <w:caps w:val="false"/>
                  <w:smallCaps w:val="false"/>
                  <w:strike w:val="false"/>
                  <w:dstrike w:val="false"/>
                  <w:color w:val="000000"/>
                  <w:sz w:val="18"/>
                  <w:u w:val="none"/>
                  <w:effect w:val="none"/>
                </w:rPr>
                <w:t>Proposed Amendments to our Certificate of Incorporation</w:t>
              </w:r>
            </w:hyperlink>
          </w:p>
        </w:tc>
        <w:tc>
          <w:tcPr>
            <w:tcW w:w="351" w:type="dxa"/>
            <w:tcBorders/>
            <w:vAlign w:val="center"/>
          </w:tcPr>
          <w:p>
            <w:pPr>
              <w:pStyle w:val="TableContents"/>
              <w:bidi w:val="0"/>
              <w:spacing w:before="0" w:after="283"/>
              <w:jc w:val="right"/>
              <w:rPr/>
            </w:pPr>
            <w:hyperlink w:anchor="regn013211-def14aa090">
              <w:r>
                <w:rPr>
                  <w:rStyle w:val="InternetLink"/>
                  <w:rFonts w:ascii="Arial;Helvetica;Sans-Serif" w:hAnsi="Arial;Helvetica;Sans-Serif"/>
                  <w:b/>
                  <w:i w:val="false"/>
                  <w:caps w:val="false"/>
                  <w:smallCaps w:val="false"/>
                  <w:strike w:val="false"/>
                  <w:dstrike w:val="false"/>
                  <w:color w:val="000000"/>
                  <w:sz w:val="18"/>
                  <w:u w:val="none"/>
                  <w:effect w:val="none"/>
                </w:rPr>
                <w:t>102</w:t>
              </w:r>
            </w:hyperlink>
          </w:p>
        </w:tc>
      </w:tr>
      <w:tr>
        <w:trPr/>
        <w:tc>
          <w:tcPr>
            <w:tcW w:w="9854" w:type="dxa"/>
            <w:gridSpan w:val="2"/>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right"/>
              <w:rPr/>
            </w:pPr>
            <w:r>
              <w:rPr/>
              <w:t> </w:t>
            </w:r>
          </w:p>
        </w:tc>
      </w:tr>
      <w:tr>
        <w:trPr/>
        <w:tc>
          <w:tcPr>
            <w:tcW w:w="446" w:type="dxa"/>
            <w:tcBorders>
              <w:left w:val="single" w:sz="24" w:space="0" w:color="3B5AA4"/>
            </w:tcBorders>
            <w:shd w:fill="EBEDF8" w:val="clear"/>
            <w:tcMar>
              <w:left w:w="100" w:type="dxa"/>
            </w:tcMar>
            <w:vAlign w:val="center"/>
          </w:tcPr>
          <w:p>
            <w:pPr>
              <w:pStyle w:val="TableContents"/>
              <w:bidi w:val="0"/>
              <w:spacing w:before="0" w:after="283"/>
              <w:jc w:val="center"/>
              <w:rPr/>
            </w:pPr>
            <w:r>
              <w:rPr/>
              <w:drawing>
                <wp:inline distT="0" distB="0" distL="0" distR="0">
                  <wp:extent cx="257175" cy="2476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57175" cy="247650"/>
                          </a:xfrm>
                          <a:prstGeom prst="rect">
                            <a:avLst/>
                          </a:prstGeom>
                        </pic:spPr>
                      </pic:pic>
                    </a:graphicData>
                  </a:graphic>
                </wp:inline>
              </w:drawing>
            </w:r>
          </w:p>
        </w:tc>
        <w:tc>
          <w:tcPr>
            <w:tcW w:w="9408" w:type="dxa"/>
            <w:tcBorders/>
            <w:shd w:fill="EBEDF8" w:val="clear"/>
            <w:vAlign w:val="center"/>
          </w:tcPr>
          <w:p>
            <w:pPr>
              <w:pStyle w:val="TableContents"/>
              <w:bidi w:val="0"/>
              <w:spacing w:before="0" w:after="283"/>
              <w:jc w:val="left"/>
              <w:rPr/>
            </w:pPr>
            <w:hyperlink w:anchor="regn013211-def14aa091">
              <w:r>
                <w:rPr>
                  <w:rStyle w:val="InternetLink"/>
                  <w:rFonts w:ascii="Arial;Helvetica;Sans-Serif" w:hAnsi="Arial;Helvetica;Sans-Serif"/>
                  <w:b w:val="false"/>
                  <w:i w:val="false"/>
                  <w:caps w:val="false"/>
                  <w:smallCaps w:val="false"/>
                  <w:strike w:val="false"/>
                  <w:dstrike w:val="false"/>
                  <w:color w:val="000000"/>
                  <w:sz w:val="18"/>
                  <w:u w:val="none"/>
                  <w:effect w:val="none"/>
                </w:rPr>
                <w:t xml:space="preserve">PROPOSAL No. 4 </w:t>
              </w:r>
            </w:hyperlink>
            <w:hyperlink w:anchor="regn013211-def14aa091">
              <w:r>
                <w:rPr>
                  <w:rStyle w:val="InternetLink"/>
                  <w:rFonts w:ascii="Arial;Helvetica;Sans-Serif" w:hAnsi="Arial;Helvetica;Sans-Serif"/>
                  <w:b/>
                  <w:i w:val="false"/>
                  <w:caps w:val="false"/>
                  <w:smallCaps w:val="false"/>
                  <w:strike w:val="false"/>
                  <w:dstrike w:val="false"/>
                  <w:color w:val="3B5AA4"/>
                  <w:sz w:val="18"/>
                  <w:u w:val="none"/>
                  <w:effect w:val="none"/>
                </w:rPr>
                <w:br/>
                <w:t>Amendment to the Company’s Certificate of Incorporation to Declassify the Board of Directors</w:t>
              </w:r>
            </w:hyperlink>
          </w:p>
        </w:tc>
        <w:tc>
          <w:tcPr>
            <w:tcW w:w="351" w:type="dxa"/>
            <w:tcBorders/>
            <w:shd w:fill="EBEDF8" w:val="clear"/>
            <w:vAlign w:val="center"/>
          </w:tcPr>
          <w:p>
            <w:pPr>
              <w:pStyle w:val="TableContents"/>
              <w:bidi w:val="0"/>
              <w:spacing w:before="0" w:after="283"/>
              <w:jc w:val="right"/>
              <w:rPr/>
            </w:pPr>
            <w:hyperlink w:anchor="regn013211-def14aa091">
              <w:r>
                <w:rPr>
                  <w:rStyle w:val="InternetLink"/>
                  <w:rFonts w:ascii="Arial;Helvetica;Sans-Serif" w:hAnsi="Arial;Helvetica;Sans-Serif"/>
                  <w:b/>
                  <w:i w:val="false"/>
                  <w:caps w:val="false"/>
                  <w:smallCaps w:val="false"/>
                  <w:strike w:val="false"/>
                  <w:dstrike w:val="false"/>
                  <w:color w:val="3B5AA4"/>
                  <w:sz w:val="18"/>
                  <w:u w:val="none"/>
                  <w:effect w:val="none"/>
                </w:rPr>
                <w:t>102</w:t>
              </w:r>
            </w:hyperlink>
          </w:p>
        </w:tc>
      </w:tr>
      <w:tr>
        <w:trPr/>
        <w:tc>
          <w:tcPr>
            <w:tcW w:w="446" w:type="dxa"/>
            <w:tcBorders/>
            <w:shd w:fill="FFFFFF" w:val="clear"/>
            <w:vAlign w:val="center"/>
          </w:tcPr>
          <w:p>
            <w:pPr>
              <w:pStyle w:val="TableContents"/>
              <w:bidi w:val="0"/>
              <w:spacing w:before="0" w:after="283"/>
              <w:jc w:val="center"/>
              <w:rPr/>
            </w:pPr>
            <w:r>
              <w:rPr/>
              <w:t> </w:t>
            </w:r>
          </w:p>
        </w:tc>
        <w:tc>
          <w:tcPr>
            <w:tcW w:w="9408"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 </w:t>
            </w:r>
          </w:p>
        </w:tc>
      </w:tr>
      <w:tr>
        <w:trPr/>
        <w:tc>
          <w:tcPr>
            <w:tcW w:w="446" w:type="dxa"/>
            <w:tcBorders>
              <w:left w:val="single" w:sz="24" w:space="0" w:color="3B5AA4"/>
            </w:tcBorders>
            <w:shd w:fill="EBEDF8" w:val="clear"/>
            <w:tcMar>
              <w:left w:w="100" w:type="dxa"/>
            </w:tcMar>
            <w:vAlign w:val="center"/>
          </w:tcPr>
          <w:p>
            <w:pPr>
              <w:pStyle w:val="TableContents"/>
              <w:bidi w:val="0"/>
              <w:spacing w:before="0" w:after="283"/>
              <w:jc w:val="center"/>
              <w:rPr/>
            </w:pPr>
            <w:r>
              <w:rPr/>
              <w:drawing>
                <wp:inline distT="0" distB="0" distL="0" distR="0">
                  <wp:extent cx="257175" cy="2476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57175" cy="247650"/>
                          </a:xfrm>
                          <a:prstGeom prst="rect">
                            <a:avLst/>
                          </a:prstGeom>
                        </pic:spPr>
                      </pic:pic>
                    </a:graphicData>
                  </a:graphic>
                </wp:inline>
              </w:drawing>
            </w:r>
          </w:p>
        </w:tc>
        <w:tc>
          <w:tcPr>
            <w:tcW w:w="9408" w:type="dxa"/>
            <w:tcBorders/>
            <w:shd w:fill="EBEDF8" w:val="clear"/>
            <w:vAlign w:val="center"/>
          </w:tcPr>
          <w:p>
            <w:pPr>
              <w:pStyle w:val="TableContents"/>
              <w:bidi w:val="0"/>
              <w:spacing w:before="0" w:after="283"/>
              <w:jc w:val="left"/>
              <w:rPr/>
            </w:pPr>
            <w:hyperlink w:anchor="regn013211-def14aa092">
              <w:r>
                <w:rPr>
                  <w:rStyle w:val="InternetLink"/>
                  <w:rFonts w:ascii="Arial;Helvetica;Sans-Serif" w:hAnsi="Arial;Helvetica;Sans-Serif"/>
                  <w:b w:val="false"/>
                  <w:i w:val="false"/>
                  <w:caps w:val="false"/>
                  <w:smallCaps w:val="false"/>
                  <w:strike w:val="false"/>
                  <w:dstrike w:val="false"/>
                  <w:color w:val="000000"/>
                  <w:sz w:val="18"/>
                  <w:u w:val="none"/>
                  <w:effect w:val="none"/>
                </w:rPr>
                <w:t xml:space="preserve">PROPOSAL Nos. 5(a) AND 5(b) </w:t>
              </w:r>
            </w:hyperlink>
            <w:hyperlink w:anchor="regn013211-def14aa092">
              <w:r>
                <w:rPr>
                  <w:rStyle w:val="InternetLink"/>
                  <w:rFonts w:ascii="Arial;Helvetica;Sans-Serif" w:hAnsi="Arial;Helvetica;Sans-Serif"/>
                  <w:b/>
                  <w:i w:val="false"/>
                  <w:caps w:val="false"/>
                  <w:smallCaps w:val="false"/>
                  <w:strike w:val="false"/>
                  <w:dstrike w:val="false"/>
                  <w:color w:val="3B5AA4"/>
                  <w:sz w:val="18"/>
                  <w:u w:val="none"/>
                  <w:effect w:val="none"/>
                </w:rPr>
                <w:br/>
                <w:t>Amendments to the Company’s Certificate of Incorporation to Eliminate Supermajority Vote Requirements</w:t>
              </w:r>
            </w:hyperlink>
          </w:p>
        </w:tc>
        <w:tc>
          <w:tcPr>
            <w:tcW w:w="351" w:type="dxa"/>
            <w:tcBorders/>
            <w:shd w:fill="EBEDF8" w:val="clear"/>
            <w:vAlign w:val="center"/>
          </w:tcPr>
          <w:p>
            <w:pPr>
              <w:pStyle w:val="TableContents"/>
              <w:bidi w:val="0"/>
              <w:spacing w:before="0" w:after="283"/>
              <w:jc w:val="right"/>
              <w:rPr/>
            </w:pPr>
            <w:hyperlink w:anchor="regn013211-def14aa092">
              <w:r>
                <w:rPr>
                  <w:rStyle w:val="InternetLink"/>
                  <w:rFonts w:ascii="Arial;Helvetica;Sans-Serif" w:hAnsi="Arial;Helvetica;Sans-Serif"/>
                  <w:b/>
                  <w:i w:val="false"/>
                  <w:caps w:val="false"/>
                  <w:smallCaps w:val="false"/>
                  <w:strike w:val="false"/>
                  <w:dstrike w:val="false"/>
                  <w:color w:val="3B5AA4"/>
                  <w:sz w:val="18"/>
                  <w:u w:val="none"/>
                  <w:effect w:val="none"/>
                </w:rPr>
                <w:t>104</w:t>
              </w:r>
            </w:hyperlink>
          </w:p>
        </w:tc>
      </w:tr>
      <w:tr>
        <w:trPr/>
        <w:tc>
          <w:tcPr>
            <w:tcW w:w="9854" w:type="dxa"/>
            <w:gridSpan w:val="2"/>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right"/>
              <w:rPr/>
            </w:pPr>
            <w:r>
              <w:rPr/>
              <w:t> </w:t>
            </w:r>
          </w:p>
        </w:tc>
      </w:tr>
      <w:tr>
        <w:trPr/>
        <w:tc>
          <w:tcPr>
            <w:tcW w:w="9854" w:type="dxa"/>
            <w:gridSpan w:val="2"/>
            <w:tcBorders/>
            <w:vAlign w:val="center"/>
          </w:tcPr>
          <w:p>
            <w:pPr>
              <w:pStyle w:val="TableContents"/>
              <w:bidi w:val="0"/>
              <w:spacing w:before="0" w:after="283"/>
              <w:jc w:val="left"/>
              <w:rPr/>
            </w:pPr>
            <w:hyperlink w:anchor="regn013211-def14aa093">
              <w:r>
                <w:rPr>
                  <w:rStyle w:val="InternetLink"/>
                  <w:rFonts w:ascii="Arial;Helvetica;Sans-Serif" w:hAnsi="Arial;Helvetica;Sans-Serif"/>
                  <w:b/>
                  <w:i w:val="false"/>
                  <w:caps w:val="false"/>
                  <w:smallCaps w:val="false"/>
                  <w:strike w:val="false"/>
                  <w:dstrike w:val="false"/>
                  <w:color w:val="000000"/>
                  <w:sz w:val="18"/>
                  <w:u w:val="none"/>
                  <w:effect w:val="none"/>
                </w:rPr>
                <w:t>General Information about the Meeting</w:t>
              </w:r>
            </w:hyperlink>
          </w:p>
        </w:tc>
        <w:tc>
          <w:tcPr>
            <w:tcW w:w="351" w:type="dxa"/>
            <w:tcBorders/>
            <w:vAlign w:val="center"/>
          </w:tcPr>
          <w:p>
            <w:pPr>
              <w:pStyle w:val="TableContents"/>
              <w:bidi w:val="0"/>
              <w:spacing w:before="0" w:after="283"/>
              <w:jc w:val="right"/>
              <w:rPr/>
            </w:pPr>
            <w:hyperlink w:anchor="regn013211-def14aa093">
              <w:r>
                <w:rPr>
                  <w:rStyle w:val="InternetLink"/>
                  <w:rFonts w:ascii="Arial;Helvetica;Sans-Serif" w:hAnsi="Arial;Helvetica;Sans-Serif"/>
                  <w:b/>
                  <w:i w:val="false"/>
                  <w:caps w:val="false"/>
                  <w:smallCaps w:val="false"/>
                  <w:strike w:val="false"/>
                  <w:dstrike w:val="false"/>
                  <w:color w:val="000000"/>
                  <w:sz w:val="18"/>
                  <w:u w:val="none"/>
                  <w:effect w:val="none"/>
                </w:rPr>
                <w:t>106</w:t>
              </w:r>
            </w:hyperlink>
          </w:p>
        </w:tc>
      </w:tr>
      <w:tr>
        <w:trPr/>
        <w:tc>
          <w:tcPr>
            <w:tcW w:w="9854" w:type="dxa"/>
            <w:gridSpan w:val="2"/>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right"/>
              <w:rPr/>
            </w:pPr>
            <w:r>
              <w:rPr/>
              <w:t> </w:t>
            </w:r>
          </w:p>
        </w:tc>
      </w:tr>
      <w:tr>
        <w:trPr/>
        <w:tc>
          <w:tcPr>
            <w:tcW w:w="9854" w:type="dxa"/>
            <w:gridSpan w:val="2"/>
            <w:tcBorders/>
            <w:vAlign w:val="center"/>
          </w:tcPr>
          <w:p>
            <w:pPr>
              <w:pStyle w:val="TableContents"/>
              <w:bidi w:val="0"/>
              <w:spacing w:before="0" w:after="283"/>
              <w:jc w:val="left"/>
              <w:rPr/>
            </w:pPr>
            <w:hyperlink w:anchor="regn013211-def14aa094">
              <w:r>
                <w:rPr>
                  <w:rStyle w:val="InternetLink"/>
                  <w:rFonts w:ascii="Arial;Helvetica;Sans-Serif" w:hAnsi="Arial;Helvetica;Sans-Serif"/>
                  <w:b/>
                  <w:i w:val="false"/>
                  <w:caps w:val="false"/>
                  <w:smallCaps w:val="false"/>
                  <w:strike w:val="false"/>
                  <w:dstrike w:val="false"/>
                  <w:color w:val="3B5AA4"/>
                  <w:sz w:val="18"/>
                  <w:u w:val="none"/>
                  <w:effect w:val="none"/>
                </w:rPr>
                <w:t>Appendix A – Note Regarding Forward-Looking Statements and Non-GAAP Financial Measures</w:t>
              </w:r>
            </w:hyperlink>
          </w:p>
        </w:tc>
        <w:tc>
          <w:tcPr>
            <w:tcW w:w="351" w:type="dxa"/>
            <w:tcBorders/>
            <w:vAlign w:val="center"/>
          </w:tcPr>
          <w:p>
            <w:pPr>
              <w:pStyle w:val="TableContents"/>
              <w:bidi w:val="0"/>
              <w:spacing w:before="0" w:after="283"/>
              <w:jc w:val="right"/>
              <w:rPr/>
            </w:pPr>
            <w:hyperlink w:anchor="regn013211-def14aa094">
              <w:r>
                <w:rPr>
                  <w:rStyle w:val="InternetLink"/>
                  <w:rFonts w:ascii="Arial;Helvetica;Sans-Serif" w:hAnsi="Arial;Helvetica;Sans-Serif"/>
                  <w:b/>
                  <w:i w:val="false"/>
                  <w:caps w:val="false"/>
                  <w:smallCaps w:val="false"/>
                  <w:strike w:val="false"/>
                  <w:dstrike w:val="false"/>
                  <w:color w:val="3B5AA4"/>
                  <w:sz w:val="18"/>
                  <w:u w:val="none"/>
                  <w:effect w:val="none"/>
                </w:rPr>
                <w:t>113</w:t>
              </w:r>
            </w:hyperlink>
          </w:p>
        </w:tc>
      </w:tr>
      <w:tr>
        <w:trPr/>
        <w:tc>
          <w:tcPr>
            <w:tcW w:w="9854" w:type="dxa"/>
            <w:gridSpan w:val="2"/>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right"/>
              <w:rPr/>
            </w:pPr>
            <w:r>
              <w:rPr/>
              <w:t> </w:t>
            </w:r>
          </w:p>
        </w:tc>
      </w:tr>
      <w:tr>
        <w:trPr/>
        <w:tc>
          <w:tcPr>
            <w:tcW w:w="9854" w:type="dxa"/>
            <w:gridSpan w:val="2"/>
            <w:tcBorders/>
            <w:vAlign w:val="center"/>
          </w:tcPr>
          <w:p>
            <w:pPr>
              <w:pStyle w:val="TableContents"/>
              <w:bidi w:val="0"/>
              <w:spacing w:before="0" w:after="283"/>
              <w:jc w:val="left"/>
              <w:rPr/>
            </w:pPr>
            <w:hyperlink w:anchor="regn013211-def14aa095">
              <w:r>
                <w:rPr>
                  <w:rStyle w:val="InternetLink"/>
                  <w:rFonts w:ascii="Arial;Helvetica;Sans-Serif" w:hAnsi="Arial;Helvetica;Sans-Serif"/>
                  <w:b/>
                  <w:i w:val="false"/>
                  <w:caps w:val="false"/>
                  <w:smallCaps w:val="false"/>
                  <w:strike w:val="false"/>
                  <w:dstrike w:val="false"/>
                  <w:color w:val="3B5AA4"/>
                  <w:sz w:val="18"/>
                  <w:u w:val="none"/>
                  <w:effect w:val="none"/>
                </w:rPr>
                <w:t>Appendix B – Proposed Amendment to the Certificate of Incorporation to Declassify the Board of Directors</w:t>
              </w:r>
            </w:hyperlink>
          </w:p>
        </w:tc>
        <w:tc>
          <w:tcPr>
            <w:tcW w:w="351" w:type="dxa"/>
            <w:tcBorders/>
            <w:vAlign w:val="center"/>
          </w:tcPr>
          <w:p>
            <w:pPr>
              <w:pStyle w:val="TableContents"/>
              <w:bidi w:val="0"/>
              <w:spacing w:before="0" w:after="283"/>
              <w:jc w:val="right"/>
              <w:rPr/>
            </w:pPr>
            <w:hyperlink w:anchor="regn013211-def14aa095">
              <w:r>
                <w:rPr>
                  <w:rStyle w:val="InternetLink"/>
                  <w:rFonts w:ascii="Arial;Helvetica;Sans-Serif" w:hAnsi="Arial;Helvetica;Sans-Serif"/>
                  <w:b/>
                  <w:i w:val="false"/>
                  <w:caps w:val="false"/>
                  <w:smallCaps w:val="false"/>
                  <w:strike w:val="false"/>
                  <w:dstrike w:val="false"/>
                  <w:color w:val="3B5AA4"/>
                  <w:sz w:val="18"/>
                  <w:u w:val="none"/>
                  <w:effect w:val="none"/>
                </w:rPr>
                <w:t>116</w:t>
              </w:r>
            </w:hyperlink>
          </w:p>
        </w:tc>
      </w:tr>
      <w:tr>
        <w:trPr/>
        <w:tc>
          <w:tcPr>
            <w:tcW w:w="9854" w:type="dxa"/>
            <w:gridSpan w:val="2"/>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right"/>
              <w:rPr/>
            </w:pPr>
            <w:r>
              <w:rPr/>
              <w:t> </w:t>
            </w:r>
          </w:p>
        </w:tc>
      </w:tr>
      <w:tr>
        <w:trPr/>
        <w:tc>
          <w:tcPr>
            <w:tcW w:w="9854" w:type="dxa"/>
            <w:gridSpan w:val="2"/>
            <w:tcBorders/>
            <w:vAlign w:val="center"/>
          </w:tcPr>
          <w:p>
            <w:pPr>
              <w:pStyle w:val="TableContents"/>
              <w:bidi w:val="0"/>
              <w:spacing w:before="0" w:after="283"/>
              <w:jc w:val="left"/>
              <w:rPr/>
            </w:pPr>
            <w:hyperlink w:anchor="regn013211-def14aa096">
              <w:r>
                <w:rPr>
                  <w:rStyle w:val="InternetLink"/>
                  <w:rFonts w:ascii="Arial;Helvetica;Sans-Serif" w:hAnsi="Arial;Helvetica;Sans-Serif"/>
                  <w:b/>
                  <w:i w:val="false"/>
                  <w:caps w:val="false"/>
                  <w:smallCaps w:val="false"/>
                  <w:strike w:val="false"/>
                  <w:dstrike w:val="false"/>
                  <w:color w:val="3B5AA4"/>
                  <w:sz w:val="18"/>
                  <w:u w:val="none"/>
                  <w:effect w:val="none"/>
                </w:rPr>
                <w:t>Appendix C – Proposed Amendments to the Certificate of Incorporation to Eliminate Supermajority Vote Requirements</w:t>
              </w:r>
            </w:hyperlink>
          </w:p>
        </w:tc>
        <w:tc>
          <w:tcPr>
            <w:tcW w:w="351" w:type="dxa"/>
            <w:tcBorders/>
            <w:vAlign w:val="center"/>
          </w:tcPr>
          <w:p>
            <w:pPr>
              <w:pStyle w:val="TableContents"/>
              <w:bidi w:val="0"/>
              <w:spacing w:before="0" w:after="283"/>
              <w:jc w:val="right"/>
              <w:rPr/>
            </w:pPr>
            <w:hyperlink w:anchor="regn013211-def14aa096">
              <w:r>
                <w:rPr>
                  <w:rStyle w:val="InternetLink"/>
                  <w:rFonts w:ascii="Arial;Helvetica;Sans-Serif" w:hAnsi="Arial;Helvetica;Sans-Serif"/>
                  <w:b/>
                  <w:i w:val="false"/>
                  <w:caps w:val="false"/>
                  <w:smallCaps w:val="false"/>
                  <w:strike w:val="false"/>
                  <w:dstrike w:val="false"/>
                  <w:color w:val="3B5AA4"/>
                  <w:sz w:val="18"/>
                  <w:u w:val="none"/>
                  <w:effect w:val="none"/>
                </w:rPr>
                <w:t>117</w:t>
              </w:r>
            </w:hyperlink>
          </w:p>
        </w:tc>
      </w:tr>
      <w:tr>
        <w:trPr/>
        <w:tc>
          <w:tcPr>
            <w:tcW w:w="9854" w:type="dxa"/>
            <w:gridSpan w:val="2"/>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right"/>
              <w:rPr/>
            </w:pPr>
            <w:r>
              <w:rPr/>
              <w:t> </w:t>
            </w:r>
          </w:p>
        </w:tc>
      </w:tr>
    </w:tbl>
    <w:tbl>
      <w:tblPr>
        <w:tblW w:w="3040" w:type="dxa"/>
        <w:jc w:val="left"/>
        <w:tblInd w:w="0" w:type="dxa"/>
        <w:tblLayout w:type="fixed"/>
        <w:tblCellMar>
          <w:top w:w="0" w:type="dxa"/>
          <w:left w:w="0" w:type="dxa"/>
          <w:bottom w:w="0" w:type="dxa"/>
          <w:right w:w="0" w:type="dxa"/>
        </w:tblCellMar>
      </w:tblPr>
      <w:tblGrid>
        <w:gridCol w:w="2795"/>
        <w:gridCol w:w="245"/>
      </w:tblGrid>
      <w:tr>
        <w:trPr/>
        <w:tc>
          <w:tcPr>
            <w:tcW w:w="2795"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right"/>
              <w:rPr/>
            </w:pPr>
            <w:r>
              <w:rPr/>
              <w:t> </w:t>
            </w:r>
          </w:p>
        </w:tc>
      </w:tr>
      <w:tr>
        <w:trPr/>
        <w:tc>
          <w:tcPr>
            <w:tcW w:w="2795" w:type="dxa"/>
            <w:tcBorders/>
            <w:shd w:fill="EBEDF8" w:val="clear"/>
            <w:vAlign w:val="center"/>
          </w:tcPr>
          <w:p>
            <w:pPr>
              <w:pStyle w:val="TableContents"/>
              <w:bidi w:val="0"/>
              <w:spacing w:before="0" w:after="283"/>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KEY PROXY INFORMATION</w:t>
            </w:r>
          </w:p>
        </w:tc>
        <w:tc>
          <w:tcPr>
            <w:tcW w:w="245" w:type="dxa"/>
            <w:tcBorders/>
            <w:shd w:fill="EBEDF8" w:val="clear"/>
            <w:vAlign w:val="center"/>
          </w:tcPr>
          <w:p>
            <w:pPr>
              <w:pStyle w:val="TableContents"/>
              <w:bidi w:val="0"/>
              <w:spacing w:before="0" w:after="283"/>
              <w:jc w:val="right"/>
              <w:rPr/>
            </w:pPr>
            <w:r>
              <w:rPr/>
              <w:t> </w:t>
            </w:r>
          </w:p>
        </w:tc>
      </w:tr>
      <w:tr>
        <w:trPr/>
        <w:tc>
          <w:tcPr>
            <w:tcW w:w="2795" w:type="dxa"/>
            <w:tcBorders/>
            <w:shd w:fill="EBEDF8" w:val="clear"/>
            <w:vAlign w:val="center"/>
          </w:tcPr>
          <w:p>
            <w:pPr>
              <w:pStyle w:val="TableContents"/>
              <w:bidi w:val="0"/>
              <w:spacing w:before="0" w:after="283"/>
              <w:jc w:val="left"/>
              <w:rPr/>
            </w:pPr>
            <w:hyperlink w:anchor="regn013211-def14aa097">
              <w:r>
                <w:rPr>
                  <w:rStyle w:val="InternetLink"/>
                  <w:rFonts w:ascii="Arial;Helvetica;Sans-Serif" w:hAnsi="Arial;Helvetica;Sans-Serif"/>
                  <w:b w:val="false"/>
                  <w:i w:val="false"/>
                  <w:caps w:val="false"/>
                  <w:smallCaps w:val="false"/>
                  <w:strike w:val="false"/>
                  <w:dstrike w:val="false"/>
                  <w:color w:val="231F20"/>
                  <w:sz w:val="18"/>
                  <w:u w:val="none"/>
                  <w:effect w:val="none"/>
                </w:rPr>
                <w:t>What’s New for 2024</w:t>
              </w:r>
            </w:hyperlink>
          </w:p>
        </w:tc>
        <w:tc>
          <w:tcPr>
            <w:tcW w:w="245" w:type="dxa"/>
            <w:tcBorders/>
            <w:shd w:fill="EBEDF8" w:val="clear"/>
            <w:vAlign w:val="center"/>
          </w:tcPr>
          <w:p>
            <w:pPr>
              <w:pStyle w:val="TableContents"/>
              <w:bidi w:val="0"/>
              <w:spacing w:before="0" w:after="283"/>
              <w:jc w:val="right"/>
              <w:rPr/>
            </w:pPr>
            <w:hyperlink w:anchor="regn013211-def14aa097">
              <w:r>
                <w:rPr>
                  <w:rStyle w:val="InternetLink"/>
                  <w:rFonts w:ascii="Arial;Helvetica;Sans-Serif" w:hAnsi="Arial;Helvetica;Sans-Serif"/>
                  <w:b w:val="false"/>
                  <w:i w:val="false"/>
                  <w:caps w:val="false"/>
                  <w:smallCaps w:val="false"/>
                  <w:strike w:val="false"/>
                  <w:dstrike w:val="false"/>
                  <w:color w:val="231F20"/>
                  <w:sz w:val="18"/>
                  <w:u w:val="none"/>
                  <w:effect w:val="none"/>
                </w:rPr>
                <w:t>3</w:t>
              </w:r>
            </w:hyperlink>
          </w:p>
        </w:tc>
      </w:tr>
      <w:tr>
        <w:trPr/>
        <w:tc>
          <w:tcPr>
            <w:tcW w:w="2795" w:type="dxa"/>
            <w:tcBorders/>
            <w:shd w:fill="EBEDF8" w:val="clear"/>
            <w:vAlign w:val="center"/>
          </w:tcPr>
          <w:p>
            <w:pPr>
              <w:pStyle w:val="TableContents"/>
              <w:bidi w:val="0"/>
              <w:spacing w:before="0" w:after="283"/>
              <w:jc w:val="left"/>
              <w:rPr/>
            </w:pPr>
            <w:hyperlink w:anchor="regn013211-def14aa098">
              <w:r>
                <w:rPr>
                  <w:rStyle w:val="InternetLink"/>
                  <w:rFonts w:ascii="Arial;Helvetica;Sans-Serif" w:hAnsi="Arial;Helvetica;Sans-Serif"/>
                  <w:b w:val="false"/>
                  <w:i w:val="false"/>
                  <w:caps w:val="false"/>
                  <w:smallCaps w:val="false"/>
                  <w:strike w:val="false"/>
                  <w:dstrike w:val="false"/>
                  <w:color w:val="231F20"/>
                  <w:sz w:val="18"/>
                  <w:u w:val="none"/>
                  <w:effect w:val="none"/>
                </w:rPr>
                <w:t>Governance Overview</w:t>
              </w:r>
            </w:hyperlink>
          </w:p>
        </w:tc>
        <w:tc>
          <w:tcPr>
            <w:tcW w:w="245" w:type="dxa"/>
            <w:tcBorders/>
            <w:shd w:fill="EBEDF8" w:val="clear"/>
            <w:vAlign w:val="center"/>
          </w:tcPr>
          <w:p>
            <w:pPr>
              <w:pStyle w:val="TableContents"/>
              <w:bidi w:val="0"/>
              <w:spacing w:before="0" w:after="283"/>
              <w:jc w:val="right"/>
              <w:rPr/>
            </w:pPr>
            <w:hyperlink w:anchor="regn013211-def14aa098">
              <w:r>
                <w:rPr>
                  <w:rStyle w:val="InternetLink"/>
                  <w:rFonts w:ascii="Arial;Helvetica;Sans-Serif" w:hAnsi="Arial;Helvetica;Sans-Serif"/>
                  <w:b w:val="false"/>
                  <w:i w:val="false"/>
                  <w:caps w:val="false"/>
                  <w:smallCaps w:val="false"/>
                  <w:strike w:val="false"/>
                  <w:dstrike w:val="false"/>
                  <w:color w:val="231F20"/>
                  <w:sz w:val="18"/>
                  <w:u w:val="none"/>
                  <w:effect w:val="none"/>
                </w:rPr>
                <w:t>28</w:t>
              </w:r>
            </w:hyperlink>
          </w:p>
        </w:tc>
      </w:tr>
      <w:tr>
        <w:trPr/>
        <w:tc>
          <w:tcPr>
            <w:tcW w:w="2795" w:type="dxa"/>
            <w:tcBorders/>
            <w:shd w:fill="EBEDF8" w:val="clear"/>
            <w:vAlign w:val="center"/>
          </w:tcPr>
          <w:p>
            <w:pPr>
              <w:pStyle w:val="TableContents"/>
              <w:bidi w:val="0"/>
              <w:spacing w:before="0" w:after="283"/>
              <w:jc w:val="left"/>
              <w:rPr/>
            </w:pPr>
            <w:hyperlink w:anchor="regn013211-def14aa099">
              <w:r>
                <w:rPr>
                  <w:rStyle w:val="InternetLink"/>
                  <w:rFonts w:ascii="Arial;Helvetica;Sans-Serif" w:hAnsi="Arial;Helvetica;Sans-Serif"/>
                  <w:b w:val="false"/>
                  <w:i w:val="false"/>
                  <w:caps w:val="false"/>
                  <w:smallCaps w:val="false"/>
                  <w:strike w:val="false"/>
                  <w:dstrike w:val="false"/>
                  <w:color w:val="231F20"/>
                  <w:sz w:val="18"/>
                  <w:u w:val="none"/>
                  <w:effect w:val="none"/>
                </w:rPr>
                <w:t>Board Oversight of Risk</w:t>
              </w:r>
            </w:hyperlink>
          </w:p>
        </w:tc>
        <w:tc>
          <w:tcPr>
            <w:tcW w:w="245" w:type="dxa"/>
            <w:tcBorders/>
            <w:shd w:fill="EBEDF8" w:val="clear"/>
            <w:vAlign w:val="center"/>
          </w:tcPr>
          <w:p>
            <w:pPr>
              <w:pStyle w:val="TableContents"/>
              <w:bidi w:val="0"/>
              <w:spacing w:before="0" w:after="283"/>
              <w:jc w:val="right"/>
              <w:rPr/>
            </w:pPr>
            <w:hyperlink w:anchor="regn013211-def14aa099">
              <w:r>
                <w:rPr>
                  <w:rStyle w:val="InternetLink"/>
                  <w:rFonts w:ascii="Arial;Helvetica;Sans-Serif" w:hAnsi="Arial;Helvetica;Sans-Serif"/>
                  <w:b w:val="false"/>
                  <w:i w:val="false"/>
                  <w:caps w:val="false"/>
                  <w:smallCaps w:val="false"/>
                  <w:strike w:val="false"/>
                  <w:dstrike w:val="false"/>
                  <w:color w:val="231F20"/>
                  <w:sz w:val="18"/>
                  <w:u w:val="none"/>
                  <w:effect w:val="none"/>
                </w:rPr>
                <w:t>36</w:t>
              </w:r>
            </w:hyperlink>
          </w:p>
        </w:tc>
      </w:tr>
      <w:tr>
        <w:trPr/>
        <w:tc>
          <w:tcPr>
            <w:tcW w:w="2795" w:type="dxa"/>
            <w:tcBorders/>
            <w:shd w:fill="EBEDF8" w:val="clear"/>
            <w:vAlign w:val="center"/>
          </w:tcPr>
          <w:p>
            <w:pPr>
              <w:pStyle w:val="TableContents"/>
              <w:bidi w:val="0"/>
              <w:spacing w:before="0" w:after="283"/>
              <w:jc w:val="left"/>
              <w:rPr/>
            </w:pPr>
            <w:hyperlink w:anchor="regn013211-def14aa100">
              <w:r>
                <w:rPr>
                  <w:rStyle w:val="InternetLink"/>
                  <w:rFonts w:ascii="Arial;Helvetica;Sans-Serif" w:hAnsi="Arial;Helvetica;Sans-Serif"/>
                  <w:b w:val="false"/>
                  <w:i w:val="false"/>
                  <w:caps w:val="false"/>
                  <w:smallCaps w:val="false"/>
                  <w:strike w:val="false"/>
                  <w:dstrike w:val="false"/>
                  <w:color w:val="231F20"/>
                  <w:sz w:val="18"/>
                  <w:u w:val="none"/>
                  <w:effect w:val="none"/>
                </w:rPr>
                <w:t>2024 Shareholder Engagement</w:t>
              </w:r>
            </w:hyperlink>
          </w:p>
        </w:tc>
        <w:tc>
          <w:tcPr>
            <w:tcW w:w="245" w:type="dxa"/>
            <w:tcBorders/>
            <w:shd w:fill="EBEDF8" w:val="clear"/>
            <w:vAlign w:val="center"/>
          </w:tcPr>
          <w:p>
            <w:pPr>
              <w:pStyle w:val="TableContents"/>
              <w:bidi w:val="0"/>
              <w:spacing w:before="0" w:after="283"/>
              <w:jc w:val="right"/>
              <w:rPr/>
            </w:pPr>
            <w:hyperlink w:anchor="regn013211-def14aa100">
              <w:r>
                <w:rPr>
                  <w:rStyle w:val="InternetLink"/>
                  <w:rFonts w:ascii="Arial;Helvetica;Sans-Serif" w:hAnsi="Arial;Helvetica;Sans-Serif"/>
                  <w:b w:val="false"/>
                  <w:i w:val="false"/>
                  <w:caps w:val="false"/>
                  <w:smallCaps w:val="false"/>
                  <w:strike w:val="false"/>
                  <w:dstrike w:val="false"/>
                  <w:color w:val="231F20"/>
                  <w:sz w:val="18"/>
                  <w:u w:val="none"/>
                  <w:effect w:val="none"/>
                </w:rPr>
                <w:t>38</w:t>
              </w:r>
            </w:hyperlink>
          </w:p>
        </w:tc>
      </w:tr>
      <w:tr>
        <w:trPr/>
        <w:tc>
          <w:tcPr>
            <w:tcW w:w="2795" w:type="dxa"/>
            <w:tcBorders/>
            <w:shd w:fill="EBEDF8" w:val="clear"/>
            <w:vAlign w:val="center"/>
          </w:tcPr>
          <w:p>
            <w:pPr>
              <w:pStyle w:val="TableContents"/>
              <w:bidi w:val="0"/>
              <w:spacing w:before="0" w:after="283"/>
              <w:jc w:val="left"/>
              <w:rPr/>
            </w:pPr>
            <w:hyperlink w:anchor="regn013211-def14aa101">
              <w:r>
                <w:rPr>
                  <w:rStyle w:val="InternetLink"/>
                  <w:rFonts w:ascii="Arial;Helvetica;Sans-Serif" w:hAnsi="Arial;Helvetica;Sans-Serif"/>
                  <w:b w:val="false"/>
                  <w:i w:val="false"/>
                  <w:caps w:val="false"/>
                  <w:smallCaps w:val="false"/>
                  <w:strike w:val="false"/>
                  <w:dstrike w:val="false"/>
                  <w:color w:val="231F20"/>
                  <w:sz w:val="18"/>
                  <w:u w:val="none"/>
                  <w:effect w:val="none"/>
                </w:rPr>
                <w:t>Corporate Responsibility</w:t>
              </w:r>
            </w:hyperlink>
          </w:p>
        </w:tc>
        <w:tc>
          <w:tcPr>
            <w:tcW w:w="245" w:type="dxa"/>
            <w:tcBorders/>
            <w:shd w:fill="EBEDF8" w:val="clear"/>
            <w:vAlign w:val="center"/>
          </w:tcPr>
          <w:p>
            <w:pPr>
              <w:pStyle w:val="TableContents"/>
              <w:bidi w:val="0"/>
              <w:spacing w:before="0" w:after="283"/>
              <w:jc w:val="right"/>
              <w:rPr/>
            </w:pPr>
            <w:hyperlink w:anchor="regn013211-def14aa101">
              <w:r>
                <w:rPr>
                  <w:rStyle w:val="InternetLink"/>
                  <w:rFonts w:ascii="Arial;Helvetica;Sans-Serif" w:hAnsi="Arial;Helvetica;Sans-Serif"/>
                  <w:b w:val="false"/>
                  <w:i w:val="false"/>
                  <w:caps w:val="false"/>
                  <w:smallCaps w:val="false"/>
                  <w:strike w:val="false"/>
                  <w:dstrike w:val="false"/>
                  <w:color w:val="231F20"/>
                  <w:sz w:val="18"/>
                  <w:u w:val="none"/>
                  <w:effect w:val="none"/>
                </w:rPr>
                <w:t>46</w:t>
              </w:r>
            </w:hyperlink>
          </w:p>
        </w:tc>
      </w:tr>
      <w:tr>
        <w:trPr/>
        <w:tc>
          <w:tcPr>
            <w:tcW w:w="2795" w:type="dxa"/>
            <w:tcBorders/>
            <w:shd w:fill="EBEDF8" w:val="clear"/>
            <w:vAlign w:val="center"/>
          </w:tcPr>
          <w:p>
            <w:pPr>
              <w:pStyle w:val="TableContents"/>
              <w:bidi w:val="0"/>
              <w:spacing w:before="0" w:after="283"/>
              <w:jc w:val="left"/>
              <w:rPr/>
            </w:pPr>
            <w:hyperlink w:anchor="regn013211-def14aa102">
              <w:r>
                <w:rPr>
                  <w:rStyle w:val="InternetLink"/>
                  <w:rFonts w:ascii="Arial;Helvetica;Sans-Serif" w:hAnsi="Arial;Helvetica;Sans-Serif"/>
                  <w:b w:val="false"/>
                  <w:i w:val="false"/>
                  <w:caps w:val="false"/>
                  <w:smallCaps w:val="false"/>
                  <w:strike w:val="false"/>
                  <w:dstrike w:val="false"/>
                  <w:color w:val="231F20"/>
                  <w:sz w:val="18"/>
                  <w:u w:val="none"/>
                  <w:effect w:val="none"/>
                </w:rPr>
                <w:t>Compensation Program Overview</w:t>
              </w:r>
            </w:hyperlink>
          </w:p>
        </w:tc>
        <w:tc>
          <w:tcPr>
            <w:tcW w:w="245" w:type="dxa"/>
            <w:tcBorders/>
            <w:shd w:fill="EBEDF8" w:val="clear"/>
            <w:vAlign w:val="center"/>
          </w:tcPr>
          <w:p>
            <w:pPr>
              <w:pStyle w:val="TableContents"/>
              <w:bidi w:val="0"/>
              <w:spacing w:before="0" w:after="283"/>
              <w:jc w:val="right"/>
              <w:rPr/>
            </w:pPr>
            <w:hyperlink w:anchor="regn013211-def14aa102">
              <w:r>
                <w:rPr>
                  <w:rStyle w:val="InternetLink"/>
                  <w:rFonts w:ascii="Arial;Helvetica;Sans-Serif" w:hAnsi="Arial;Helvetica;Sans-Serif"/>
                  <w:b w:val="false"/>
                  <w:i w:val="false"/>
                  <w:caps w:val="false"/>
                  <w:smallCaps w:val="false"/>
                  <w:strike w:val="false"/>
                  <w:dstrike w:val="false"/>
                  <w:color w:val="231F20"/>
                  <w:sz w:val="18"/>
                  <w:u w:val="none"/>
                  <w:effect w:val="none"/>
                </w:rPr>
                <w:t>62</w:t>
              </w:r>
            </w:hyperlink>
          </w:p>
        </w:tc>
      </w:tr>
      <w:tr>
        <w:trPr/>
        <w:tc>
          <w:tcPr>
            <w:tcW w:w="2795" w:type="dxa"/>
            <w:tcBorders/>
            <w:shd w:fill="EBEDF8" w:val="clear"/>
            <w:vAlign w:val="center"/>
          </w:tcPr>
          <w:p>
            <w:pPr>
              <w:pStyle w:val="TableContents"/>
              <w:bidi w:val="0"/>
              <w:spacing w:before="0" w:after="283"/>
              <w:jc w:val="left"/>
              <w:rPr/>
            </w:pPr>
            <w:r>
              <w:rPr/>
              <w:t> </w:t>
            </w:r>
          </w:p>
        </w:tc>
        <w:tc>
          <w:tcPr>
            <w:tcW w:w="245" w:type="dxa"/>
            <w:tcBorders/>
            <w:shd w:fill="EBEDF8" w:val="clear"/>
            <w:vAlign w:val="center"/>
          </w:tcPr>
          <w:p>
            <w:pPr>
              <w:pStyle w:val="TableContents"/>
              <w:bidi w:val="0"/>
              <w:spacing w:before="0" w:after="283"/>
              <w:jc w:val="right"/>
              <w:rPr/>
            </w:pPr>
            <w:r>
              <w:rPr/>
              <w:t> </w:t>
            </w:r>
          </w:p>
        </w:tc>
      </w:tr>
    </w:tbl>
    <w:p>
      <w:pPr>
        <w:pStyle w:val="TextBody"/>
        <w:bidi w:val="0"/>
        <w:spacing w:before="3000" w:after="3000"/>
        <w:ind w:left="3000" w:right="3000" w:hanging="0"/>
        <w:jc w:val="left"/>
        <w:rPr>
          <w:caps w:val="false"/>
          <w:smallCaps w:val="false"/>
          <w:color w:val="231F20"/>
        </w:rPr>
      </w:pPr>
      <w:r>
        <w:rPr>
          <w:caps w:val="false"/>
          <w:smallCaps w:val="false"/>
          <w:color w:val="231F20"/>
        </w:rPr>
        <w:t> </w:t>
      </w:r>
    </w:p>
    <w:p>
      <w:pPr>
        <w:pStyle w:val="TextBody"/>
        <w:pBdr>
          <w:top w:val="single" w:sz="12" w:space="1" w:color="3B5AA4"/>
        </w:pBdr>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NOTE REGARDING FORWARD-LOOKING STATEMENTS AND NON-GAAP FINANCIAL MEASURES: </w:t>
      </w:r>
      <w:r>
        <w:rPr>
          <w:rFonts w:ascii="Arial;Helvetica;Sans-Serif" w:hAnsi="Arial;Helvetica;Sans-Serif"/>
          <w:b w:val="false"/>
          <w:i w:val="false"/>
          <w:caps w:val="false"/>
          <w:smallCaps w:val="false"/>
          <w:color w:val="231F20"/>
          <w:sz w:val="18"/>
        </w:rPr>
        <w:t>See Appendix A for important information regarding forward-looking statements and financial measures not calculated in accordance with U.S. Generally Accepted Accounting Principles contained in this proxy statement.</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231F20"/>
          <w:sz w:val="18"/>
        </w:rPr>
        <w:t xml:space="preserve">NOTE REGARDING TRADEMARKS AND PRODUCT NAMES: </w:t>
      </w:r>
      <w:r>
        <w:rPr>
          <w:rFonts w:ascii="Arial;Helvetica;Sans-Serif" w:hAnsi="Arial;Helvetica;Sans-Serif"/>
          <w:b w:val="false"/>
          <w:i w:val="false"/>
          <w:caps w:val="false"/>
          <w:smallCaps w:val="false"/>
          <w:color w:val="231F20"/>
          <w:sz w:val="18"/>
        </w:rPr>
        <w:t>“ARCALYST</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“Evkeeza</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“EYLEA</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“EYLEA HD</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“Inmazeb</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“Libtayo</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“Praluent</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(in the United States), “REGEN-COV</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Regeneron</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“Regeneron Genetics Center</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“RGC</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“Veopoz</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w:t>
      </w:r>
      <w:r>
        <w:rPr>
          <w:rFonts w:ascii="Arial;Helvetica;Sans-Serif" w:hAnsi="Arial;Helvetica;Sans-Serif"/>
          <w:b w:val="false"/>
          <w:i/>
          <w:caps w:val="false"/>
          <w:smallCaps w:val="false"/>
          <w:color w:val="231F20"/>
          <w:sz w:val="18"/>
        </w:rPr>
        <w:t>VelociGene</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w:t>
      </w:r>
      <w:r>
        <w:rPr>
          <w:rFonts w:ascii="Arial;Helvetica;Sans-Serif" w:hAnsi="Arial;Helvetica;Sans-Serif"/>
          <w:b w:val="false"/>
          <w:i/>
          <w:caps w:val="false"/>
          <w:smallCaps w:val="false"/>
          <w:color w:val="231F20"/>
          <w:sz w:val="18"/>
        </w:rPr>
        <w:t>VelocImmune</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and “ZALTRAP</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are trademarks of Regeneron Pharmaceuticals, Inc. (“Regeneron”). This proxy statement refers to products marketed or otherwise commercialized by Regeneron, its collaborators, and other parties. Consult the product label in each territory for specific information about such products.</w:t>
      </w:r>
    </w:p>
    <w:p>
      <w:pPr>
        <w:pStyle w:val="TextBody"/>
        <w:bidi w:val="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6710"/>
        <w:gridCol w:w="1320"/>
        <w:gridCol w:w="63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38200" cy="95250"/>
                          </a:xfrm>
                          <a:prstGeom prst="rect">
                            <a:avLst/>
                          </a:prstGeom>
                        </pic:spPr>
                      </pic:pic>
                    </a:graphicData>
                  </a:graphic>
                </wp:inline>
              </w:drawing>
            </w:r>
          </w:p>
        </w:tc>
        <w:tc>
          <w:tcPr>
            <w:tcW w:w="63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vi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Heading1"/>
        <w:bidi w:val="0"/>
        <w:jc w:val="left"/>
        <w:rPr>
          <w:rFonts w:ascii="Arial;Helvetica;Sans-Serif" w:hAnsi="Arial;Helvetica;Sans-Serif"/>
          <w:b/>
          <w:i w:val="false"/>
          <w:caps w:val="false"/>
          <w:smallCaps w:val="false"/>
          <w:color w:val="3B5AA4"/>
          <w:sz w:val="56"/>
        </w:rPr>
      </w:pPr>
      <w:bookmarkStart w:id="5" w:name="regn013211-def14aa001"/>
      <w:bookmarkStart w:id="6" w:name="regn013211-def14ac001"/>
      <w:bookmarkEnd w:id="5"/>
      <w:bookmarkEnd w:id="6"/>
      <w:r>
        <w:rPr>
          <w:rFonts w:ascii="Arial;Helvetica;Sans-Serif" w:hAnsi="Arial;Helvetica;Sans-Serif"/>
          <w:b/>
          <w:i w:val="false"/>
          <w:caps w:val="false"/>
          <w:smallCaps w:val="false"/>
          <w:color w:val="3B5AA4"/>
          <w:sz w:val="56"/>
        </w:rPr>
        <w:t>Introduction</w:t>
      </w:r>
    </w:p>
    <w:p>
      <w:pPr>
        <w:pStyle w:val="TextBody"/>
        <w:bidi w:val="0"/>
        <w:jc w:val="left"/>
        <w:rPr>
          <w:caps w:val="false"/>
          <w:smallCaps w:val="false"/>
          <w:color w:val="C60C45"/>
        </w:rPr>
      </w:pPr>
      <w:r>
        <w:rPr>
          <w:caps w:val="false"/>
          <w:smallCaps w:val="false"/>
          <w:color w:val="C60C45"/>
        </w:rPr>
        <w:t> </w:t>
      </w:r>
    </w:p>
    <w:p>
      <w:pPr>
        <w:pStyle w:val="Heading2"/>
        <w:bidi w:val="0"/>
        <w:jc w:val="left"/>
        <w:rPr>
          <w:rFonts w:ascii="Arial;Helvetica;Sans-Serif" w:hAnsi="Arial;Helvetica;Sans-Serif"/>
          <w:b/>
          <w:i w:val="false"/>
          <w:caps w:val="false"/>
          <w:smallCaps w:val="false"/>
          <w:color w:val="C60C45"/>
          <w:sz w:val="40"/>
        </w:rPr>
      </w:pPr>
      <w:bookmarkStart w:id="7" w:name="regn013211-def14aa002"/>
      <w:bookmarkEnd w:id="7"/>
      <w:r>
        <w:rPr>
          <w:rFonts w:ascii="Arial;Helvetica;Sans-Serif" w:hAnsi="Arial;Helvetica;Sans-Serif"/>
          <w:b/>
          <w:i w:val="false"/>
          <w:caps w:val="false"/>
          <w:smallCaps w:val="false"/>
          <w:color w:val="C60C45"/>
          <w:sz w:val="40"/>
        </w:rPr>
        <w:t>Annual Meeting Dashboard</w:t>
      </w:r>
    </w:p>
    <w:p>
      <w:pPr>
        <w:pStyle w:val="TextBody"/>
        <w:bidi w:val="0"/>
        <w:jc w:val="left"/>
        <w:rPr>
          <w:caps w:val="false"/>
          <w:smallCaps w:val="false"/>
          <w:color w:val="3B5AA4"/>
        </w:rPr>
      </w:pPr>
      <w:r>
        <w:rPr>
          <w:caps w:val="false"/>
          <w:smallCaps w:val="false"/>
          <w:color w:val="3B5AA4"/>
        </w:rPr>
        <w:t> </w:t>
      </w:r>
    </w:p>
    <w:p>
      <w:pPr>
        <w:pStyle w:val="TextBody"/>
        <w:bidi w:val="0"/>
        <w:jc w:val="left"/>
        <w:rPr>
          <w:rFonts w:ascii="Arial;Helvetica;Sans-Serif" w:hAnsi="Arial;Helvetica;Sans-Serif"/>
          <w:b/>
          <w:i w:val="false"/>
          <w:caps w:val="false"/>
          <w:smallCaps w:val="false"/>
          <w:color w:val="3B5AA4"/>
          <w:sz w:val="32"/>
          <w:shd w:fill="EBEDF8" w:val="clear"/>
        </w:rPr>
      </w:pPr>
      <w:r>
        <w:rPr>
          <w:rFonts w:ascii="Arial;Helvetica;Sans-Serif" w:hAnsi="Arial;Helvetica;Sans-Serif"/>
          <w:b/>
          <w:i w:val="false"/>
          <w:caps w:val="false"/>
          <w:smallCaps w:val="false"/>
          <w:color w:val="3B5AA4"/>
          <w:sz w:val="32"/>
          <w:shd w:fill="EBEDF8" w:val="clear"/>
        </w:rPr>
        <w:t>General Information</w:t>
      </w:r>
    </w:p>
    <w:p>
      <w:pPr>
        <w:pStyle w:val="TextBody"/>
        <w:bidi w:val="0"/>
        <w:jc w:val="left"/>
        <w:rPr>
          <w:caps w:val="false"/>
          <w:smallCaps w:val="false"/>
          <w:shd w:fill="EBEDF8" w:val="clear"/>
        </w:rPr>
      </w:pPr>
      <w:r>
        <w:rPr>
          <w:caps w:val="false"/>
          <w:smallCaps w:val="false"/>
          <w:shd w:fill="EBEDF8" w:val="clear"/>
        </w:rPr>
        <w:t> </w:t>
      </w:r>
    </w:p>
    <w:tbl>
      <w:tblPr>
        <w:tblW w:w="10205" w:type="dxa"/>
        <w:jc w:val="left"/>
        <w:tblInd w:w="0" w:type="dxa"/>
        <w:tblLayout w:type="fixed"/>
        <w:tblCellMar>
          <w:top w:w="0" w:type="dxa"/>
          <w:left w:w="0" w:type="dxa"/>
          <w:bottom w:w="0" w:type="dxa"/>
          <w:right w:w="0" w:type="dxa"/>
        </w:tblCellMar>
      </w:tblPr>
      <w:tblGrid>
        <w:gridCol w:w="540"/>
        <w:gridCol w:w="2420"/>
        <w:gridCol w:w="60"/>
        <w:gridCol w:w="60"/>
        <w:gridCol w:w="360"/>
        <w:gridCol w:w="4717"/>
        <w:gridCol w:w="60"/>
        <w:gridCol w:w="60"/>
        <w:gridCol w:w="525"/>
        <w:gridCol w:w="1403"/>
      </w:tblGrid>
      <w:tr>
        <w:trPr/>
        <w:tc>
          <w:tcPr>
            <w:tcW w:w="540" w:type="dxa"/>
            <w:tcBorders/>
            <w:vAlign w:val="center"/>
          </w:tcPr>
          <w:p>
            <w:pPr>
              <w:pStyle w:val="TableContents"/>
              <w:bidi w:val="0"/>
              <w:spacing w:before="0" w:after="283"/>
              <w:jc w:val="center"/>
              <w:rPr/>
            </w:pPr>
            <w:r>
              <w:rPr/>
              <w:drawing>
                <wp:inline distT="0" distB="0" distL="0" distR="0">
                  <wp:extent cx="333375" cy="3429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33375" cy="342900"/>
                          </a:xfrm>
                          <a:prstGeom prst="rect">
                            <a:avLst/>
                          </a:prstGeom>
                        </pic:spPr>
                      </pic:pic>
                    </a:graphicData>
                  </a:graphic>
                </wp:inline>
              </w:drawing>
            </w:r>
          </w:p>
        </w:tc>
        <w:tc>
          <w:tcPr>
            <w:tcW w:w="2420" w:type="dxa"/>
            <w:tcBorders/>
            <w:vAlign w:val="center"/>
          </w:tcPr>
          <w:p>
            <w:pPr>
              <w:pStyle w:val="TableContents"/>
              <w:bidi w:val="0"/>
              <w:spacing w:before="0" w:after="100"/>
              <w:jc w:val="left"/>
              <w:rPr>
                <w:b/>
                <w:color w:val="3B5AA4"/>
                <w:sz w:val="24"/>
              </w:rPr>
            </w:pPr>
            <w:r>
              <w:rPr>
                <w:b/>
                <w:color w:val="3B5AA4"/>
                <w:sz w:val="24"/>
              </w:rPr>
              <w:t>Meeting Date and Time</w:t>
            </w:r>
          </w:p>
          <w:p>
            <w:pPr>
              <w:pStyle w:val="TableContents"/>
              <w:bidi w:val="0"/>
              <w:jc w:val="left"/>
              <w:rPr>
                <w:color w:val="231F20"/>
              </w:rPr>
            </w:pPr>
            <w:r>
              <w:rPr>
                <w:color w:val="231F20"/>
              </w:rPr>
              <w:t>June 13, 2025</w:t>
            </w:r>
          </w:p>
          <w:p>
            <w:pPr>
              <w:pStyle w:val="TableContents"/>
              <w:bidi w:val="0"/>
              <w:spacing w:before="0" w:after="283"/>
              <w:jc w:val="left"/>
              <w:rPr>
                <w:color w:val="231F20"/>
              </w:rPr>
            </w:pPr>
            <w:r>
              <w:rPr>
                <w:color w:val="231F20"/>
              </w:rPr>
              <w:t>10:30 a.m., Eastern Time</w:t>
            </w:r>
          </w:p>
        </w:tc>
        <w:tc>
          <w:tcPr>
            <w:tcW w:w="60" w:type="dxa"/>
            <w:tcBorders>
              <w:right w:val="single" w:sz="2" w:space="0" w:color="C60C44"/>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283"/>
              <w:jc w:val="center"/>
              <w:rPr/>
            </w:pPr>
            <w:r>
              <w:rPr/>
              <w:drawing>
                <wp:inline distT="0" distB="0" distL="0" distR="0">
                  <wp:extent cx="228600" cy="3333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28600" cy="333375"/>
                          </a:xfrm>
                          <a:prstGeom prst="rect">
                            <a:avLst/>
                          </a:prstGeom>
                        </pic:spPr>
                      </pic:pic>
                    </a:graphicData>
                  </a:graphic>
                </wp:inline>
              </w:drawing>
            </w:r>
          </w:p>
        </w:tc>
        <w:tc>
          <w:tcPr>
            <w:tcW w:w="4717" w:type="dxa"/>
            <w:tcBorders/>
            <w:vAlign w:val="center"/>
          </w:tcPr>
          <w:p>
            <w:pPr>
              <w:pStyle w:val="TableContents"/>
              <w:bidi w:val="0"/>
              <w:spacing w:before="0" w:after="100"/>
              <w:jc w:val="left"/>
              <w:rPr>
                <w:b/>
                <w:color w:val="3B5AA4"/>
                <w:sz w:val="24"/>
              </w:rPr>
            </w:pPr>
            <w:r>
              <w:rPr>
                <w:b/>
                <w:color w:val="3B5AA4"/>
                <w:sz w:val="24"/>
              </w:rPr>
              <w:t>Location</w:t>
            </w:r>
          </w:p>
          <w:p>
            <w:pPr>
              <w:pStyle w:val="TableContents"/>
              <w:bidi w:val="0"/>
              <w:jc w:val="left"/>
              <w:rPr>
                <w:color w:val="231F20"/>
              </w:rPr>
            </w:pPr>
            <w:r>
              <w:rPr>
                <w:color w:val="231F20"/>
              </w:rPr>
              <w:t>Online at</w:t>
            </w:r>
          </w:p>
          <w:p>
            <w:pPr>
              <w:pStyle w:val="TableContents"/>
              <w:bidi w:val="0"/>
              <w:spacing w:before="0" w:after="283"/>
              <w:jc w:val="left"/>
              <w:rPr>
                <w:b/>
                <w:color w:val="3B5AA4"/>
              </w:rPr>
            </w:pPr>
            <w:r>
              <w:rPr>
                <w:b/>
                <w:color w:val="3B5AA4"/>
              </w:rPr>
              <w:t>www.virtualshareholdermeeting.com/REGN2025</w:t>
            </w:r>
          </w:p>
        </w:tc>
        <w:tc>
          <w:tcPr>
            <w:tcW w:w="60" w:type="dxa"/>
            <w:tcBorders>
              <w:right w:val="single" w:sz="2" w:space="0" w:color="C60C44"/>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center"/>
              <w:rPr/>
            </w:pPr>
            <w:r>
              <w:rPr/>
              <w:drawing>
                <wp:inline distT="0" distB="0" distL="0" distR="0">
                  <wp:extent cx="333375" cy="3333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333375" cy="333375"/>
                          </a:xfrm>
                          <a:prstGeom prst="rect">
                            <a:avLst/>
                          </a:prstGeom>
                        </pic:spPr>
                      </pic:pic>
                    </a:graphicData>
                  </a:graphic>
                </wp:inline>
              </w:drawing>
            </w:r>
          </w:p>
        </w:tc>
        <w:tc>
          <w:tcPr>
            <w:tcW w:w="1403" w:type="dxa"/>
            <w:tcBorders/>
            <w:vAlign w:val="center"/>
          </w:tcPr>
          <w:p>
            <w:pPr>
              <w:pStyle w:val="TableContents"/>
              <w:bidi w:val="0"/>
              <w:spacing w:before="0" w:after="100"/>
              <w:jc w:val="left"/>
              <w:rPr>
                <w:b/>
                <w:color w:val="3B5AA4"/>
                <w:sz w:val="24"/>
              </w:rPr>
            </w:pPr>
            <w:r>
              <w:rPr>
                <w:b/>
                <w:color w:val="3B5AA4"/>
                <w:sz w:val="24"/>
              </w:rPr>
              <w:t>Record Date</w:t>
            </w:r>
          </w:p>
          <w:p>
            <w:pPr>
              <w:pStyle w:val="TableContents"/>
              <w:bidi w:val="0"/>
              <w:spacing w:before="0" w:after="283"/>
              <w:jc w:val="left"/>
              <w:rPr>
                <w:color w:val="231F20"/>
              </w:rPr>
            </w:pPr>
            <w:r>
              <w:rPr>
                <w:color w:val="231F20"/>
              </w:rPr>
              <w:t>April 15, 2025</w:t>
            </w:r>
          </w:p>
        </w:tc>
      </w:tr>
    </w:tbl>
    <w:p>
      <w:pPr>
        <w:pStyle w:val="TextBody"/>
        <w:bidi w:val="0"/>
        <w:ind w:left="0" w:right="0" w:firstLine="720"/>
        <w:jc w:val="left"/>
        <w:rPr>
          <w:caps w:val="false"/>
          <w:smallCaps w:val="false"/>
        </w:rPr>
      </w:pPr>
      <w:r>
        <w:rPr>
          <w:caps w:val="false"/>
          <w:smallCaps w:val="false"/>
        </w:rPr>
        <w:t> </w:t>
      </w:r>
    </w:p>
    <w:p>
      <w:pPr>
        <w:pStyle w:val="Heading3"/>
        <w:bidi w:val="0"/>
        <w:jc w:val="left"/>
        <w:rPr>
          <w:rFonts w:ascii="Arial;Helvetica;Sans-Serif" w:hAnsi="Arial;Helvetica;Sans-Serif"/>
          <w:b/>
          <w:i w:val="false"/>
          <w:caps w:val="false"/>
          <w:smallCaps w:val="false"/>
          <w:color w:val="3B5AA4"/>
          <w:sz w:val="32"/>
        </w:rPr>
      </w:pPr>
      <w:r>
        <w:rPr>
          <w:rFonts w:ascii="Arial;Helvetica;Sans-Serif" w:hAnsi="Arial;Helvetica;Sans-Serif"/>
          <w:b/>
          <w:i w:val="false"/>
          <w:caps w:val="false"/>
          <w:smallCaps w:val="false"/>
          <w:color w:val="3B5AA4"/>
          <w:sz w:val="32"/>
        </w:rPr>
        <w:t>Meeting Agenda</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5"/>
        <w:gridCol w:w="8061"/>
        <w:gridCol w:w="390"/>
        <w:gridCol w:w="1509"/>
      </w:tblGrid>
      <w:tr>
        <w:trPr/>
        <w:tc>
          <w:tcPr>
            <w:tcW w:w="245" w:type="dxa"/>
            <w:tcBorders>
              <w:bottom w:val="single" w:sz="12" w:space="0" w:color="3B59A4"/>
            </w:tcBorders>
            <w:vAlign w:val="center"/>
          </w:tcPr>
          <w:p>
            <w:pPr>
              <w:pStyle w:val="TableContents"/>
              <w:bidi w:val="0"/>
              <w:spacing w:before="0" w:after="283"/>
              <w:jc w:val="left"/>
              <w:rPr/>
            </w:pPr>
            <w:r>
              <w:rPr/>
              <w:t> </w:t>
            </w:r>
          </w:p>
        </w:tc>
        <w:tc>
          <w:tcPr>
            <w:tcW w:w="8061" w:type="dxa"/>
            <w:tcBorders>
              <w:bottom w:val="single" w:sz="12" w:space="0" w:color="3B59A4"/>
            </w:tcBorders>
            <w:vAlign w:val="center"/>
          </w:tcPr>
          <w:p>
            <w:pPr>
              <w:pStyle w:val="TableContents"/>
              <w:bidi w:val="0"/>
              <w:spacing w:before="0" w:after="283"/>
              <w:jc w:val="left"/>
              <w:rPr>
                <w:b/>
                <w:color w:val="3B5AA4"/>
              </w:rPr>
            </w:pPr>
            <w:r>
              <w:rPr>
                <w:b/>
                <w:color w:val="3B5AA4"/>
              </w:rPr>
              <w:t>Matter</w:t>
            </w:r>
          </w:p>
        </w:tc>
        <w:tc>
          <w:tcPr>
            <w:tcW w:w="1899" w:type="dxa"/>
            <w:gridSpan w:val="2"/>
            <w:tcBorders>
              <w:bottom w:val="single" w:sz="12" w:space="0" w:color="3B59A4"/>
            </w:tcBorders>
            <w:vAlign w:val="center"/>
          </w:tcPr>
          <w:p>
            <w:pPr>
              <w:pStyle w:val="TableContents"/>
              <w:bidi w:val="0"/>
              <w:spacing w:before="0" w:after="283"/>
              <w:jc w:val="left"/>
              <w:rPr/>
            </w:pPr>
            <w:r>
              <w:rPr>
                <w:b/>
                <w:color w:val="3B5AA4"/>
              </w:rPr>
              <w:t>Board Vote</w:t>
            </w:r>
            <w:r>
              <w:rPr/>
              <w:br/>
            </w:r>
            <w:r>
              <w:rPr>
                <w:b/>
                <w:color w:val="3B5AA4"/>
              </w:rPr>
              <w:t>Recommendation</w:t>
            </w:r>
          </w:p>
        </w:tc>
      </w:tr>
      <w:tr>
        <w:trPr/>
        <w:tc>
          <w:tcPr>
            <w:tcW w:w="245" w:type="dxa"/>
            <w:tcBorders/>
            <w:tcMar>
              <w:bottom w:w="0" w:type="dxa"/>
            </w:tcMar>
            <w:vAlign w:val="center"/>
          </w:tcPr>
          <w:p>
            <w:pPr>
              <w:pStyle w:val="TableContents"/>
              <w:bidi w:val="0"/>
              <w:spacing w:before="0" w:after="283"/>
              <w:jc w:val="left"/>
              <w:rPr>
                <w:b/>
                <w:color w:val="3B5AA4"/>
                <w:sz w:val="40"/>
              </w:rPr>
            </w:pPr>
            <w:r>
              <w:rPr>
                <w:b/>
                <w:color w:val="3B5AA4"/>
                <w:sz w:val="40"/>
              </w:rPr>
              <w:t>1</w:t>
            </w:r>
          </w:p>
        </w:tc>
        <w:tc>
          <w:tcPr>
            <w:tcW w:w="8061" w:type="dxa"/>
            <w:tcBorders>
              <w:bottom w:val="single" w:sz="2" w:space="0" w:color="BCBEC0"/>
            </w:tcBorders>
            <w:tcMar>
              <w:bottom w:w="60" w:type="dxa"/>
            </w:tcMar>
            <w:vAlign w:val="center"/>
          </w:tcPr>
          <w:p>
            <w:pPr>
              <w:pStyle w:val="TableContents"/>
              <w:bidi w:val="0"/>
              <w:spacing w:before="0" w:after="283"/>
              <w:jc w:val="left"/>
              <w:rPr>
                <w:color w:val="231F20"/>
              </w:rPr>
            </w:pPr>
            <w:r>
              <w:rPr>
                <w:color w:val="231F20"/>
              </w:rPr>
              <w:t>Election of four Class I directors for a three-year term:</w:t>
            </w:r>
          </w:p>
        </w:tc>
        <w:tc>
          <w:tcPr>
            <w:tcW w:w="390" w:type="dxa"/>
            <w:tcBorders>
              <w:bottom w:val="single" w:sz="2" w:space="0" w:color="BCBEC0"/>
            </w:tcBorders>
            <w:tcMar>
              <w:bottom w:w="60" w:type="dxa"/>
            </w:tcMar>
            <w:vAlign w:val="center"/>
          </w:tcPr>
          <w:p>
            <w:pPr>
              <w:pStyle w:val="TableContents"/>
              <w:bidi w:val="0"/>
              <w:spacing w:before="0" w:after="283"/>
              <w:jc w:val="center"/>
              <w:rPr/>
            </w:pPr>
            <w:r>
              <w:rPr/>
              <w:drawing>
                <wp:inline distT="0" distB="0" distL="0" distR="0">
                  <wp:extent cx="247650" cy="2476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47650" cy="247650"/>
                          </a:xfrm>
                          <a:prstGeom prst="rect">
                            <a:avLst/>
                          </a:prstGeom>
                        </pic:spPr>
                      </pic:pic>
                    </a:graphicData>
                  </a:graphic>
                </wp:inline>
              </w:drawing>
            </w:r>
          </w:p>
        </w:tc>
        <w:tc>
          <w:tcPr>
            <w:tcW w:w="1509" w:type="dxa"/>
            <w:tcBorders>
              <w:bottom w:val="single" w:sz="2" w:space="0" w:color="BCBEC0"/>
            </w:tcBorders>
            <w:tcMar>
              <w:bottom w:w="60" w:type="dxa"/>
            </w:tcMar>
            <w:vAlign w:val="center"/>
          </w:tcPr>
          <w:p>
            <w:pPr>
              <w:pStyle w:val="TableContents"/>
              <w:bidi w:val="0"/>
              <w:spacing w:before="0" w:after="283"/>
              <w:jc w:val="left"/>
              <w:rPr/>
            </w:pPr>
            <w:r>
              <w:rPr>
                <w:b/>
                <w:color w:val="3B5AA4"/>
              </w:rPr>
              <w:t xml:space="preserve">FOR </w:t>
            </w:r>
            <w:r>
              <w:rPr>
                <w:color w:val="231F20"/>
              </w:rPr>
              <w:t>each</w:t>
              <w:br/>
              <w:t>director nominee</w:t>
            </w:r>
          </w:p>
        </w:tc>
      </w:tr>
      <w:tr>
        <w:trPr/>
        <w:tc>
          <w:tcPr>
            <w:tcW w:w="245" w:type="dxa"/>
            <w:tcBorders/>
            <w:tcMar>
              <w:bottom w:w="0" w:type="dxa"/>
            </w:tcMar>
            <w:vAlign w:val="center"/>
          </w:tcPr>
          <w:p>
            <w:pPr>
              <w:pStyle w:val="TableContents"/>
              <w:bidi w:val="0"/>
              <w:spacing w:before="0" w:after="283"/>
              <w:jc w:val="left"/>
              <w:rPr/>
            </w:pPr>
            <w:r>
              <w:rPr/>
              <w:t> </w:t>
            </w:r>
          </w:p>
        </w:tc>
        <w:tc>
          <w:tcPr>
            <w:tcW w:w="8061" w:type="dxa"/>
            <w:tcBorders>
              <w:bottom w:val="single" w:sz="2" w:space="0" w:color="BCBEC0"/>
            </w:tcBorders>
            <w:tcMar>
              <w:bottom w:w="60"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2047240" cy="721995"/>
                      <wp:effectExtent l="0" t="0" r="0" b="0"/>
                      <wp:wrapSquare wrapText="right"/>
                      <wp:docPr id="35" name="Frame1"/>
                      <a:graphic xmlns:a="http://schemas.openxmlformats.org/drawingml/2006/main">
                        <a:graphicData uri="http://schemas.microsoft.com/office/word/2010/wordprocessingShape">
                          <wps:wsp>
                            <wps:cNvSpPr txBox="1"/>
                            <wps:spPr>
                              <a:xfrm>
                                <a:off x="0" y="0"/>
                                <a:ext cx="2047240" cy="721995"/>
                              </a:xfrm>
                              <a:prstGeom prst="rect"/>
                              <a:solidFill>
                                <a:srgbClr val="FFFFFF"/>
                              </a:solidFill>
                            </wps:spPr>
                            <wps:txbx>
                              <w:txbxContent>
                                <w:p>
                                  <w:pPr>
                                    <w:pStyle w:val="TextBody"/>
                                    <w:bidi w:val="0"/>
                                    <w:spacing w:before="0" w:after="283"/>
                                    <w:jc w:val="left"/>
                                    <w:rPr/>
                                  </w:pPr>
                                  <w:r>
                                    <w:rPr/>
                                    <w:drawing>
                                      <wp:inline distT="0" distB="0" distL="0" distR="0">
                                        <wp:extent cx="314325" cy="323850"/>
                                        <wp:effectExtent l="0" t="0" r="0" b="0"/>
                                        <wp:docPr id="3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5" descr=""/>
                                                <pic:cNvPicPr>
                                                  <a:picLocks noChangeAspect="1" noChangeArrowheads="1"/>
                                                </pic:cNvPicPr>
                                              </pic:nvPicPr>
                                              <pic:blipFill>
                                                <a:blip r:embed="rId36"/>
                                                <a:stretch>
                                                  <a:fillRect/>
                                                </a:stretch>
                                              </pic:blipFill>
                                              <pic:spPr bwMode="auto">
                                                <a:xfrm>
                                                  <a:off x="0" y="0"/>
                                                  <a:ext cx="314325" cy="323850"/>
                                                </a:xfrm>
                                                <a:prstGeom prst="rect">
                                                  <a:avLst/>
                                                </a:prstGeom>
                                              </pic:spPr>
                                            </pic:pic>
                                          </a:graphicData>
                                        </a:graphic>
                                      </wp:inline>
                                    </w:drawing>
                                  </w:r>
                                </w:p>
                                <w:p>
                                  <w:pPr>
                                    <w:pStyle w:val="TextBody"/>
                                    <w:bidi w:val="0"/>
                                    <w:spacing w:before="160" w:after="283"/>
                                    <w:ind w:left="800" w:right="0" w:hanging="0"/>
                                    <w:jc w:val="left"/>
                                    <w:rPr>
                                      <w:rFonts w:ascii="Arial;Helvetica;Sans-Serif" w:hAnsi="Arial;Helvetica;Sans-Serif"/>
                                      <w:b/>
                                      <w:i w:val="false"/>
                                      <w:caps w:val="false"/>
                                      <w:smallCaps w:val="false"/>
                                      <w:color w:val="3B5AA4"/>
                                      <w:sz w:val="16"/>
                                    </w:rPr>
                                  </w:pPr>
                                  <w:r>
                                    <w:rPr>
                                      <w:rFonts w:ascii="Arial;Helvetica;Sans-Serif" w:hAnsi="Arial;Helvetica;Sans-Serif"/>
                                      <w:b/>
                                      <w:i w:val="false"/>
                                      <w:caps w:val="false"/>
                                      <w:smallCaps w:val="false"/>
                                      <w:color w:val="3B5AA4"/>
                                      <w:sz w:val="16"/>
                                    </w:rPr>
                                    <w:t>Bonnie L. Bassler, Ph.D.</w:t>
                                  </w:r>
                                </w:p>
                              </w:txbxContent>
                            </wps:txbx>
                            <wps:bodyPr anchor="t" lIns="0" tIns="0" rIns="0" bIns="0">
                              <a:noAutofit/>
                            </wps:bodyPr>
                          </wps:wsp>
                        </a:graphicData>
                      </a:graphic>
                      <wp14:sizeRelH relativeFrom="margin">
                        <wp14:pctWidth>40000</wp14:pctWidth>
                      </wp14:sizeRelH>
                    </wp:anchor>
                  </w:drawing>
                </mc:Choice>
                <mc:Fallback>
                  <w:pict>
                    <v:rect style="position:absolute;rotation:-0;width:161.2pt;height:5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drawing>
                                <wp:inline distT="0" distB="0" distL="0" distR="0">
                                  <wp:extent cx="314325" cy="323850"/>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7"/>
                                          <a:stretch>
                                            <a:fillRect/>
                                          </a:stretch>
                                        </pic:blipFill>
                                        <pic:spPr bwMode="auto">
                                          <a:xfrm>
                                            <a:off x="0" y="0"/>
                                            <a:ext cx="314325" cy="323850"/>
                                          </a:xfrm>
                                          <a:prstGeom prst="rect">
                                            <a:avLst/>
                                          </a:prstGeom>
                                        </pic:spPr>
                                      </pic:pic>
                                    </a:graphicData>
                                  </a:graphic>
                                </wp:inline>
                              </w:drawing>
                            </w:r>
                          </w:p>
                          <w:p>
                            <w:pPr>
                              <w:pStyle w:val="TextBody"/>
                              <w:bidi w:val="0"/>
                              <w:spacing w:before="160" w:after="283"/>
                              <w:ind w:left="800" w:right="0" w:hanging="0"/>
                              <w:jc w:val="left"/>
                              <w:rPr>
                                <w:rFonts w:ascii="Arial;Helvetica;Sans-Serif" w:hAnsi="Arial;Helvetica;Sans-Serif"/>
                                <w:b/>
                                <w:i w:val="false"/>
                                <w:caps w:val="false"/>
                                <w:smallCaps w:val="false"/>
                                <w:color w:val="3B5AA4"/>
                                <w:sz w:val="16"/>
                              </w:rPr>
                            </w:pPr>
                            <w:r>
                              <w:rPr>
                                <w:rFonts w:ascii="Arial;Helvetica;Sans-Serif" w:hAnsi="Arial;Helvetica;Sans-Serif"/>
                                <w:b/>
                                <w:i w:val="false"/>
                                <w:caps w:val="false"/>
                                <w:smallCaps w:val="false"/>
                                <w:color w:val="3B5AA4"/>
                                <w:sz w:val="16"/>
                              </w:rPr>
                              <w:t>Bonnie L. Bassler, Ph.D.</w:t>
                            </w:r>
                          </w:p>
                        </w:txbxContent>
                      </v:textbox>
                      <w10:wrap type="square" side="right"/>
                    </v:rect>
                  </w:pict>
                </mc:Fallback>
              </mc:AlternateContent>
            </w:r>
            <w:r>
              <mc:AlternateContent>
                <mc:Choice Requires="wps">
                  <w:drawing>
                    <wp:anchor behindDoc="0" distT="0" distB="0" distL="0" distR="0" simplePos="0" locked="0" layoutInCell="1" allowOverlap="1" relativeHeight="266">
                      <wp:simplePos x="0" y="0"/>
                      <wp:positionH relativeFrom="column">
                        <wp:align>right</wp:align>
                      </wp:positionH>
                      <wp:positionV relativeFrom="line">
                        <wp:posOffset>635</wp:posOffset>
                      </wp:positionV>
                      <wp:extent cx="2968625" cy="721995"/>
                      <wp:effectExtent l="0" t="0" r="0" b="0"/>
                      <wp:wrapSquare wrapText="left"/>
                      <wp:docPr id="38" name="Frame2"/>
                      <a:graphic xmlns:a="http://schemas.openxmlformats.org/drawingml/2006/main">
                        <a:graphicData uri="http://schemas.microsoft.com/office/word/2010/wordprocessingShape">
                          <wps:wsp>
                            <wps:cNvSpPr txBox="1"/>
                            <wps:spPr>
                              <a:xfrm>
                                <a:off x="0" y="0"/>
                                <a:ext cx="2968625" cy="721995"/>
                              </a:xfrm>
                              <a:prstGeom prst="rect"/>
                              <a:solidFill>
                                <a:srgbClr val="FFFFFF"/>
                              </a:solidFill>
                            </wps:spPr>
                            <wps:txbx>
                              <w:txbxContent>
                                <w:p>
                                  <w:pPr>
                                    <w:pStyle w:val="TextBody"/>
                                    <w:bidi w:val="0"/>
                                    <w:spacing w:before="0" w:after="283"/>
                                    <w:jc w:val="left"/>
                                    <w:rPr/>
                                  </w:pPr>
                                  <w:r>
                                    <w:rPr/>
                                    <w:drawing>
                                      <wp:inline distT="0" distB="0" distL="0" distR="0">
                                        <wp:extent cx="323850" cy="32385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8"/>
                                                <a:stretch>
                                                  <a:fillRect/>
                                                </a:stretch>
                                              </pic:blipFill>
                                              <pic:spPr bwMode="auto">
                                                <a:xfrm>
                                                  <a:off x="0" y="0"/>
                                                  <a:ext cx="323850" cy="323850"/>
                                                </a:xfrm>
                                                <a:prstGeom prst="rect">
                                                  <a:avLst/>
                                                </a:prstGeom>
                                              </pic:spPr>
                                            </pic:pic>
                                          </a:graphicData>
                                        </a:graphic>
                                      </wp:inline>
                                    </w:drawing>
                                  </w:r>
                                </w:p>
                                <w:p>
                                  <w:pPr>
                                    <w:pStyle w:val="TextBody"/>
                                    <w:bidi w:val="0"/>
                                    <w:spacing w:before="160" w:after="283"/>
                                    <w:ind w:left="800" w:right="0" w:hanging="0"/>
                                    <w:jc w:val="left"/>
                                    <w:rPr>
                                      <w:rFonts w:ascii="Arial;Helvetica;Sans-Serif" w:hAnsi="Arial;Helvetica;Sans-Serif"/>
                                      <w:b/>
                                      <w:i w:val="false"/>
                                      <w:caps w:val="false"/>
                                      <w:smallCaps w:val="false"/>
                                      <w:color w:val="3B5AA4"/>
                                      <w:sz w:val="16"/>
                                    </w:rPr>
                                  </w:pPr>
                                  <w:r>
                                    <w:rPr>
                                      <w:rFonts w:ascii="Arial;Helvetica;Sans-Serif" w:hAnsi="Arial;Helvetica;Sans-Serif"/>
                                      <w:b/>
                                      <w:i w:val="false"/>
                                      <w:caps w:val="false"/>
                                      <w:smallCaps w:val="false"/>
                                      <w:color w:val="3B5AA4"/>
                                      <w:sz w:val="16"/>
                                    </w:rPr>
                                    <w:t>Michael S. Brown, M.D.</w:t>
                                  </w:r>
                                </w:p>
                              </w:txbxContent>
                            </wps:txbx>
                            <wps:bodyPr anchor="t" lIns="0" tIns="0" rIns="0" bIns="0">
                              <a:noAutofit/>
                            </wps:bodyPr>
                          </wps:wsp>
                        </a:graphicData>
                      </a:graphic>
                      <wp14:sizeRelH relativeFrom="margin">
                        <wp14:pctWidth>58000</wp14:pctWidth>
                      </wp14:sizeRelH>
                    </wp:anchor>
                  </w:drawing>
                </mc:Choice>
                <mc:Fallback>
                  <w:pict>
                    <v:rect style="position:absolute;rotation:-0;width:233.75pt;height:56.85pt;mso-wrap-distance-left:0pt;mso-wrap-distance-right:0pt;mso-wrap-distance-top:0pt;mso-wrap-distance-bottom:0pt;margin-top:0pt;mso-position-vertical:top;mso-position-vertical-relative:text;margin-left:169.25pt;mso-position-horizontal:right;mso-position-horizontal-relative:text">
                      <v:textbox>
                        <w:txbxContent>
                          <w:p>
                            <w:pPr>
                              <w:pStyle w:val="TextBody"/>
                              <w:bidi w:val="0"/>
                              <w:spacing w:before="0" w:after="283"/>
                              <w:jc w:val="left"/>
                              <w:rPr/>
                            </w:pPr>
                            <w:r>
                              <w:rPr/>
                              <w:drawing>
                                <wp:inline distT="0" distB="0" distL="0" distR="0">
                                  <wp:extent cx="323850" cy="323850"/>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9"/>
                                          <a:stretch>
                                            <a:fillRect/>
                                          </a:stretch>
                                        </pic:blipFill>
                                        <pic:spPr bwMode="auto">
                                          <a:xfrm>
                                            <a:off x="0" y="0"/>
                                            <a:ext cx="323850" cy="323850"/>
                                          </a:xfrm>
                                          <a:prstGeom prst="rect">
                                            <a:avLst/>
                                          </a:prstGeom>
                                        </pic:spPr>
                                      </pic:pic>
                                    </a:graphicData>
                                  </a:graphic>
                                </wp:inline>
                              </w:drawing>
                            </w:r>
                          </w:p>
                          <w:p>
                            <w:pPr>
                              <w:pStyle w:val="TextBody"/>
                              <w:bidi w:val="0"/>
                              <w:spacing w:before="160" w:after="283"/>
                              <w:ind w:left="800" w:right="0" w:hanging="0"/>
                              <w:jc w:val="left"/>
                              <w:rPr>
                                <w:rFonts w:ascii="Arial;Helvetica;Sans-Serif" w:hAnsi="Arial;Helvetica;Sans-Serif"/>
                                <w:b/>
                                <w:i w:val="false"/>
                                <w:caps w:val="false"/>
                                <w:smallCaps w:val="false"/>
                                <w:color w:val="3B5AA4"/>
                                <w:sz w:val="16"/>
                              </w:rPr>
                            </w:pPr>
                            <w:r>
                              <w:rPr>
                                <w:rFonts w:ascii="Arial;Helvetica;Sans-Serif" w:hAnsi="Arial;Helvetica;Sans-Serif"/>
                                <w:b/>
                                <w:i w:val="false"/>
                                <w:caps w:val="false"/>
                                <w:smallCaps w:val="false"/>
                                <w:color w:val="3B5AA4"/>
                                <w:sz w:val="16"/>
                              </w:rPr>
                              <w:t>Michael S. Brown, M.D.</w:t>
                            </w:r>
                          </w:p>
                        </w:txbxContent>
                      </v:textbox>
                      <w10:wrap type="square" side="left"/>
                    </v:rect>
                  </w:pict>
                </mc:Fallback>
              </mc:AlternateContent>
            </w:r>
          </w:p>
        </w:tc>
        <w:tc>
          <w:tcPr>
            <w:tcW w:w="390" w:type="dxa"/>
            <w:tcBorders>
              <w:bottom w:val="single" w:sz="2" w:space="0" w:color="BCBEC0"/>
            </w:tcBorders>
            <w:tcMar>
              <w:bottom w:w="60" w:type="dxa"/>
            </w:tcMar>
            <w:vAlign w:val="center"/>
          </w:tcPr>
          <w:p>
            <w:pPr>
              <w:pStyle w:val="TableContents"/>
              <w:bidi w:val="0"/>
              <w:spacing w:before="0" w:after="283"/>
              <w:jc w:val="center"/>
              <w:rPr/>
            </w:pPr>
            <w:r>
              <w:rPr/>
              <w:t> </w:t>
            </w:r>
          </w:p>
        </w:tc>
        <w:tc>
          <w:tcPr>
            <w:tcW w:w="1509" w:type="dxa"/>
            <w:tcBorders>
              <w:bottom w:val="single" w:sz="2" w:space="0" w:color="BCBEC0"/>
            </w:tcBorders>
            <w:tcMar>
              <w:bottom w:w="60" w:type="dxa"/>
            </w:tcMar>
            <w:vAlign w:val="center"/>
          </w:tcPr>
          <w:p>
            <w:pPr>
              <w:pStyle w:val="TableContents"/>
              <w:bidi w:val="0"/>
              <w:spacing w:before="0" w:after="283"/>
              <w:jc w:val="left"/>
              <w:rPr/>
            </w:pPr>
            <w:r>
              <w:rPr/>
              <w:t> </w:t>
            </w:r>
          </w:p>
        </w:tc>
      </w:tr>
      <w:tr>
        <w:trPr/>
        <w:tc>
          <w:tcPr>
            <w:tcW w:w="245" w:type="dxa"/>
            <w:tcBorders>
              <w:bottom w:val="single" w:sz="2" w:space="0" w:color="BCBEC0"/>
            </w:tcBorders>
            <w:tcMar>
              <w:bottom w:w="60" w:type="dxa"/>
            </w:tcMar>
            <w:vAlign w:val="center"/>
          </w:tcPr>
          <w:p>
            <w:pPr>
              <w:pStyle w:val="TableContents"/>
              <w:bidi w:val="0"/>
              <w:spacing w:before="0" w:after="283"/>
              <w:jc w:val="left"/>
              <w:rPr/>
            </w:pPr>
            <w:r>
              <w:rPr/>
              <w:t> </w:t>
            </w:r>
          </w:p>
        </w:tc>
        <w:tc>
          <w:tcPr>
            <w:tcW w:w="8061" w:type="dxa"/>
            <w:tcBorders>
              <w:bottom w:val="single" w:sz="2" w:space="0" w:color="BCBEC0"/>
            </w:tcBorders>
            <w:tcMar>
              <w:bottom w:w="60"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olumn">
                        <wp:align>right</wp:align>
                      </wp:positionH>
                      <wp:positionV relativeFrom="line">
                        <wp:posOffset>635</wp:posOffset>
                      </wp:positionV>
                      <wp:extent cx="2968625" cy="721995"/>
                      <wp:effectExtent l="0" t="0" r="0" b="0"/>
                      <wp:wrapSquare wrapText="left"/>
                      <wp:docPr id="41" name="Frame4"/>
                      <a:graphic xmlns:a="http://schemas.openxmlformats.org/drawingml/2006/main">
                        <a:graphicData uri="http://schemas.microsoft.com/office/word/2010/wordprocessingShape">
                          <wps:wsp>
                            <wps:cNvSpPr txBox="1"/>
                            <wps:spPr>
                              <a:xfrm>
                                <a:off x="0" y="0"/>
                                <a:ext cx="2968625" cy="721995"/>
                              </a:xfrm>
                              <a:prstGeom prst="rect"/>
                              <a:solidFill>
                                <a:srgbClr val="FFFFFF"/>
                              </a:solidFill>
                            </wps:spPr>
                            <wps:txbx>
                              <w:txbxContent>
                                <w:p>
                                  <w:pPr>
                                    <w:pStyle w:val="TextBody"/>
                                    <w:bidi w:val="0"/>
                                    <w:spacing w:before="0" w:after="283"/>
                                    <w:jc w:val="left"/>
                                    <w:rPr/>
                                  </w:pPr>
                                  <w:r>
                                    <w:rPr/>
                                    <w:drawing>
                                      <wp:inline distT="0" distB="0" distL="0" distR="0">
                                        <wp:extent cx="323850" cy="323850"/>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40"/>
                                                <a:stretch>
                                                  <a:fillRect/>
                                                </a:stretch>
                                              </pic:blipFill>
                                              <pic:spPr bwMode="auto">
                                                <a:xfrm>
                                                  <a:off x="0" y="0"/>
                                                  <a:ext cx="323850" cy="323850"/>
                                                </a:xfrm>
                                                <a:prstGeom prst="rect">
                                                  <a:avLst/>
                                                </a:prstGeom>
                                              </pic:spPr>
                                            </pic:pic>
                                          </a:graphicData>
                                        </a:graphic>
                                      </wp:inline>
                                    </w:drawing>
                                  </w:r>
                                </w:p>
                                <w:p>
                                  <w:pPr>
                                    <w:pStyle w:val="TextBody"/>
                                    <w:bidi w:val="0"/>
                                    <w:spacing w:before="160" w:after="283"/>
                                    <w:ind w:left="800" w:right="0" w:hanging="0"/>
                                    <w:jc w:val="left"/>
                                    <w:rPr>
                                      <w:rFonts w:ascii="Arial;Helvetica;Sans-Serif" w:hAnsi="Arial;Helvetica;Sans-Serif"/>
                                      <w:b/>
                                      <w:i w:val="false"/>
                                      <w:caps w:val="false"/>
                                      <w:smallCaps w:val="false"/>
                                      <w:color w:val="3B5AA4"/>
                                      <w:sz w:val="16"/>
                                    </w:rPr>
                                  </w:pPr>
                                  <w:r>
                                    <w:rPr>
                                      <w:rFonts w:ascii="Arial;Helvetica;Sans-Serif" w:hAnsi="Arial;Helvetica;Sans-Serif"/>
                                      <w:b/>
                                      <w:i w:val="false"/>
                                      <w:caps w:val="false"/>
                                      <w:smallCaps w:val="false"/>
                                      <w:color w:val="3B5AA4"/>
                                      <w:sz w:val="16"/>
                                    </w:rPr>
                                    <w:t>George D. Yancopoulos, M.D., Ph.D.</w:t>
                                  </w:r>
                                </w:p>
                              </w:txbxContent>
                            </wps:txbx>
                            <wps:bodyPr anchor="t" lIns="0" tIns="0" rIns="0" bIns="0">
                              <a:noAutofit/>
                            </wps:bodyPr>
                          </wps:wsp>
                        </a:graphicData>
                      </a:graphic>
                      <wp14:sizeRelH relativeFrom="margin">
                        <wp14:pctWidth>58000</wp14:pctWidth>
                      </wp14:sizeRelH>
                    </wp:anchor>
                  </w:drawing>
                </mc:Choice>
                <mc:Fallback>
                  <w:pict>
                    <v:rect style="position:absolute;rotation:-0;width:233.75pt;height:56.85pt;mso-wrap-distance-left:0pt;mso-wrap-distance-right:0pt;mso-wrap-distance-top:0pt;mso-wrap-distance-bottom:0pt;margin-top:0pt;mso-position-vertical:top;mso-position-vertical-relative:text;margin-left:169.25pt;mso-position-horizontal:right;mso-position-horizontal-relative:text">
                      <v:textbox>
                        <w:txbxContent>
                          <w:p>
                            <w:pPr>
                              <w:pStyle w:val="TextBody"/>
                              <w:bidi w:val="0"/>
                              <w:spacing w:before="0" w:after="283"/>
                              <w:jc w:val="left"/>
                              <w:rPr/>
                            </w:pPr>
                            <w:r>
                              <w:rPr/>
                              <w:drawing>
                                <wp:inline distT="0" distB="0" distL="0" distR="0">
                                  <wp:extent cx="323850" cy="323850"/>
                                  <wp:effectExtent l="0" t="0" r="0" b="0"/>
                                  <wp:docPr id="4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8" descr=""/>
                                          <pic:cNvPicPr>
                                            <a:picLocks noChangeAspect="1" noChangeArrowheads="1"/>
                                          </pic:cNvPicPr>
                                        </pic:nvPicPr>
                                        <pic:blipFill>
                                          <a:blip r:embed="rId41"/>
                                          <a:stretch>
                                            <a:fillRect/>
                                          </a:stretch>
                                        </pic:blipFill>
                                        <pic:spPr bwMode="auto">
                                          <a:xfrm>
                                            <a:off x="0" y="0"/>
                                            <a:ext cx="323850" cy="323850"/>
                                          </a:xfrm>
                                          <a:prstGeom prst="rect">
                                            <a:avLst/>
                                          </a:prstGeom>
                                        </pic:spPr>
                                      </pic:pic>
                                    </a:graphicData>
                                  </a:graphic>
                                </wp:inline>
                              </w:drawing>
                            </w:r>
                          </w:p>
                          <w:p>
                            <w:pPr>
                              <w:pStyle w:val="TextBody"/>
                              <w:bidi w:val="0"/>
                              <w:spacing w:before="160" w:after="283"/>
                              <w:ind w:left="800" w:right="0" w:hanging="0"/>
                              <w:jc w:val="left"/>
                              <w:rPr>
                                <w:rFonts w:ascii="Arial;Helvetica;Sans-Serif" w:hAnsi="Arial;Helvetica;Sans-Serif"/>
                                <w:b/>
                                <w:i w:val="false"/>
                                <w:caps w:val="false"/>
                                <w:smallCaps w:val="false"/>
                                <w:color w:val="3B5AA4"/>
                                <w:sz w:val="16"/>
                              </w:rPr>
                            </w:pPr>
                            <w:r>
                              <w:rPr>
                                <w:rFonts w:ascii="Arial;Helvetica;Sans-Serif" w:hAnsi="Arial;Helvetica;Sans-Serif"/>
                                <w:b/>
                                <w:i w:val="false"/>
                                <w:caps w:val="false"/>
                                <w:smallCaps w:val="false"/>
                                <w:color w:val="3B5AA4"/>
                                <w:sz w:val="16"/>
                              </w:rPr>
                              <w:t>George D. Yancopoulos, M.D., Ph.D.</w:t>
                            </w:r>
                          </w:p>
                        </w:txbxContent>
                      </v:textbox>
                      <w10:wrap type="square" side="left"/>
                    </v:rect>
                  </w:pict>
                </mc:Fallback>
              </mc:AlternateContent>
            </w:r>
            <w:r>
              <mc:AlternateContent>
                <mc:Choice Requires="wps">
                  <w:drawing>
                    <wp:anchor behindDoc="0" distT="0" distB="0" distL="0" distR="0" simplePos="0" locked="0" layoutInCell="1" allowOverlap="1" relativeHeight="264">
                      <wp:simplePos x="0" y="0"/>
                      <wp:positionH relativeFrom="column">
                        <wp:align>left</wp:align>
                      </wp:positionH>
                      <wp:positionV relativeFrom="line">
                        <wp:posOffset>635</wp:posOffset>
                      </wp:positionV>
                      <wp:extent cx="2047240" cy="838835"/>
                      <wp:effectExtent l="0" t="0" r="0" b="0"/>
                      <wp:wrapSquare wrapText="right"/>
                      <wp:docPr id="44" name="Frame3"/>
                      <a:graphic xmlns:a="http://schemas.openxmlformats.org/drawingml/2006/main">
                        <a:graphicData uri="http://schemas.microsoft.com/office/word/2010/wordprocessingShape">
                          <wps:wsp>
                            <wps:cNvSpPr txBox="1"/>
                            <wps:spPr>
                              <a:xfrm>
                                <a:off x="0" y="0"/>
                                <a:ext cx="2047240" cy="838835"/>
                              </a:xfrm>
                              <a:prstGeom prst="rect"/>
                              <a:solidFill>
                                <a:srgbClr val="FFFFFF"/>
                              </a:solidFill>
                            </wps:spPr>
                            <wps:txbx>
                              <w:txbxContent>
                                <w:p>
                                  <w:pPr>
                                    <w:pStyle w:val="TextBody"/>
                                    <w:bidi w:val="0"/>
                                    <w:spacing w:before="0" w:after="283"/>
                                    <w:jc w:val="left"/>
                                    <w:rPr/>
                                  </w:pPr>
                                  <w:r>
                                    <w:rPr/>
                                    <w:drawing>
                                      <wp:inline distT="0" distB="0" distL="0" distR="0">
                                        <wp:extent cx="314325" cy="323850"/>
                                        <wp:effectExtent l="0" t="0" r="0" b="0"/>
                                        <wp:docPr id="4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7" descr=""/>
                                                <pic:cNvPicPr>
                                                  <a:picLocks noChangeAspect="1" noChangeArrowheads="1"/>
                                                </pic:cNvPicPr>
                                              </pic:nvPicPr>
                                              <pic:blipFill>
                                                <a:blip r:embed="rId42"/>
                                                <a:stretch>
                                                  <a:fillRect/>
                                                </a:stretch>
                                              </pic:blipFill>
                                              <pic:spPr bwMode="auto">
                                                <a:xfrm>
                                                  <a:off x="0" y="0"/>
                                                  <a:ext cx="314325" cy="323850"/>
                                                </a:xfrm>
                                                <a:prstGeom prst="rect">
                                                  <a:avLst/>
                                                </a:prstGeom>
                                              </pic:spPr>
                                            </pic:pic>
                                          </a:graphicData>
                                        </a:graphic>
                                      </wp:inline>
                                    </w:drawing>
                                  </w:r>
                                </w:p>
                                <w:p>
                                  <w:pPr>
                                    <w:pStyle w:val="TextBody"/>
                                    <w:bidi w:val="0"/>
                                    <w:spacing w:before="160" w:after="283"/>
                                    <w:ind w:left="800" w:right="0" w:hanging="0"/>
                                    <w:jc w:val="left"/>
                                    <w:rPr>
                                      <w:rFonts w:ascii="Arial;Helvetica;Sans-Serif" w:hAnsi="Arial;Helvetica;Sans-Serif"/>
                                      <w:b/>
                                      <w:i w:val="false"/>
                                      <w:caps w:val="false"/>
                                      <w:smallCaps w:val="false"/>
                                      <w:color w:val="3B5AA4"/>
                                      <w:sz w:val="16"/>
                                    </w:rPr>
                                  </w:pPr>
                                  <w:r>
                                    <w:rPr>
                                      <w:rFonts w:ascii="Arial;Helvetica;Sans-Serif" w:hAnsi="Arial;Helvetica;Sans-Serif"/>
                                      <w:b/>
                                      <w:i w:val="false"/>
                                      <w:caps w:val="false"/>
                                      <w:smallCaps w:val="false"/>
                                      <w:color w:val="3B5AA4"/>
                                      <w:sz w:val="16"/>
                                    </w:rPr>
                                    <w:t>Leonard S. Schleifer, M.D., Ph.D.</w:t>
                                  </w:r>
                                </w:p>
                              </w:txbxContent>
                            </wps:txbx>
                            <wps:bodyPr anchor="t" lIns="0" tIns="0" rIns="0" bIns="0">
                              <a:noAutofit/>
                            </wps:bodyPr>
                          </wps:wsp>
                        </a:graphicData>
                      </a:graphic>
                      <wp14:sizeRelH relativeFrom="margin">
                        <wp14:pctWidth>40000</wp14:pctWidth>
                      </wp14:sizeRelH>
                    </wp:anchor>
                  </w:drawing>
                </mc:Choice>
                <mc:Fallback>
                  <w:pict>
                    <v:rect style="position:absolute;rotation:-0;width:161.2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drawing>
                                <wp:inline distT="0" distB="0" distL="0" distR="0">
                                  <wp:extent cx="314325" cy="323850"/>
                                  <wp:effectExtent l="0" t="0" r="0" b="0"/>
                                  <wp:docPr id="4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7" descr=""/>
                                          <pic:cNvPicPr>
                                            <a:picLocks noChangeAspect="1" noChangeArrowheads="1"/>
                                          </pic:cNvPicPr>
                                        </pic:nvPicPr>
                                        <pic:blipFill>
                                          <a:blip r:embed="rId43"/>
                                          <a:stretch>
                                            <a:fillRect/>
                                          </a:stretch>
                                        </pic:blipFill>
                                        <pic:spPr bwMode="auto">
                                          <a:xfrm>
                                            <a:off x="0" y="0"/>
                                            <a:ext cx="314325" cy="323850"/>
                                          </a:xfrm>
                                          <a:prstGeom prst="rect">
                                            <a:avLst/>
                                          </a:prstGeom>
                                        </pic:spPr>
                                      </pic:pic>
                                    </a:graphicData>
                                  </a:graphic>
                                </wp:inline>
                              </w:drawing>
                            </w:r>
                          </w:p>
                          <w:p>
                            <w:pPr>
                              <w:pStyle w:val="TextBody"/>
                              <w:bidi w:val="0"/>
                              <w:spacing w:before="160" w:after="283"/>
                              <w:ind w:left="800" w:right="0" w:hanging="0"/>
                              <w:jc w:val="left"/>
                              <w:rPr>
                                <w:rFonts w:ascii="Arial;Helvetica;Sans-Serif" w:hAnsi="Arial;Helvetica;Sans-Serif"/>
                                <w:b/>
                                <w:i w:val="false"/>
                                <w:caps w:val="false"/>
                                <w:smallCaps w:val="false"/>
                                <w:color w:val="3B5AA4"/>
                                <w:sz w:val="16"/>
                              </w:rPr>
                            </w:pPr>
                            <w:r>
                              <w:rPr>
                                <w:rFonts w:ascii="Arial;Helvetica;Sans-Serif" w:hAnsi="Arial;Helvetica;Sans-Serif"/>
                                <w:b/>
                                <w:i w:val="false"/>
                                <w:caps w:val="false"/>
                                <w:smallCaps w:val="false"/>
                                <w:color w:val="3B5AA4"/>
                                <w:sz w:val="16"/>
                              </w:rPr>
                              <w:t>Leonard S. Schleifer, M.D., Ph.D.</w:t>
                            </w:r>
                          </w:p>
                        </w:txbxContent>
                      </v:textbox>
                      <w10:wrap type="square" side="right"/>
                    </v:rect>
                  </w:pict>
                </mc:Fallback>
              </mc:AlternateContent>
            </w:r>
          </w:p>
        </w:tc>
        <w:tc>
          <w:tcPr>
            <w:tcW w:w="390" w:type="dxa"/>
            <w:tcBorders>
              <w:bottom w:val="single" w:sz="2" w:space="0" w:color="BCBEC0"/>
            </w:tcBorders>
            <w:tcMar>
              <w:bottom w:w="60" w:type="dxa"/>
            </w:tcMar>
            <w:vAlign w:val="center"/>
          </w:tcPr>
          <w:p>
            <w:pPr>
              <w:pStyle w:val="TableContents"/>
              <w:bidi w:val="0"/>
              <w:spacing w:before="0" w:after="283"/>
              <w:jc w:val="center"/>
              <w:rPr/>
            </w:pPr>
            <w:r>
              <w:rPr/>
              <w:t> </w:t>
            </w:r>
          </w:p>
        </w:tc>
        <w:tc>
          <w:tcPr>
            <w:tcW w:w="1509" w:type="dxa"/>
            <w:tcBorders>
              <w:bottom w:val="single" w:sz="2" w:space="0" w:color="BCBEC0"/>
            </w:tcBorders>
            <w:tcMar>
              <w:bottom w:w="60" w:type="dxa"/>
            </w:tcMar>
            <w:vAlign w:val="center"/>
          </w:tcPr>
          <w:p>
            <w:pPr>
              <w:pStyle w:val="TableContents"/>
              <w:bidi w:val="0"/>
              <w:spacing w:before="0" w:after="283"/>
              <w:jc w:val="left"/>
              <w:rPr/>
            </w:pPr>
            <w:r>
              <w:rPr/>
              <w:t> </w:t>
            </w:r>
          </w:p>
        </w:tc>
      </w:tr>
      <w:tr>
        <w:trPr/>
        <w:tc>
          <w:tcPr>
            <w:tcW w:w="245" w:type="dxa"/>
            <w:tcBorders>
              <w:bottom w:val="single" w:sz="2" w:space="0" w:color="BCBEC0"/>
            </w:tcBorders>
            <w:tcMar>
              <w:bottom w:w="60" w:type="dxa"/>
            </w:tcMar>
            <w:vAlign w:val="center"/>
          </w:tcPr>
          <w:p>
            <w:pPr>
              <w:pStyle w:val="TableContents"/>
              <w:bidi w:val="0"/>
              <w:spacing w:before="0" w:after="283"/>
              <w:jc w:val="left"/>
              <w:rPr>
                <w:b/>
                <w:color w:val="3B5AA4"/>
                <w:sz w:val="40"/>
              </w:rPr>
            </w:pPr>
            <w:r>
              <w:rPr>
                <w:b/>
                <w:color w:val="3B5AA4"/>
                <w:sz w:val="40"/>
              </w:rPr>
              <w:t>2</w:t>
            </w:r>
          </w:p>
        </w:tc>
        <w:tc>
          <w:tcPr>
            <w:tcW w:w="8061" w:type="dxa"/>
            <w:tcBorders>
              <w:bottom w:val="single" w:sz="2" w:space="0" w:color="BCBEC0"/>
            </w:tcBorders>
            <w:tcMar>
              <w:bottom w:w="60" w:type="dxa"/>
            </w:tcMar>
            <w:vAlign w:val="center"/>
          </w:tcPr>
          <w:p>
            <w:pPr>
              <w:pStyle w:val="TableContents"/>
              <w:bidi w:val="0"/>
              <w:spacing w:before="0" w:after="283"/>
              <w:jc w:val="left"/>
              <w:rPr/>
            </w:pPr>
            <w:r>
              <w:rPr/>
              <w:t>Ratification of the appointment of PricewaterhouseCoopers LLP as the Company’s independent registered public accounting firm for the fiscal year ending December 31, 2025</w:t>
            </w:r>
          </w:p>
        </w:tc>
        <w:tc>
          <w:tcPr>
            <w:tcW w:w="390" w:type="dxa"/>
            <w:tcBorders>
              <w:bottom w:val="single" w:sz="2" w:space="0" w:color="BCBEC0"/>
            </w:tcBorders>
            <w:tcMar>
              <w:bottom w:w="60" w:type="dxa"/>
            </w:tcMar>
            <w:vAlign w:val="center"/>
          </w:tcPr>
          <w:p>
            <w:pPr>
              <w:pStyle w:val="TableContents"/>
              <w:bidi w:val="0"/>
              <w:spacing w:before="0" w:after="283"/>
              <w:jc w:val="center"/>
              <w:rPr/>
            </w:pPr>
            <w:r>
              <w:rPr/>
              <w:drawing>
                <wp:inline distT="0" distB="0" distL="0" distR="0">
                  <wp:extent cx="247650" cy="247650"/>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4"/>
                          <a:stretch>
                            <a:fillRect/>
                          </a:stretch>
                        </pic:blipFill>
                        <pic:spPr bwMode="auto">
                          <a:xfrm>
                            <a:off x="0" y="0"/>
                            <a:ext cx="247650" cy="247650"/>
                          </a:xfrm>
                          <a:prstGeom prst="rect">
                            <a:avLst/>
                          </a:prstGeom>
                        </pic:spPr>
                      </pic:pic>
                    </a:graphicData>
                  </a:graphic>
                </wp:inline>
              </w:drawing>
            </w:r>
          </w:p>
        </w:tc>
        <w:tc>
          <w:tcPr>
            <w:tcW w:w="1509" w:type="dxa"/>
            <w:tcBorders>
              <w:bottom w:val="single" w:sz="2" w:space="0" w:color="BCBEC0"/>
            </w:tcBorders>
            <w:tcMar>
              <w:bottom w:w="60" w:type="dxa"/>
            </w:tcMar>
            <w:vAlign w:val="center"/>
          </w:tcPr>
          <w:p>
            <w:pPr>
              <w:pStyle w:val="TableContents"/>
              <w:bidi w:val="0"/>
              <w:spacing w:before="0" w:after="283"/>
              <w:jc w:val="left"/>
              <w:rPr>
                <w:b/>
                <w:color w:val="3B5AA4"/>
              </w:rPr>
            </w:pPr>
            <w:r>
              <w:rPr>
                <w:b/>
                <w:color w:val="3B5AA4"/>
              </w:rPr>
              <w:t>FOR</w:t>
            </w:r>
          </w:p>
        </w:tc>
      </w:tr>
      <w:tr>
        <w:trPr/>
        <w:tc>
          <w:tcPr>
            <w:tcW w:w="245" w:type="dxa"/>
            <w:tcBorders>
              <w:bottom w:val="single" w:sz="2" w:space="0" w:color="BCBEC0"/>
            </w:tcBorders>
            <w:tcMar>
              <w:bottom w:w="60" w:type="dxa"/>
            </w:tcMar>
            <w:vAlign w:val="center"/>
          </w:tcPr>
          <w:p>
            <w:pPr>
              <w:pStyle w:val="TableContents"/>
              <w:bidi w:val="0"/>
              <w:spacing w:before="0" w:after="283"/>
              <w:jc w:val="left"/>
              <w:rPr>
                <w:b/>
                <w:color w:val="3B5AA4"/>
                <w:sz w:val="40"/>
              </w:rPr>
            </w:pPr>
            <w:r>
              <w:rPr>
                <w:b/>
                <w:color w:val="3B5AA4"/>
                <w:sz w:val="40"/>
              </w:rPr>
              <w:t>3</w:t>
            </w:r>
          </w:p>
        </w:tc>
        <w:tc>
          <w:tcPr>
            <w:tcW w:w="8061" w:type="dxa"/>
            <w:tcBorders>
              <w:bottom w:val="single" w:sz="2" w:space="0" w:color="BCBEC0"/>
            </w:tcBorders>
            <w:tcMar>
              <w:bottom w:w="60" w:type="dxa"/>
            </w:tcMar>
            <w:vAlign w:val="center"/>
          </w:tcPr>
          <w:p>
            <w:pPr>
              <w:pStyle w:val="TableContents"/>
              <w:bidi w:val="0"/>
              <w:spacing w:before="0" w:after="283"/>
              <w:jc w:val="left"/>
              <w:rPr/>
            </w:pPr>
            <w:r>
              <w:rPr/>
              <w:t>Advisory vote to approve the compensation of the Company’s Named Executive Officers as disclosed in these proxy materials (say-on-pay)</w:t>
            </w:r>
          </w:p>
        </w:tc>
        <w:tc>
          <w:tcPr>
            <w:tcW w:w="390" w:type="dxa"/>
            <w:tcBorders>
              <w:bottom w:val="single" w:sz="2" w:space="0" w:color="BCBEC0"/>
            </w:tcBorders>
            <w:tcMar>
              <w:bottom w:w="60" w:type="dxa"/>
            </w:tcMar>
            <w:vAlign w:val="center"/>
          </w:tcPr>
          <w:p>
            <w:pPr>
              <w:pStyle w:val="TableContents"/>
              <w:bidi w:val="0"/>
              <w:spacing w:before="0" w:after="283"/>
              <w:jc w:val="center"/>
              <w:rPr/>
            </w:pPr>
            <w:r>
              <w:rPr/>
              <w:drawing>
                <wp:inline distT="0" distB="0" distL="0" distR="0">
                  <wp:extent cx="247650" cy="247650"/>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5"/>
                          <a:stretch>
                            <a:fillRect/>
                          </a:stretch>
                        </pic:blipFill>
                        <pic:spPr bwMode="auto">
                          <a:xfrm>
                            <a:off x="0" y="0"/>
                            <a:ext cx="247650" cy="247650"/>
                          </a:xfrm>
                          <a:prstGeom prst="rect">
                            <a:avLst/>
                          </a:prstGeom>
                        </pic:spPr>
                      </pic:pic>
                    </a:graphicData>
                  </a:graphic>
                </wp:inline>
              </w:drawing>
            </w:r>
          </w:p>
        </w:tc>
        <w:tc>
          <w:tcPr>
            <w:tcW w:w="1509" w:type="dxa"/>
            <w:tcBorders>
              <w:bottom w:val="single" w:sz="2" w:space="0" w:color="BCBEC0"/>
            </w:tcBorders>
            <w:tcMar>
              <w:bottom w:w="60" w:type="dxa"/>
            </w:tcMar>
            <w:vAlign w:val="center"/>
          </w:tcPr>
          <w:p>
            <w:pPr>
              <w:pStyle w:val="TableContents"/>
              <w:bidi w:val="0"/>
              <w:spacing w:before="0" w:after="283"/>
              <w:jc w:val="left"/>
              <w:rPr>
                <w:b/>
                <w:color w:val="3B5AA4"/>
              </w:rPr>
            </w:pPr>
            <w:r>
              <w:rPr>
                <w:b/>
                <w:color w:val="3B5AA4"/>
              </w:rPr>
              <w:t>FOR</w:t>
            </w:r>
          </w:p>
        </w:tc>
      </w:tr>
      <w:tr>
        <w:trPr/>
        <w:tc>
          <w:tcPr>
            <w:tcW w:w="245" w:type="dxa"/>
            <w:tcBorders>
              <w:bottom w:val="single" w:sz="2" w:space="0" w:color="BCBEC0"/>
            </w:tcBorders>
            <w:tcMar>
              <w:bottom w:w="60" w:type="dxa"/>
            </w:tcMar>
            <w:vAlign w:val="center"/>
          </w:tcPr>
          <w:p>
            <w:pPr>
              <w:pStyle w:val="TableContents"/>
              <w:bidi w:val="0"/>
              <w:spacing w:before="0" w:after="283"/>
              <w:jc w:val="left"/>
              <w:rPr>
                <w:b/>
                <w:color w:val="3B5AA4"/>
                <w:sz w:val="40"/>
              </w:rPr>
            </w:pPr>
            <w:r>
              <w:rPr>
                <w:b/>
                <w:color w:val="3B5AA4"/>
                <w:sz w:val="40"/>
              </w:rPr>
              <w:t>4</w:t>
            </w:r>
          </w:p>
        </w:tc>
        <w:tc>
          <w:tcPr>
            <w:tcW w:w="8061" w:type="dxa"/>
            <w:tcBorders>
              <w:bottom w:val="single" w:sz="2" w:space="0" w:color="BCBEC0"/>
            </w:tcBorders>
            <w:tcMar>
              <w:bottom w:w="60" w:type="dxa"/>
            </w:tcMar>
            <w:vAlign w:val="center"/>
          </w:tcPr>
          <w:p>
            <w:pPr>
              <w:pStyle w:val="TableContents"/>
              <w:bidi w:val="0"/>
              <w:spacing w:before="0" w:after="283"/>
              <w:jc w:val="left"/>
              <w:rPr/>
            </w:pPr>
            <w:r>
              <w:rPr/>
              <w:t>Approval of an amendment to the Company’s Certificate of Incorporation to declassify the board of directors</w:t>
            </w:r>
          </w:p>
        </w:tc>
        <w:tc>
          <w:tcPr>
            <w:tcW w:w="390" w:type="dxa"/>
            <w:tcBorders>
              <w:bottom w:val="single" w:sz="2" w:space="0" w:color="BCBEC0"/>
            </w:tcBorders>
            <w:tcMar>
              <w:bottom w:w="60" w:type="dxa"/>
            </w:tcMar>
            <w:vAlign w:val="center"/>
          </w:tcPr>
          <w:p>
            <w:pPr>
              <w:pStyle w:val="TableContents"/>
              <w:bidi w:val="0"/>
              <w:spacing w:before="0" w:after="283"/>
              <w:jc w:val="center"/>
              <w:rPr/>
            </w:pPr>
            <w:r>
              <w:rPr/>
              <w:drawing>
                <wp:inline distT="0" distB="0" distL="0" distR="0">
                  <wp:extent cx="247650" cy="24765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6"/>
                          <a:stretch>
                            <a:fillRect/>
                          </a:stretch>
                        </pic:blipFill>
                        <pic:spPr bwMode="auto">
                          <a:xfrm>
                            <a:off x="0" y="0"/>
                            <a:ext cx="247650" cy="247650"/>
                          </a:xfrm>
                          <a:prstGeom prst="rect">
                            <a:avLst/>
                          </a:prstGeom>
                        </pic:spPr>
                      </pic:pic>
                    </a:graphicData>
                  </a:graphic>
                </wp:inline>
              </w:drawing>
            </w:r>
          </w:p>
        </w:tc>
        <w:tc>
          <w:tcPr>
            <w:tcW w:w="1509" w:type="dxa"/>
            <w:tcBorders>
              <w:bottom w:val="single" w:sz="2" w:space="0" w:color="BCBEC0"/>
            </w:tcBorders>
            <w:tcMar>
              <w:bottom w:w="60" w:type="dxa"/>
            </w:tcMar>
            <w:vAlign w:val="center"/>
          </w:tcPr>
          <w:p>
            <w:pPr>
              <w:pStyle w:val="TableContents"/>
              <w:bidi w:val="0"/>
              <w:spacing w:before="0" w:after="283"/>
              <w:jc w:val="left"/>
              <w:rPr>
                <w:b/>
                <w:color w:val="3B5AA4"/>
              </w:rPr>
            </w:pPr>
            <w:r>
              <w:rPr>
                <w:b/>
                <w:color w:val="3B5AA4"/>
              </w:rPr>
              <w:t>FOR</w:t>
            </w:r>
          </w:p>
        </w:tc>
      </w:tr>
      <w:tr>
        <w:trPr/>
        <w:tc>
          <w:tcPr>
            <w:tcW w:w="245" w:type="dxa"/>
            <w:tcBorders>
              <w:bottom w:val="single" w:sz="12" w:space="0" w:color="3B59A4"/>
            </w:tcBorders>
            <w:tcMar>
              <w:bottom w:w="60" w:type="dxa"/>
            </w:tcMar>
            <w:vAlign w:val="center"/>
          </w:tcPr>
          <w:p>
            <w:pPr>
              <w:pStyle w:val="TableContents"/>
              <w:bidi w:val="0"/>
              <w:spacing w:before="0" w:after="283"/>
              <w:jc w:val="left"/>
              <w:rPr>
                <w:b/>
                <w:color w:val="3B5AA4"/>
                <w:sz w:val="40"/>
              </w:rPr>
            </w:pPr>
            <w:r>
              <w:rPr>
                <w:b/>
                <w:color w:val="3B5AA4"/>
                <w:sz w:val="40"/>
              </w:rPr>
              <w:t>5</w:t>
            </w:r>
          </w:p>
        </w:tc>
        <w:tc>
          <w:tcPr>
            <w:tcW w:w="8061" w:type="dxa"/>
            <w:tcBorders>
              <w:bottom w:val="single" w:sz="12" w:space="0" w:color="3B59A4"/>
            </w:tcBorders>
            <w:tcMar>
              <w:bottom w:w="60" w:type="dxa"/>
            </w:tcMar>
            <w:vAlign w:val="center"/>
          </w:tcPr>
          <w:p>
            <w:pPr>
              <w:pStyle w:val="TableContents"/>
              <w:bidi w:val="0"/>
              <w:spacing w:before="0" w:after="283"/>
              <w:jc w:val="left"/>
              <w:rPr/>
            </w:pPr>
            <w:r>
              <w:rPr/>
              <w:t>Approval of two amendments to the Company’s Certificate of Incorporation to eliminate supermajority vote requirements</w:t>
            </w:r>
          </w:p>
        </w:tc>
        <w:tc>
          <w:tcPr>
            <w:tcW w:w="390" w:type="dxa"/>
            <w:tcBorders>
              <w:bottom w:val="single" w:sz="12" w:space="0" w:color="3B59A4"/>
            </w:tcBorders>
            <w:tcMar>
              <w:bottom w:w="60" w:type="dxa"/>
            </w:tcMar>
            <w:vAlign w:val="center"/>
          </w:tcPr>
          <w:p>
            <w:pPr>
              <w:pStyle w:val="TableContents"/>
              <w:bidi w:val="0"/>
              <w:spacing w:before="0" w:after="283"/>
              <w:jc w:val="center"/>
              <w:rPr/>
            </w:pPr>
            <w:r>
              <w:rPr/>
              <w:drawing>
                <wp:inline distT="0" distB="0" distL="0" distR="0">
                  <wp:extent cx="247650" cy="247650"/>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7"/>
                          <a:stretch>
                            <a:fillRect/>
                          </a:stretch>
                        </pic:blipFill>
                        <pic:spPr bwMode="auto">
                          <a:xfrm>
                            <a:off x="0" y="0"/>
                            <a:ext cx="247650" cy="247650"/>
                          </a:xfrm>
                          <a:prstGeom prst="rect">
                            <a:avLst/>
                          </a:prstGeom>
                        </pic:spPr>
                      </pic:pic>
                    </a:graphicData>
                  </a:graphic>
                </wp:inline>
              </w:drawing>
            </w:r>
          </w:p>
        </w:tc>
        <w:tc>
          <w:tcPr>
            <w:tcW w:w="1509" w:type="dxa"/>
            <w:tcBorders>
              <w:bottom w:val="single" w:sz="12" w:space="0" w:color="3B59A4"/>
            </w:tcBorders>
            <w:tcMar>
              <w:bottom w:w="60" w:type="dxa"/>
            </w:tcMar>
            <w:vAlign w:val="center"/>
          </w:tcPr>
          <w:p>
            <w:pPr>
              <w:pStyle w:val="TableContents"/>
              <w:bidi w:val="0"/>
              <w:spacing w:before="0" w:after="283"/>
              <w:jc w:val="left"/>
              <w:rPr>
                <w:b/>
                <w:color w:val="3B5AA4"/>
              </w:rPr>
            </w:pPr>
            <w:r>
              <w:rPr>
                <w:b/>
                <w:color w:val="3B5AA4"/>
              </w:rPr>
              <w:t>FOR</w:t>
            </w:r>
          </w:p>
        </w:tc>
      </w:tr>
    </w:tbl>
    <w:p>
      <w:pPr>
        <w:pStyle w:val="TextBody"/>
        <w:bidi w:val="0"/>
        <w:ind w:left="0" w:right="0" w:firstLine="72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See “Other Matters—General Information about the Meeting” starting on page 106 for questions and answers related to the annual meeting, how to vote, and other matters.</w:t>
      </w:r>
    </w:p>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 descr=""/>
                          <pic:cNvPicPr>
                            <a:picLocks noChangeAspect="1" noChangeArrowheads="1"/>
                          </pic:cNvPicPr>
                        </pic:nvPicPr>
                        <pic:blipFill>
                          <a:blip r:embed="rId48"/>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25" w:type="dxa"/>
        <w:jc w:val="left"/>
        <w:tblInd w:w="0" w:type="dxa"/>
        <w:tblLayout w:type="fixed"/>
        <w:tblCellMar>
          <w:top w:w="0" w:type="dxa"/>
          <w:left w:w="0" w:type="dxa"/>
          <w:bottom w:w="45" w:type="dxa"/>
          <w:right w:w="0" w:type="dxa"/>
        </w:tblCellMar>
      </w:tblPr>
      <w:tblGrid>
        <w:gridCol w:w="1325"/>
        <w:gridCol w:w="60"/>
        <w:gridCol w:w="1790"/>
        <w:gridCol w:w="60"/>
        <w:gridCol w:w="2180"/>
        <w:gridCol w:w="60"/>
        <w:gridCol w:w="1385"/>
        <w:gridCol w:w="60"/>
        <w:gridCol w:w="1505"/>
        <w:gridCol w:w="60"/>
        <w:gridCol w:w="1340"/>
      </w:tblGrid>
      <w:tr>
        <w:trPr/>
        <w:tc>
          <w:tcPr>
            <w:tcW w:w="1325" w:type="dxa"/>
            <w:tcBorders>
              <w:bottom w:val="single" w:sz="18" w:space="0" w:color="C60C45"/>
            </w:tcBorders>
            <w:vAlign w:val="center"/>
          </w:tcPr>
          <w:p>
            <w:pPr>
              <w:pStyle w:val="TableContents"/>
              <w:bidi w:val="0"/>
              <w:spacing w:before="0" w:after="283"/>
              <w:jc w:val="left"/>
              <w:rPr/>
            </w:pPr>
            <w:hyperlink w:anchor="regn013211-def14ac001">
              <w:r>
                <w:rPr>
                  <w:rStyle w:val="InternetLink"/>
                  <w:b/>
                  <w:strike w:val="false"/>
                  <w:dstrike w:val="false"/>
                  <w:color w:val="3B59A4"/>
                  <w:u w:val="none"/>
                  <w:effect w:val="none"/>
                </w:rPr>
                <w:t>Introduction</w:t>
              </w:r>
            </w:hyperlink>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tcMar>
              <w:bottom w:w="0" w:type="dxa"/>
            </w:tcMar>
            <w:vAlign w:val="center"/>
          </w:tcPr>
          <w:p>
            <w:pPr>
              <w:pStyle w:val="TableContents"/>
              <w:bidi w:val="0"/>
              <w:spacing w:before="0" w:after="283"/>
              <w:jc w:val="left"/>
              <w:rPr/>
            </w:pPr>
            <w:r>
              <w:rPr/>
              <w:t> </w:t>
            </w:r>
          </w:p>
        </w:tc>
        <w:tc>
          <w:tcPr>
            <w:tcW w:w="2180" w:type="dxa"/>
            <w:tcBorders/>
            <w:tcMar>
              <w:bottom w:w="0" w:type="dxa"/>
            </w:tcMar>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2"/>
        <w:bidi w:val="0"/>
        <w:jc w:val="left"/>
        <w:rPr>
          <w:rFonts w:ascii="Arial;Helvetica;Sans-Serif" w:hAnsi="Arial;Helvetica;Sans-Serif"/>
          <w:b/>
          <w:i w:val="false"/>
          <w:caps w:val="false"/>
          <w:smallCaps w:val="false"/>
          <w:color w:val="C60C45"/>
          <w:sz w:val="40"/>
        </w:rPr>
      </w:pPr>
      <w:bookmarkStart w:id="8" w:name="regn013211-def14aa003"/>
      <w:bookmarkEnd w:id="8"/>
      <w:r>
        <w:rPr>
          <w:rFonts w:ascii="Arial;Helvetica;Sans-Serif" w:hAnsi="Arial;Helvetica;Sans-Serif"/>
          <w:b/>
          <w:i w:val="false"/>
          <w:caps w:val="false"/>
          <w:smallCaps w:val="false"/>
          <w:color w:val="C60C45"/>
          <w:sz w:val="40"/>
        </w:rPr>
        <w:t>Regeneron’s Story</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you read this proxy statement, we encourage you to consider Regeneron’s unique story, which is an important backdrop for who we are as a company and how we govern and compensate our employees.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Since its founding in 1988, Regeneron’s mission has been to use the power of science to repeatedly bring new medicines to patients in need. To date, Regeneron has internally discovered and developed 14 medicines that are approved in the United States or other countries, including four current “blockbuster” medicines that are each generating over $1 billion of net product sales annually. In the last decade, we have averaged nearly one new product launch per year, significantly outpacing the industry while also advancing a best-in-class pipeline that now consists of approximately 40 product candidates across many different therapeutic areas.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But how did we get here? Our path to success has been unusual, with remarkable consistency of purpose and leadership despite decades of adversity in an industry where failure is the rule, not the exception. It took over 20 years to produce the Company’s first approved product, and nearly 25 years to turn a profit. All the while, Regeneron remained steadfast in its belief that advancing fundamental science and establishing foundational technologies would eventually yield a robust pipeline of products. And that is exactly what has transpired. Each of Regeneron’s approved medicines was invented using foundational technologies developed in the early decades of Regeneron. It was those technologies that enabled Regeneron to discover and develop a COVID-19 therapeutic in record time and bring to the world the first-ever approved treatment for the Ebola virus – testaments to Regeneron’s corporate philosophy of “Doing Well by Doing Good.” In the most recent decade, Regeneron has been a pioneer in the development of genetics-based technologies, which, together with its other foundational technologies, continue to drive pipeline growth as we pursue the next wave of life-changing medicines.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have been led on this incredible journey for nearly four decades by our co-founders, Drs. Schleifer and Yancopoulos, who still run the Company today and represent the longest-tenured Chief Executive Officer and Chief Scientific Officer pair in the history of the industry. Consistency of leadership and strong employee retention have had a lasting impact on the organization and represent one of our key competitive advantages in an industry where it typically takes over a decade to develop and bring a new product to market. Some of the earliest scientists to join Drs. Schleifer and Yancopoulos still play critical roles in the Company’s research and development efforts and have helped instill our distinct culture in the next generation of leaders. Company-wide, we had an industry-leading retention rate of 94% in 2024.</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Despite our size and maturity today, our science-first approach still makes us who we are and drives everything we do. The current makeup of our board of directors reflects this principle: six of our 13 directors are members of the National Academy of Sciences, and our board includes two Nobel laureates and holders of many scientific awards. Company-wide, nearly 1,700 of our over 15,000 full-time employees as of year-end 2024 held a Ph.D. and/or M.D. Our primary capital allocation strategy remains the investment in best-in-class research and development capabilities, including $5.1 billion invested in 2024 alone.</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continue to invest in our deep scientific and technological capabilities because we believe our story is just beginning. We remain committed to operating with the long-term outlook that is required to turn rigorous scientific research into groundbreaking new medicines, the ultimate driver of sustainable, long-term value creation for Regeneron’s shareholders.</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838950" cy="4371975"/>
            <wp:effectExtent l="0" t="0" r="0" b="0"/>
            <wp:docPr id="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4" descr=""/>
                    <pic:cNvPicPr>
                      <a:picLocks noChangeAspect="1" noChangeArrowheads="1"/>
                    </pic:cNvPicPr>
                  </pic:nvPicPr>
                  <pic:blipFill>
                    <a:blip r:embed="rId49"/>
                    <a:stretch>
                      <a:fillRect/>
                    </a:stretch>
                  </pic:blipFill>
                  <pic:spPr bwMode="auto">
                    <a:xfrm>
                      <a:off x="0" y="0"/>
                      <a:ext cx="6838950" cy="4371975"/>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5" descr=""/>
                          <pic:cNvPicPr>
                            <a:picLocks noChangeAspect="1" noChangeArrowheads="1"/>
                          </pic:cNvPicPr>
                        </pic:nvPicPr>
                        <pic:blipFill>
                          <a:blip r:embed="rId50"/>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25" w:type="dxa"/>
        <w:jc w:val="left"/>
        <w:tblInd w:w="0" w:type="dxa"/>
        <w:tblLayout w:type="fixed"/>
        <w:tblCellMar>
          <w:top w:w="0" w:type="dxa"/>
          <w:left w:w="0" w:type="dxa"/>
          <w:bottom w:w="45" w:type="dxa"/>
          <w:right w:w="0" w:type="dxa"/>
        </w:tblCellMar>
      </w:tblPr>
      <w:tblGrid>
        <w:gridCol w:w="1325"/>
        <w:gridCol w:w="60"/>
        <w:gridCol w:w="1790"/>
        <w:gridCol w:w="60"/>
        <w:gridCol w:w="2180"/>
        <w:gridCol w:w="60"/>
        <w:gridCol w:w="1385"/>
        <w:gridCol w:w="60"/>
        <w:gridCol w:w="1505"/>
        <w:gridCol w:w="60"/>
        <w:gridCol w:w="1340"/>
      </w:tblGrid>
      <w:tr>
        <w:trPr/>
        <w:tc>
          <w:tcPr>
            <w:tcW w:w="1325" w:type="dxa"/>
            <w:tcBorders>
              <w:bottom w:val="single" w:sz="18" w:space="0" w:color="C60C45"/>
            </w:tcBorders>
            <w:vAlign w:val="center"/>
          </w:tcPr>
          <w:p>
            <w:pPr>
              <w:pStyle w:val="TableContents"/>
              <w:bidi w:val="0"/>
              <w:spacing w:before="0" w:after="283"/>
              <w:jc w:val="left"/>
              <w:rPr/>
            </w:pPr>
            <w:hyperlink w:anchor="regn013211-def14ac001">
              <w:r>
                <w:rPr>
                  <w:rStyle w:val="InternetLink"/>
                  <w:b/>
                  <w:strike w:val="false"/>
                  <w:dstrike w:val="false"/>
                  <w:color w:val="3B59A4"/>
                  <w:u w:val="none"/>
                  <w:effect w:val="none"/>
                </w:rPr>
                <w:t>Introduction</w:t>
              </w:r>
            </w:hyperlink>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tcMar>
              <w:bottom w:w="0" w:type="dxa"/>
            </w:tcMar>
            <w:vAlign w:val="center"/>
          </w:tcPr>
          <w:p>
            <w:pPr>
              <w:pStyle w:val="TableContents"/>
              <w:bidi w:val="0"/>
              <w:spacing w:before="0" w:after="283"/>
              <w:jc w:val="left"/>
              <w:rPr/>
            </w:pPr>
            <w:r>
              <w:rPr/>
              <w:t> </w:t>
            </w:r>
          </w:p>
        </w:tc>
        <w:tc>
          <w:tcPr>
            <w:tcW w:w="2180" w:type="dxa"/>
            <w:tcBorders/>
            <w:tcMar>
              <w:bottom w:w="0" w:type="dxa"/>
            </w:tcMar>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2"/>
        <w:bidi w:val="0"/>
        <w:jc w:val="left"/>
        <w:rPr>
          <w:rFonts w:ascii="Arial;Helvetica;Sans-Serif" w:hAnsi="Arial;Helvetica;Sans-Serif"/>
          <w:b/>
          <w:i w:val="false"/>
          <w:caps w:val="false"/>
          <w:smallCaps w:val="false"/>
          <w:color w:val="C60C45"/>
          <w:sz w:val="40"/>
        </w:rPr>
      </w:pPr>
      <w:bookmarkStart w:id="9" w:name="regn013211-def14aa004"/>
      <w:bookmarkStart w:id="10" w:name="regn013211-def14aa097"/>
      <w:bookmarkEnd w:id="9"/>
      <w:bookmarkEnd w:id="10"/>
      <w:r>
        <w:rPr>
          <w:rFonts w:ascii="Arial;Helvetica;Sans-Serif" w:hAnsi="Arial;Helvetica;Sans-Serif"/>
          <w:b/>
          <w:i w:val="false"/>
          <w:caps w:val="false"/>
          <w:smallCaps w:val="false"/>
          <w:color w:val="C60C45"/>
          <w:sz w:val="40"/>
        </w:rPr>
        <w:t>What’s New for 2024</w:t>
      </w:r>
    </w:p>
    <w:p>
      <w:pPr>
        <w:pStyle w:val="TextBody"/>
        <w:bidi w:val="0"/>
        <w:jc w:val="left"/>
        <w:rPr>
          <w:caps w:val="false"/>
          <w:smallCaps w:val="false"/>
          <w:color w:val="2864AF"/>
        </w:rPr>
      </w:pPr>
      <w:r>
        <w:rPr>
          <w:caps w:val="false"/>
          <w:smallCaps w:val="false"/>
          <w:color w:val="2864AF"/>
        </w:rPr>
        <w:t> </w:t>
      </w:r>
    </w:p>
    <w:p>
      <w:pPr>
        <w:pStyle w:val="Heading3"/>
        <w:bidi w:val="0"/>
        <w:jc w:val="left"/>
        <w:rPr>
          <w:rFonts w:ascii="Arial;Helvetica;Sans-Serif" w:hAnsi="Arial;Helvetica;Sans-Serif"/>
          <w:b/>
          <w:i w:val="false"/>
          <w:caps w:val="false"/>
          <w:smallCaps w:val="false"/>
          <w:color w:val="2864AF"/>
          <w:sz w:val="32"/>
        </w:rPr>
      </w:pPr>
      <w:bookmarkStart w:id="11" w:name="regn013211-def14aa005"/>
      <w:bookmarkEnd w:id="11"/>
      <w:r>
        <w:rPr>
          <w:rFonts w:ascii="Arial;Helvetica;Sans-Serif" w:hAnsi="Arial;Helvetica;Sans-Serif"/>
          <w:b/>
          <w:i w:val="false"/>
          <w:caps w:val="false"/>
          <w:smallCaps w:val="false"/>
          <w:color w:val="2864AF"/>
          <w:sz w:val="32"/>
        </w:rPr>
        <w:t>Continued Focus on Extensive Shareholder Engagement Program</w:t>
      </w:r>
    </w:p>
    <w:p>
      <w:pPr>
        <w:pStyle w:val="TextBody"/>
        <w:bidi w:val="0"/>
        <w:jc w:val="left"/>
        <w:rPr>
          <w:caps w:val="false"/>
          <w:smallCaps w:val="false"/>
          <w:color w:val="2864AF"/>
        </w:rPr>
      </w:pPr>
      <w:r>
        <w:rPr>
          <w:caps w:val="false"/>
          <w:smallCaps w:val="false"/>
          <w:color w:val="2864AF"/>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5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6" descr=""/>
                          <pic:cNvPicPr>
                            <a:picLocks noChangeAspect="1" noChangeArrowheads="1"/>
                          </pic:cNvPicPr>
                        </pic:nvPicPr>
                        <pic:blipFill>
                          <a:blip r:embed="rId51"/>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color w:val="231F20"/>
              </w:rPr>
              <w:t>Invited engagement with shareholders collectively representing nearly 60% of our public shares.</w:t>
            </w:r>
          </w:p>
        </w:tc>
      </w:tr>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5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7" descr=""/>
                          <pic:cNvPicPr>
                            <a:picLocks noChangeAspect="1" noChangeArrowheads="1"/>
                          </pic:cNvPicPr>
                        </pic:nvPicPr>
                        <pic:blipFill>
                          <a:blip r:embed="rId52"/>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color w:val="231F20"/>
              </w:rPr>
              <w:t>Engaged in direct one-on-one discussions with shareholders representing approximately 55% of our public shares.</w:t>
            </w:r>
          </w:p>
        </w:tc>
      </w:tr>
    </w:tbl>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3019425" cy="1295400"/>
            <wp:effectExtent l="0" t="0" r="0" b="0"/>
            <wp:docPr id="5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8" descr=""/>
                    <pic:cNvPicPr>
                      <a:picLocks noChangeAspect="1" noChangeArrowheads="1"/>
                    </pic:cNvPicPr>
                  </pic:nvPicPr>
                  <pic:blipFill>
                    <a:blip r:embed="rId53"/>
                    <a:stretch>
                      <a:fillRect/>
                    </a:stretch>
                  </pic:blipFill>
                  <pic:spPr bwMode="auto">
                    <a:xfrm>
                      <a:off x="0" y="0"/>
                      <a:ext cx="3019425" cy="12954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For more information about engagement efforts in 2024, see “Corporate Governance—Longstanding Commitment to Shareholder Engagement”.</w:t>
      </w:r>
    </w:p>
    <w:p>
      <w:pPr>
        <w:pStyle w:val="TextBody"/>
        <w:bidi w:val="0"/>
        <w:jc w:val="left"/>
        <w:rPr>
          <w:caps w:val="false"/>
          <w:smallCaps w:val="false"/>
        </w:rPr>
      </w:pPr>
      <w:r>
        <w:rPr>
          <w:caps w:val="false"/>
          <w:smallCaps w:val="false"/>
        </w:rPr>
        <w:t> </w:t>
      </w:r>
    </w:p>
    <w:p>
      <w:pPr>
        <w:pStyle w:val="Heading3"/>
        <w:bidi w:val="0"/>
        <w:jc w:val="left"/>
        <w:rPr>
          <w:rFonts w:ascii="Arial;Helvetica;Sans-Serif" w:hAnsi="Arial;Helvetica;Sans-Serif"/>
          <w:b/>
          <w:i w:val="false"/>
          <w:caps w:val="false"/>
          <w:smallCaps w:val="false"/>
          <w:color w:val="2864AF"/>
          <w:sz w:val="32"/>
        </w:rPr>
      </w:pPr>
      <w:bookmarkStart w:id="12" w:name="regn013211-def14aa006"/>
      <w:bookmarkEnd w:id="12"/>
      <w:r>
        <w:rPr>
          <w:rFonts w:ascii="Arial;Helvetica;Sans-Serif" w:hAnsi="Arial;Helvetica;Sans-Serif"/>
          <w:b/>
          <w:i w:val="false"/>
          <w:caps w:val="false"/>
          <w:smallCaps w:val="false"/>
          <w:color w:val="2864AF"/>
          <w:sz w:val="32"/>
        </w:rPr>
        <w:t>Governance-Related Actions in Response to Shareholder Feedback</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2024 engagement focused on the topics below. We have determined to take the following actions in response to feedback that we received from shareholders.</w:t>
      </w:r>
    </w:p>
    <w:p>
      <w:pPr>
        <w:pStyle w:val="TextBody"/>
        <w:bidi w:val="0"/>
        <w:jc w:val="left"/>
        <w:rPr>
          <w:caps w:val="false"/>
          <w:smallCaps w:val="false"/>
          <w:color w:val="2864AF"/>
        </w:rPr>
      </w:pPr>
      <w:r>
        <w:rPr>
          <w:caps w:val="false"/>
          <w:smallCaps w:val="false"/>
          <w:color w:val="2864AF"/>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5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9" descr=""/>
                          <pic:cNvPicPr>
                            <a:picLocks noChangeAspect="1" noChangeArrowheads="1"/>
                          </pic:cNvPicPr>
                        </pic:nvPicPr>
                        <pic:blipFill>
                          <a:blip r:embed="rId54"/>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color w:val="231F20"/>
              </w:rPr>
              <w:t xml:space="preserve">We are recommending that shareholders approve an amendment to our Certificate of Incorporation to </w:t>
            </w:r>
            <w:r>
              <w:rPr>
                <w:b/>
                <w:color w:val="231F20"/>
              </w:rPr>
              <w:t xml:space="preserve">declassify our board </w:t>
            </w:r>
            <w:r>
              <w:rPr>
                <w:color w:val="231F20"/>
              </w:rPr>
              <w:t>of directors. See Proposal No. 4 beginning on page 102 and “Board of Directors—Board Governance—Board Structure and Proposed Board Declassification” on page 29.</w:t>
            </w:r>
          </w:p>
        </w:tc>
      </w:tr>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5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0" descr=""/>
                          <pic:cNvPicPr>
                            <a:picLocks noChangeAspect="1" noChangeArrowheads="1"/>
                          </pic:cNvPicPr>
                        </pic:nvPicPr>
                        <pic:blipFill>
                          <a:blip r:embed="rId55"/>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color w:val="231F20"/>
              </w:rPr>
              <w:t xml:space="preserve">In response to a majority-supported shareholder proposal in 2024, we are proposing amendments to our Certificate of Incorporation to </w:t>
            </w:r>
            <w:r>
              <w:rPr>
                <w:b/>
                <w:color w:val="231F20"/>
              </w:rPr>
              <w:t>eliminate the supermajority vote requirements</w:t>
            </w:r>
            <w:r>
              <w:rPr>
                <w:color w:val="231F20"/>
              </w:rPr>
              <w:t>. See Proposal Nos. 5(a) and 5(b) beginning on page 104.</w:t>
            </w:r>
          </w:p>
        </w:tc>
      </w:tr>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5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1" descr=""/>
                          <pic:cNvPicPr>
                            <a:picLocks noChangeAspect="1" noChangeArrowheads="1"/>
                          </pic:cNvPicPr>
                        </pic:nvPicPr>
                        <pic:blipFill>
                          <a:blip r:embed="rId56"/>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color w:val="231F20"/>
              </w:rPr>
              <w:t xml:space="preserve">In consideration of shareholder feedback on the Company’s dual-class share structure, we have </w:t>
            </w:r>
            <w:r>
              <w:rPr>
                <w:b/>
                <w:color w:val="231F20"/>
              </w:rPr>
              <w:t xml:space="preserve">enhanced transparency </w:t>
            </w:r>
            <w:r>
              <w:rPr>
                <w:color w:val="231F20"/>
              </w:rPr>
              <w:t>concerning this structure through investor engagement and further disclosure in this proxy statement. See “Corporate Governance—Capital Structure” beginning on page 40.</w:t>
            </w:r>
          </w:p>
        </w:tc>
      </w:tr>
    </w:tbl>
    <w:p>
      <w:pPr>
        <w:pStyle w:val="TextBody"/>
        <w:bidi w:val="0"/>
        <w:jc w:val="left"/>
        <w:rPr>
          <w:caps w:val="false"/>
          <w:smallCaps w:val="false"/>
          <w:color w:val="2864AF"/>
        </w:rPr>
      </w:pPr>
      <w:r>
        <w:rPr>
          <w:caps w:val="false"/>
          <w:smallCaps w:val="false"/>
          <w:color w:val="2864AF"/>
        </w:rPr>
        <w:t> </w:t>
      </w:r>
    </w:p>
    <w:p>
      <w:pPr>
        <w:pStyle w:val="Heading3"/>
        <w:bidi w:val="0"/>
        <w:jc w:val="left"/>
        <w:rPr>
          <w:rFonts w:ascii="Arial;Helvetica;Sans-Serif" w:hAnsi="Arial;Helvetica;Sans-Serif"/>
          <w:b/>
          <w:i w:val="false"/>
          <w:caps w:val="false"/>
          <w:smallCaps w:val="false"/>
          <w:color w:val="2864AF"/>
          <w:sz w:val="32"/>
        </w:rPr>
      </w:pPr>
      <w:bookmarkStart w:id="13" w:name="regn013211-def14aa007"/>
      <w:bookmarkEnd w:id="13"/>
      <w:r>
        <w:rPr>
          <w:rFonts w:ascii="Arial;Helvetica;Sans-Serif" w:hAnsi="Arial;Helvetica;Sans-Serif"/>
          <w:b/>
          <w:i w:val="false"/>
          <w:caps w:val="false"/>
          <w:smallCaps w:val="false"/>
          <w:color w:val="2864AF"/>
          <w:sz w:val="32"/>
        </w:rPr>
        <w:t>Key Compensation Decisions</w:t>
      </w:r>
    </w:p>
    <w:p>
      <w:pPr>
        <w:pStyle w:val="TextBody"/>
        <w:bidi w:val="0"/>
        <w:jc w:val="left"/>
        <w:rPr>
          <w:caps w:val="false"/>
          <w:smallCaps w:val="false"/>
          <w:color w:val="2864AF"/>
        </w:rPr>
      </w:pPr>
      <w:r>
        <w:rPr>
          <w:caps w:val="false"/>
          <w:smallCaps w:val="false"/>
          <w:color w:val="2864AF"/>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6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2" descr=""/>
                          <pic:cNvPicPr>
                            <a:picLocks noChangeAspect="1" noChangeArrowheads="1"/>
                          </pic:cNvPicPr>
                        </pic:nvPicPr>
                        <pic:blipFill>
                          <a:blip r:embed="rId57"/>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color w:val="231F20"/>
              </w:rPr>
              <w:t>We lowered the company performance multiplier for 2024 annual cash incentive awards.</w:t>
            </w:r>
          </w:p>
        </w:tc>
      </w:tr>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6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3" descr=""/>
                          <pic:cNvPicPr>
                            <a:picLocks noChangeAspect="1" noChangeArrowheads="1"/>
                          </pic:cNvPicPr>
                        </pic:nvPicPr>
                        <pic:blipFill>
                          <a:blip r:embed="rId58"/>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color w:val="231F20"/>
              </w:rPr>
              <w:t>We did not grant any equity awards to our CEO or CSO in 2024 (consistent with the board’s commitment to grant no such awards during the five-year performance period of the 2020 CEO and CSO performance restricted stock unit awards), and kept the value of 2024 year-end equity awards for other Named Executive Officers (“NEOs”) flat year over year.</w:t>
            </w:r>
          </w:p>
        </w:tc>
      </w:tr>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6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4" descr=""/>
                          <pic:cNvPicPr>
                            <a:picLocks noChangeAspect="1" noChangeArrowheads="1"/>
                          </pic:cNvPicPr>
                        </pic:nvPicPr>
                        <pic:blipFill>
                          <a:blip r:embed="rId59"/>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color w:val="231F20"/>
              </w:rPr>
              <w:t>We provided only modest increases to the base salaries of our NEOs.</w:t>
            </w:r>
          </w:p>
        </w:tc>
      </w:tr>
    </w:tbl>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For more information about our compensation highlights for 2024, see “Compensation-Related Matters—Compensation Discussion and Analysis—Executive Summary—What’s New for 2024—Compensation in 2024”.</w:t>
      </w:r>
    </w:p>
    <w:p>
      <w:pPr>
        <w:pStyle w:val="TextBody"/>
        <w:bidi w:val="0"/>
        <w:jc w:val="left"/>
        <w:rPr>
          <w:caps w:val="false"/>
          <w:smallCaps w:val="false"/>
          <w:color w:val="2864AF"/>
        </w:rPr>
      </w:pPr>
      <w:r>
        <w:rPr>
          <w:caps w:val="false"/>
          <w:smallCaps w:val="false"/>
          <w:color w:val="2864AF"/>
        </w:rPr>
        <w:t> </w:t>
      </w:r>
    </w:p>
    <w:p>
      <w:pPr>
        <w:pStyle w:val="Heading3"/>
        <w:bidi w:val="0"/>
        <w:jc w:val="left"/>
        <w:rPr>
          <w:rFonts w:ascii="Arial;Helvetica;Sans-Serif" w:hAnsi="Arial;Helvetica;Sans-Serif"/>
          <w:b/>
          <w:i w:val="false"/>
          <w:caps w:val="false"/>
          <w:smallCaps w:val="false"/>
          <w:color w:val="2864AF"/>
          <w:sz w:val="32"/>
        </w:rPr>
      </w:pPr>
      <w:bookmarkStart w:id="14" w:name="regn013211-def14aa008"/>
      <w:bookmarkEnd w:id="14"/>
      <w:r>
        <w:rPr>
          <w:rFonts w:ascii="Arial;Helvetica;Sans-Serif" w:hAnsi="Arial;Helvetica;Sans-Serif"/>
          <w:b/>
          <w:i w:val="false"/>
          <w:caps w:val="false"/>
          <w:smallCaps w:val="false"/>
          <w:color w:val="2864AF"/>
          <w:sz w:val="32"/>
        </w:rPr>
        <w:t>Business Highlights</w:t>
      </w:r>
    </w:p>
    <w:p>
      <w:pPr>
        <w:pStyle w:val="TextBody"/>
        <w:bidi w:val="0"/>
        <w:jc w:val="left"/>
        <w:rPr>
          <w:caps w:val="false"/>
          <w:smallCaps w:val="false"/>
          <w:color w:val="2864AF"/>
        </w:rPr>
      </w:pPr>
      <w:r>
        <w:rPr>
          <w:caps w:val="false"/>
          <w:smallCaps w:val="false"/>
          <w:color w:val="2864AF"/>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6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5" descr=""/>
                          <pic:cNvPicPr>
                            <a:picLocks noChangeAspect="1" noChangeArrowheads="1"/>
                          </pic:cNvPicPr>
                        </pic:nvPicPr>
                        <pic:blipFill>
                          <a:blip r:embed="rId60"/>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b/>
                <w:color w:val="231F20"/>
              </w:rPr>
              <w:t xml:space="preserve">We delivered top- and bottom-line growth: </w:t>
            </w:r>
            <w:r>
              <w:rPr>
                <w:color w:val="231F20"/>
              </w:rPr>
              <w:t>Grew full-year 2024 revenues 8% to $14.20 billion versus 2023; increased full-year 2024 GAAP and non-GAAP diluted net income per share, or EPS, 10% and 4% to $38.34 and $45.62, respectively, versus 2023.</w:t>
            </w:r>
            <w:r>
              <w:rPr>
                <w:color w:val="231F20"/>
                <w:position w:val="8"/>
                <w:sz w:val="19"/>
              </w:rPr>
              <w:t>1</w:t>
            </w:r>
          </w:p>
        </w:tc>
      </w:tr>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6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6" descr=""/>
                          <pic:cNvPicPr>
                            <a:picLocks noChangeAspect="1" noChangeArrowheads="1"/>
                          </pic:cNvPicPr>
                        </pic:nvPicPr>
                        <pic:blipFill>
                          <a:blip r:embed="rId61"/>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b/>
                <w:color w:val="231F20"/>
              </w:rPr>
              <w:t xml:space="preserve">We returned capital to our shareholders: </w:t>
            </w:r>
            <w:r>
              <w:rPr>
                <w:color w:val="231F20"/>
              </w:rPr>
              <w:t>Repurchased $2.6 billion of common stock.</w:t>
            </w:r>
          </w:p>
        </w:tc>
      </w:tr>
      <w:tr>
        <w:trPr/>
        <w:tc>
          <w:tcPr>
            <w:tcW w:w="165" w:type="dxa"/>
            <w:tcBorders/>
            <w:vAlign w:val="center"/>
          </w:tcPr>
          <w:p>
            <w:pPr>
              <w:pStyle w:val="TableContents"/>
              <w:bidi w:val="0"/>
              <w:spacing w:before="0" w:after="283"/>
              <w:jc w:val="left"/>
              <w:rPr/>
            </w:pPr>
            <w:r>
              <w:rPr/>
              <w:drawing>
                <wp:inline distT="0" distB="0" distL="0" distR="0">
                  <wp:extent cx="95250" cy="95250"/>
                  <wp:effectExtent l="0" t="0" r="0" b="0"/>
                  <wp:docPr id="6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7" descr=""/>
                          <pic:cNvPicPr>
                            <a:picLocks noChangeAspect="1" noChangeArrowheads="1"/>
                          </pic:cNvPicPr>
                        </pic:nvPicPr>
                        <pic:blipFill>
                          <a:blip r:embed="rId62"/>
                          <a:stretch>
                            <a:fillRect/>
                          </a:stretch>
                        </pic:blipFill>
                        <pic:spPr bwMode="auto">
                          <a:xfrm>
                            <a:off x="0" y="0"/>
                            <a:ext cx="95250" cy="95250"/>
                          </a:xfrm>
                          <a:prstGeom prst="rect">
                            <a:avLst/>
                          </a:prstGeom>
                        </pic:spPr>
                      </pic:pic>
                    </a:graphicData>
                  </a:graphic>
                </wp:inline>
              </w:drawing>
            </w:r>
          </w:p>
        </w:tc>
        <w:tc>
          <w:tcPr>
            <w:tcW w:w="10040" w:type="dxa"/>
            <w:tcBorders/>
            <w:vAlign w:val="center"/>
          </w:tcPr>
          <w:p>
            <w:pPr>
              <w:pStyle w:val="TableContents"/>
              <w:bidi w:val="0"/>
              <w:spacing w:before="0" w:after="283"/>
              <w:jc w:val="left"/>
              <w:rPr>
                <w:color w:val="231F20"/>
              </w:rPr>
            </w:pPr>
            <w:r>
              <w:rPr>
                <w:b/>
                <w:color w:val="231F20"/>
              </w:rPr>
              <w:t xml:space="preserve">We invested in our future: </w:t>
            </w:r>
            <w:r>
              <w:rPr>
                <w:color w:val="231F20"/>
              </w:rPr>
              <w:t>Invested $5.1 billion in research and development and $756 million in capital expenditures.</w:t>
            </w:r>
          </w:p>
        </w:tc>
      </w:tr>
    </w:tbl>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For more information about our business highlights for 2024, see “Compensation-Related Matters—Compensation Discussion and Analysis—Executive Summary—What’s New for 2024—2024 Business Developments”.</w:t>
      </w:r>
    </w:p>
    <w:p>
      <w:pPr>
        <w:pStyle w:val="TextBody"/>
        <w:bidi w:val="0"/>
        <w:jc w:val="left"/>
        <w:rPr>
          <w:caps w:val="false"/>
          <w:smallCaps w:val="false"/>
          <w:color w:val="010101"/>
        </w:rPr>
      </w:pPr>
      <w:r>
        <w:rPr>
          <w:caps w:val="false"/>
          <w:smallCaps w:val="false"/>
          <w:color w:val="010101"/>
        </w:rPr>
        <w:t> </w:t>
      </w:r>
    </w:p>
    <w:tbl>
      <w:tblPr>
        <w:tblW w:w="10205" w:type="dxa"/>
        <w:jc w:val="left"/>
        <w:tblInd w:w="0" w:type="dxa"/>
        <w:tblLayout w:type="fixed"/>
        <w:tblCellMar>
          <w:top w:w="160" w:type="dxa"/>
          <w:left w:w="0" w:type="dxa"/>
          <w:bottom w:w="0" w:type="dxa"/>
          <w:right w:w="0" w:type="dxa"/>
        </w:tblCellMar>
      </w:tblPr>
      <w:tblGrid>
        <w:gridCol w:w="125"/>
        <w:gridCol w:w="10080"/>
      </w:tblGrid>
      <w:tr>
        <w:trPr/>
        <w:tc>
          <w:tcPr>
            <w:tcW w:w="125" w:type="dxa"/>
            <w:tcBorders>
              <w:top w:val="single" w:sz="2" w:space="0" w:color="BCBEC0"/>
            </w:tcBorders>
            <w:vAlign w:val="center"/>
          </w:tcPr>
          <w:p>
            <w:pPr>
              <w:pStyle w:val="TableContents"/>
              <w:bidi w:val="0"/>
              <w:spacing w:before="0" w:after="283"/>
              <w:jc w:val="left"/>
              <w:rPr>
                <w:color w:val="010101"/>
                <w:position w:val="8"/>
                <w:sz w:val="19"/>
              </w:rPr>
            </w:pPr>
            <w:r>
              <w:rPr>
                <w:color w:val="010101"/>
                <w:position w:val="8"/>
                <w:sz w:val="19"/>
              </w:rPr>
              <w:t>1</w:t>
            </w:r>
          </w:p>
        </w:tc>
        <w:tc>
          <w:tcPr>
            <w:tcW w:w="10080" w:type="dxa"/>
            <w:tcBorders>
              <w:top w:val="single" w:sz="2" w:space="0" w:color="BCBEC0"/>
            </w:tcBorders>
            <w:vAlign w:val="center"/>
          </w:tcPr>
          <w:p>
            <w:pPr>
              <w:pStyle w:val="TableContents"/>
              <w:bidi w:val="0"/>
              <w:spacing w:before="0" w:after="283"/>
              <w:jc w:val="left"/>
              <w:rPr>
                <w:color w:val="231F20"/>
              </w:rPr>
            </w:pPr>
            <w:r>
              <w:rPr>
                <w:color w:val="231F20"/>
              </w:rPr>
              <w:t>Non-GAAP net income, and non-GAAP net income per share, or EPS, are not measures calculated in accordance with GAAP. See Appendix A for a definition of these measures and a reconciliation of each of these measures to the most directly comparable GAAP financial measure.</w:t>
            </w:r>
          </w:p>
        </w:tc>
      </w:tr>
    </w:tbl>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6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8" descr=""/>
                          <pic:cNvPicPr>
                            <a:picLocks noChangeAspect="1" noChangeArrowheads="1"/>
                          </pic:cNvPicPr>
                        </pic:nvPicPr>
                        <pic:blipFill>
                          <a:blip r:embed="rId63"/>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25" w:type="dxa"/>
        <w:jc w:val="left"/>
        <w:tblInd w:w="0" w:type="dxa"/>
        <w:tblLayout w:type="fixed"/>
        <w:tblCellMar>
          <w:top w:w="0" w:type="dxa"/>
          <w:left w:w="0" w:type="dxa"/>
          <w:bottom w:w="45" w:type="dxa"/>
          <w:right w:w="0" w:type="dxa"/>
        </w:tblCellMar>
      </w:tblPr>
      <w:tblGrid>
        <w:gridCol w:w="1325"/>
        <w:gridCol w:w="60"/>
        <w:gridCol w:w="1790"/>
        <w:gridCol w:w="60"/>
        <w:gridCol w:w="2180"/>
        <w:gridCol w:w="60"/>
        <w:gridCol w:w="1385"/>
        <w:gridCol w:w="60"/>
        <w:gridCol w:w="1505"/>
        <w:gridCol w:w="60"/>
        <w:gridCol w:w="1340"/>
      </w:tblGrid>
      <w:tr>
        <w:trPr/>
        <w:tc>
          <w:tcPr>
            <w:tcW w:w="1325" w:type="dxa"/>
            <w:tcBorders>
              <w:bottom w:val="single" w:sz="18" w:space="0" w:color="C60C45"/>
            </w:tcBorders>
            <w:vAlign w:val="center"/>
          </w:tcPr>
          <w:p>
            <w:pPr>
              <w:pStyle w:val="TableContents"/>
              <w:bidi w:val="0"/>
              <w:spacing w:before="0" w:after="283"/>
              <w:jc w:val="left"/>
              <w:rPr/>
            </w:pPr>
            <w:hyperlink w:anchor="regn013211-def14ac001">
              <w:r>
                <w:rPr>
                  <w:rStyle w:val="InternetLink"/>
                  <w:b/>
                  <w:strike w:val="false"/>
                  <w:dstrike w:val="false"/>
                  <w:color w:val="3B59A4"/>
                  <w:u w:val="none"/>
                  <w:effect w:val="none"/>
                </w:rPr>
                <w:t>Introduction</w:t>
              </w:r>
            </w:hyperlink>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tcMar>
              <w:bottom w:w="0" w:type="dxa"/>
            </w:tcMar>
            <w:vAlign w:val="center"/>
          </w:tcPr>
          <w:p>
            <w:pPr>
              <w:pStyle w:val="TableContents"/>
              <w:bidi w:val="0"/>
              <w:spacing w:before="0" w:after="283"/>
              <w:jc w:val="left"/>
              <w:rPr/>
            </w:pPr>
            <w:r>
              <w:rPr/>
              <w:t> </w:t>
            </w:r>
          </w:p>
        </w:tc>
        <w:tc>
          <w:tcPr>
            <w:tcW w:w="2180" w:type="dxa"/>
            <w:tcBorders/>
            <w:tcMar>
              <w:bottom w:w="0" w:type="dxa"/>
            </w:tcMar>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2270" w:type="dxa"/>
        <w:jc w:val="center"/>
        <w:tblInd w:w="0" w:type="dxa"/>
        <w:tblLayout w:type="fixed"/>
        <w:tblCellMar>
          <w:top w:w="0" w:type="dxa"/>
          <w:left w:w="0" w:type="dxa"/>
          <w:bottom w:w="0" w:type="dxa"/>
          <w:right w:w="0" w:type="dxa"/>
        </w:tblCellMar>
      </w:tblPr>
      <w:tblGrid>
        <w:gridCol w:w="2195"/>
        <w:gridCol w:w="75"/>
      </w:tblGrid>
      <w:tr>
        <w:trPr/>
        <w:tc>
          <w:tcPr>
            <w:tcW w:w="2195" w:type="dxa"/>
            <w:vMerge w:val="restart"/>
            <w:tcBorders/>
            <w:vAlign w:val="center"/>
          </w:tcPr>
          <w:p>
            <w:pPr>
              <w:pStyle w:val="Heading3"/>
              <w:numPr>
                <w:ilvl w:val="0"/>
                <w:numId w:val="0"/>
              </w:numPr>
              <w:bidi w:val="0"/>
              <w:spacing w:before="140" w:after="120"/>
              <w:jc w:val="left"/>
              <w:rPr/>
            </w:pPr>
            <w:bookmarkStart w:id="15" w:name="regn013211-def14aa009"/>
            <w:bookmarkEnd w:id="15"/>
            <w:r>
              <w:rPr>
                <w:b/>
                <w:color w:val="3B5AA4"/>
              </w:rPr>
              <w:t>Board Snapshot</w:t>
            </w:r>
            <w:r>
              <w:rPr>
                <w:color w:val="215AA8"/>
              </w:rPr>
              <w:t>  </w:t>
            </w:r>
          </w:p>
        </w:tc>
        <w:tc>
          <w:tcPr>
            <w:tcW w:w="75" w:type="dxa"/>
            <w:tcBorders>
              <w:bottom w:val="single" w:sz="12" w:space="0" w:color="D60058"/>
            </w:tcBorders>
            <w:tcMar>
              <w:bottom w:w="28" w:type="dxa"/>
            </w:tcMar>
            <w:vAlign w:val="center"/>
          </w:tcPr>
          <w:p>
            <w:pPr>
              <w:pStyle w:val="TableContents"/>
              <w:bidi w:val="0"/>
              <w:spacing w:before="0" w:after="283"/>
              <w:jc w:val="left"/>
              <w:rPr/>
            </w:pPr>
            <w:r>
              <w:rPr/>
              <w:t> </w:t>
            </w:r>
          </w:p>
        </w:tc>
      </w:tr>
      <w:tr>
        <w:trPr/>
        <w:tc>
          <w:tcPr>
            <w:tcW w:w="2195" w:type="dxa"/>
            <w:vMerge w:val="continue"/>
            <w:tcBorders/>
            <w:vAlign w:val="center"/>
          </w:tcPr>
          <w:p>
            <w:pPr>
              <w:pStyle w:val="Normal"/>
              <w:bidi w:val="0"/>
              <w:jc w:val="left"/>
              <w:rPr/>
            </w:pPr>
            <w:r>
              <w:rPr/>
            </w:r>
          </w:p>
        </w:tc>
        <w:tc>
          <w:tcPr>
            <w:tcW w:w="75"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0" cy="26689050"/>
            <wp:effectExtent l="0" t="0" r="0" b="0"/>
            <wp:docPr id="6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9" descr=""/>
                    <pic:cNvPicPr>
                      <a:picLocks noChangeAspect="1" noChangeArrowheads="1"/>
                    </pic:cNvPicPr>
                  </pic:nvPicPr>
                  <pic:blipFill>
                    <a:blip r:embed="rId64"/>
                    <a:stretch>
                      <a:fillRect/>
                    </a:stretch>
                  </pic:blipFill>
                  <pic:spPr bwMode="auto">
                    <a:xfrm>
                      <a:off x="0" y="0"/>
                      <a:ext cx="7620000" cy="266890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6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0" descr=""/>
                          <pic:cNvPicPr>
                            <a:picLocks noChangeAspect="1" noChangeArrowheads="1"/>
                          </pic:cNvPicPr>
                        </pic:nvPicPr>
                        <pic:blipFill>
                          <a:blip r:embed="rId65"/>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Heading1"/>
        <w:bidi w:val="0"/>
        <w:jc w:val="left"/>
        <w:rPr>
          <w:rFonts w:ascii="Arial;Helvetica;Sans-Serif" w:hAnsi="Arial;Helvetica;Sans-Serif"/>
          <w:b/>
          <w:i w:val="false"/>
          <w:caps w:val="false"/>
          <w:smallCaps w:val="false"/>
          <w:color w:val="2864AF"/>
          <w:sz w:val="56"/>
        </w:rPr>
      </w:pPr>
      <w:bookmarkStart w:id="16" w:name="regn013211-def14aa010"/>
      <w:bookmarkStart w:id="17" w:name="regn013211-def14ac002"/>
      <w:bookmarkEnd w:id="16"/>
      <w:bookmarkEnd w:id="17"/>
      <w:r>
        <w:rPr>
          <w:rFonts w:ascii="Arial;Helvetica;Sans-Serif" w:hAnsi="Arial;Helvetica;Sans-Serif"/>
          <w:b/>
          <w:i w:val="false"/>
          <w:caps w:val="false"/>
          <w:smallCaps w:val="false"/>
          <w:color w:val="2864AF"/>
          <w:sz w:val="56"/>
        </w:rPr>
        <w:t>Board of Directors</w:t>
      </w:r>
    </w:p>
    <w:p>
      <w:pPr>
        <w:pStyle w:val="TextBody"/>
        <w:bidi w:val="0"/>
        <w:jc w:val="left"/>
        <w:rPr>
          <w:caps w:val="false"/>
          <w:smallCaps w:val="false"/>
          <w:color w:val="DB0A67"/>
        </w:rPr>
      </w:pPr>
      <w:r>
        <w:rPr>
          <w:caps w:val="false"/>
          <w:smallCaps w:val="false"/>
          <w:color w:val="DB0A67"/>
        </w:rPr>
        <w:t> </w:t>
      </w:r>
    </w:p>
    <w:p>
      <w:pPr>
        <w:pStyle w:val="Heading2"/>
        <w:bidi w:val="0"/>
        <w:jc w:val="left"/>
        <w:rPr>
          <w:rFonts w:ascii="Arial;Helvetica;Sans-Serif" w:hAnsi="Arial;Helvetica;Sans-Serif"/>
          <w:b/>
          <w:i w:val="false"/>
          <w:caps w:val="false"/>
          <w:smallCaps w:val="false"/>
          <w:color w:val="C60C45"/>
          <w:sz w:val="40"/>
        </w:rPr>
      </w:pPr>
      <w:bookmarkStart w:id="18" w:name="regn013211-def14aa011"/>
      <w:bookmarkEnd w:id="18"/>
      <w:r>
        <w:rPr>
          <w:rFonts w:ascii="Arial;Helvetica;Sans-Serif" w:hAnsi="Arial;Helvetica;Sans-Serif"/>
          <w:b/>
          <w:i w:val="false"/>
          <w:caps w:val="false"/>
          <w:smallCaps w:val="false"/>
          <w:color w:val="C60C45"/>
          <w:sz w:val="40"/>
        </w:rPr>
        <w:t>Meet the Board</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At Regeneron, we lead with science as we pursue our mission of repeatedly bringing life-changing medicines to patients. Our business is built on investment in our deep scientific and technological capabilities, which drive our research, preclinical development, clinical, and manufacturing efforts.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composition of our board is shaped by this business model and the recognition that our board members must have predominantly science-based backgrounds to effectively provide robust, independent oversight of management. The current makeup of our board reflects this principle: six of our 13 directors are members of the National Academy of Sciences, and our board includes two Nobel laureates and holders of many scientific awards. In addition, the board includes individuals with experience building shareholder value through all stages of corporate development. Various members also bring substantial governance, financial, policy, and management expertise gained from their professional backgrounds and their service on other boards.</w:t>
      </w:r>
    </w:p>
    <w:p>
      <w:pPr>
        <w:pStyle w:val="TextBody"/>
        <w:bidi w:val="0"/>
        <w:jc w:val="left"/>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board’s composition also reflects our commitment to ensuring that the board as a whole possesses a wide range of experience, attributes, and backgrounds.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953250" cy="4019550"/>
            <wp:effectExtent l="0" t="0" r="0" b="0"/>
            <wp:docPr id="6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1" descr=""/>
                    <pic:cNvPicPr>
                      <a:picLocks noChangeAspect="1" noChangeArrowheads="1"/>
                    </pic:cNvPicPr>
                  </pic:nvPicPr>
                  <pic:blipFill>
                    <a:blip r:embed="rId66"/>
                    <a:stretch>
                      <a:fillRect/>
                    </a:stretch>
                  </pic:blipFill>
                  <pic:spPr bwMode="auto">
                    <a:xfrm>
                      <a:off x="0" y="0"/>
                      <a:ext cx="6953250" cy="4019550"/>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7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2" descr=""/>
                          <pic:cNvPicPr>
                            <a:picLocks noChangeAspect="1" noChangeArrowheads="1"/>
                          </pic:cNvPicPr>
                        </pic:nvPicPr>
                        <pic:blipFill>
                          <a:blip r:embed="rId67"/>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jc w:val="left"/>
        <w:rPr>
          <w:rFonts w:ascii="Arial;Helvetica;Sans-Serif" w:hAnsi="Arial;Helvetica;Sans-Serif"/>
          <w:b/>
          <w:i w:val="false"/>
          <w:caps w:val="false"/>
          <w:smallCaps w:val="false"/>
          <w:color w:val="2864AF"/>
          <w:sz w:val="32"/>
        </w:rPr>
      </w:pPr>
      <w:r>
        <w:rPr>
          <w:rFonts w:ascii="Arial;Helvetica;Sans-Serif" w:hAnsi="Arial;Helvetica;Sans-Serif"/>
          <w:b/>
          <w:i w:val="false"/>
          <w:caps w:val="false"/>
          <w:smallCaps w:val="false"/>
          <w:color w:val="2864AF"/>
          <w:sz w:val="32"/>
        </w:rPr>
        <w:t>Director Matrix</w:t>
      </w:r>
    </w:p>
    <w:p>
      <w:pPr>
        <w:pStyle w:val="TextBody"/>
        <w:bidi w:val="0"/>
        <w:jc w:val="center"/>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and the Corporate Governance and Compliance Committee seek to ensure that our directors as a group possess the mix of skills and experiences to provide effective oversight and guidance to management to execute on the Company’s long-term strategy. The board and the Committee also consider succession planning for board and committee chairs for purposes of continuity and to maintain relevant expertise and depth of experience.</w:t>
      </w:r>
    </w:p>
    <w:p>
      <w:pPr>
        <w:pStyle w:val="TextBody"/>
        <w:bidi w:val="0"/>
        <w:jc w:val="center"/>
        <w:rPr>
          <w:caps w:val="false"/>
          <w:smallCaps w:val="false"/>
          <w:color w:val="231F20"/>
        </w:rPr>
      </w:pPr>
      <w:r>
        <w:rPr>
          <w:caps w:val="false"/>
          <w:smallCaps w:val="false"/>
          <w:color w:val="231F20"/>
        </w:rPr>
        <w:t> </w:t>
      </w:r>
    </w:p>
    <w:p>
      <w:pPr>
        <w:pStyle w:val="TextBody"/>
        <w:bidi w:val="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table below summarizes key qualifications, skills, or attributes of the director nominees and other members of the board of directors. The marks indicate specific areas of focus or expertise but are not meant to be an exhaustive list. The director biographies below describe these qualifications and relevant experience in more detail. We believe the table below demonstrates the breadth and depth of the collective experience, expertise, and skills of our board of directors.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0" cy="12125325"/>
            <wp:effectExtent l="0" t="0" r="0" b="0"/>
            <wp:docPr id="7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3" descr=""/>
                    <pic:cNvPicPr>
                      <a:picLocks noChangeAspect="1" noChangeArrowheads="1"/>
                    </pic:cNvPicPr>
                  </pic:nvPicPr>
                  <pic:blipFill>
                    <a:blip r:embed="rId68"/>
                    <a:stretch>
                      <a:fillRect/>
                    </a:stretch>
                  </pic:blipFill>
                  <pic:spPr bwMode="auto">
                    <a:xfrm>
                      <a:off x="0" y="0"/>
                      <a:ext cx="7620000" cy="12125325"/>
                    </a:xfrm>
                    <a:prstGeom prst="rect">
                      <a:avLst/>
                    </a:prstGeom>
                  </pic:spPr>
                </pic:pic>
              </a:graphicData>
            </a:graphic>
          </wp:inline>
        </w:drawing>
      </w:r>
    </w:p>
    <w:p>
      <w:pPr>
        <w:pStyle w:val="TextBody"/>
        <w:bidi w:val="0"/>
        <w:ind w:left="0" w:right="0" w:firstLine="720"/>
        <w:jc w:val="center"/>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3304540" cy="3999865"/>
                <wp:effectExtent l="0" t="0" r="0" b="0"/>
                <wp:wrapSquare wrapText="right"/>
                <wp:docPr id="72" name="Frame5"/>
                <a:graphic xmlns:a="http://schemas.openxmlformats.org/drawingml/2006/main">
                  <a:graphicData uri="http://schemas.microsoft.com/office/word/2010/wordprocessingShape">
                    <wps:wsp>
                      <wps:cNvSpPr txBox="1"/>
                      <wps:spPr>
                        <a:xfrm>
                          <a:off x="0" y="0"/>
                          <a:ext cx="3304540" cy="3999865"/>
                        </a:xfrm>
                        <a:prstGeom prst="rect"/>
                        <a:solidFill>
                          <a:srgbClr val="FFFFFF"/>
                        </a:solidFill>
                      </wps:spPr>
                      <wps:txbx>
                        <w:txbxContent>
                          <w:tbl>
                            <w:tblPr>
                              <w:tblW w:w="10205" w:type="dxa"/>
                              <w:jc w:val="left"/>
                              <w:tblInd w:w="0" w:type="dxa"/>
                              <w:tblLayout w:type="fixed"/>
                              <w:tblCellMar>
                                <w:top w:w="0" w:type="dxa"/>
                                <w:left w:w="0" w:type="dxa"/>
                                <w:bottom w:w="40" w:type="dxa"/>
                                <w:right w:w="0" w:type="dxa"/>
                              </w:tblCellMar>
                            </w:tblPr>
                            <w:tblGrid>
                              <w:gridCol w:w="390"/>
                              <w:gridCol w:w="9440"/>
                              <w:gridCol w:w="375"/>
                            </w:tblGrid>
                            <w:tr>
                              <w:trPr/>
                              <w:tc>
                                <w:tcPr>
                                  <w:tcW w:w="390" w:type="dxa"/>
                                  <w:tcBorders>
                                    <w:bottom w:val="single" w:sz="2" w:space="0" w:color="939598"/>
                                  </w:tcBorders>
                                  <w:vAlign w:val="center"/>
                                </w:tcPr>
                                <w:p>
                                  <w:pPr>
                                    <w:pStyle w:val="TableContents"/>
                                    <w:bidi w:val="0"/>
                                    <w:spacing w:before="0" w:after="283"/>
                                    <w:jc w:val="left"/>
                                    <w:rPr/>
                                  </w:pPr>
                                  <w:r>
                                    <w:rPr/>
                                    <w:drawing>
                                      <wp:inline distT="0" distB="0" distL="0" distR="0">
                                        <wp:extent cx="238125" cy="238125"/>
                                        <wp:effectExtent l="0" t="0" r="0" b="0"/>
                                        <wp:docPr id="7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4" descr=""/>
                                                <pic:cNvPicPr>
                                                  <a:picLocks noChangeAspect="1" noChangeArrowheads="1"/>
                                                </pic:cNvPicPr>
                                              </pic:nvPicPr>
                                              <pic:blipFill>
                                                <a:blip r:embed="rId69"/>
                                                <a:stretch>
                                                  <a:fillRect/>
                                                </a:stretch>
                                              </pic:blipFill>
                                              <pic:spPr bwMode="auto">
                                                <a:xfrm>
                                                  <a:off x="0" y="0"/>
                                                  <a:ext cx="238125" cy="238125"/>
                                                </a:xfrm>
                                                <a:prstGeom prst="rect">
                                                  <a:avLst/>
                                                </a:prstGeom>
                                              </pic:spPr>
                                            </pic:pic>
                                          </a:graphicData>
                                        </a:graphic>
                                      </wp:inline>
                                    </w:drawing>
                                  </w:r>
                                </w:p>
                              </w:tc>
                              <w:tc>
                                <w:tcPr>
                                  <w:tcW w:w="9440" w:type="dxa"/>
                                  <w:tcBorders>
                                    <w:bottom w:val="single" w:sz="2" w:space="0" w:color="939598"/>
                                  </w:tcBorders>
                                  <w:vAlign w:val="center"/>
                                </w:tcPr>
                                <w:p>
                                  <w:pPr>
                                    <w:pStyle w:val="TableContents"/>
                                    <w:bidi w:val="0"/>
                                    <w:jc w:val="left"/>
                                    <w:rPr>
                                      <w:b/>
                                      <w:color w:val="231F20"/>
                                    </w:rPr>
                                  </w:pPr>
                                  <w:r>
                                    <w:rPr>
                                      <w:b/>
                                      <w:color w:val="231F20"/>
                                    </w:rPr>
                                    <w:t>Industry Experience</w:t>
                                  </w:r>
                                </w:p>
                                <w:p>
                                  <w:pPr>
                                    <w:pStyle w:val="TableContents"/>
                                    <w:bidi w:val="0"/>
                                    <w:spacing w:before="0" w:after="283"/>
                                    <w:jc w:val="left"/>
                                    <w:rPr/>
                                  </w:pPr>
                                  <w:r>
                                    <w:rPr>
                                      <w:color w:val="231F20"/>
                                    </w:rPr>
                                    <w:t>Significant experience with complex issues within the</w:t>
                                  </w:r>
                                  <w:r>
                                    <w:rPr/>
                                    <w:t xml:space="preserve"> </w:t>
                                  </w:r>
                                  <w:r>
                                    <w:rPr>
                                      <w:color w:val="231F20"/>
                                    </w:rPr>
                                    <w:t>healthcare industry.</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r>
                              <w:trPr/>
                              <w:tc>
                                <w:tcPr>
                                  <w:tcW w:w="390" w:type="dxa"/>
                                  <w:tcBorders>
                                    <w:bottom w:val="single" w:sz="2" w:space="0" w:color="939598"/>
                                  </w:tcBorders>
                                  <w:vAlign w:val="center"/>
                                </w:tcPr>
                                <w:p>
                                  <w:pPr>
                                    <w:pStyle w:val="TableContents"/>
                                    <w:bidi w:val="0"/>
                                    <w:spacing w:before="0" w:after="283"/>
                                    <w:jc w:val="left"/>
                                    <w:rPr/>
                                  </w:pPr>
                                  <w:r>
                                    <w:rPr/>
                                    <w:drawing>
                                      <wp:inline distT="0" distB="0" distL="0" distR="0">
                                        <wp:extent cx="238125" cy="209550"/>
                                        <wp:effectExtent l="0" t="0" r="0" b="0"/>
                                        <wp:docPr id="7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5" descr=""/>
                                                <pic:cNvPicPr>
                                                  <a:picLocks noChangeAspect="1" noChangeArrowheads="1"/>
                                                </pic:cNvPicPr>
                                              </pic:nvPicPr>
                                              <pic:blipFill>
                                                <a:blip r:embed="rId70"/>
                                                <a:stretch>
                                                  <a:fillRect/>
                                                </a:stretch>
                                              </pic:blipFill>
                                              <pic:spPr bwMode="auto">
                                                <a:xfrm>
                                                  <a:off x="0" y="0"/>
                                                  <a:ext cx="238125" cy="209550"/>
                                                </a:xfrm>
                                                <a:prstGeom prst="rect">
                                                  <a:avLst/>
                                                </a:prstGeom>
                                              </pic:spPr>
                                            </pic:pic>
                                          </a:graphicData>
                                        </a:graphic>
                                      </wp:inline>
                                    </w:drawing>
                                  </w:r>
                                </w:p>
                              </w:tc>
                              <w:tc>
                                <w:tcPr>
                                  <w:tcW w:w="9440" w:type="dxa"/>
                                  <w:tcBorders>
                                    <w:bottom w:val="single" w:sz="2" w:space="0" w:color="939598"/>
                                  </w:tcBorders>
                                  <w:vAlign w:val="center"/>
                                </w:tcPr>
                                <w:p>
                                  <w:pPr>
                                    <w:pStyle w:val="TableContents"/>
                                    <w:bidi w:val="0"/>
                                    <w:jc w:val="left"/>
                                    <w:rPr>
                                      <w:b/>
                                      <w:color w:val="231F20"/>
                                    </w:rPr>
                                  </w:pPr>
                                  <w:r>
                                    <w:rPr>
                                      <w:b/>
                                      <w:color w:val="231F20"/>
                                    </w:rPr>
                                    <w:t>Executive/Leadership Experience</w:t>
                                  </w:r>
                                </w:p>
                                <w:p>
                                  <w:pPr>
                                    <w:pStyle w:val="TableContents"/>
                                    <w:bidi w:val="0"/>
                                    <w:spacing w:before="0" w:after="283"/>
                                    <w:jc w:val="left"/>
                                    <w:rPr/>
                                  </w:pPr>
                                  <w:r>
                                    <w:rPr>
                                      <w:color w:val="231F20"/>
                                    </w:rPr>
                                    <w:t>Experience in a senior management position at a large</w:t>
                                  </w:r>
                                  <w:r>
                                    <w:rPr/>
                                    <w:t xml:space="preserve"> </w:t>
                                  </w:r>
                                  <w:r>
                                    <w:rPr>
                                      <w:color w:val="231F20"/>
                                    </w:rPr>
                                    <w:t>publicly traded or private company or other large complex</w:t>
                                  </w:r>
                                  <w:r>
                                    <w:rPr/>
                                    <w:t xml:space="preserve"> </w:t>
                                  </w:r>
                                  <w:r>
                                    <w:rPr>
                                      <w:color w:val="231F20"/>
                                    </w:rPr>
                                    <w:t>organization (including academic institutions).</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r>
                              <w:trPr/>
                              <w:tc>
                                <w:tcPr>
                                  <w:tcW w:w="390" w:type="dxa"/>
                                  <w:tcBorders>
                                    <w:bottom w:val="single" w:sz="2" w:space="0" w:color="939598"/>
                                  </w:tcBorders>
                                  <w:vAlign w:val="center"/>
                                </w:tcPr>
                                <w:p>
                                  <w:pPr>
                                    <w:pStyle w:val="TableContents"/>
                                    <w:bidi w:val="0"/>
                                    <w:spacing w:before="0" w:after="283"/>
                                    <w:jc w:val="left"/>
                                    <w:rPr/>
                                  </w:pPr>
                                  <w:r>
                                    <w:rPr/>
                                    <w:drawing>
                                      <wp:inline distT="0" distB="0" distL="0" distR="0">
                                        <wp:extent cx="238125" cy="238125"/>
                                        <wp:effectExtent l="0" t="0" r="0" b="0"/>
                                        <wp:docPr id="7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6" descr=""/>
                                                <pic:cNvPicPr>
                                                  <a:picLocks noChangeAspect="1" noChangeArrowheads="1"/>
                                                </pic:cNvPicPr>
                                              </pic:nvPicPr>
                                              <pic:blipFill>
                                                <a:blip r:embed="rId71"/>
                                                <a:stretch>
                                                  <a:fillRect/>
                                                </a:stretch>
                                              </pic:blipFill>
                                              <pic:spPr bwMode="auto">
                                                <a:xfrm>
                                                  <a:off x="0" y="0"/>
                                                  <a:ext cx="238125" cy="238125"/>
                                                </a:xfrm>
                                                <a:prstGeom prst="rect">
                                                  <a:avLst/>
                                                </a:prstGeom>
                                              </pic:spPr>
                                            </pic:pic>
                                          </a:graphicData>
                                        </a:graphic>
                                      </wp:inline>
                                    </w:drawing>
                                  </w:r>
                                </w:p>
                              </w:tc>
                              <w:tc>
                                <w:tcPr>
                                  <w:tcW w:w="9440" w:type="dxa"/>
                                  <w:tcBorders>
                                    <w:bottom w:val="single" w:sz="2" w:space="0" w:color="939598"/>
                                  </w:tcBorders>
                                  <w:vAlign w:val="center"/>
                                </w:tcPr>
                                <w:p>
                                  <w:pPr>
                                    <w:pStyle w:val="TableContents"/>
                                    <w:bidi w:val="0"/>
                                    <w:jc w:val="left"/>
                                    <w:rPr>
                                      <w:b/>
                                      <w:color w:val="231F20"/>
                                    </w:rPr>
                                  </w:pPr>
                                  <w:r>
                                    <w:rPr>
                                      <w:b/>
                                      <w:color w:val="231F20"/>
                                    </w:rPr>
                                    <w:t>Science/Biotech Background</w:t>
                                  </w:r>
                                </w:p>
                                <w:p>
                                  <w:pPr>
                                    <w:pStyle w:val="TableContents"/>
                                    <w:bidi w:val="0"/>
                                    <w:spacing w:before="0" w:after="283"/>
                                    <w:jc w:val="left"/>
                                    <w:rPr/>
                                  </w:pPr>
                                  <w:r>
                                    <w:rPr>
                                      <w:color w:val="231F20"/>
                                    </w:rPr>
                                    <w:t>Advanced scientific degree and/or related work experience</w:t>
                                  </w:r>
                                  <w:r>
                                    <w:rPr/>
                                    <w:t xml:space="preserve"> </w:t>
                                  </w:r>
                                  <w:r>
                                    <w:rPr>
                                      <w:color w:val="231F20"/>
                                    </w:rPr>
                                    <w:t>in the scientific and/or biotechnology fields.</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r>
                              <w:trPr/>
                              <w:tc>
                                <w:tcPr>
                                  <w:tcW w:w="390" w:type="dxa"/>
                                  <w:tcBorders>
                                    <w:bottom w:val="single" w:sz="2" w:space="0" w:color="939598"/>
                                  </w:tcBorders>
                                  <w:vAlign w:val="center"/>
                                </w:tcPr>
                                <w:p>
                                  <w:pPr>
                                    <w:pStyle w:val="TableContents"/>
                                    <w:bidi w:val="0"/>
                                    <w:spacing w:before="0" w:after="283"/>
                                    <w:jc w:val="left"/>
                                    <w:rPr/>
                                  </w:pPr>
                                  <w:r>
                                    <w:rPr/>
                                    <w:drawing>
                                      <wp:inline distT="0" distB="0" distL="0" distR="0">
                                        <wp:extent cx="190500" cy="257175"/>
                                        <wp:effectExtent l="0" t="0" r="0" b="0"/>
                                        <wp:docPr id="7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7" descr=""/>
                                                <pic:cNvPicPr>
                                                  <a:picLocks noChangeAspect="1" noChangeArrowheads="1"/>
                                                </pic:cNvPicPr>
                                              </pic:nvPicPr>
                                              <pic:blipFill>
                                                <a:blip r:embed="rId72"/>
                                                <a:stretch>
                                                  <a:fillRect/>
                                                </a:stretch>
                                              </pic:blipFill>
                                              <pic:spPr bwMode="auto">
                                                <a:xfrm>
                                                  <a:off x="0" y="0"/>
                                                  <a:ext cx="190500" cy="257175"/>
                                                </a:xfrm>
                                                <a:prstGeom prst="rect">
                                                  <a:avLst/>
                                                </a:prstGeom>
                                              </pic:spPr>
                                            </pic:pic>
                                          </a:graphicData>
                                        </a:graphic>
                                      </wp:inline>
                                    </w:drawing>
                                  </w:r>
                                </w:p>
                              </w:tc>
                              <w:tc>
                                <w:tcPr>
                                  <w:tcW w:w="9440" w:type="dxa"/>
                                  <w:tcBorders>
                                    <w:bottom w:val="single" w:sz="2" w:space="0" w:color="939598"/>
                                  </w:tcBorders>
                                  <w:vAlign w:val="center"/>
                                </w:tcPr>
                                <w:p>
                                  <w:pPr>
                                    <w:pStyle w:val="TableContents"/>
                                    <w:bidi w:val="0"/>
                                    <w:jc w:val="left"/>
                                    <w:rPr>
                                      <w:b/>
                                      <w:color w:val="231F20"/>
                                    </w:rPr>
                                  </w:pPr>
                                  <w:r>
                                    <w:rPr>
                                      <w:b/>
                                      <w:color w:val="231F20"/>
                                    </w:rPr>
                                    <w:t>Research/Academic Experience</w:t>
                                  </w:r>
                                </w:p>
                                <w:p>
                                  <w:pPr>
                                    <w:pStyle w:val="TableContents"/>
                                    <w:bidi w:val="0"/>
                                    <w:spacing w:before="0" w:after="283"/>
                                    <w:jc w:val="left"/>
                                    <w:rPr/>
                                  </w:pPr>
                                  <w:r>
                                    <w:rPr>
                                      <w:color w:val="231F20"/>
                                    </w:rPr>
                                    <w:t>Experience in a leadership or senior advisory position at a</w:t>
                                  </w:r>
                                  <w:r>
                                    <w:rPr/>
                                    <w:t xml:space="preserve"> </w:t>
                                  </w:r>
                                  <w:r>
                                    <w:rPr>
                                      <w:color w:val="231F20"/>
                                    </w:rPr>
                                    <w:t>research and/or academic institution (including in an</w:t>
                                  </w:r>
                                  <w:r>
                                    <w:rPr/>
                                    <w:t xml:space="preserve"> </w:t>
                                  </w:r>
                                  <w:r>
                                    <w:rPr>
                                      <w:color w:val="231F20"/>
                                    </w:rPr>
                                    <w:t>administrative or faculty role).</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r>
                              <w:trPr/>
                              <w:tc>
                                <w:tcPr>
                                  <w:tcW w:w="390" w:type="dxa"/>
                                  <w:tcBorders/>
                                  <w:tcMar>
                                    <w:bottom w:w="0" w:type="dxa"/>
                                  </w:tcMar>
                                  <w:vAlign w:val="center"/>
                                </w:tcPr>
                                <w:p>
                                  <w:pPr>
                                    <w:pStyle w:val="TableContents"/>
                                    <w:bidi w:val="0"/>
                                    <w:spacing w:before="0" w:after="283"/>
                                    <w:jc w:val="left"/>
                                    <w:rPr/>
                                  </w:pPr>
                                  <w:r>
                                    <w:rPr/>
                                    <w:t> </w:t>
                                  </w:r>
                                </w:p>
                              </w:tc>
                              <w:tc>
                                <w:tcPr>
                                  <w:tcW w:w="9440" w:type="dxa"/>
                                  <w:tcBorders/>
                                  <w:tcMar>
                                    <w:bottom w:w="0" w:type="dxa"/>
                                  </w:tcMar>
                                  <w:vAlign w:val="center"/>
                                </w:tcPr>
                                <w:p>
                                  <w:pPr>
                                    <w:pStyle w:val="TableContents"/>
                                    <w:bidi w:val="0"/>
                                    <w:spacing w:before="0" w:after="283"/>
                                    <w:jc w:val="left"/>
                                    <w:rPr/>
                                  </w:pPr>
                                  <w:r>
                                    <w:rPr/>
                                    <w:t> </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51000</wp14:pctWidth>
                </wp14:sizeRelH>
              </wp:anchor>
            </w:drawing>
          </mc:Choice>
          <mc:Fallback>
            <w:pict>
              <v:rect style="position:absolute;rotation:-0;width:260.2pt;height:314.9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40" w:type="dxa"/>
                          <w:right w:w="0" w:type="dxa"/>
                        </w:tblCellMar>
                      </w:tblPr>
                      <w:tblGrid>
                        <w:gridCol w:w="390"/>
                        <w:gridCol w:w="9440"/>
                        <w:gridCol w:w="375"/>
                      </w:tblGrid>
                      <w:tr>
                        <w:trPr/>
                        <w:tc>
                          <w:tcPr>
                            <w:tcW w:w="390" w:type="dxa"/>
                            <w:tcBorders>
                              <w:bottom w:val="single" w:sz="2" w:space="0" w:color="939598"/>
                            </w:tcBorders>
                            <w:vAlign w:val="center"/>
                          </w:tcPr>
                          <w:p>
                            <w:pPr>
                              <w:pStyle w:val="TableContents"/>
                              <w:bidi w:val="0"/>
                              <w:spacing w:before="0" w:after="283"/>
                              <w:jc w:val="left"/>
                              <w:rPr/>
                            </w:pPr>
                            <w:r>
                              <w:rPr/>
                              <w:drawing>
                                <wp:inline distT="0" distB="0" distL="0" distR="0">
                                  <wp:extent cx="238125" cy="238125"/>
                                  <wp:effectExtent l="0" t="0" r="0" b="0"/>
                                  <wp:docPr id="7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4" descr=""/>
                                          <pic:cNvPicPr>
                                            <a:picLocks noChangeAspect="1" noChangeArrowheads="1"/>
                                          </pic:cNvPicPr>
                                        </pic:nvPicPr>
                                        <pic:blipFill>
                                          <a:blip r:embed="rId73"/>
                                          <a:stretch>
                                            <a:fillRect/>
                                          </a:stretch>
                                        </pic:blipFill>
                                        <pic:spPr bwMode="auto">
                                          <a:xfrm>
                                            <a:off x="0" y="0"/>
                                            <a:ext cx="238125" cy="238125"/>
                                          </a:xfrm>
                                          <a:prstGeom prst="rect">
                                            <a:avLst/>
                                          </a:prstGeom>
                                        </pic:spPr>
                                      </pic:pic>
                                    </a:graphicData>
                                  </a:graphic>
                                </wp:inline>
                              </w:drawing>
                            </w:r>
                          </w:p>
                        </w:tc>
                        <w:tc>
                          <w:tcPr>
                            <w:tcW w:w="9440" w:type="dxa"/>
                            <w:tcBorders>
                              <w:bottom w:val="single" w:sz="2" w:space="0" w:color="939598"/>
                            </w:tcBorders>
                            <w:vAlign w:val="center"/>
                          </w:tcPr>
                          <w:p>
                            <w:pPr>
                              <w:pStyle w:val="TableContents"/>
                              <w:bidi w:val="0"/>
                              <w:jc w:val="left"/>
                              <w:rPr>
                                <w:b/>
                                <w:color w:val="231F20"/>
                              </w:rPr>
                            </w:pPr>
                            <w:r>
                              <w:rPr>
                                <w:b/>
                                <w:color w:val="231F20"/>
                              </w:rPr>
                              <w:t>Industry Experience</w:t>
                            </w:r>
                          </w:p>
                          <w:p>
                            <w:pPr>
                              <w:pStyle w:val="TableContents"/>
                              <w:bidi w:val="0"/>
                              <w:spacing w:before="0" w:after="283"/>
                              <w:jc w:val="left"/>
                              <w:rPr/>
                            </w:pPr>
                            <w:r>
                              <w:rPr>
                                <w:color w:val="231F20"/>
                              </w:rPr>
                              <w:t>Significant experience with complex issues within the</w:t>
                            </w:r>
                            <w:r>
                              <w:rPr/>
                              <w:t xml:space="preserve"> </w:t>
                            </w:r>
                            <w:r>
                              <w:rPr>
                                <w:color w:val="231F20"/>
                              </w:rPr>
                              <w:t>healthcare industry.</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r>
                        <w:trPr/>
                        <w:tc>
                          <w:tcPr>
                            <w:tcW w:w="390" w:type="dxa"/>
                            <w:tcBorders>
                              <w:bottom w:val="single" w:sz="2" w:space="0" w:color="939598"/>
                            </w:tcBorders>
                            <w:vAlign w:val="center"/>
                          </w:tcPr>
                          <w:p>
                            <w:pPr>
                              <w:pStyle w:val="TableContents"/>
                              <w:bidi w:val="0"/>
                              <w:spacing w:before="0" w:after="283"/>
                              <w:jc w:val="left"/>
                              <w:rPr/>
                            </w:pPr>
                            <w:r>
                              <w:rPr/>
                              <w:drawing>
                                <wp:inline distT="0" distB="0" distL="0" distR="0">
                                  <wp:extent cx="238125" cy="209550"/>
                                  <wp:effectExtent l="0" t="0" r="0" b="0"/>
                                  <wp:docPr id="7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5" descr=""/>
                                          <pic:cNvPicPr>
                                            <a:picLocks noChangeAspect="1" noChangeArrowheads="1"/>
                                          </pic:cNvPicPr>
                                        </pic:nvPicPr>
                                        <pic:blipFill>
                                          <a:blip r:embed="rId74"/>
                                          <a:stretch>
                                            <a:fillRect/>
                                          </a:stretch>
                                        </pic:blipFill>
                                        <pic:spPr bwMode="auto">
                                          <a:xfrm>
                                            <a:off x="0" y="0"/>
                                            <a:ext cx="238125" cy="209550"/>
                                          </a:xfrm>
                                          <a:prstGeom prst="rect">
                                            <a:avLst/>
                                          </a:prstGeom>
                                        </pic:spPr>
                                      </pic:pic>
                                    </a:graphicData>
                                  </a:graphic>
                                </wp:inline>
                              </w:drawing>
                            </w:r>
                          </w:p>
                        </w:tc>
                        <w:tc>
                          <w:tcPr>
                            <w:tcW w:w="9440" w:type="dxa"/>
                            <w:tcBorders>
                              <w:bottom w:val="single" w:sz="2" w:space="0" w:color="939598"/>
                            </w:tcBorders>
                            <w:vAlign w:val="center"/>
                          </w:tcPr>
                          <w:p>
                            <w:pPr>
                              <w:pStyle w:val="TableContents"/>
                              <w:bidi w:val="0"/>
                              <w:jc w:val="left"/>
                              <w:rPr>
                                <w:b/>
                                <w:color w:val="231F20"/>
                              </w:rPr>
                            </w:pPr>
                            <w:r>
                              <w:rPr>
                                <w:b/>
                                <w:color w:val="231F20"/>
                              </w:rPr>
                              <w:t>Executive/Leadership Experience</w:t>
                            </w:r>
                          </w:p>
                          <w:p>
                            <w:pPr>
                              <w:pStyle w:val="TableContents"/>
                              <w:bidi w:val="0"/>
                              <w:spacing w:before="0" w:after="283"/>
                              <w:jc w:val="left"/>
                              <w:rPr/>
                            </w:pPr>
                            <w:r>
                              <w:rPr>
                                <w:color w:val="231F20"/>
                              </w:rPr>
                              <w:t>Experience in a senior management position at a large</w:t>
                            </w:r>
                            <w:r>
                              <w:rPr/>
                              <w:t xml:space="preserve"> </w:t>
                            </w:r>
                            <w:r>
                              <w:rPr>
                                <w:color w:val="231F20"/>
                              </w:rPr>
                              <w:t>publicly traded or private company or other large complex</w:t>
                            </w:r>
                            <w:r>
                              <w:rPr/>
                              <w:t xml:space="preserve"> </w:t>
                            </w:r>
                            <w:r>
                              <w:rPr>
                                <w:color w:val="231F20"/>
                              </w:rPr>
                              <w:t>organization (including academic institutions).</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r>
                        <w:trPr/>
                        <w:tc>
                          <w:tcPr>
                            <w:tcW w:w="390" w:type="dxa"/>
                            <w:tcBorders>
                              <w:bottom w:val="single" w:sz="2" w:space="0" w:color="939598"/>
                            </w:tcBorders>
                            <w:vAlign w:val="center"/>
                          </w:tcPr>
                          <w:p>
                            <w:pPr>
                              <w:pStyle w:val="TableContents"/>
                              <w:bidi w:val="0"/>
                              <w:spacing w:before="0" w:after="283"/>
                              <w:jc w:val="left"/>
                              <w:rPr/>
                            </w:pPr>
                            <w:r>
                              <w:rPr/>
                              <w:drawing>
                                <wp:inline distT="0" distB="0" distL="0" distR="0">
                                  <wp:extent cx="238125" cy="238125"/>
                                  <wp:effectExtent l="0" t="0" r="0" b="0"/>
                                  <wp:docPr id="7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6" descr=""/>
                                          <pic:cNvPicPr>
                                            <a:picLocks noChangeAspect="1" noChangeArrowheads="1"/>
                                          </pic:cNvPicPr>
                                        </pic:nvPicPr>
                                        <pic:blipFill>
                                          <a:blip r:embed="rId75"/>
                                          <a:stretch>
                                            <a:fillRect/>
                                          </a:stretch>
                                        </pic:blipFill>
                                        <pic:spPr bwMode="auto">
                                          <a:xfrm>
                                            <a:off x="0" y="0"/>
                                            <a:ext cx="238125" cy="238125"/>
                                          </a:xfrm>
                                          <a:prstGeom prst="rect">
                                            <a:avLst/>
                                          </a:prstGeom>
                                        </pic:spPr>
                                      </pic:pic>
                                    </a:graphicData>
                                  </a:graphic>
                                </wp:inline>
                              </w:drawing>
                            </w:r>
                          </w:p>
                        </w:tc>
                        <w:tc>
                          <w:tcPr>
                            <w:tcW w:w="9440" w:type="dxa"/>
                            <w:tcBorders>
                              <w:bottom w:val="single" w:sz="2" w:space="0" w:color="939598"/>
                            </w:tcBorders>
                            <w:vAlign w:val="center"/>
                          </w:tcPr>
                          <w:p>
                            <w:pPr>
                              <w:pStyle w:val="TableContents"/>
                              <w:bidi w:val="0"/>
                              <w:jc w:val="left"/>
                              <w:rPr>
                                <w:b/>
                                <w:color w:val="231F20"/>
                              </w:rPr>
                            </w:pPr>
                            <w:r>
                              <w:rPr>
                                <w:b/>
                                <w:color w:val="231F20"/>
                              </w:rPr>
                              <w:t>Science/Biotech Background</w:t>
                            </w:r>
                          </w:p>
                          <w:p>
                            <w:pPr>
                              <w:pStyle w:val="TableContents"/>
                              <w:bidi w:val="0"/>
                              <w:spacing w:before="0" w:after="283"/>
                              <w:jc w:val="left"/>
                              <w:rPr/>
                            </w:pPr>
                            <w:r>
                              <w:rPr>
                                <w:color w:val="231F20"/>
                              </w:rPr>
                              <w:t>Advanced scientific degree and/or related work experience</w:t>
                            </w:r>
                            <w:r>
                              <w:rPr/>
                              <w:t xml:space="preserve"> </w:t>
                            </w:r>
                            <w:r>
                              <w:rPr>
                                <w:color w:val="231F20"/>
                              </w:rPr>
                              <w:t>in the scientific and/or biotechnology fields.</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r>
                        <w:trPr/>
                        <w:tc>
                          <w:tcPr>
                            <w:tcW w:w="390" w:type="dxa"/>
                            <w:tcBorders>
                              <w:bottom w:val="single" w:sz="2" w:space="0" w:color="939598"/>
                            </w:tcBorders>
                            <w:vAlign w:val="center"/>
                          </w:tcPr>
                          <w:p>
                            <w:pPr>
                              <w:pStyle w:val="TableContents"/>
                              <w:bidi w:val="0"/>
                              <w:spacing w:before="0" w:after="283"/>
                              <w:jc w:val="left"/>
                              <w:rPr/>
                            </w:pPr>
                            <w:r>
                              <w:rPr/>
                              <w:drawing>
                                <wp:inline distT="0" distB="0" distL="0" distR="0">
                                  <wp:extent cx="190500" cy="257175"/>
                                  <wp:effectExtent l="0" t="0" r="0" b="0"/>
                                  <wp:docPr id="8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7" descr=""/>
                                          <pic:cNvPicPr>
                                            <a:picLocks noChangeAspect="1" noChangeArrowheads="1"/>
                                          </pic:cNvPicPr>
                                        </pic:nvPicPr>
                                        <pic:blipFill>
                                          <a:blip r:embed="rId76"/>
                                          <a:stretch>
                                            <a:fillRect/>
                                          </a:stretch>
                                        </pic:blipFill>
                                        <pic:spPr bwMode="auto">
                                          <a:xfrm>
                                            <a:off x="0" y="0"/>
                                            <a:ext cx="190500" cy="257175"/>
                                          </a:xfrm>
                                          <a:prstGeom prst="rect">
                                            <a:avLst/>
                                          </a:prstGeom>
                                        </pic:spPr>
                                      </pic:pic>
                                    </a:graphicData>
                                  </a:graphic>
                                </wp:inline>
                              </w:drawing>
                            </w:r>
                          </w:p>
                        </w:tc>
                        <w:tc>
                          <w:tcPr>
                            <w:tcW w:w="9440" w:type="dxa"/>
                            <w:tcBorders>
                              <w:bottom w:val="single" w:sz="2" w:space="0" w:color="939598"/>
                            </w:tcBorders>
                            <w:vAlign w:val="center"/>
                          </w:tcPr>
                          <w:p>
                            <w:pPr>
                              <w:pStyle w:val="TableContents"/>
                              <w:bidi w:val="0"/>
                              <w:jc w:val="left"/>
                              <w:rPr>
                                <w:b/>
                                <w:color w:val="231F20"/>
                              </w:rPr>
                            </w:pPr>
                            <w:r>
                              <w:rPr>
                                <w:b/>
                                <w:color w:val="231F20"/>
                              </w:rPr>
                              <w:t>Research/Academic Experience</w:t>
                            </w:r>
                          </w:p>
                          <w:p>
                            <w:pPr>
                              <w:pStyle w:val="TableContents"/>
                              <w:bidi w:val="0"/>
                              <w:spacing w:before="0" w:after="283"/>
                              <w:jc w:val="left"/>
                              <w:rPr/>
                            </w:pPr>
                            <w:r>
                              <w:rPr>
                                <w:color w:val="231F20"/>
                              </w:rPr>
                              <w:t>Experience in a leadership or senior advisory position at a</w:t>
                            </w:r>
                            <w:r>
                              <w:rPr/>
                              <w:t xml:space="preserve"> </w:t>
                            </w:r>
                            <w:r>
                              <w:rPr>
                                <w:color w:val="231F20"/>
                              </w:rPr>
                              <w:t>research and/or academic institution (including in an</w:t>
                            </w:r>
                            <w:r>
                              <w:rPr/>
                              <w:t xml:space="preserve"> </w:t>
                            </w:r>
                            <w:r>
                              <w:rPr>
                                <w:color w:val="231F20"/>
                              </w:rPr>
                              <w:t>administrative or faculty role).</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r>
                        <w:trPr/>
                        <w:tc>
                          <w:tcPr>
                            <w:tcW w:w="390" w:type="dxa"/>
                            <w:tcBorders/>
                            <w:tcMar>
                              <w:bottom w:w="0" w:type="dxa"/>
                            </w:tcMar>
                            <w:vAlign w:val="center"/>
                          </w:tcPr>
                          <w:p>
                            <w:pPr>
                              <w:pStyle w:val="TableContents"/>
                              <w:bidi w:val="0"/>
                              <w:spacing w:before="0" w:after="283"/>
                              <w:jc w:val="left"/>
                              <w:rPr/>
                            </w:pPr>
                            <w:r>
                              <w:rPr/>
                              <w:t> </w:t>
                            </w:r>
                          </w:p>
                        </w:tc>
                        <w:tc>
                          <w:tcPr>
                            <w:tcW w:w="9440" w:type="dxa"/>
                            <w:tcBorders/>
                            <w:tcMar>
                              <w:bottom w:w="0" w:type="dxa"/>
                            </w:tcMar>
                            <w:vAlign w:val="center"/>
                          </w:tcPr>
                          <w:p>
                            <w:pPr>
                              <w:pStyle w:val="TableContents"/>
                              <w:bidi w:val="0"/>
                              <w:spacing w:before="0" w:after="283"/>
                              <w:jc w:val="left"/>
                              <w:rPr/>
                            </w:pPr>
                            <w:r>
                              <w:rPr/>
                              <w:t> </w:t>
                            </w:r>
                          </w:p>
                        </w:tc>
                        <w:tc>
                          <w:tcPr>
                            <w:tcW w:w="375" w:type="dxa"/>
                            <w:tcBorders>
                              <w:right w:val="single" w:sz="2" w:space="0" w:color="3B59A4"/>
                            </w:tcBorders>
                            <w:tcMar>
                              <w:bottom w:w="0"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98">
                <wp:simplePos x="0" y="0"/>
                <wp:positionH relativeFrom="column">
                  <wp:align>right</wp:align>
                </wp:positionH>
                <wp:positionV relativeFrom="line">
                  <wp:posOffset>635</wp:posOffset>
                </wp:positionV>
                <wp:extent cx="3045460" cy="2947035"/>
                <wp:effectExtent l="0" t="0" r="0" b="0"/>
                <wp:wrapSquare wrapText="left"/>
                <wp:docPr id="81" name="Frame6"/>
                <a:graphic xmlns:a="http://schemas.openxmlformats.org/drawingml/2006/main">
                  <a:graphicData uri="http://schemas.microsoft.com/office/word/2010/wordprocessingShape">
                    <wps:wsp>
                      <wps:cNvSpPr txBox="1"/>
                      <wps:spPr>
                        <a:xfrm>
                          <a:off x="0" y="0"/>
                          <a:ext cx="3045460" cy="2947035"/>
                        </a:xfrm>
                        <a:prstGeom prst="rect"/>
                        <a:solidFill>
                          <a:srgbClr val="FFFFFF"/>
                        </a:solidFill>
                      </wps:spPr>
                      <wps:txbx>
                        <w:txbxContent>
                          <w:tbl>
                            <w:tblPr>
                              <w:tblW w:w="10205" w:type="dxa"/>
                              <w:jc w:val="left"/>
                              <w:tblInd w:w="0" w:type="dxa"/>
                              <w:tblLayout w:type="fixed"/>
                              <w:tblCellMar>
                                <w:top w:w="0" w:type="dxa"/>
                                <w:left w:w="0" w:type="dxa"/>
                                <w:bottom w:w="60" w:type="dxa"/>
                                <w:right w:w="0" w:type="dxa"/>
                              </w:tblCellMar>
                            </w:tblPr>
                            <w:tblGrid>
                              <w:gridCol w:w="390"/>
                              <w:gridCol w:w="9815"/>
                            </w:tblGrid>
                            <w:tr>
                              <w:trPr/>
                              <w:tc>
                                <w:tcPr>
                                  <w:tcW w:w="390" w:type="dxa"/>
                                  <w:tcBorders>
                                    <w:bottom w:val="single" w:sz="2" w:space="0" w:color="939598"/>
                                  </w:tcBorders>
                                  <w:vAlign w:val="center"/>
                                </w:tcPr>
                                <w:p>
                                  <w:pPr>
                                    <w:pStyle w:val="TableContents"/>
                                    <w:bidi w:val="0"/>
                                    <w:spacing w:before="0" w:after="283"/>
                                    <w:jc w:val="center"/>
                                    <w:rPr/>
                                  </w:pPr>
                                  <w:r>
                                    <w:rPr/>
                                    <w:drawing>
                                      <wp:inline distT="0" distB="0" distL="0" distR="0">
                                        <wp:extent cx="238125" cy="238125"/>
                                        <wp:effectExtent l="0" t="0" r="0" b="0"/>
                                        <wp:docPr id="8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8" descr=""/>
                                                <pic:cNvPicPr>
                                                  <a:picLocks noChangeAspect="1" noChangeArrowheads="1"/>
                                                </pic:cNvPicPr>
                                              </pic:nvPicPr>
                                              <pic:blipFill>
                                                <a:blip r:embed="rId77"/>
                                                <a:stretch>
                                                  <a:fillRect/>
                                                </a:stretch>
                                              </pic:blipFill>
                                              <pic:spPr bwMode="auto">
                                                <a:xfrm>
                                                  <a:off x="0" y="0"/>
                                                  <a:ext cx="238125" cy="238125"/>
                                                </a:xfrm>
                                                <a:prstGeom prst="rect">
                                                  <a:avLst/>
                                                </a:prstGeom>
                                              </pic:spPr>
                                            </pic:pic>
                                          </a:graphicData>
                                        </a:graphic>
                                      </wp:inline>
                                    </w:drawing>
                                  </w:r>
                                </w:p>
                              </w:tc>
                              <w:tc>
                                <w:tcPr>
                                  <w:tcW w:w="9815" w:type="dxa"/>
                                  <w:tcBorders>
                                    <w:bottom w:val="single" w:sz="2" w:space="0" w:color="939598"/>
                                  </w:tcBorders>
                                  <w:vAlign w:val="center"/>
                                </w:tcPr>
                                <w:p>
                                  <w:pPr>
                                    <w:pStyle w:val="TableContents"/>
                                    <w:bidi w:val="0"/>
                                    <w:jc w:val="left"/>
                                    <w:rPr>
                                      <w:b/>
                                      <w:color w:val="231F20"/>
                                    </w:rPr>
                                  </w:pPr>
                                  <w:r>
                                    <w:rPr>
                                      <w:b/>
                                      <w:color w:val="231F20"/>
                                    </w:rPr>
                                    <w:t>Business Strategy/Operations Experience</w:t>
                                  </w:r>
                                </w:p>
                                <w:p>
                                  <w:pPr>
                                    <w:pStyle w:val="TableContents"/>
                                    <w:bidi w:val="0"/>
                                    <w:spacing w:before="0" w:after="283"/>
                                    <w:jc w:val="left"/>
                                    <w:rPr/>
                                  </w:pPr>
                                  <w:r>
                                    <w:rPr>
                                      <w:color w:val="231F20"/>
                                    </w:rPr>
                                    <w:t>Experience in positions advising or overseeing strategic</w:t>
                                  </w:r>
                                  <w:r>
                                    <w:rPr/>
                                    <w:t xml:space="preserve"> </w:t>
                                  </w:r>
                                  <w:r>
                                    <w:rPr>
                                      <w:color w:val="231F20"/>
                                    </w:rPr>
                                    <w:t>development or operations of an organization.</w:t>
                                  </w:r>
                                </w:p>
                              </w:tc>
                            </w:tr>
                            <w:tr>
                              <w:trPr/>
                              <w:tc>
                                <w:tcPr>
                                  <w:tcW w:w="390" w:type="dxa"/>
                                  <w:tcBorders>
                                    <w:bottom w:val="single" w:sz="2" w:space="0" w:color="939598"/>
                                  </w:tcBorders>
                                  <w:vAlign w:val="center"/>
                                </w:tcPr>
                                <w:p>
                                  <w:pPr>
                                    <w:pStyle w:val="TableContents"/>
                                    <w:bidi w:val="0"/>
                                    <w:spacing w:before="0" w:after="283"/>
                                    <w:jc w:val="center"/>
                                    <w:rPr/>
                                  </w:pPr>
                                  <w:r>
                                    <w:rPr/>
                                    <w:drawing>
                                      <wp:inline distT="0" distB="0" distL="0" distR="0">
                                        <wp:extent cx="238125" cy="219075"/>
                                        <wp:effectExtent l="0" t="0" r="0" b="0"/>
                                        <wp:docPr id="8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9" descr=""/>
                                                <pic:cNvPicPr>
                                                  <a:picLocks noChangeAspect="1" noChangeArrowheads="1"/>
                                                </pic:cNvPicPr>
                                              </pic:nvPicPr>
                                              <pic:blipFill>
                                                <a:blip r:embed="rId78"/>
                                                <a:stretch>
                                                  <a:fillRect/>
                                                </a:stretch>
                                              </pic:blipFill>
                                              <pic:spPr bwMode="auto">
                                                <a:xfrm>
                                                  <a:off x="0" y="0"/>
                                                  <a:ext cx="238125" cy="219075"/>
                                                </a:xfrm>
                                                <a:prstGeom prst="rect">
                                                  <a:avLst/>
                                                </a:prstGeom>
                                              </pic:spPr>
                                            </pic:pic>
                                          </a:graphicData>
                                        </a:graphic>
                                      </wp:inline>
                                    </w:drawing>
                                  </w:r>
                                </w:p>
                              </w:tc>
                              <w:tc>
                                <w:tcPr>
                                  <w:tcW w:w="9815" w:type="dxa"/>
                                  <w:tcBorders>
                                    <w:bottom w:val="single" w:sz="2" w:space="0" w:color="939598"/>
                                  </w:tcBorders>
                                  <w:vAlign w:val="center"/>
                                </w:tcPr>
                                <w:p>
                                  <w:pPr>
                                    <w:pStyle w:val="TableContents"/>
                                    <w:bidi w:val="0"/>
                                    <w:jc w:val="left"/>
                                    <w:rPr>
                                      <w:b/>
                                      <w:color w:val="231F20"/>
                                    </w:rPr>
                                  </w:pPr>
                                  <w:r>
                                    <w:rPr>
                                      <w:b/>
                                      <w:color w:val="231F20"/>
                                    </w:rPr>
                                    <w:t>Financial Expertise</w:t>
                                  </w:r>
                                </w:p>
                                <w:p>
                                  <w:pPr>
                                    <w:pStyle w:val="TableContents"/>
                                    <w:bidi w:val="0"/>
                                    <w:spacing w:before="0" w:after="283"/>
                                    <w:jc w:val="left"/>
                                    <w:rPr/>
                                  </w:pPr>
                                  <w:r>
                                    <w:rPr>
                                      <w:color w:val="231F20"/>
                                    </w:rPr>
                                    <w:t>Expertise in financial accounting and reporting processes</w:t>
                                  </w:r>
                                  <w:r>
                                    <w:rPr/>
                                    <w:t xml:space="preserve"> </w:t>
                                  </w:r>
                                  <w:r>
                                    <w:rPr>
                                      <w:color w:val="231F20"/>
                                    </w:rPr>
                                    <w:t>or the direct or indirect supervision of the financial</w:t>
                                  </w:r>
                                  <w:r>
                                    <w:rPr/>
                                    <w:t xml:space="preserve"> </w:t>
                                  </w:r>
                                  <w:r>
                                    <w:rPr>
                                      <w:color w:val="231F20"/>
                                    </w:rPr>
                                    <w:t>management of a major organization.</w:t>
                                  </w:r>
                                </w:p>
                              </w:tc>
                            </w:tr>
                            <w:tr>
                              <w:trPr/>
                              <w:tc>
                                <w:tcPr>
                                  <w:tcW w:w="390" w:type="dxa"/>
                                  <w:tcBorders>
                                    <w:bottom w:val="single" w:sz="2" w:space="0" w:color="939598"/>
                                  </w:tcBorders>
                                  <w:vAlign w:val="center"/>
                                </w:tcPr>
                                <w:p>
                                  <w:pPr>
                                    <w:pStyle w:val="TableContents"/>
                                    <w:bidi w:val="0"/>
                                    <w:spacing w:before="0" w:after="283"/>
                                    <w:jc w:val="center"/>
                                    <w:rPr/>
                                  </w:pPr>
                                  <w:r>
                                    <w:rPr/>
                                    <w:drawing>
                                      <wp:inline distT="0" distB="0" distL="0" distR="0">
                                        <wp:extent cx="238125" cy="238125"/>
                                        <wp:effectExtent l="0" t="0" r="0" b="0"/>
                                        <wp:docPr id="8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0" descr=""/>
                                                <pic:cNvPicPr>
                                                  <a:picLocks noChangeAspect="1" noChangeArrowheads="1"/>
                                                </pic:cNvPicPr>
                                              </pic:nvPicPr>
                                              <pic:blipFill>
                                                <a:blip r:embed="rId79"/>
                                                <a:stretch>
                                                  <a:fillRect/>
                                                </a:stretch>
                                              </pic:blipFill>
                                              <pic:spPr bwMode="auto">
                                                <a:xfrm>
                                                  <a:off x="0" y="0"/>
                                                  <a:ext cx="238125" cy="238125"/>
                                                </a:xfrm>
                                                <a:prstGeom prst="rect">
                                                  <a:avLst/>
                                                </a:prstGeom>
                                              </pic:spPr>
                                            </pic:pic>
                                          </a:graphicData>
                                        </a:graphic>
                                      </wp:inline>
                                    </w:drawing>
                                  </w:r>
                                </w:p>
                              </w:tc>
                              <w:tc>
                                <w:tcPr>
                                  <w:tcW w:w="9815" w:type="dxa"/>
                                  <w:tcBorders>
                                    <w:bottom w:val="single" w:sz="2" w:space="0" w:color="939598"/>
                                  </w:tcBorders>
                                  <w:vAlign w:val="center"/>
                                </w:tcPr>
                                <w:p>
                                  <w:pPr>
                                    <w:pStyle w:val="TableContents"/>
                                    <w:bidi w:val="0"/>
                                    <w:jc w:val="left"/>
                                    <w:rPr>
                                      <w:b/>
                                      <w:color w:val="231F20"/>
                                    </w:rPr>
                                  </w:pPr>
                                  <w:r>
                                    <w:rPr>
                                      <w:b/>
                                      <w:color w:val="231F20"/>
                                    </w:rPr>
                                    <w:t>Technology/Digital Experience</w:t>
                                  </w:r>
                                </w:p>
                                <w:p>
                                  <w:pPr>
                                    <w:pStyle w:val="TableContents"/>
                                    <w:bidi w:val="0"/>
                                    <w:spacing w:before="0" w:after="283"/>
                                    <w:jc w:val="left"/>
                                    <w:rPr/>
                                  </w:pPr>
                                  <w:r>
                                    <w:rPr>
                                      <w:color w:val="231F20"/>
                                    </w:rPr>
                                    <w:t>Experience in the technology field, including related to</w:t>
                                  </w:r>
                                  <w:r>
                                    <w:rPr/>
                                    <w:t xml:space="preserve"> </w:t>
                                  </w:r>
                                  <w:r>
                                    <w:rPr>
                                      <w:color w:val="231F20"/>
                                    </w:rPr>
                                    <w:t>digital technologies that facilitate business objectives</w:t>
                                  </w:r>
                                  <w:r>
                                    <w:rPr/>
                                    <w:t xml:space="preserve"> </w:t>
                                  </w:r>
                                  <w:r>
                                    <w:rPr>
                                      <w:color w:val="231F20"/>
                                    </w:rPr>
                                    <w:t>(such as information technology and artificial intelligence).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232.05pt;mso-wrap-distance-left:0pt;mso-wrap-distance-right:0pt;mso-wrap-distance-top:0pt;mso-wrap-distance-bottom:0pt;margin-top:0pt;mso-position-vertical:top;mso-position-vertical-relative:text;margin-left:270.45pt;mso-position-horizontal:right;mso-position-horizontal-relative:text">
                <v:textbox>
                  <w:txbxContent>
                    <w:tbl>
                      <w:tblPr>
                        <w:tblW w:w="10205" w:type="dxa"/>
                        <w:jc w:val="left"/>
                        <w:tblInd w:w="0" w:type="dxa"/>
                        <w:tblLayout w:type="fixed"/>
                        <w:tblCellMar>
                          <w:top w:w="0" w:type="dxa"/>
                          <w:left w:w="0" w:type="dxa"/>
                          <w:bottom w:w="60" w:type="dxa"/>
                          <w:right w:w="0" w:type="dxa"/>
                        </w:tblCellMar>
                      </w:tblPr>
                      <w:tblGrid>
                        <w:gridCol w:w="390"/>
                        <w:gridCol w:w="9815"/>
                      </w:tblGrid>
                      <w:tr>
                        <w:trPr/>
                        <w:tc>
                          <w:tcPr>
                            <w:tcW w:w="390" w:type="dxa"/>
                            <w:tcBorders>
                              <w:bottom w:val="single" w:sz="2" w:space="0" w:color="939598"/>
                            </w:tcBorders>
                            <w:vAlign w:val="center"/>
                          </w:tcPr>
                          <w:p>
                            <w:pPr>
                              <w:pStyle w:val="TableContents"/>
                              <w:bidi w:val="0"/>
                              <w:spacing w:before="0" w:after="283"/>
                              <w:jc w:val="center"/>
                              <w:rPr/>
                            </w:pPr>
                            <w:r>
                              <w:rPr/>
                              <w:drawing>
                                <wp:inline distT="0" distB="0" distL="0" distR="0">
                                  <wp:extent cx="238125" cy="238125"/>
                                  <wp:effectExtent l="0" t="0" r="0" b="0"/>
                                  <wp:docPr id="8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8" descr=""/>
                                          <pic:cNvPicPr>
                                            <a:picLocks noChangeAspect="1" noChangeArrowheads="1"/>
                                          </pic:cNvPicPr>
                                        </pic:nvPicPr>
                                        <pic:blipFill>
                                          <a:blip r:embed="rId80"/>
                                          <a:stretch>
                                            <a:fillRect/>
                                          </a:stretch>
                                        </pic:blipFill>
                                        <pic:spPr bwMode="auto">
                                          <a:xfrm>
                                            <a:off x="0" y="0"/>
                                            <a:ext cx="238125" cy="238125"/>
                                          </a:xfrm>
                                          <a:prstGeom prst="rect">
                                            <a:avLst/>
                                          </a:prstGeom>
                                        </pic:spPr>
                                      </pic:pic>
                                    </a:graphicData>
                                  </a:graphic>
                                </wp:inline>
                              </w:drawing>
                            </w:r>
                          </w:p>
                        </w:tc>
                        <w:tc>
                          <w:tcPr>
                            <w:tcW w:w="9815" w:type="dxa"/>
                            <w:tcBorders>
                              <w:bottom w:val="single" w:sz="2" w:space="0" w:color="939598"/>
                            </w:tcBorders>
                            <w:vAlign w:val="center"/>
                          </w:tcPr>
                          <w:p>
                            <w:pPr>
                              <w:pStyle w:val="TableContents"/>
                              <w:bidi w:val="0"/>
                              <w:jc w:val="left"/>
                              <w:rPr>
                                <w:b/>
                                <w:color w:val="231F20"/>
                              </w:rPr>
                            </w:pPr>
                            <w:r>
                              <w:rPr>
                                <w:b/>
                                <w:color w:val="231F20"/>
                              </w:rPr>
                              <w:t>Business Strategy/Operations Experience</w:t>
                            </w:r>
                          </w:p>
                          <w:p>
                            <w:pPr>
                              <w:pStyle w:val="TableContents"/>
                              <w:bidi w:val="0"/>
                              <w:spacing w:before="0" w:after="283"/>
                              <w:jc w:val="left"/>
                              <w:rPr/>
                            </w:pPr>
                            <w:r>
                              <w:rPr>
                                <w:color w:val="231F20"/>
                              </w:rPr>
                              <w:t>Experience in positions advising or overseeing strategic</w:t>
                            </w:r>
                            <w:r>
                              <w:rPr/>
                              <w:t xml:space="preserve"> </w:t>
                            </w:r>
                            <w:r>
                              <w:rPr>
                                <w:color w:val="231F20"/>
                              </w:rPr>
                              <w:t>development or operations of an organization.</w:t>
                            </w:r>
                          </w:p>
                        </w:tc>
                      </w:tr>
                      <w:tr>
                        <w:trPr/>
                        <w:tc>
                          <w:tcPr>
                            <w:tcW w:w="390" w:type="dxa"/>
                            <w:tcBorders>
                              <w:bottom w:val="single" w:sz="2" w:space="0" w:color="939598"/>
                            </w:tcBorders>
                            <w:vAlign w:val="center"/>
                          </w:tcPr>
                          <w:p>
                            <w:pPr>
                              <w:pStyle w:val="TableContents"/>
                              <w:bidi w:val="0"/>
                              <w:spacing w:before="0" w:after="283"/>
                              <w:jc w:val="center"/>
                              <w:rPr/>
                            </w:pPr>
                            <w:r>
                              <w:rPr/>
                              <w:drawing>
                                <wp:inline distT="0" distB="0" distL="0" distR="0">
                                  <wp:extent cx="238125" cy="219075"/>
                                  <wp:effectExtent l="0" t="0" r="0" b="0"/>
                                  <wp:docPr id="8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9" descr=""/>
                                          <pic:cNvPicPr>
                                            <a:picLocks noChangeAspect="1" noChangeArrowheads="1"/>
                                          </pic:cNvPicPr>
                                        </pic:nvPicPr>
                                        <pic:blipFill>
                                          <a:blip r:embed="rId81"/>
                                          <a:stretch>
                                            <a:fillRect/>
                                          </a:stretch>
                                        </pic:blipFill>
                                        <pic:spPr bwMode="auto">
                                          <a:xfrm>
                                            <a:off x="0" y="0"/>
                                            <a:ext cx="238125" cy="219075"/>
                                          </a:xfrm>
                                          <a:prstGeom prst="rect">
                                            <a:avLst/>
                                          </a:prstGeom>
                                        </pic:spPr>
                                      </pic:pic>
                                    </a:graphicData>
                                  </a:graphic>
                                </wp:inline>
                              </w:drawing>
                            </w:r>
                          </w:p>
                        </w:tc>
                        <w:tc>
                          <w:tcPr>
                            <w:tcW w:w="9815" w:type="dxa"/>
                            <w:tcBorders>
                              <w:bottom w:val="single" w:sz="2" w:space="0" w:color="939598"/>
                            </w:tcBorders>
                            <w:vAlign w:val="center"/>
                          </w:tcPr>
                          <w:p>
                            <w:pPr>
                              <w:pStyle w:val="TableContents"/>
                              <w:bidi w:val="0"/>
                              <w:jc w:val="left"/>
                              <w:rPr>
                                <w:b/>
                                <w:color w:val="231F20"/>
                              </w:rPr>
                            </w:pPr>
                            <w:r>
                              <w:rPr>
                                <w:b/>
                                <w:color w:val="231F20"/>
                              </w:rPr>
                              <w:t>Financial Expertise</w:t>
                            </w:r>
                          </w:p>
                          <w:p>
                            <w:pPr>
                              <w:pStyle w:val="TableContents"/>
                              <w:bidi w:val="0"/>
                              <w:spacing w:before="0" w:after="283"/>
                              <w:jc w:val="left"/>
                              <w:rPr/>
                            </w:pPr>
                            <w:r>
                              <w:rPr>
                                <w:color w:val="231F20"/>
                              </w:rPr>
                              <w:t>Expertise in financial accounting and reporting processes</w:t>
                            </w:r>
                            <w:r>
                              <w:rPr/>
                              <w:t xml:space="preserve"> </w:t>
                            </w:r>
                            <w:r>
                              <w:rPr>
                                <w:color w:val="231F20"/>
                              </w:rPr>
                              <w:t>or the direct or indirect supervision of the financial</w:t>
                            </w:r>
                            <w:r>
                              <w:rPr/>
                              <w:t xml:space="preserve"> </w:t>
                            </w:r>
                            <w:r>
                              <w:rPr>
                                <w:color w:val="231F20"/>
                              </w:rPr>
                              <w:t>management of a major organization.</w:t>
                            </w:r>
                          </w:p>
                        </w:tc>
                      </w:tr>
                      <w:tr>
                        <w:trPr/>
                        <w:tc>
                          <w:tcPr>
                            <w:tcW w:w="390" w:type="dxa"/>
                            <w:tcBorders>
                              <w:bottom w:val="single" w:sz="2" w:space="0" w:color="939598"/>
                            </w:tcBorders>
                            <w:vAlign w:val="center"/>
                          </w:tcPr>
                          <w:p>
                            <w:pPr>
                              <w:pStyle w:val="TableContents"/>
                              <w:bidi w:val="0"/>
                              <w:spacing w:before="0" w:after="283"/>
                              <w:jc w:val="center"/>
                              <w:rPr/>
                            </w:pPr>
                            <w:r>
                              <w:rPr/>
                              <w:drawing>
                                <wp:inline distT="0" distB="0" distL="0" distR="0">
                                  <wp:extent cx="238125" cy="238125"/>
                                  <wp:effectExtent l="0" t="0" r="0" b="0"/>
                                  <wp:docPr id="8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0" descr=""/>
                                          <pic:cNvPicPr>
                                            <a:picLocks noChangeAspect="1" noChangeArrowheads="1"/>
                                          </pic:cNvPicPr>
                                        </pic:nvPicPr>
                                        <pic:blipFill>
                                          <a:blip r:embed="rId82"/>
                                          <a:stretch>
                                            <a:fillRect/>
                                          </a:stretch>
                                        </pic:blipFill>
                                        <pic:spPr bwMode="auto">
                                          <a:xfrm>
                                            <a:off x="0" y="0"/>
                                            <a:ext cx="238125" cy="238125"/>
                                          </a:xfrm>
                                          <a:prstGeom prst="rect">
                                            <a:avLst/>
                                          </a:prstGeom>
                                        </pic:spPr>
                                      </pic:pic>
                                    </a:graphicData>
                                  </a:graphic>
                                </wp:inline>
                              </w:drawing>
                            </w:r>
                          </w:p>
                        </w:tc>
                        <w:tc>
                          <w:tcPr>
                            <w:tcW w:w="9815" w:type="dxa"/>
                            <w:tcBorders>
                              <w:bottom w:val="single" w:sz="2" w:space="0" w:color="939598"/>
                            </w:tcBorders>
                            <w:vAlign w:val="center"/>
                          </w:tcPr>
                          <w:p>
                            <w:pPr>
                              <w:pStyle w:val="TableContents"/>
                              <w:bidi w:val="0"/>
                              <w:jc w:val="left"/>
                              <w:rPr>
                                <w:b/>
                                <w:color w:val="231F20"/>
                              </w:rPr>
                            </w:pPr>
                            <w:r>
                              <w:rPr>
                                <w:b/>
                                <w:color w:val="231F20"/>
                              </w:rPr>
                              <w:t>Technology/Digital Experience</w:t>
                            </w:r>
                          </w:p>
                          <w:p>
                            <w:pPr>
                              <w:pStyle w:val="TableContents"/>
                              <w:bidi w:val="0"/>
                              <w:spacing w:before="0" w:after="283"/>
                              <w:jc w:val="left"/>
                              <w:rPr/>
                            </w:pPr>
                            <w:r>
                              <w:rPr>
                                <w:color w:val="231F20"/>
                              </w:rPr>
                              <w:t>Experience in the technology field, including related to</w:t>
                            </w:r>
                            <w:r>
                              <w:rPr/>
                              <w:t xml:space="preserve"> </w:t>
                            </w:r>
                            <w:r>
                              <w:rPr>
                                <w:color w:val="231F20"/>
                              </w:rPr>
                              <w:t>digital technologies that facilitate business objectives</w:t>
                            </w:r>
                            <w:r>
                              <w:rPr/>
                              <w:t xml:space="preserve"> </w:t>
                            </w:r>
                            <w:r>
                              <w:rPr>
                                <w:color w:val="231F20"/>
                              </w:rPr>
                              <w:t>(such as information technology and artificial intelligence).</w:t>
                            </w:r>
                          </w:p>
                        </w:tc>
                      </w:tr>
                    </w:tbl>
                    <w:p>
                      <w:pPr>
                        <w:pStyle w:val="TextBody"/>
                        <w:bidi w:val="0"/>
                        <w:spacing w:before="0" w:after="283"/>
                        <w:jc w:val="left"/>
                        <w:rPr/>
                      </w:pPr>
                      <w:r>
                        <w:rPr/>
                      </w:r>
                    </w:p>
                  </w:txbxContent>
                </v:textbox>
                <w10:wrap type="square" side="left"/>
              </v:rect>
            </w:pict>
          </mc:Fallback>
        </mc:AlternateConten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8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1" descr=""/>
                          <pic:cNvPicPr>
                            <a:picLocks noChangeAspect="1" noChangeArrowheads="1"/>
                          </pic:cNvPicPr>
                        </pic:nvPicPr>
                        <pic:blipFill>
                          <a:blip r:embed="rId83"/>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0F5EAC"/>
        </w:rPr>
      </w:pPr>
      <w:r>
        <w:rPr>
          <w:caps w:val="false"/>
          <w:smallCaps w:val="false"/>
          <w:color w:val="0F5EAC"/>
        </w:rPr>
        <w:t> </w:t>
      </w:r>
    </w:p>
    <w:p>
      <w:pPr>
        <w:pStyle w:val="Heading3"/>
        <w:bidi w:val="0"/>
        <w:spacing w:before="0" w:after="0"/>
        <w:ind w:left="0" w:right="0" w:hanging="0"/>
        <w:jc w:val="left"/>
        <w:rPr>
          <w:rFonts w:ascii="Arial;Helvetica;Sans-Serif" w:hAnsi="Arial;Helvetica;Sans-Serif"/>
          <w:b/>
          <w:i w:val="false"/>
          <w:caps w:val="false"/>
          <w:smallCaps w:val="false"/>
          <w:color w:val="0F5EAC"/>
          <w:sz w:val="32"/>
        </w:rPr>
      </w:pPr>
      <w:r>
        <w:rPr>
          <w:rFonts w:ascii="Arial;Helvetica;Sans-Serif" w:hAnsi="Arial;Helvetica;Sans-Serif"/>
          <w:b/>
          <w:i w:val="false"/>
          <w:caps w:val="false"/>
          <w:smallCaps w:val="false"/>
          <w:color w:val="0F5EAC"/>
          <w:sz w:val="32"/>
        </w:rPr>
        <w:t>Class I Director Nominees for a Term Expiring at the 2028 Annual Meeting</w:t>
      </w:r>
      <w:r>
        <w:rPr>
          <w:rFonts w:ascii="Arial;Helvetica;Sans-Serif" w:hAnsi="Arial;Helvetica;Sans-Serif"/>
          <w:b/>
          <w:i w:val="false"/>
          <w:caps w:val="false"/>
          <w:smallCaps w:val="false"/>
          <w:color w:val="0F5EAC"/>
          <w:position w:val="11"/>
          <w:sz w:val="26"/>
          <w:sz w:val="32"/>
        </w:rPr>
        <w:t>2</w:t>
      </w:r>
    </w:p>
    <w:p>
      <w:pPr>
        <w:pStyle w:val="TextBody"/>
        <w:bidi w:val="0"/>
        <w:spacing w:before="0" w:after="0"/>
        <w:ind w:left="0" w:right="0" w:hanging="0"/>
        <w:jc w:val="center"/>
        <w:rPr>
          <w:caps w:val="false"/>
          <w:smallCaps w:val="false"/>
          <w:color w:val="0F5EAC"/>
        </w:rPr>
      </w:pPr>
      <w:r>
        <w:rPr>
          <w:caps w:val="false"/>
          <w:smallCaps w:val="false"/>
          <w:color w:val="0F5EAC"/>
        </w:rPr>
        <w:t> </w:t>
      </w:r>
    </w:p>
    <w:tbl>
      <w:tblPr>
        <w:tblW w:w="10205" w:type="dxa"/>
        <w:jc w:val="center"/>
        <w:tblInd w:w="0" w:type="dxa"/>
        <w:tblLayout w:type="fixed"/>
        <w:tblCellMar>
          <w:top w:w="0" w:type="dxa"/>
          <w:left w:w="0" w:type="dxa"/>
          <w:bottom w:w="0" w:type="dxa"/>
          <w:right w:w="0" w:type="dxa"/>
        </w:tblCellMar>
      </w:tblPr>
      <w:tblGrid>
        <w:gridCol w:w="2550"/>
        <w:gridCol w:w="60"/>
        <w:gridCol w:w="623"/>
        <w:gridCol w:w="2994"/>
        <w:gridCol w:w="623"/>
        <w:gridCol w:w="3355"/>
      </w:tblGrid>
      <w:tr>
        <w:trPr/>
        <w:tc>
          <w:tcPr>
            <w:tcW w:w="2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2994"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3355" w:type="dxa"/>
            <w:tcBorders/>
            <w:vAlign w:val="center"/>
          </w:tcPr>
          <w:p>
            <w:pPr>
              <w:pStyle w:val="TableContents"/>
              <w:bidi w:val="0"/>
              <w:spacing w:before="0" w:after="283"/>
              <w:jc w:val="left"/>
              <w:rPr/>
            </w:pPr>
            <w:r>
              <w:rPr/>
              <w:t> </w:t>
            </w:r>
          </w:p>
        </w:tc>
      </w:tr>
      <w:tr>
        <w:trPr/>
        <w:tc>
          <w:tcPr>
            <w:tcW w:w="2550"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52525"/>
                  <wp:effectExtent l="0" t="0" r="0" b="0"/>
                  <wp:docPr id="8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2" descr=""/>
                          <pic:cNvPicPr>
                            <a:picLocks noChangeAspect="1" noChangeArrowheads="1"/>
                          </pic:cNvPicPr>
                        </pic:nvPicPr>
                        <pic:blipFill>
                          <a:blip r:embed="rId84"/>
                          <a:stretch>
                            <a:fillRect/>
                          </a:stretch>
                        </pic:blipFill>
                        <pic:spPr bwMode="auto">
                          <a:xfrm>
                            <a:off x="0" y="0"/>
                            <a:ext cx="1143000" cy="1152525"/>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Corporate Governance and Compliance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5/5</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2/2</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7595"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Bonnie L. Bassler, Ph.D.</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95" w:type="dxa"/>
            <w:gridSpan w:val="4"/>
            <w:tcBorders/>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95"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2016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62</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617" w:type="dxa"/>
            <w:gridSpan w:val="2"/>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3355" w:type="dxa"/>
            <w:tcBorders/>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95"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Chair of the Department of Molecular Biology since 2013 and Squibb Professor in Molecular Biology since 2003 at Princeton University</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Howard Hughes Medical Institute Investigator</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President of the American Society for Microbiology</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member of the board of the American Association for the Advancement of Science, the National Science Foundation, and the American Academy of Microbiology</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U.S. National Medal of Science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MacArthur Foundation Fellowship</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Lounsbery Award</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Shaw Prize for Life Science and Medicine</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Gruber Prize in Genetics</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Wolf Prize in Chemistry</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Canada Gairdner International Award</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director of Kaleido Biosciences, Inc.</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2994"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3355" w:type="dxa"/>
            <w:tcBorders/>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617"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623" w:type="dxa"/>
            <w:tcBorders/>
            <w:vAlign w:val="center"/>
          </w:tcPr>
          <w:p>
            <w:pPr>
              <w:pStyle w:val="TableContents"/>
              <w:bidi w:val="0"/>
              <w:spacing w:before="0" w:after="283"/>
              <w:jc w:val="center"/>
              <w:rPr/>
            </w:pPr>
            <w:r>
              <w:rPr/>
              <w:t> </w:t>
            </w:r>
          </w:p>
        </w:tc>
        <w:tc>
          <w:tcPr>
            <w:tcW w:w="3355" w:type="dxa"/>
            <w:tcBorders/>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2994"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3355" w:type="dxa"/>
            <w:tcBorders/>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left"/>
              <w:rPr/>
            </w:pPr>
            <w:r>
              <w:rPr/>
              <w:drawing>
                <wp:inline distT="0" distB="0" distL="0" distR="0">
                  <wp:extent cx="238125" cy="228600"/>
                  <wp:effectExtent l="0" t="0" r="0" b="0"/>
                  <wp:docPr id="9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3" descr=""/>
                          <pic:cNvPicPr>
                            <a:picLocks noChangeAspect="1" noChangeArrowheads="1"/>
                          </pic:cNvPicPr>
                        </pic:nvPicPr>
                        <pic:blipFill>
                          <a:blip r:embed="rId85"/>
                          <a:stretch>
                            <a:fillRect/>
                          </a:stretch>
                        </pic:blipFill>
                        <pic:spPr bwMode="auto">
                          <a:xfrm>
                            <a:off x="0" y="0"/>
                            <a:ext cx="238125" cy="228600"/>
                          </a:xfrm>
                          <a:prstGeom prst="rect">
                            <a:avLst/>
                          </a:prstGeom>
                        </pic:spPr>
                      </pic:pic>
                    </a:graphicData>
                  </a:graphic>
                </wp:inline>
              </w:drawing>
            </w:r>
          </w:p>
        </w:tc>
        <w:tc>
          <w:tcPr>
            <w:tcW w:w="2994"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623" w:type="dxa"/>
            <w:tcBorders/>
            <w:vAlign w:val="center"/>
          </w:tcPr>
          <w:p>
            <w:pPr>
              <w:pStyle w:val="TableContents"/>
              <w:bidi w:val="0"/>
              <w:spacing w:before="0" w:after="283"/>
              <w:jc w:val="left"/>
              <w:rPr/>
            </w:pPr>
            <w:r>
              <w:rPr/>
              <w:drawing>
                <wp:inline distT="0" distB="0" distL="0" distR="0">
                  <wp:extent cx="238125" cy="209550"/>
                  <wp:effectExtent l="0" t="0" r="0" b="0"/>
                  <wp:docPr id="9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4" descr=""/>
                          <pic:cNvPicPr>
                            <a:picLocks noChangeAspect="1" noChangeArrowheads="1"/>
                          </pic:cNvPicPr>
                        </pic:nvPicPr>
                        <pic:blipFill>
                          <a:blip r:embed="rId86"/>
                          <a:stretch>
                            <a:fillRect/>
                          </a:stretch>
                        </pic:blipFill>
                        <pic:spPr bwMode="auto">
                          <a:xfrm>
                            <a:off x="0" y="0"/>
                            <a:ext cx="238125" cy="209550"/>
                          </a:xfrm>
                          <a:prstGeom prst="rect">
                            <a:avLst/>
                          </a:prstGeom>
                        </pic:spPr>
                      </pic:pic>
                    </a:graphicData>
                  </a:graphic>
                </wp:inline>
              </w:drawing>
            </w:r>
          </w:p>
        </w:tc>
        <w:tc>
          <w:tcPr>
            <w:tcW w:w="33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2994"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3355" w:type="dxa"/>
            <w:tcBorders/>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left"/>
              <w:rPr/>
            </w:pPr>
            <w:r>
              <w:rPr/>
              <w:drawing>
                <wp:inline distT="0" distB="0" distL="0" distR="0">
                  <wp:extent cx="238125" cy="228600"/>
                  <wp:effectExtent l="0" t="0" r="0" b="0"/>
                  <wp:docPr id="9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5" descr=""/>
                          <pic:cNvPicPr>
                            <a:picLocks noChangeAspect="1" noChangeArrowheads="1"/>
                          </pic:cNvPicPr>
                        </pic:nvPicPr>
                        <pic:blipFill>
                          <a:blip r:embed="rId87"/>
                          <a:stretch>
                            <a:fillRect/>
                          </a:stretch>
                        </pic:blipFill>
                        <pic:spPr bwMode="auto">
                          <a:xfrm>
                            <a:off x="0" y="0"/>
                            <a:ext cx="238125" cy="228600"/>
                          </a:xfrm>
                          <a:prstGeom prst="rect">
                            <a:avLst/>
                          </a:prstGeom>
                        </pic:spPr>
                      </pic:pic>
                    </a:graphicData>
                  </a:graphic>
                </wp:inline>
              </w:drawing>
            </w:r>
          </w:p>
        </w:tc>
        <w:tc>
          <w:tcPr>
            <w:tcW w:w="2994"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623" w:type="dxa"/>
            <w:tcBorders/>
            <w:vAlign w:val="center"/>
          </w:tcPr>
          <w:p>
            <w:pPr>
              <w:pStyle w:val="TableContents"/>
              <w:bidi w:val="0"/>
              <w:spacing w:before="0" w:after="283"/>
              <w:jc w:val="left"/>
              <w:rPr/>
            </w:pPr>
            <w:r>
              <w:rPr/>
              <w:drawing>
                <wp:inline distT="0" distB="0" distL="0" distR="0">
                  <wp:extent cx="190500" cy="257175"/>
                  <wp:effectExtent l="0" t="0" r="0" b="0"/>
                  <wp:docPr id="9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6" descr=""/>
                          <pic:cNvPicPr>
                            <a:picLocks noChangeAspect="1" noChangeArrowheads="1"/>
                          </pic:cNvPicPr>
                        </pic:nvPicPr>
                        <pic:blipFill>
                          <a:blip r:embed="rId88"/>
                          <a:stretch>
                            <a:fillRect/>
                          </a:stretch>
                        </pic:blipFill>
                        <pic:spPr bwMode="auto">
                          <a:xfrm>
                            <a:off x="0" y="0"/>
                            <a:ext cx="190500" cy="257175"/>
                          </a:xfrm>
                          <a:prstGeom prst="rect">
                            <a:avLst/>
                          </a:prstGeom>
                        </pic:spPr>
                      </pic:pic>
                    </a:graphicData>
                  </a:graphic>
                </wp:inline>
              </w:drawing>
            </w:r>
          </w:p>
        </w:tc>
        <w:tc>
          <w:tcPr>
            <w:tcW w:w="33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23" w:type="dxa"/>
            <w:tcBorders>
              <w:bottom w:val="single" w:sz="8" w:space="0" w:color="3B5AA4"/>
            </w:tcBorders>
            <w:tcMar>
              <w:bottom w:w="28" w:type="dxa"/>
            </w:tcMar>
            <w:vAlign w:val="center"/>
          </w:tcPr>
          <w:p>
            <w:pPr>
              <w:pStyle w:val="TableContents"/>
              <w:bidi w:val="0"/>
              <w:spacing w:before="0" w:after="283"/>
              <w:jc w:val="center"/>
              <w:rPr/>
            </w:pPr>
            <w:r>
              <w:rPr/>
              <w:t> </w:t>
            </w:r>
          </w:p>
        </w:tc>
        <w:tc>
          <w:tcPr>
            <w:tcW w:w="2994" w:type="dxa"/>
            <w:tcBorders>
              <w:bottom w:val="single" w:sz="8" w:space="0" w:color="215AA8"/>
            </w:tcBorders>
            <w:tcMar>
              <w:bottom w:w="28" w:type="dxa"/>
            </w:tcMar>
            <w:vAlign w:val="center"/>
          </w:tcPr>
          <w:p>
            <w:pPr>
              <w:pStyle w:val="TableContents"/>
              <w:bidi w:val="0"/>
              <w:spacing w:before="0" w:after="283"/>
              <w:jc w:val="left"/>
              <w:rPr/>
            </w:pPr>
            <w:r>
              <w:rPr/>
              <w:t> </w:t>
            </w:r>
          </w:p>
        </w:tc>
        <w:tc>
          <w:tcPr>
            <w:tcW w:w="623" w:type="dxa"/>
            <w:tcBorders>
              <w:bottom w:val="single" w:sz="8" w:space="0" w:color="3B5AA4"/>
            </w:tcBorders>
            <w:tcMar>
              <w:bottom w:w="28" w:type="dxa"/>
            </w:tcMar>
            <w:vAlign w:val="center"/>
          </w:tcPr>
          <w:p>
            <w:pPr>
              <w:pStyle w:val="TableContents"/>
              <w:bidi w:val="0"/>
              <w:spacing w:before="0" w:after="283"/>
              <w:jc w:val="center"/>
              <w:rPr/>
            </w:pPr>
            <w:r>
              <w:rPr/>
              <w:t> </w:t>
            </w:r>
          </w:p>
        </w:tc>
        <w:tc>
          <w:tcPr>
            <w:tcW w:w="3355"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2994"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3355" w:type="dxa"/>
            <w:tcBorders/>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3617" w:type="dxa"/>
            <w:gridSpan w:val="2"/>
            <w:tcBorders>
              <w:bottom w:val="single" w:sz="8" w:space="0" w:color="215AA8"/>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Scientific Society Memberships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Sciences</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Medicine</w:t>
            </w:r>
          </w:p>
          <w:p>
            <w:pPr>
              <w:pStyle w:val="TableContents"/>
              <w:bidi w:val="0"/>
              <w:spacing w:before="0" w:after="2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American Academy of Arts and Sciences </w:t>
            </w:r>
          </w:p>
        </w:tc>
        <w:tc>
          <w:tcPr>
            <w:tcW w:w="3978" w:type="dxa"/>
            <w:gridSpan w:val="2"/>
            <w:tcBorders>
              <w:bottom w:val="single" w:sz="8" w:space="0" w:color="215AA8"/>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Royal Society of London</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American Philosophical Society</w:t>
            </w:r>
          </w:p>
        </w:tc>
      </w:tr>
      <w:tr>
        <w:trPr/>
        <w:tc>
          <w:tcPr>
            <w:tcW w:w="255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3617" w:type="dxa"/>
            <w:gridSpan w:val="2"/>
            <w:tcBorders>
              <w:bottom w:val="single" w:sz="8" w:space="0" w:color="3B5AA4"/>
            </w:tcBorders>
            <w:tcMar>
              <w:bottom w:w="28" w:type="dxa"/>
            </w:tcMar>
            <w:vAlign w:val="center"/>
          </w:tcPr>
          <w:p>
            <w:pPr>
              <w:pStyle w:val="TableContents"/>
              <w:bidi w:val="0"/>
              <w:spacing w:before="160" w:after="0"/>
              <w:ind w:left="160" w:right="16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Other Public Company Boards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Cidara Therapeutics, Inc.</w:t>
            </w:r>
          </w:p>
          <w:p>
            <w:pPr>
              <w:pStyle w:val="TableContents"/>
              <w:bidi w:val="0"/>
              <w:spacing w:before="0" w:after="2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Royalty Pharma plc</w:t>
            </w:r>
          </w:p>
        </w:tc>
        <w:tc>
          <w:tcPr>
            <w:tcW w:w="3978" w:type="dxa"/>
            <w:gridSpan w:val="2"/>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2994"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3355" w:type="dxa"/>
            <w:tcBorders/>
            <w:vAlign w:val="center"/>
          </w:tcPr>
          <w:p>
            <w:pPr>
              <w:pStyle w:val="TableContents"/>
              <w:bidi w:val="0"/>
              <w:spacing w:before="0" w:after="283"/>
              <w:jc w:val="left"/>
              <w:rPr/>
            </w:pPr>
            <w:r>
              <w:rPr/>
              <w:t> </w:t>
            </w:r>
          </w:p>
        </w:tc>
      </w:tr>
      <w:tr>
        <w:trPr/>
        <w:tc>
          <w:tcPr>
            <w:tcW w:w="25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95"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Bassler’s extensive research experience and her scientific and academic career and accomplishments, as well as her experience as a corporate director, led to the board’s decision to nominate Dr. Bassler for reelection to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top w:val="single" w:sz="2" w:space="1" w:color="BCBEC0"/>
        </w:pBdr>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10101"/>
                <w:position w:val="5"/>
                <w:sz w:val="13"/>
                <w:sz w:val="16"/>
              </w:rPr>
            </w:pPr>
            <w:r>
              <w:rPr>
                <w:rFonts w:ascii="Arial;Helvetica;Sans-Serif" w:hAnsi="Arial;Helvetica;Sans-Serif"/>
                <w:b w:val="false"/>
                <w:i w:val="false"/>
                <w:caps w:val="false"/>
                <w:smallCaps w:val="false"/>
                <w:color w:val="010101"/>
                <w:position w:val="5"/>
                <w:sz w:val="13"/>
                <w:sz w:val="16"/>
              </w:rPr>
              <w:t>2</w:t>
            </w:r>
          </w:p>
        </w:tc>
        <w:tc>
          <w:tcPr>
            <w:tcW w:w="1009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Unless otherwise noted, biographical information is given as of April 15, 2025 for each nominee and for each of the other directors whose term of office will continue after the 2025 Annual Meeting. All nominees are presently directors and were previously elected by the shareholders. None of the corporations or other organizations referred to below with which a director has been or is currently employed or otherwise associated is a parent, subsidiary, or affiliate of the Company.</w:t>
            </w:r>
          </w:p>
        </w:tc>
      </w:tr>
    </w:tbl>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9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7" descr=""/>
                          <pic:cNvPicPr>
                            <a:picLocks noChangeAspect="1" noChangeArrowheads="1"/>
                          </pic:cNvPicPr>
                        </pic:nvPicPr>
                        <pic:blipFill>
                          <a:blip r:embed="rId89"/>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257"/>
        <w:gridCol w:w="60"/>
        <w:gridCol w:w="666"/>
        <w:gridCol w:w="3101"/>
        <w:gridCol w:w="666"/>
        <w:gridCol w:w="3455"/>
      </w:tblGrid>
      <w:tr>
        <w:trPr/>
        <w:tc>
          <w:tcPr>
            <w:tcW w:w="22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101"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455" w:type="dxa"/>
            <w:tcBorders/>
            <w:vAlign w:val="center"/>
          </w:tcPr>
          <w:p>
            <w:pPr>
              <w:pStyle w:val="TableContents"/>
              <w:bidi w:val="0"/>
              <w:spacing w:before="0" w:after="283"/>
              <w:jc w:val="left"/>
              <w:rPr/>
            </w:pPr>
            <w:r>
              <w:rPr/>
              <w:t> </w:t>
            </w:r>
          </w:p>
        </w:tc>
      </w:tr>
      <w:tr>
        <w:trPr/>
        <w:tc>
          <w:tcPr>
            <w:tcW w:w="2257"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9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8" descr=""/>
                          <pic:cNvPicPr>
                            <a:picLocks noChangeAspect="1" noChangeArrowheads="1"/>
                          </pic:cNvPicPr>
                        </pic:nvPicPr>
                        <pic:blipFill>
                          <a:blip r:embed="rId90"/>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Corporate Governance and Compliance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5/5</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 Committee (Chair):</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2/2</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7888"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Michael S. Brown, M.D.</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88" w:type="dxa"/>
            <w:gridSpan w:val="4"/>
            <w:tcBorders/>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88"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1991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84</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767" w:type="dxa"/>
            <w:gridSpan w:val="2"/>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455" w:type="dxa"/>
            <w:tcBorders/>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88"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Distinguished Chair in Biomedical Sciences since 1989 and Regental Professor of Molecular Genetics and Internal Medicine and Director of the Jonsson Center for Molecular Genetics since 1985 at The University of Texas Southwestern Medical Center at Dallas</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Nobel Prize for Physiology or Medicine in 1985 (jointly with Dr. Goldstein)</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U.S. National Medal of Science in 1988 (jointly with Dr. Goldstein)</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101"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455" w:type="dxa"/>
            <w:tcBorders/>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767"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666" w:type="dxa"/>
            <w:tcBorders/>
            <w:vAlign w:val="center"/>
          </w:tcPr>
          <w:p>
            <w:pPr>
              <w:pStyle w:val="TableContents"/>
              <w:bidi w:val="0"/>
              <w:spacing w:before="0" w:after="283"/>
              <w:jc w:val="center"/>
              <w:rPr/>
            </w:pPr>
            <w:r>
              <w:rPr/>
              <w:t> </w:t>
            </w:r>
          </w:p>
        </w:tc>
        <w:tc>
          <w:tcPr>
            <w:tcW w:w="3455" w:type="dxa"/>
            <w:tcBorders/>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101"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455" w:type="dxa"/>
            <w:tcBorders/>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drawing>
                <wp:inline distT="0" distB="0" distL="0" distR="0">
                  <wp:extent cx="238125" cy="228600"/>
                  <wp:effectExtent l="0" t="0" r="0" b="0"/>
                  <wp:docPr id="9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9" descr=""/>
                          <pic:cNvPicPr>
                            <a:picLocks noChangeAspect="1" noChangeArrowheads="1"/>
                          </pic:cNvPicPr>
                        </pic:nvPicPr>
                        <pic:blipFill>
                          <a:blip r:embed="rId91"/>
                          <a:stretch>
                            <a:fillRect/>
                          </a:stretch>
                        </pic:blipFill>
                        <pic:spPr bwMode="auto">
                          <a:xfrm>
                            <a:off x="0" y="0"/>
                            <a:ext cx="238125" cy="228600"/>
                          </a:xfrm>
                          <a:prstGeom prst="rect">
                            <a:avLst/>
                          </a:prstGeom>
                        </pic:spPr>
                      </pic:pic>
                    </a:graphicData>
                  </a:graphic>
                </wp:inline>
              </w:drawing>
            </w:r>
          </w:p>
        </w:tc>
        <w:tc>
          <w:tcPr>
            <w:tcW w:w="3101"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666" w:type="dxa"/>
            <w:tcBorders/>
            <w:vAlign w:val="center"/>
          </w:tcPr>
          <w:p>
            <w:pPr>
              <w:pStyle w:val="TableContents"/>
              <w:bidi w:val="0"/>
              <w:spacing w:before="0" w:after="283"/>
              <w:jc w:val="left"/>
              <w:rPr/>
            </w:pPr>
            <w:r>
              <w:rPr/>
              <w:drawing>
                <wp:inline distT="0" distB="0" distL="0" distR="0">
                  <wp:extent cx="238125" cy="209550"/>
                  <wp:effectExtent l="0" t="0" r="0" b="0"/>
                  <wp:docPr id="9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0" descr=""/>
                          <pic:cNvPicPr>
                            <a:picLocks noChangeAspect="1" noChangeArrowheads="1"/>
                          </pic:cNvPicPr>
                        </pic:nvPicPr>
                        <pic:blipFill>
                          <a:blip r:embed="rId92"/>
                          <a:stretch>
                            <a:fillRect/>
                          </a:stretch>
                        </pic:blipFill>
                        <pic:spPr bwMode="auto">
                          <a:xfrm>
                            <a:off x="0" y="0"/>
                            <a:ext cx="238125" cy="209550"/>
                          </a:xfrm>
                          <a:prstGeom prst="rect">
                            <a:avLst/>
                          </a:prstGeom>
                        </pic:spPr>
                      </pic:pic>
                    </a:graphicData>
                  </a:graphic>
                </wp:inline>
              </w:drawing>
            </w:r>
          </w:p>
        </w:tc>
        <w:tc>
          <w:tcPr>
            <w:tcW w:w="34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101"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455" w:type="dxa"/>
            <w:tcBorders/>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drawing>
                <wp:inline distT="0" distB="0" distL="0" distR="0">
                  <wp:extent cx="238125" cy="228600"/>
                  <wp:effectExtent l="0" t="0" r="0" b="0"/>
                  <wp:docPr id="9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1" descr=""/>
                          <pic:cNvPicPr>
                            <a:picLocks noChangeAspect="1" noChangeArrowheads="1"/>
                          </pic:cNvPicPr>
                        </pic:nvPicPr>
                        <pic:blipFill>
                          <a:blip r:embed="rId93"/>
                          <a:stretch>
                            <a:fillRect/>
                          </a:stretch>
                        </pic:blipFill>
                        <pic:spPr bwMode="auto">
                          <a:xfrm>
                            <a:off x="0" y="0"/>
                            <a:ext cx="238125" cy="228600"/>
                          </a:xfrm>
                          <a:prstGeom prst="rect">
                            <a:avLst/>
                          </a:prstGeom>
                        </pic:spPr>
                      </pic:pic>
                    </a:graphicData>
                  </a:graphic>
                </wp:inline>
              </w:drawing>
            </w:r>
          </w:p>
        </w:tc>
        <w:tc>
          <w:tcPr>
            <w:tcW w:w="3101"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666" w:type="dxa"/>
            <w:tcBorders/>
            <w:vAlign w:val="center"/>
          </w:tcPr>
          <w:p>
            <w:pPr>
              <w:pStyle w:val="TableContents"/>
              <w:bidi w:val="0"/>
              <w:spacing w:before="0" w:after="283"/>
              <w:jc w:val="left"/>
              <w:rPr/>
            </w:pPr>
            <w:r>
              <w:rPr/>
              <w:drawing>
                <wp:inline distT="0" distB="0" distL="0" distR="0">
                  <wp:extent cx="190500" cy="257175"/>
                  <wp:effectExtent l="0" t="0" r="0" b="0"/>
                  <wp:docPr id="9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2" descr=""/>
                          <pic:cNvPicPr>
                            <a:picLocks noChangeAspect="1" noChangeArrowheads="1"/>
                          </pic:cNvPicPr>
                        </pic:nvPicPr>
                        <pic:blipFill>
                          <a:blip r:embed="rId94"/>
                          <a:stretch>
                            <a:fillRect/>
                          </a:stretch>
                        </pic:blipFill>
                        <pic:spPr bwMode="auto">
                          <a:xfrm>
                            <a:off x="0" y="0"/>
                            <a:ext cx="190500" cy="257175"/>
                          </a:xfrm>
                          <a:prstGeom prst="rect">
                            <a:avLst/>
                          </a:prstGeom>
                        </pic:spPr>
                      </pic:pic>
                    </a:graphicData>
                  </a:graphic>
                </wp:inline>
              </w:drawing>
            </w:r>
          </w:p>
        </w:tc>
        <w:tc>
          <w:tcPr>
            <w:tcW w:w="34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66" w:type="dxa"/>
            <w:tcBorders>
              <w:bottom w:val="single" w:sz="8" w:space="0" w:color="3B5AA4"/>
            </w:tcBorders>
            <w:tcMar>
              <w:bottom w:w="28" w:type="dxa"/>
            </w:tcMar>
            <w:vAlign w:val="center"/>
          </w:tcPr>
          <w:p>
            <w:pPr>
              <w:pStyle w:val="TableContents"/>
              <w:bidi w:val="0"/>
              <w:spacing w:before="0" w:after="283"/>
              <w:jc w:val="center"/>
              <w:rPr/>
            </w:pPr>
            <w:r>
              <w:rPr/>
              <w:t> </w:t>
            </w:r>
          </w:p>
        </w:tc>
        <w:tc>
          <w:tcPr>
            <w:tcW w:w="3101" w:type="dxa"/>
            <w:tcBorders>
              <w:bottom w:val="single" w:sz="8" w:space="0" w:color="215AA8"/>
            </w:tcBorders>
            <w:tcMar>
              <w:bottom w:w="28" w:type="dxa"/>
            </w:tcMar>
            <w:vAlign w:val="center"/>
          </w:tcPr>
          <w:p>
            <w:pPr>
              <w:pStyle w:val="TableContents"/>
              <w:bidi w:val="0"/>
              <w:spacing w:before="0" w:after="283"/>
              <w:jc w:val="left"/>
              <w:rPr/>
            </w:pPr>
            <w:r>
              <w:rPr/>
              <w:t> </w:t>
            </w:r>
          </w:p>
        </w:tc>
        <w:tc>
          <w:tcPr>
            <w:tcW w:w="666" w:type="dxa"/>
            <w:tcBorders>
              <w:bottom w:val="single" w:sz="8" w:space="0" w:color="3B5AA4"/>
            </w:tcBorders>
            <w:tcMar>
              <w:bottom w:w="28" w:type="dxa"/>
            </w:tcMar>
            <w:vAlign w:val="center"/>
          </w:tcPr>
          <w:p>
            <w:pPr>
              <w:pStyle w:val="TableContents"/>
              <w:bidi w:val="0"/>
              <w:spacing w:before="0" w:after="283"/>
              <w:jc w:val="center"/>
              <w:rPr/>
            </w:pPr>
            <w:r>
              <w:rPr/>
              <w:t> </w:t>
            </w:r>
          </w:p>
        </w:tc>
        <w:tc>
          <w:tcPr>
            <w:tcW w:w="3455"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101"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455" w:type="dxa"/>
            <w:tcBorders/>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3767" w:type="dxa"/>
            <w:gridSpan w:val="2"/>
            <w:tcBorders>
              <w:bottom w:val="single" w:sz="8" w:space="0" w:color="215AA8"/>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Scientific Society Memberships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Sciences</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Medicine</w:t>
            </w:r>
          </w:p>
          <w:p>
            <w:pPr>
              <w:pStyle w:val="TableContents"/>
              <w:bidi w:val="0"/>
              <w:spacing w:before="0" w:after="2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Royal Society of London</w:t>
            </w:r>
          </w:p>
        </w:tc>
        <w:tc>
          <w:tcPr>
            <w:tcW w:w="4121" w:type="dxa"/>
            <w:gridSpan w:val="2"/>
            <w:tcBorders>
              <w:bottom w:val="single" w:sz="8" w:space="0" w:color="215AA8"/>
            </w:tcBorders>
            <w:tcMar>
              <w:bottom w:w="28" w:type="dxa"/>
            </w:tcMar>
            <w:vAlign w:val="center"/>
          </w:tcPr>
          <w:p>
            <w:pPr>
              <w:pStyle w:val="TableContents"/>
              <w:bidi w:val="0"/>
              <w:spacing w:before="0" w:after="283"/>
              <w:jc w:val="left"/>
              <w:rPr>
                <w:sz w:val="4"/>
                <w:szCs w:val="4"/>
              </w:rPr>
            </w:pPr>
            <w:r>
              <w:rPr>
                <w:sz w:val="4"/>
                <w:szCs w:val="4"/>
              </w:rPr>
            </w:r>
          </w:p>
        </w:tc>
      </w:tr>
      <w:tr>
        <w:trPr/>
        <w:tc>
          <w:tcPr>
            <w:tcW w:w="2257"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3767" w:type="dxa"/>
            <w:gridSpan w:val="2"/>
            <w:tcBorders/>
            <w:vAlign w:val="center"/>
          </w:tcPr>
          <w:p>
            <w:pPr>
              <w:pStyle w:val="TableContents"/>
              <w:bidi w:val="0"/>
              <w:spacing w:before="0" w:after="0"/>
              <w:ind w:left="0" w:right="0" w:hanging="0"/>
              <w:jc w:val="left"/>
              <w:rPr>
                <w:caps w:val="false"/>
                <w:smallCaps w:val="false"/>
                <w:color w:val="C60C44"/>
              </w:rPr>
            </w:pPr>
            <w:r>
              <w:rPr>
                <w:caps w:val="false"/>
                <w:smallCaps w:val="false"/>
                <w:color w:val="C60C44"/>
              </w:rPr>
              <w:t> </w:t>
            </w:r>
          </w:p>
        </w:tc>
        <w:tc>
          <w:tcPr>
            <w:tcW w:w="4121" w:type="dxa"/>
            <w:gridSpan w:val="2"/>
            <w:tcBorders/>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101"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pPr>
            <w:r>
              <w:rPr/>
              <w:t> </w:t>
            </w:r>
          </w:p>
        </w:tc>
        <w:tc>
          <w:tcPr>
            <w:tcW w:w="3455" w:type="dxa"/>
            <w:tcBorders/>
            <w:vAlign w:val="center"/>
          </w:tcPr>
          <w:p>
            <w:pPr>
              <w:pStyle w:val="TableContents"/>
              <w:bidi w:val="0"/>
              <w:spacing w:before="0" w:after="283"/>
              <w:jc w:val="left"/>
              <w:rPr/>
            </w:pPr>
            <w:r>
              <w:rPr/>
              <w:t> </w:t>
            </w:r>
          </w:p>
        </w:tc>
      </w:tr>
      <w:tr>
        <w:trPr/>
        <w:tc>
          <w:tcPr>
            <w:tcW w:w="225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88"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Brown’s distinguished scientific and academic background, including his receipt of the Nobel Prize for Physiology or Medicine in 1985, and his significant industry experience gained through his service on the board of directors of the Company and the board of directors of a leading pharmaceutical company, led to the board’s decision to nominate Dr. Brown for reelection to the board.</w:t>
            </w:r>
          </w:p>
        </w:tc>
      </w:tr>
    </w:tbl>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0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3" descr=""/>
                          <pic:cNvPicPr>
                            <a:picLocks noChangeAspect="1" noChangeArrowheads="1"/>
                          </pic:cNvPicPr>
                        </pic:nvPicPr>
                        <pic:blipFill>
                          <a:blip r:embed="rId95"/>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108"/>
        <w:gridCol w:w="60"/>
        <w:gridCol w:w="613"/>
        <w:gridCol w:w="3689"/>
        <w:gridCol w:w="613"/>
        <w:gridCol w:w="3122"/>
      </w:tblGrid>
      <w:tr>
        <w:trPr/>
        <w:tc>
          <w:tcPr>
            <w:tcW w:w="2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689"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122" w:type="dxa"/>
            <w:tcBorders/>
            <w:vAlign w:val="center"/>
          </w:tcPr>
          <w:p>
            <w:pPr>
              <w:pStyle w:val="TableContents"/>
              <w:bidi w:val="0"/>
              <w:spacing w:before="0" w:after="283"/>
              <w:jc w:val="left"/>
              <w:rPr/>
            </w:pPr>
            <w:r>
              <w:rPr/>
              <w:t> </w:t>
            </w:r>
          </w:p>
        </w:tc>
      </w:tr>
      <w:tr>
        <w:trPr/>
        <w:tc>
          <w:tcPr>
            <w:tcW w:w="2108"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10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4" descr=""/>
                          <pic:cNvPicPr>
                            <a:picLocks noChangeAspect="1" noChangeArrowheads="1"/>
                          </pic:cNvPicPr>
                        </pic:nvPicPr>
                        <pic:blipFill>
                          <a:blip r:embed="rId96"/>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2/2</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8037" w:type="dxa"/>
            <w:gridSpan w:val="4"/>
            <w:tcBorders/>
            <w:vAlign w:val="center"/>
          </w:tcPr>
          <w:p>
            <w:pPr>
              <w:pStyle w:val="TableContents"/>
              <w:bidi w:val="0"/>
              <w:spacing w:before="0" w:after="283"/>
              <w:jc w:val="left"/>
              <w:rPr>
                <w:rFonts w:ascii="Arial;Helvetica;Sans-Serif" w:hAnsi="Arial;Helvetica;Sans-Serif"/>
                <w:b/>
                <w:i w:val="false"/>
                <w:caps w:val="false"/>
                <w:smallCaps w:val="false"/>
                <w:color w:val="3B5AA4"/>
                <w:sz w:val="28"/>
              </w:rPr>
            </w:pPr>
            <w:r>
              <w:rPr>
                <w:rFonts w:ascii="Arial;Helvetica;Sans-Serif" w:hAnsi="Arial;Helvetica;Sans-Serif"/>
                <w:b/>
                <w:i w:val="false"/>
                <w:caps w:val="false"/>
                <w:smallCaps w:val="false"/>
                <w:color w:val="3B5AA4"/>
                <w:sz w:val="28"/>
              </w:rPr>
              <w:t>Leonard S. Schleifer, M.D., Ph.D.</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037" w:type="dxa"/>
            <w:gridSpan w:val="4"/>
            <w:tcBorders/>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037"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1988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72</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302" w:type="dxa"/>
            <w:gridSpan w:val="2"/>
            <w:tcBorders/>
            <w:vAlign w:val="center"/>
          </w:tcPr>
          <w:p>
            <w:pPr>
              <w:pStyle w:val="TableContents"/>
              <w:bidi w:val="0"/>
              <w:spacing w:before="0" w:after="283"/>
              <w:jc w:val="left"/>
              <w:rPr/>
            </w:pPr>
            <w:r>
              <w:rPr>
                <w:rFonts w:ascii="Arial;Helvetica;Sans-Serif" w:hAnsi="Arial;Helvetica;Sans-Serif"/>
                <w:b/>
                <w:i w:val="false"/>
                <w:caps w:val="false"/>
                <w:smallCaps w:val="false"/>
                <w:color w:val="3B5AA4"/>
                <w:sz w:val="18"/>
              </w:rPr>
              <w:t>Board co-Chair since:</w:t>
            </w:r>
            <w:r>
              <w:rPr>
                <w:rFonts w:ascii="Arial;Helvetica;Sans-Serif" w:hAnsi="Arial;Helvetica;Sans-Serif"/>
                <w:b w:val="false"/>
                <w:i w:val="false"/>
                <w:caps w:val="false"/>
                <w:smallCaps w:val="false"/>
                <w:color w:val="3B5AA4"/>
                <w:sz w:val="18"/>
              </w:rPr>
              <w:t xml:space="preserve"> </w:t>
            </w:r>
            <w:r>
              <w:rPr>
                <w:rFonts w:ascii="Arial;Helvetica;Sans-Serif" w:hAnsi="Arial;Helvetica;Sans-Serif"/>
                <w:b w:val="false"/>
                <w:i w:val="false"/>
                <w:caps w:val="false"/>
                <w:smallCaps w:val="false"/>
                <w:sz w:val="18"/>
              </w:rPr>
              <w:t>June 2023</w:t>
            </w:r>
          </w:p>
        </w:tc>
        <w:tc>
          <w:tcPr>
            <w:tcW w:w="613" w:type="dxa"/>
            <w:tcBorders/>
            <w:vAlign w:val="center"/>
          </w:tcPr>
          <w:p>
            <w:pPr>
              <w:pStyle w:val="TableContents"/>
              <w:bidi w:val="0"/>
              <w:spacing w:before="0" w:after="283"/>
              <w:jc w:val="center"/>
              <w:rPr/>
            </w:pPr>
            <w:r>
              <w:rPr/>
              <w:t> </w:t>
            </w:r>
          </w:p>
        </w:tc>
        <w:tc>
          <w:tcPr>
            <w:tcW w:w="3122" w:type="dxa"/>
            <w:tcBorders/>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037"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Founded the Company in 1988; built and managed the Company over the past 37 years together with Regeneron’s founding scientist, Dr. Yancopoulos</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Director, President, and Chief Executive Officer of the Company since its inception</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Co-Chair of the Board since 2023; former Chair of the Board from 1990 through 1994</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Licensed physician certified in Neurology by the American Board of Psychiatry and Neurology</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689"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122" w:type="dxa"/>
            <w:tcBorders/>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302"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613" w:type="dxa"/>
            <w:tcBorders/>
            <w:vAlign w:val="center"/>
          </w:tcPr>
          <w:p>
            <w:pPr>
              <w:pStyle w:val="TableContents"/>
              <w:bidi w:val="0"/>
              <w:spacing w:before="0" w:after="283"/>
              <w:jc w:val="center"/>
              <w:rPr/>
            </w:pPr>
            <w:r>
              <w:rPr/>
              <w:t> </w:t>
            </w:r>
          </w:p>
        </w:tc>
        <w:tc>
          <w:tcPr>
            <w:tcW w:w="3122" w:type="dxa"/>
            <w:tcBorders/>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689"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122" w:type="dxa"/>
            <w:tcBorders/>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pPr>
            <w:r>
              <w:rPr/>
              <w:drawing>
                <wp:inline distT="0" distB="0" distL="0" distR="0">
                  <wp:extent cx="238125" cy="228600"/>
                  <wp:effectExtent l="0" t="0" r="0" b="0"/>
                  <wp:docPr id="10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5" descr=""/>
                          <pic:cNvPicPr>
                            <a:picLocks noChangeAspect="1" noChangeArrowheads="1"/>
                          </pic:cNvPicPr>
                        </pic:nvPicPr>
                        <pic:blipFill>
                          <a:blip r:embed="rId97"/>
                          <a:stretch>
                            <a:fillRect/>
                          </a:stretch>
                        </pic:blipFill>
                        <pic:spPr bwMode="auto">
                          <a:xfrm>
                            <a:off x="0" y="0"/>
                            <a:ext cx="238125" cy="228600"/>
                          </a:xfrm>
                          <a:prstGeom prst="rect">
                            <a:avLst/>
                          </a:prstGeom>
                        </pic:spPr>
                      </pic:pic>
                    </a:graphicData>
                  </a:graphic>
                </wp:inline>
              </w:drawing>
            </w:r>
          </w:p>
        </w:tc>
        <w:tc>
          <w:tcPr>
            <w:tcW w:w="368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613" w:type="dxa"/>
            <w:tcBorders/>
            <w:vAlign w:val="center"/>
          </w:tcPr>
          <w:p>
            <w:pPr>
              <w:pStyle w:val="TableContents"/>
              <w:bidi w:val="0"/>
              <w:spacing w:before="0" w:after="283"/>
              <w:jc w:val="left"/>
              <w:rPr/>
            </w:pPr>
            <w:r>
              <w:rPr/>
              <w:drawing>
                <wp:inline distT="0" distB="0" distL="0" distR="0">
                  <wp:extent cx="238125" cy="209550"/>
                  <wp:effectExtent l="0" t="0" r="0" b="0"/>
                  <wp:docPr id="103"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6" descr=""/>
                          <pic:cNvPicPr>
                            <a:picLocks noChangeAspect="1" noChangeArrowheads="1"/>
                          </pic:cNvPicPr>
                        </pic:nvPicPr>
                        <pic:blipFill>
                          <a:blip r:embed="rId98"/>
                          <a:stretch>
                            <a:fillRect/>
                          </a:stretch>
                        </pic:blipFill>
                        <pic:spPr bwMode="auto">
                          <a:xfrm>
                            <a:off x="0" y="0"/>
                            <a:ext cx="238125" cy="209550"/>
                          </a:xfrm>
                          <a:prstGeom prst="rect">
                            <a:avLst/>
                          </a:prstGeom>
                        </pic:spPr>
                      </pic:pic>
                    </a:graphicData>
                  </a:graphic>
                </wp:inline>
              </w:drawing>
            </w:r>
          </w:p>
        </w:tc>
        <w:tc>
          <w:tcPr>
            <w:tcW w:w="312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689"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122" w:type="dxa"/>
            <w:tcBorders/>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pPr>
            <w:r>
              <w:rPr/>
              <w:drawing>
                <wp:inline distT="0" distB="0" distL="0" distR="0">
                  <wp:extent cx="238125" cy="228600"/>
                  <wp:effectExtent l="0" t="0" r="0" b="0"/>
                  <wp:docPr id="10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7" descr=""/>
                          <pic:cNvPicPr>
                            <a:picLocks noChangeAspect="1" noChangeArrowheads="1"/>
                          </pic:cNvPicPr>
                        </pic:nvPicPr>
                        <pic:blipFill>
                          <a:blip r:embed="rId99"/>
                          <a:stretch>
                            <a:fillRect/>
                          </a:stretch>
                        </pic:blipFill>
                        <pic:spPr bwMode="auto">
                          <a:xfrm>
                            <a:off x="0" y="0"/>
                            <a:ext cx="238125" cy="228600"/>
                          </a:xfrm>
                          <a:prstGeom prst="rect">
                            <a:avLst/>
                          </a:prstGeom>
                        </pic:spPr>
                      </pic:pic>
                    </a:graphicData>
                  </a:graphic>
                </wp:inline>
              </w:drawing>
            </w:r>
          </w:p>
        </w:tc>
        <w:tc>
          <w:tcPr>
            <w:tcW w:w="368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613" w:type="dxa"/>
            <w:tcBorders/>
            <w:vAlign w:val="center"/>
          </w:tcPr>
          <w:p>
            <w:pPr>
              <w:pStyle w:val="TableContents"/>
              <w:bidi w:val="0"/>
              <w:spacing w:before="0" w:after="283"/>
              <w:jc w:val="left"/>
              <w:rPr/>
            </w:pPr>
            <w:r>
              <w:rPr/>
              <w:drawing>
                <wp:inline distT="0" distB="0" distL="0" distR="0">
                  <wp:extent cx="190500" cy="257175"/>
                  <wp:effectExtent l="0" t="0" r="0" b="0"/>
                  <wp:docPr id="10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8" descr=""/>
                          <pic:cNvPicPr>
                            <a:picLocks noChangeAspect="1" noChangeArrowheads="1"/>
                          </pic:cNvPicPr>
                        </pic:nvPicPr>
                        <pic:blipFill>
                          <a:blip r:embed="rId100"/>
                          <a:stretch>
                            <a:fillRect/>
                          </a:stretch>
                        </pic:blipFill>
                        <pic:spPr bwMode="auto">
                          <a:xfrm>
                            <a:off x="0" y="0"/>
                            <a:ext cx="190500" cy="257175"/>
                          </a:xfrm>
                          <a:prstGeom prst="rect">
                            <a:avLst/>
                          </a:prstGeom>
                        </pic:spPr>
                      </pic:pic>
                    </a:graphicData>
                  </a:graphic>
                </wp:inline>
              </w:drawing>
            </w:r>
          </w:p>
        </w:tc>
        <w:tc>
          <w:tcPr>
            <w:tcW w:w="312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pPr>
            <w:r>
              <w:rPr/>
              <w:t> </w:t>
            </w:r>
          </w:p>
        </w:tc>
        <w:tc>
          <w:tcPr>
            <w:tcW w:w="3689"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pPr>
            <w:r>
              <w:rPr/>
              <w:t> </w:t>
            </w:r>
          </w:p>
        </w:tc>
        <w:tc>
          <w:tcPr>
            <w:tcW w:w="3122" w:type="dxa"/>
            <w:tcBorders/>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pPr>
            <w:r>
              <w:rPr/>
              <w:drawing>
                <wp:inline distT="0" distB="0" distL="0" distR="0">
                  <wp:extent cx="238125" cy="228600"/>
                  <wp:effectExtent l="0" t="0" r="0" b="0"/>
                  <wp:docPr id="10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9" descr=""/>
                          <pic:cNvPicPr>
                            <a:picLocks noChangeAspect="1" noChangeArrowheads="1"/>
                          </pic:cNvPicPr>
                        </pic:nvPicPr>
                        <pic:blipFill>
                          <a:blip r:embed="rId101"/>
                          <a:stretch>
                            <a:fillRect/>
                          </a:stretch>
                        </pic:blipFill>
                        <pic:spPr bwMode="auto">
                          <a:xfrm>
                            <a:off x="0" y="0"/>
                            <a:ext cx="238125" cy="228600"/>
                          </a:xfrm>
                          <a:prstGeom prst="rect">
                            <a:avLst/>
                          </a:prstGeom>
                        </pic:spPr>
                      </pic:pic>
                    </a:graphicData>
                  </a:graphic>
                </wp:inline>
              </w:drawing>
            </w:r>
          </w:p>
        </w:tc>
        <w:tc>
          <w:tcPr>
            <w:tcW w:w="368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Business Strategy/Operations Experience</w:t>
            </w:r>
          </w:p>
        </w:tc>
        <w:tc>
          <w:tcPr>
            <w:tcW w:w="613" w:type="dxa"/>
            <w:tcBorders/>
            <w:vAlign w:val="center"/>
          </w:tcPr>
          <w:p>
            <w:pPr>
              <w:pStyle w:val="TableContents"/>
              <w:bidi w:val="0"/>
              <w:spacing w:before="0" w:after="283"/>
              <w:jc w:val="left"/>
              <w:rPr/>
            </w:pPr>
            <w:r>
              <w:rPr/>
              <w:drawing>
                <wp:inline distT="0" distB="0" distL="0" distR="0">
                  <wp:extent cx="238125" cy="209550"/>
                  <wp:effectExtent l="0" t="0" r="0" b="0"/>
                  <wp:docPr id="10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0" descr=""/>
                          <pic:cNvPicPr>
                            <a:picLocks noChangeAspect="1" noChangeArrowheads="1"/>
                          </pic:cNvPicPr>
                        </pic:nvPicPr>
                        <pic:blipFill>
                          <a:blip r:embed="rId102"/>
                          <a:stretch>
                            <a:fillRect/>
                          </a:stretch>
                        </pic:blipFill>
                        <pic:spPr bwMode="auto">
                          <a:xfrm>
                            <a:off x="0" y="0"/>
                            <a:ext cx="238125" cy="209550"/>
                          </a:xfrm>
                          <a:prstGeom prst="rect">
                            <a:avLst/>
                          </a:prstGeom>
                        </pic:spPr>
                      </pic:pic>
                    </a:graphicData>
                  </a:graphic>
                </wp:inline>
              </w:drawing>
            </w:r>
          </w:p>
        </w:tc>
        <w:tc>
          <w:tcPr>
            <w:tcW w:w="312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Financial Expertise</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pPr>
            <w:r>
              <w:rPr/>
              <w:t> </w:t>
            </w:r>
          </w:p>
        </w:tc>
        <w:tc>
          <w:tcPr>
            <w:tcW w:w="3689"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pPr>
            <w:r>
              <w:rPr/>
              <w:t> </w:t>
            </w:r>
          </w:p>
        </w:tc>
        <w:tc>
          <w:tcPr>
            <w:tcW w:w="3122" w:type="dxa"/>
            <w:tcBorders/>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pPr>
            <w:r>
              <w:rPr/>
              <w:drawing>
                <wp:inline distT="0" distB="0" distL="0" distR="0">
                  <wp:extent cx="238125" cy="238125"/>
                  <wp:effectExtent l="0" t="0" r="0" b="0"/>
                  <wp:docPr id="108"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1" descr=""/>
                          <pic:cNvPicPr>
                            <a:picLocks noChangeAspect="1" noChangeArrowheads="1"/>
                          </pic:cNvPicPr>
                        </pic:nvPicPr>
                        <pic:blipFill>
                          <a:blip r:embed="rId103"/>
                          <a:stretch>
                            <a:fillRect/>
                          </a:stretch>
                        </pic:blipFill>
                        <pic:spPr bwMode="auto">
                          <a:xfrm>
                            <a:off x="0" y="0"/>
                            <a:ext cx="238125" cy="238125"/>
                          </a:xfrm>
                          <a:prstGeom prst="rect">
                            <a:avLst/>
                          </a:prstGeom>
                        </pic:spPr>
                      </pic:pic>
                    </a:graphicData>
                  </a:graphic>
                </wp:inline>
              </w:drawing>
            </w:r>
          </w:p>
        </w:tc>
        <w:tc>
          <w:tcPr>
            <w:tcW w:w="368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Public Company CEO Experience</w:t>
            </w:r>
          </w:p>
        </w:tc>
        <w:tc>
          <w:tcPr>
            <w:tcW w:w="613" w:type="dxa"/>
            <w:tcBorders/>
            <w:vAlign w:val="center"/>
          </w:tcPr>
          <w:p>
            <w:pPr>
              <w:pStyle w:val="TableContents"/>
              <w:bidi w:val="0"/>
              <w:spacing w:before="0" w:after="283"/>
              <w:jc w:val="left"/>
              <w:rPr/>
            </w:pPr>
            <w:r>
              <w:rPr/>
              <w:t> </w:t>
            </w:r>
          </w:p>
        </w:tc>
        <w:tc>
          <w:tcPr>
            <w:tcW w:w="3122" w:type="dxa"/>
            <w:tcBorders/>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bottom w:val="single" w:sz="8" w:space="0" w:color="3B5AA4"/>
            </w:tcBorders>
            <w:tcMar>
              <w:bottom w:w="28" w:type="dxa"/>
            </w:tcMar>
            <w:vAlign w:val="center"/>
          </w:tcPr>
          <w:p>
            <w:pPr>
              <w:pStyle w:val="TableContents"/>
              <w:bidi w:val="0"/>
              <w:spacing w:before="0" w:after="283"/>
              <w:jc w:val="center"/>
              <w:rPr/>
            </w:pPr>
            <w:r>
              <w:rPr/>
              <w:t> </w:t>
            </w:r>
          </w:p>
        </w:tc>
        <w:tc>
          <w:tcPr>
            <w:tcW w:w="3689" w:type="dxa"/>
            <w:tcBorders>
              <w:bottom w:val="single" w:sz="8" w:space="0" w:color="215AA8"/>
            </w:tcBorders>
            <w:tcMar>
              <w:bottom w:w="28" w:type="dxa"/>
            </w:tcMar>
            <w:vAlign w:val="center"/>
          </w:tcPr>
          <w:p>
            <w:pPr>
              <w:pStyle w:val="TableContents"/>
              <w:bidi w:val="0"/>
              <w:spacing w:before="0" w:after="283"/>
              <w:jc w:val="left"/>
              <w:rPr/>
            </w:pPr>
            <w:r>
              <w:rPr/>
              <w:t> </w:t>
            </w:r>
          </w:p>
        </w:tc>
        <w:tc>
          <w:tcPr>
            <w:tcW w:w="613" w:type="dxa"/>
            <w:tcBorders>
              <w:bottom w:val="single" w:sz="8" w:space="0" w:color="3B5AA4"/>
            </w:tcBorders>
            <w:tcMar>
              <w:bottom w:w="28" w:type="dxa"/>
            </w:tcMar>
            <w:vAlign w:val="center"/>
          </w:tcPr>
          <w:p>
            <w:pPr>
              <w:pStyle w:val="TableContents"/>
              <w:bidi w:val="0"/>
              <w:spacing w:before="0" w:after="283"/>
              <w:jc w:val="center"/>
              <w:rPr/>
            </w:pPr>
            <w:r>
              <w:rPr/>
              <w:t> </w:t>
            </w:r>
          </w:p>
        </w:tc>
        <w:tc>
          <w:tcPr>
            <w:tcW w:w="3122"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1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689"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center"/>
              <w:rPr/>
            </w:pPr>
            <w:r>
              <w:rPr/>
              <w:t> </w:t>
            </w:r>
          </w:p>
        </w:tc>
        <w:tc>
          <w:tcPr>
            <w:tcW w:w="3122" w:type="dxa"/>
            <w:tcBorders/>
            <w:vAlign w:val="center"/>
          </w:tcPr>
          <w:p>
            <w:pPr>
              <w:pStyle w:val="TableContents"/>
              <w:bidi w:val="0"/>
              <w:spacing w:before="0" w:after="283"/>
              <w:jc w:val="left"/>
              <w:rPr/>
            </w:pPr>
            <w:r>
              <w:rPr/>
              <w:t> </w:t>
            </w:r>
          </w:p>
        </w:tc>
      </w:tr>
      <w:tr>
        <w:trPr/>
        <w:tc>
          <w:tcPr>
            <w:tcW w:w="2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37"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Schleifer’s significant industry and leadership experience, as well as his incomparable knowledge of the Company and in-depth understanding of the complex research, drug development, and business issues facing companies in the biopharmaceutical sector, led to the board’s decision to nominate Dr. Schleifer for reelection to the board.</w:t>
            </w:r>
          </w:p>
        </w:tc>
      </w:tr>
    </w:tbl>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710"/>
        <w:gridCol w:w="1320"/>
        <w:gridCol w:w="57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0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2" descr=""/>
                          <pic:cNvPicPr>
                            <a:picLocks noChangeAspect="1" noChangeArrowheads="1"/>
                          </pic:cNvPicPr>
                        </pic:nvPicPr>
                        <pic:blipFill>
                          <a:blip r:embed="rId104"/>
                          <a:stretch>
                            <a:fillRect/>
                          </a:stretch>
                        </pic:blipFill>
                        <pic:spPr bwMode="auto">
                          <a:xfrm>
                            <a:off x="0" y="0"/>
                            <a:ext cx="838200" cy="95250"/>
                          </a:xfrm>
                          <a:prstGeom prst="rect">
                            <a:avLst/>
                          </a:prstGeom>
                        </pic:spPr>
                      </pic:pic>
                    </a:graphicData>
                  </a:graphic>
                </wp:inline>
              </w:drawing>
            </w:r>
          </w:p>
        </w:tc>
        <w:tc>
          <w:tcPr>
            <w:tcW w:w="57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1965"/>
        <w:gridCol w:w="60"/>
        <w:gridCol w:w="644"/>
        <w:gridCol w:w="3725"/>
        <w:gridCol w:w="644"/>
        <w:gridCol w:w="3167"/>
      </w:tblGrid>
      <w:tr>
        <w:trPr/>
        <w:tc>
          <w:tcPr>
            <w:tcW w:w="1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725"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167" w:type="dxa"/>
            <w:tcBorders/>
            <w:vAlign w:val="center"/>
          </w:tcPr>
          <w:p>
            <w:pPr>
              <w:pStyle w:val="TableContents"/>
              <w:bidi w:val="0"/>
              <w:spacing w:before="0" w:after="283"/>
              <w:jc w:val="left"/>
              <w:rPr/>
            </w:pPr>
            <w:r>
              <w:rPr/>
              <w:t> </w:t>
            </w:r>
          </w:p>
        </w:tc>
      </w:tr>
      <w:tr>
        <w:trPr/>
        <w:tc>
          <w:tcPr>
            <w:tcW w:w="1965"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11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3" descr=""/>
                          <pic:cNvPicPr>
                            <a:picLocks noChangeAspect="1" noChangeArrowheads="1"/>
                          </pic:cNvPicPr>
                        </pic:nvPicPr>
                        <pic:blipFill>
                          <a:blip r:embed="rId105"/>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2/2</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8180" w:type="dxa"/>
            <w:gridSpan w:val="4"/>
            <w:tcBorders/>
            <w:vAlign w:val="center"/>
          </w:tcPr>
          <w:p>
            <w:pPr>
              <w:pStyle w:val="TableContents"/>
              <w:bidi w:val="0"/>
              <w:spacing w:before="0" w:after="283"/>
              <w:jc w:val="left"/>
              <w:rPr>
                <w:rFonts w:ascii="Arial;Helvetica;Sans-Serif" w:hAnsi="Arial;Helvetica;Sans-Serif"/>
                <w:b/>
                <w:i w:val="false"/>
                <w:caps w:val="false"/>
                <w:smallCaps w:val="false"/>
                <w:color w:val="3B5AA4"/>
                <w:sz w:val="28"/>
              </w:rPr>
            </w:pPr>
            <w:r>
              <w:rPr>
                <w:rFonts w:ascii="Arial;Helvetica;Sans-Serif" w:hAnsi="Arial;Helvetica;Sans-Serif"/>
                <w:b/>
                <w:i w:val="false"/>
                <w:caps w:val="false"/>
                <w:smallCaps w:val="false"/>
                <w:color w:val="3B5AA4"/>
                <w:sz w:val="28"/>
              </w:rPr>
              <w:t>George D. Yancopoulos, M.D., Ph.D.</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180" w:type="dxa"/>
            <w:gridSpan w:val="4"/>
            <w:tcBorders/>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180"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2001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65</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283"/>
              <w:jc w:val="left"/>
              <w:rPr/>
            </w:pPr>
            <w:r>
              <w:rPr>
                <w:rFonts w:ascii="Arial;Helvetica;Sans-Serif" w:hAnsi="Arial;Helvetica;Sans-Serif"/>
                <w:b/>
                <w:i w:val="false"/>
                <w:caps w:val="false"/>
                <w:smallCaps w:val="false"/>
                <w:color w:val="3B5AA4"/>
                <w:sz w:val="18"/>
              </w:rPr>
              <w:t>Board co-Chair since:</w:t>
            </w:r>
            <w:r>
              <w:rPr>
                <w:rFonts w:ascii="Arial;Helvetica;Sans-Serif" w:hAnsi="Arial;Helvetica;Sans-Serif"/>
                <w:b w:val="false"/>
                <w:i w:val="false"/>
                <w:caps w:val="false"/>
                <w:smallCaps w:val="false"/>
                <w:color w:val="3B5AA4"/>
                <w:sz w:val="18"/>
              </w:rPr>
              <w:t xml:space="preserve"> </w:t>
            </w:r>
            <w:r>
              <w:rPr>
                <w:rFonts w:ascii="Arial;Helvetica;Sans-Serif" w:hAnsi="Arial;Helvetica;Sans-Serif"/>
                <w:b w:val="false"/>
                <w:i w:val="false"/>
                <w:caps w:val="false"/>
                <w:smallCaps w:val="false"/>
                <w:sz w:val="18"/>
              </w:rPr>
              <w:t>June 2023</w:t>
            </w:r>
          </w:p>
        </w:tc>
        <w:tc>
          <w:tcPr>
            <w:tcW w:w="644" w:type="dxa"/>
            <w:tcBorders/>
            <w:vAlign w:val="center"/>
          </w:tcPr>
          <w:p>
            <w:pPr>
              <w:pStyle w:val="TableContents"/>
              <w:bidi w:val="0"/>
              <w:spacing w:before="0" w:after="283"/>
              <w:jc w:val="center"/>
              <w:rPr/>
            </w:pPr>
            <w:r>
              <w:rPr/>
              <w:t> </w:t>
            </w:r>
          </w:p>
        </w:tc>
        <w:tc>
          <w:tcPr>
            <w:tcW w:w="3167" w:type="dxa"/>
            <w:tcBorders/>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180"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Founding scientist of the Company; built and managed the Company since 1989 together with Dr. Schleifer</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President and Chief Scientific Officer of the Company</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Co-Chair of the Board since 2023 and director of the Company since 2001</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11</w:t>
            </w:r>
            <w:r>
              <w:rPr>
                <w:rFonts w:ascii="Arial;Helvetica;Sans-Serif" w:hAnsi="Arial;Helvetica;Sans-Serif"/>
                <w:b w:val="false"/>
                <w:i w:val="false"/>
                <w:caps w:val="false"/>
                <w:smallCaps w:val="false"/>
                <w:color w:val="231F20"/>
                <w:position w:val="6"/>
                <w:sz w:val="14"/>
                <w:sz w:val="18"/>
              </w:rPr>
              <w:t xml:space="preserve">th </w:t>
            </w:r>
            <w:r>
              <w:rPr>
                <w:rFonts w:ascii="Arial;Helvetica;Sans-Serif" w:hAnsi="Arial;Helvetica;Sans-Serif"/>
                <w:b w:val="false"/>
                <w:i w:val="false"/>
                <w:caps w:val="false"/>
                <w:smallCaps w:val="false"/>
                <w:color w:val="231F20"/>
                <w:sz w:val="18"/>
              </w:rPr>
              <w:t>most highly cited scientist in the world in the 1990s</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Principal inventor and/or developer, together with key members of his team, of the 11 FDA-approved drugs the Company has developed, EYLEA</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(aflibercept) Injection, EYLEA HD</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(aflibercept) 8 mg, Praluent</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(alirocumab), Dupixent</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(dupilumab), Kevzara</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(sarilumab), Libtayo</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(cemiplimab), Evkeeza</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(evinacumab-dgnb), Inmazeb</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(atoltivimab, maftivimab and odesivimab-ebgn), Veopoz</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(pozelimab) Injection, ZALTRAP</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(ziv-aflibercept) Injection for Intravenous Infusion, and ARCALYST</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 xml:space="preserve">(rilonacept) Injection for Subcutaneous Use, as well as of its foundation technologies, including the TRAP technology, </w:t>
            </w:r>
            <w:r>
              <w:rPr>
                <w:rFonts w:ascii="Arial;Helvetica;Sans-Serif" w:hAnsi="Arial;Helvetica;Sans-Serif"/>
                <w:b w:val="false"/>
                <w:i/>
                <w:caps w:val="false"/>
                <w:smallCaps w:val="false"/>
                <w:color w:val="231F20"/>
                <w:sz w:val="18"/>
              </w:rPr>
              <w:t>VelociGene</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xml:space="preserve">, and </w:t>
            </w:r>
            <w:r>
              <w:rPr>
                <w:rFonts w:ascii="Arial;Helvetica;Sans-Serif" w:hAnsi="Arial;Helvetica;Sans-Serif"/>
                <w:b w:val="false"/>
                <w:i/>
                <w:caps w:val="false"/>
                <w:smallCaps w:val="false"/>
                <w:color w:val="231F20"/>
                <w:sz w:val="18"/>
              </w:rPr>
              <w:t>VelocImmune</w:t>
            </w:r>
            <w:r>
              <w:rPr>
                <w:rFonts w:ascii="Arial;Helvetica;Sans-Serif" w:hAnsi="Arial;Helvetica;Sans-Serif"/>
                <w:b w:val="false"/>
                <w:i w:val="false"/>
                <w:caps w:val="false"/>
                <w:smallCaps w:val="false"/>
                <w:color w:val="010101"/>
                <w:position w:val="6"/>
                <w:sz w:val="14"/>
                <w:sz w:val="18"/>
              </w:rPr>
              <w:t>®</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725"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167" w:type="dxa"/>
            <w:tcBorders/>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644" w:type="dxa"/>
            <w:tcBorders/>
            <w:vAlign w:val="center"/>
          </w:tcPr>
          <w:p>
            <w:pPr>
              <w:pStyle w:val="TableContents"/>
              <w:bidi w:val="0"/>
              <w:spacing w:before="0" w:after="283"/>
              <w:jc w:val="center"/>
              <w:rPr/>
            </w:pPr>
            <w:r>
              <w:rPr/>
              <w:t> </w:t>
            </w:r>
          </w:p>
        </w:tc>
        <w:tc>
          <w:tcPr>
            <w:tcW w:w="3167" w:type="dxa"/>
            <w:tcBorders/>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725"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167" w:type="dxa"/>
            <w:tcBorders/>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pPr>
            <w:r>
              <w:rPr/>
              <w:drawing>
                <wp:inline distT="0" distB="0" distL="0" distR="0">
                  <wp:extent cx="238125" cy="228600"/>
                  <wp:effectExtent l="0" t="0" r="0" b="0"/>
                  <wp:docPr id="11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4" descr=""/>
                          <pic:cNvPicPr>
                            <a:picLocks noChangeAspect="1" noChangeArrowheads="1"/>
                          </pic:cNvPicPr>
                        </pic:nvPicPr>
                        <pic:blipFill>
                          <a:blip r:embed="rId106"/>
                          <a:stretch>
                            <a:fillRect/>
                          </a:stretch>
                        </pic:blipFill>
                        <pic:spPr bwMode="auto">
                          <a:xfrm>
                            <a:off x="0" y="0"/>
                            <a:ext cx="238125" cy="228600"/>
                          </a:xfrm>
                          <a:prstGeom prst="rect">
                            <a:avLst/>
                          </a:prstGeom>
                        </pic:spPr>
                      </pic:pic>
                    </a:graphicData>
                  </a:graphic>
                </wp:inline>
              </w:drawing>
            </w:r>
          </w:p>
        </w:tc>
        <w:tc>
          <w:tcPr>
            <w:tcW w:w="37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644" w:type="dxa"/>
            <w:tcBorders/>
            <w:vAlign w:val="center"/>
          </w:tcPr>
          <w:p>
            <w:pPr>
              <w:pStyle w:val="TableContents"/>
              <w:bidi w:val="0"/>
              <w:spacing w:before="0" w:after="283"/>
              <w:jc w:val="left"/>
              <w:rPr/>
            </w:pPr>
            <w:r>
              <w:rPr/>
              <w:drawing>
                <wp:inline distT="0" distB="0" distL="0" distR="0">
                  <wp:extent cx="238125" cy="209550"/>
                  <wp:effectExtent l="0" t="0" r="0" b="0"/>
                  <wp:docPr id="112"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5" descr=""/>
                          <pic:cNvPicPr>
                            <a:picLocks noChangeAspect="1" noChangeArrowheads="1"/>
                          </pic:cNvPicPr>
                        </pic:nvPicPr>
                        <pic:blipFill>
                          <a:blip r:embed="rId107"/>
                          <a:stretch>
                            <a:fillRect/>
                          </a:stretch>
                        </pic:blipFill>
                        <pic:spPr bwMode="auto">
                          <a:xfrm>
                            <a:off x="0" y="0"/>
                            <a:ext cx="238125" cy="209550"/>
                          </a:xfrm>
                          <a:prstGeom prst="rect">
                            <a:avLst/>
                          </a:prstGeom>
                        </pic:spPr>
                      </pic:pic>
                    </a:graphicData>
                  </a:graphic>
                </wp:inline>
              </w:drawing>
            </w:r>
          </w:p>
        </w:tc>
        <w:tc>
          <w:tcPr>
            <w:tcW w:w="3167"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725"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167" w:type="dxa"/>
            <w:tcBorders/>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pPr>
            <w:r>
              <w:rPr/>
              <w:drawing>
                <wp:inline distT="0" distB="0" distL="0" distR="0">
                  <wp:extent cx="238125" cy="228600"/>
                  <wp:effectExtent l="0" t="0" r="0" b="0"/>
                  <wp:docPr id="11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6" descr=""/>
                          <pic:cNvPicPr>
                            <a:picLocks noChangeAspect="1" noChangeArrowheads="1"/>
                          </pic:cNvPicPr>
                        </pic:nvPicPr>
                        <pic:blipFill>
                          <a:blip r:embed="rId108"/>
                          <a:stretch>
                            <a:fillRect/>
                          </a:stretch>
                        </pic:blipFill>
                        <pic:spPr bwMode="auto">
                          <a:xfrm>
                            <a:off x="0" y="0"/>
                            <a:ext cx="238125" cy="228600"/>
                          </a:xfrm>
                          <a:prstGeom prst="rect">
                            <a:avLst/>
                          </a:prstGeom>
                        </pic:spPr>
                      </pic:pic>
                    </a:graphicData>
                  </a:graphic>
                </wp:inline>
              </w:drawing>
            </w:r>
          </w:p>
        </w:tc>
        <w:tc>
          <w:tcPr>
            <w:tcW w:w="37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644" w:type="dxa"/>
            <w:tcBorders/>
            <w:vAlign w:val="center"/>
          </w:tcPr>
          <w:p>
            <w:pPr>
              <w:pStyle w:val="TableContents"/>
              <w:bidi w:val="0"/>
              <w:spacing w:before="0" w:after="283"/>
              <w:jc w:val="left"/>
              <w:rPr/>
            </w:pPr>
            <w:r>
              <w:rPr/>
              <w:drawing>
                <wp:inline distT="0" distB="0" distL="0" distR="0">
                  <wp:extent cx="190500" cy="257175"/>
                  <wp:effectExtent l="0" t="0" r="0" b="0"/>
                  <wp:docPr id="11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7" descr=""/>
                          <pic:cNvPicPr>
                            <a:picLocks noChangeAspect="1" noChangeArrowheads="1"/>
                          </pic:cNvPicPr>
                        </pic:nvPicPr>
                        <pic:blipFill>
                          <a:blip r:embed="rId109"/>
                          <a:stretch>
                            <a:fillRect/>
                          </a:stretch>
                        </pic:blipFill>
                        <pic:spPr bwMode="auto">
                          <a:xfrm>
                            <a:off x="0" y="0"/>
                            <a:ext cx="190500" cy="257175"/>
                          </a:xfrm>
                          <a:prstGeom prst="rect">
                            <a:avLst/>
                          </a:prstGeom>
                        </pic:spPr>
                      </pic:pic>
                    </a:graphicData>
                  </a:graphic>
                </wp:inline>
              </w:drawing>
            </w:r>
          </w:p>
        </w:tc>
        <w:tc>
          <w:tcPr>
            <w:tcW w:w="3167"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pPr>
            <w:r>
              <w:rPr/>
              <w:t> </w:t>
            </w:r>
          </w:p>
        </w:tc>
        <w:tc>
          <w:tcPr>
            <w:tcW w:w="3167" w:type="dxa"/>
            <w:tcBorders/>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pPr>
            <w:r>
              <w:rPr/>
              <w:drawing>
                <wp:inline distT="0" distB="0" distL="0" distR="0">
                  <wp:extent cx="238125" cy="228600"/>
                  <wp:effectExtent l="0" t="0" r="0" b="0"/>
                  <wp:docPr id="115"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8" descr=""/>
                          <pic:cNvPicPr>
                            <a:picLocks noChangeAspect="1" noChangeArrowheads="1"/>
                          </pic:cNvPicPr>
                        </pic:nvPicPr>
                        <pic:blipFill>
                          <a:blip r:embed="rId110"/>
                          <a:stretch>
                            <a:fillRect/>
                          </a:stretch>
                        </pic:blipFill>
                        <pic:spPr bwMode="auto">
                          <a:xfrm>
                            <a:off x="0" y="0"/>
                            <a:ext cx="238125" cy="228600"/>
                          </a:xfrm>
                          <a:prstGeom prst="rect">
                            <a:avLst/>
                          </a:prstGeom>
                        </pic:spPr>
                      </pic:pic>
                    </a:graphicData>
                  </a:graphic>
                </wp:inline>
              </w:drawing>
            </w:r>
          </w:p>
        </w:tc>
        <w:tc>
          <w:tcPr>
            <w:tcW w:w="37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Business Strategy/Operations Experience</w:t>
            </w:r>
          </w:p>
        </w:tc>
        <w:tc>
          <w:tcPr>
            <w:tcW w:w="644" w:type="dxa"/>
            <w:tcBorders/>
            <w:vAlign w:val="center"/>
          </w:tcPr>
          <w:p>
            <w:pPr>
              <w:pStyle w:val="TableContents"/>
              <w:bidi w:val="0"/>
              <w:spacing w:before="0" w:after="283"/>
              <w:jc w:val="left"/>
              <w:rPr/>
            </w:pPr>
            <w:r>
              <w:rPr/>
              <w:t> </w:t>
            </w:r>
          </w:p>
        </w:tc>
        <w:tc>
          <w:tcPr>
            <w:tcW w:w="3167" w:type="dxa"/>
            <w:tcBorders/>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4" w:type="dxa"/>
            <w:tcBorders>
              <w:bottom w:val="single" w:sz="8" w:space="0" w:color="3B5AA4"/>
            </w:tcBorders>
            <w:tcMar>
              <w:bottom w:w="28" w:type="dxa"/>
            </w:tcMar>
            <w:vAlign w:val="center"/>
          </w:tcPr>
          <w:p>
            <w:pPr>
              <w:pStyle w:val="TableContents"/>
              <w:bidi w:val="0"/>
              <w:spacing w:before="0" w:after="283"/>
              <w:jc w:val="center"/>
              <w:rPr/>
            </w:pPr>
            <w:r>
              <w:rPr/>
              <w:t> </w:t>
            </w:r>
          </w:p>
        </w:tc>
        <w:tc>
          <w:tcPr>
            <w:tcW w:w="3725" w:type="dxa"/>
            <w:tcBorders>
              <w:bottom w:val="single" w:sz="8" w:space="0" w:color="215AA8"/>
            </w:tcBorders>
            <w:tcMar>
              <w:bottom w:w="28" w:type="dxa"/>
            </w:tcMar>
            <w:vAlign w:val="center"/>
          </w:tcPr>
          <w:p>
            <w:pPr>
              <w:pStyle w:val="TableContents"/>
              <w:bidi w:val="0"/>
              <w:spacing w:before="0" w:after="283"/>
              <w:jc w:val="left"/>
              <w:rPr/>
            </w:pPr>
            <w:r>
              <w:rPr/>
              <w:t> </w:t>
            </w:r>
          </w:p>
        </w:tc>
        <w:tc>
          <w:tcPr>
            <w:tcW w:w="644" w:type="dxa"/>
            <w:tcBorders>
              <w:bottom w:val="single" w:sz="8" w:space="0" w:color="3B5AA4"/>
            </w:tcBorders>
            <w:tcMar>
              <w:bottom w:w="28" w:type="dxa"/>
            </w:tcMar>
            <w:vAlign w:val="center"/>
          </w:tcPr>
          <w:p>
            <w:pPr>
              <w:pStyle w:val="TableContents"/>
              <w:bidi w:val="0"/>
              <w:spacing w:before="0" w:after="283"/>
              <w:jc w:val="center"/>
              <w:rPr/>
            </w:pPr>
            <w:r>
              <w:rPr/>
              <w:t> </w:t>
            </w:r>
          </w:p>
        </w:tc>
        <w:tc>
          <w:tcPr>
            <w:tcW w:w="3167"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725"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center"/>
              <w:rPr/>
            </w:pPr>
            <w:r>
              <w:rPr/>
              <w:t> </w:t>
            </w:r>
          </w:p>
        </w:tc>
        <w:tc>
          <w:tcPr>
            <w:tcW w:w="3167" w:type="dxa"/>
            <w:tcBorders/>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4369" w:type="dxa"/>
            <w:gridSpan w:val="2"/>
            <w:tcBorders>
              <w:bottom w:val="single" w:sz="8" w:space="0" w:color="215AA8"/>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Scientific Society Memberships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8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Sciences</w:t>
            </w:r>
          </w:p>
        </w:tc>
        <w:tc>
          <w:tcPr>
            <w:tcW w:w="644" w:type="dxa"/>
            <w:tcBorders>
              <w:bottom w:val="single" w:sz="8" w:space="0" w:color="215AA8"/>
            </w:tcBorders>
            <w:tcMar>
              <w:bottom w:w="28" w:type="dxa"/>
            </w:tcMar>
            <w:vAlign w:val="center"/>
          </w:tcPr>
          <w:p>
            <w:pPr>
              <w:pStyle w:val="TableContents"/>
              <w:bidi w:val="0"/>
              <w:spacing w:before="0" w:after="283"/>
              <w:jc w:val="left"/>
              <w:rPr/>
            </w:pPr>
            <w:r>
              <w:rPr/>
              <w:t> </w:t>
            </w:r>
          </w:p>
        </w:tc>
        <w:tc>
          <w:tcPr>
            <w:tcW w:w="3167" w:type="dxa"/>
            <w:tcBorders>
              <w:bottom w:val="single" w:sz="8" w:space="0" w:color="215AA8"/>
            </w:tcBorders>
            <w:tcMar>
              <w:bottom w:w="28" w:type="dxa"/>
            </w:tcMar>
            <w:vAlign w:val="center"/>
          </w:tcPr>
          <w:p>
            <w:pPr>
              <w:pStyle w:val="TableContents"/>
              <w:bidi w:val="0"/>
              <w:spacing w:before="0" w:after="283"/>
              <w:jc w:val="left"/>
              <w:rPr/>
            </w:pPr>
            <w:r>
              <w:rPr/>
              <w:t> </w:t>
            </w:r>
          </w:p>
        </w:tc>
      </w:tr>
      <w:tr>
        <w:trPr/>
        <w:tc>
          <w:tcPr>
            <w:tcW w:w="196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4369" w:type="dxa"/>
            <w:gridSpan w:val="2"/>
            <w:tcBorders/>
            <w:vAlign w:val="center"/>
          </w:tcPr>
          <w:p>
            <w:pPr>
              <w:pStyle w:val="TableContents"/>
              <w:bidi w:val="0"/>
              <w:spacing w:before="0" w:after="0"/>
              <w:ind w:left="0" w:right="0" w:hanging="0"/>
              <w:jc w:val="left"/>
              <w:rPr>
                <w:caps w:val="false"/>
                <w:smallCaps w:val="false"/>
                <w:color w:val="C60C44"/>
              </w:rPr>
            </w:pPr>
            <w:r>
              <w:rPr>
                <w:caps w:val="false"/>
                <w:smallCaps w:val="false"/>
                <w:color w:val="C60C44"/>
              </w:rPr>
              <w:t> </w:t>
            </w:r>
          </w:p>
        </w:tc>
        <w:tc>
          <w:tcPr>
            <w:tcW w:w="3811" w:type="dxa"/>
            <w:gridSpan w:val="2"/>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44"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center"/>
              <w:rPr/>
            </w:pPr>
            <w:r>
              <w:rPr/>
              <w:t> </w:t>
            </w:r>
          </w:p>
        </w:tc>
        <w:tc>
          <w:tcPr>
            <w:tcW w:w="644" w:type="dxa"/>
            <w:tcBorders/>
            <w:vAlign w:val="center"/>
          </w:tcPr>
          <w:p>
            <w:pPr>
              <w:pStyle w:val="TableContents"/>
              <w:bidi w:val="0"/>
              <w:spacing w:before="0" w:after="283"/>
              <w:jc w:val="left"/>
              <w:rPr/>
            </w:pPr>
            <w:r>
              <w:rPr/>
              <w:t> </w:t>
            </w:r>
          </w:p>
        </w:tc>
        <w:tc>
          <w:tcPr>
            <w:tcW w:w="3167"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80"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Yancopoulos’s significant industry and scientific experience and distinguished record of scientific expertise, as well as his extensive knowledge of the Company and in-depth knowledge of the Company’s technologies and research and development programs, led to the board’s decision to nominate Dr. Yancopoulos for reelection to the board.</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1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9" descr=""/>
                          <pic:cNvPicPr>
                            <a:picLocks noChangeAspect="1" noChangeArrowheads="1"/>
                          </pic:cNvPicPr>
                        </pic:nvPicPr>
                        <pic:blipFill>
                          <a:blip r:embed="rId11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jc w:val="left"/>
        <w:rPr>
          <w:rFonts w:ascii="Arial;Helvetica;Sans-Serif" w:hAnsi="Arial;Helvetica;Sans-Serif"/>
          <w:b/>
          <w:i w:val="false"/>
          <w:caps w:val="false"/>
          <w:smallCaps w:val="false"/>
          <w:color w:val="0F5EAC"/>
          <w:sz w:val="32"/>
        </w:rPr>
      </w:pPr>
      <w:r>
        <w:rPr>
          <w:rFonts w:ascii="Arial;Helvetica;Sans-Serif" w:hAnsi="Arial;Helvetica;Sans-Serif"/>
          <w:b/>
          <w:i w:val="false"/>
          <w:caps w:val="false"/>
          <w:smallCaps w:val="false"/>
          <w:color w:val="0F5EAC"/>
          <w:sz w:val="32"/>
        </w:rPr>
        <w:t xml:space="preserve">Class II Directors Continuing in Office </w:t>
        <w:br/>
        <w:t>Term Expires at the 2026 Annual Meeting</w:t>
      </w:r>
    </w:p>
    <w:p>
      <w:pPr>
        <w:pStyle w:val="TextBody"/>
        <w:bidi w:val="0"/>
        <w:jc w:val="center"/>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322"/>
        <w:gridCol w:w="60"/>
        <w:gridCol w:w="656"/>
        <w:gridCol w:w="3078"/>
        <w:gridCol w:w="656"/>
        <w:gridCol w:w="3433"/>
      </w:tblGrid>
      <w:tr>
        <w:trPr/>
        <w:tc>
          <w:tcPr>
            <w:tcW w:w="2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078"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r>
      <w:tr>
        <w:trPr/>
        <w:tc>
          <w:tcPr>
            <w:tcW w:w="2322"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117"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0" descr=""/>
                          <pic:cNvPicPr>
                            <a:picLocks noChangeAspect="1" noChangeArrowheads="1"/>
                          </pic:cNvPicPr>
                        </pic:nvPicPr>
                        <pic:blipFill>
                          <a:blip r:embed="rId112"/>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Corporate Governance and Compliance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5/5</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2/2</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7823"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Joseph L. Goldstein, M.D.</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23" w:type="dxa"/>
            <w:gridSpan w:val="4"/>
            <w:tcBorders/>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23"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1991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84</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734" w:type="dxa"/>
            <w:gridSpan w:val="2"/>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23"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Regental Professor of Molecular Genetics and Internal Medicine and Chair of the Department of Molecular Genetics at The University of Texas Southwestern Medical Center at Dallas since 1977</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Member of the boards of trustees of The Rockefeller University and the Howard Hughes Medical Institute</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Nobel Prize for Physiology or Medicine in 1985 (jointly with Dr. Brown)</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U.S. National Medal of Science in 1988 (jointly with Dr. Brown)</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078"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734"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656"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078"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drawing>
                <wp:inline distT="0" distB="0" distL="0" distR="0">
                  <wp:extent cx="238125" cy="228600"/>
                  <wp:effectExtent l="0" t="0" r="0" b="0"/>
                  <wp:docPr id="118"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1" descr=""/>
                          <pic:cNvPicPr>
                            <a:picLocks noChangeAspect="1" noChangeArrowheads="1"/>
                          </pic:cNvPicPr>
                        </pic:nvPicPr>
                        <pic:blipFill>
                          <a:blip r:embed="rId113"/>
                          <a:stretch>
                            <a:fillRect/>
                          </a:stretch>
                        </pic:blipFill>
                        <pic:spPr bwMode="auto">
                          <a:xfrm>
                            <a:off x="0" y="0"/>
                            <a:ext cx="238125" cy="228600"/>
                          </a:xfrm>
                          <a:prstGeom prst="rect">
                            <a:avLst/>
                          </a:prstGeom>
                        </pic:spPr>
                      </pic:pic>
                    </a:graphicData>
                  </a:graphic>
                </wp:inline>
              </w:drawing>
            </w:r>
          </w:p>
        </w:tc>
        <w:tc>
          <w:tcPr>
            <w:tcW w:w="3078"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656" w:type="dxa"/>
            <w:tcBorders/>
            <w:vAlign w:val="center"/>
          </w:tcPr>
          <w:p>
            <w:pPr>
              <w:pStyle w:val="TableContents"/>
              <w:bidi w:val="0"/>
              <w:spacing w:before="0" w:after="283"/>
              <w:jc w:val="left"/>
              <w:rPr/>
            </w:pPr>
            <w:r>
              <w:rPr/>
              <w:drawing>
                <wp:inline distT="0" distB="0" distL="0" distR="0">
                  <wp:extent cx="238125" cy="209550"/>
                  <wp:effectExtent l="0" t="0" r="0" b="0"/>
                  <wp:docPr id="11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2" descr=""/>
                          <pic:cNvPicPr>
                            <a:picLocks noChangeAspect="1" noChangeArrowheads="1"/>
                          </pic:cNvPicPr>
                        </pic:nvPicPr>
                        <pic:blipFill>
                          <a:blip r:embed="rId114"/>
                          <a:stretch>
                            <a:fillRect/>
                          </a:stretch>
                        </pic:blipFill>
                        <pic:spPr bwMode="auto">
                          <a:xfrm>
                            <a:off x="0" y="0"/>
                            <a:ext cx="238125" cy="209550"/>
                          </a:xfrm>
                          <a:prstGeom prst="rect">
                            <a:avLst/>
                          </a:prstGeom>
                        </pic:spPr>
                      </pic:pic>
                    </a:graphicData>
                  </a:graphic>
                </wp:inline>
              </w:drawing>
            </w:r>
          </w:p>
        </w:tc>
        <w:tc>
          <w:tcPr>
            <w:tcW w:w="34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078"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drawing>
                <wp:inline distT="0" distB="0" distL="0" distR="0">
                  <wp:extent cx="238125" cy="228600"/>
                  <wp:effectExtent l="0" t="0" r="0" b="0"/>
                  <wp:docPr id="12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3" descr=""/>
                          <pic:cNvPicPr>
                            <a:picLocks noChangeAspect="1" noChangeArrowheads="1"/>
                          </pic:cNvPicPr>
                        </pic:nvPicPr>
                        <pic:blipFill>
                          <a:blip r:embed="rId115"/>
                          <a:stretch>
                            <a:fillRect/>
                          </a:stretch>
                        </pic:blipFill>
                        <pic:spPr bwMode="auto">
                          <a:xfrm>
                            <a:off x="0" y="0"/>
                            <a:ext cx="238125" cy="228600"/>
                          </a:xfrm>
                          <a:prstGeom prst="rect">
                            <a:avLst/>
                          </a:prstGeom>
                        </pic:spPr>
                      </pic:pic>
                    </a:graphicData>
                  </a:graphic>
                </wp:inline>
              </w:drawing>
            </w:r>
          </w:p>
        </w:tc>
        <w:tc>
          <w:tcPr>
            <w:tcW w:w="3078"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656" w:type="dxa"/>
            <w:tcBorders/>
            <w:vAlign w:val="center"/>
          </w:tcPr>
          <w:p>
            <w:pPr>
              <w:pStyle w:val="TableContents"/>
              <w:bidi w:val="0"/>
              <w:spacing w:before="0" w:after="283"/>
              <w:jc w:val="left"/>
              <w:rPr/>
            </w:pPr>
            <w:r>
              <w:rPr/>
              <w:drawing>
                <wp:inline distT="0" distB="0" distL="0" distR="0">
                  <wp:extent cx="190500" cy="257175"/>
                  <wp:effectExtent l="0" t="0" r="0" b="0"/>
                  <wp:docPr id="12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4" descr=""/>
                          <pic:cNvPicPr>
                            <a:picLocks noChangeAspect="1" noChangeArrowheads="1"/>
                          </pic:cNvPicPr>
                        </pic:nvPicPr>
                        <pic:blipFill>
                          <a:blip r:embed="rId116"/>
                          <a:stretch>
                            <a:fillRect/>
                          </a:stretch>
                        </pic:blipFill>
                        <pic:spPr bwMode="auto">
                          <a:xfrm>
                            <a:off x="0" y="0"/>
                            <a:ext cx="190500" cy="257175"/>
                          </a:xfrm>
                          <a:prstGeom prst="rect">
                            <a:avLst/>
                          </a:prstGeom>
                        </pic:spPr>
                      </pic:pic>
                    </a:graphicData>
                  </a:graphic>
                </wp:inline>
              </w:drawing>
            </w:r>
          </w:p>
        </w:tc>
        <w:tc>
          <w:tcPr>
            <w:tcW w:w="34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56" w:type="dxa"/>
            <w:tcBorders>
              <w:bottom w:val="single" w:sz="8" w:space="0" w:color="3B5AA4"/>
            </w:tcBorders>
            <w:tcMar>
              <w:bottom w:w="28" w:type="dxa"/>
            </w:tcMar>
            <w:vAlign w:val="center"/>
          </w:tcPr>
          <w:p>
            <w:pPr>
              <w:pStyle w:val="TableContents"/>
              <w:bidi w:val="0"/>
              <w:spacing w:before="0" w:after="283"/>
              <w:jc w:val="center"/>
              <w:rPr/>
            </w:pPr>
            <w:r>
              <w:rPr/>
              <w:t> </w:t>
            </w:r>
          </w:p>
        </w:tc>
        <w:tc>
          <w:tcPr>
            <w:tcW w:w="3078" w:type="dxa"/>
            <w:tcBorders>
              <w:bottom w:val="single" w:sz="8" w:space="0" w:color="215AA8"/>
            </w:tcBorders>
            <w:tcMar>
              <w:bottom w:w="28" w:type="dxa"/>
            </w:tcMar>
            <w:vAlign w:val="center"/>
          </w:tcPr>
          <w:p>
            <w:pPr>
              <w:pStyle w:val="TableContents"/>
              <w:bidi w:val="0"/>
              <w:spacing w:before="0" w:after="283"/>
              <w:jc w:val="left"/>
              <w:rPr/>
            </w:pPr>
            <w:r>
              <w:rPr/>
              <w:t> </w:t>
            </w:r>
          </w:p>
        </w:tc>
        <w:tc>
          <w:tcPr>
            <w:tcW w:w="656" w:type="dxa"/>
            <w:tcBorders>
              <w:bottom w:val="single" w:sz="8" w:space="0" w:color="3B5AA4"/>
            </w:tcBorders>
            <w:tcMar>
              <w:bottom w:w="28" w:type="dxa"/>
            </w:tcMar>
            <w:vAlign w:val="center"/>
          </w:tcPr>
          <w:p>
            <w:pPr>
              <w:pStyle w:val="TableContents"/>
              <w:bidi w:val="0"/>
              <w:spacing w:before="0" w:after="283"/>
              <w:jc w:val="center"/>
              <w:rPr/>
            </w:pPr>
            <w:r>
              <w:rPr/>
              <w:t> </w:t>
            </w:r>
          </w:p>
        </w:tc>
        <w:tc>
          <w:tcPr>
            <w:tcW w:w="3433"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078"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3734" w:type="dxa"/>
            <w:gridSpan w:val="2"/>
            <w:tcBorders>
              <w:bottom w:val="single" w:sz="8" w:space="0" w:color="215AA8"/>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Scientific Society Memberships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Sciences</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Medicine</w:t>
            </w:r>
          </w:p>
          <w:p>
            <w:pPr>
              <w:pStyle w:val="TableContents"/>
              <w:bidi w:val="0"/>
              <w:spacing w:before="0" w:after="2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Royal Society of London</w:t>
            </w:r>
          </w:p>
        </w:tc>
        <w:tc>
          <w:tcPr>
            <w:tcW w:w="656" w:type="dxa"/>
            <w:tcBorders>
              <w:bottom w:val="single" w:sz="8" w:space="0" w:color="215AA8"/>
            </w:tcBorders>
            <w:tcMar>
              <w:bottom w:w="28" w:type="dxa"/>
            </w:tcMar>
            <w:vAlign w:val="center"/>
          </w:tcPr>
          <w:p>
            <w:pPr>
              <w:pStyle w:val="TableContents"/>
              <w:bidi w:val="0"/>
              <w:spacing w:before="0" w:after="283"/>
              <w:jc w:val="left"/>
              <w:rPr/>
            </w:pPr>
            <w:r>
              <w:rPr/>
              <w:t> </w:t>
            </w:r>
          </w:p>
        </w:tc>
        <w:tc>
          <w:tcPr>
            <w:tcW w:w="3433" w:type="dxa"/>
            <w:tcBorders>
              <w:bottom w:val="single" w:sz="8" w:space="0" w:color="215AA8"/>
            </w:tcBorders>
            <w:tcMar>
              <w:bottom w:w="28" w:type="dxa"/>
            </w:tcMar>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3734" w:type="dxa"/>
            <w:gridSpan w:val="2"/>
            <w:tcBorders/>
            <w:vAlign w:val="center"/>
          </w:tcPr>
          <w:p>
            <w:pPr>
              <w:pStyle w:val="TableContents"/>
              <w:bidi w:val="0"/>
              <w:spacing w:before="0" w:after="0"/>
              <w:ind w:left="0" w:right="0" w:hanging="0"/>
              <w:jc w:val="left"/>
              <w:rPr>
                <w:caps w:val="false"/>
                <w:smallCaps w:val="false"/>
                <w:color w:val="C60C44"/>
              </w:rPr>
            </w:pPr>
            <w:r>
              <w:rPr>
                <w:caps w:val="false"/>
                <w:smallCaps w:val="false"/>
                <w:color w:val="C60C44"/>
              </w:rPr>
              <w:t> </w:t>
            </w:r>
          </w:p>
        </w:tc>
        <w:tc>
          <w:tcPr>
            <w:tcW w:w="4089" w:type="dxa"/>
            <w:gridSpan w:val="2"/>
            <w:tcBorders/>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078"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r>
      <w:tr>
        <w:trPr/>
        <w:tc>
          <w:tcPr>
            <w:tcW w:w="232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23"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Goldstein’s extensive research experience, his distinguished scientific and academic credentials, including his receipt of the Nobel Prize for Physiology or Medicine in 1985, and his substantial understanding of the Company gained through his service as a director, led the board to conclude that Dr. Goldstein should serve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2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5" descr=""/>
                          <pic:cNvPicPr>
                            <a:picLocks noChangeAspect="1" noChangeArrowheads="1"/>
                          </pic:cNvPicPr>
                        </pic:nvPicPr>
                        <pic:blipFill>
                          <a:blip r:embed="rId117"/>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405"/>
        <w:gridCol w:w="60"/>
        <w:gridCol w:w="591"/>
        <w:gridCol w:w="3552"/>
        <w:gridCol w:w="591"/>
        <w:gridCol w:w="3006"/>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552"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006" w:type="dxa"/>
            <w:tcBorders/>
            <w:vAlign w:val="center"/>
          </w:tcPr>
          <w:p>
            <w:pPr>
              <w:pStyle w:val="TableContents"/>
              <w:bidi w:val="0"/>
              <w:spacing w:before="0" w:after="283"/>
              <w:jc w:val="left"/>
              <w:rPr/>
            </w:pPr>
            <w:r>
              <w:rPr/>
              <w:t> </w:t>
            </w:r>
          </w:p>
        </w:tc>
      </w:tr>
      <w:tr>
        <w:trPr/>
        <w:tc>
          <w:tcPr>
            <w:tcW w:w="2405"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12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6" descr=""/>
                          <pic:cNvPicPr>
                            <a:picLocks noChangeAspect="1" noChangeArrowheads="1"/>
                          </pic:cNvPicPr>
                        </pic:nvPicPr>
                        <pic:blipFill>
                          <a:blip r:embed="rId118"/>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Compensation Committee (Chair):</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10/10</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Corporate Governance and Compliance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5/5</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7740"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Christine A. Poon</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40" w:type="dxa"/>
            <w:gridSpan w:val="4"/>
            <w:tcBorders/>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40"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2010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72</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143" w:type="dxa"/>
            <w:gridSpan w:val="2"/>
            <w:tcBorders/>
            <w:vAlign w:val="center"/>
          </w:tcPr>
          <w:p>
            <w:pPr>
              <w:pStyle w:val="TableContents"/>
              <w:bidi w:val="0"/>
              <w:spacing w:before="0" w:after="283"/>
              <w:jc w:val="left"/>
              <w:rPr/>
            </w:pPr>
            <w:r>
              <w:rPr>
                <w:rFonts w:ascii="Arial;Helvetica;Sans-Serif" w:hAnsi="Arial;Helvetica;Sans-Serif"/>
                <w:b/>
                <w:i w:val="false"/>
                <w:caps w:val="false"/>
                <w:smallCaps w:val="false"/>
                <w:color w:val="3B5AA4"/>
                <w:sz w:val="18"/>
              </w:rPr>
              <w:t>Lead Independent Director since:</w:t>
            </w:r>
            <w:r>
              <w:rPr/>
              <w:t xml:space="preserve"> </w:t>
            </w:r>
            <w:r>
              <w:rPr>
                <w:rFonts w:ascii="Arial;Helvetica;Sans-Serif" w:hAnsi="Arial;Helvetica;Sans-Serif"/>
                <w:b w:val="false"/>
                <w:i w:val="false"/>
                <w:caps w:val="false"/>
                <w:smallCaps w:val="false"/>
                <w:color w:val="000000"/>
                <w:sz w:val="18"/>
              </w:rPr>
              <w:t>June 2023</w:t>
            </w:r>
          </w:p>
        </w:tc>
        <w:tc>
          <w:tcPr>
            <w:tcW w:w="591" w:type="dxa"/>
            <w:tcBorders/>
            <w:vAlign w:val="center"/>
          </w:tcPr>
          <w:p>
            <w:pPr>
              <w:pStyle w:val="TableContents"/>
              <w:bidi w:val="0"/>
              <w:spacing w:before="0" w:after="283"/>
              <w:jc w:val="center"/>
              <w:rPr/>
            </w:pPr>
            <w:r>
              <w:rPr/>
              <w:t> </w:t>
            </w:r>
          </w:p>
        </w:tc>
        <w:tc>
          <w:tcPr>
            <w:tcW w:w="3006" w:type="dxa"/>
            <w:tcBorders/>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40"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Executive-in-Residence in the Department of Management and Human Resources (from 2015 to 2020) and former Dean and John W. Berry, Sr. Chair in Business (from 2009 to 2014) at The Max M. Fisher College of Business at The Ohio State University</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Vice Chair, Worldwide Chair of Pharmaceuticals, member of the Executive Committee, and member of the board of directors at Johnson &amp; Johnson</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sz w:val="18"/>
              </w:rPr>
              <w:t>Previously held senior leadership positions at Bristol-Myers Squibb Company, including President of International Medicines and President of Medical Devices</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sz w:val="18"/>
              </w:rPr>
              <w:t>Former member of the Supervisory Board of Royal Philips Electronics and the boards of directors of Decibel Therapeutics, Inc. and The Sherwin-Williams Company</w:t>
            </w:r>
            <w:r>
              <w:rPr>
                <w:rFonts w:ascii="Arial;Helvetica;Sans-Serif" w:hAnsi="Arial;Helvetica;Sans-Serif"/>
                <w:b w:val="false"/>
                <w:i w:val="false"/>
                <w:caps w:val="false"/>
                <w:smallCaps w:val="false"/>
                <w:color w:val="010101"/>
                <w:position w:val="7"/>
                <w:sz w:val="16"/>
                <w:sz w:val="20"/>
              </w:rPr>
              <w:t>3</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552"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006" w:type="dxa"/>
            <w:tcBorders/>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143"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591" w:type="dxa"/>
            <w:tcBorders/>
            <w:vAlign w:val="center"/>
          </w:tcPr>
          <w:p>
            <w:pPr>
              <w:pStyle w:val="TableContents"/>
              <w:bidi w:val="0"/>
              <w:spacing w:before="0" w:after="283"/>
              <w:jc w:val="center"/>
              <w:rPr/>
            </w:pPr>
            <w:r>
              <w:rPr/>
              <w:t> </w:t>
            </w:r>
          </w:p>
        </w:tc>
        <w:tc>
          <w:tcPr>
            <w:tcW w:w="3006" w:type="dxa"/>
            <w:tcBorders/>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552"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006" w:type="dxa"/>
            <w:tcBorders/>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drawing>
                <wp:inline distT="0" distB="0" distL="0" distR="0">
                  <wp:extent cx="238125" cy="228600"/>
                  <wp:effectExtent l="0" t="0" r="0" b="0"/>
                  <wp:docPr id="12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7" descr=""/>
                          <pic:cNvPicPr>
                            <a:picLocks noChangeAspect="1" noChangeArrowheads="1"/>
                          </pic:cNvPicPr>
                        </pic:nvPicPr>
                        <pic:blipFill>
                          <a:blip r:embed="rId119"/>
                          <a:stretch>
                            <a:fillRect/>
                          </a:stretch>
                        </pic:blipFill>
                        <pic:spPr bwMode="auto">
                          <a:xfrm>
                            <a:off x="0" y="0"/>
                            <a:ext cx="238125" cy="228600"/>
                          </a:xfrm>
                          <a:prstGeom prst="rect">
                            <a:avLst/>
                          </a:prstGeom>
                        </pic:spPr>
                      </pic:pic>
                    </a:graphicData>
                  </a:graphic>
                </wp:inline>
              </w:drawing>
            </w:r>
          </w:p>
        </w:tc>
        <w:tc>
          <w:tcPr>
            <w:tcW w:w="35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591" w:type="dxa"/>
            <w:tcBorders/>
            <w:vAlign w:val="center"/>
          </w:tcPr>
          <w:p>
            <w:pPr>
              <w:pStyle w:val="TableContents"/>
              <w:bidi w:val="0"/>
              <w:spacing w:before="0" w:after="283"/>
              <w:jc w:val="left"/>
              <w:rPr/>
            </w:pPr>
            <w:r>
              <w:rPr/>
              <w:drawing>
                <wp:inline distT="0" distB="0" distL="0" distR="0">
                  <wp:extent cx="238125" cy="209550"/>
                  <wp:effectExtent l="0" t="0" r="0" b="0"/>
                  <wp:docPr id="12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8" descr=""/>
                          <pic:cNvPicPr>
                            <a:picLocks noChangeAspect="1" noChangeArrowheads="1"/>
                          </pic:cNvPicPr>
                        </pic:nvPicPr>
                        <pic:blipFill>
                          <a:blip r:embed="rId120"/>
                          <a:stretch>
                            <a:fillRect/>
                          </a:stretch>
                        </pic:blipFill>
                        <pic:spPr bwMode="auto">
                          <a:xfrm>
                            <a:off x="0" y="0"/>
                            <a:ext cx="238125" cy="209550"/>
                          </a:xfrm>
                          <a:prstGeom prst="rect">
                            <a:avLst/>
                          </a:prstGeom>
                        </pic:spPr>
                      </pic:pic>
                    </a:graphicData>
                  </a:graphic>
                </wp:inline>
              </w:drawing>
            </w:r>
          </w:p>
        </w:tc>
        <w:tc>
          <w:tcPr>
            <w:tcW w:w="300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552"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006" w:type="dxa"/>
            <w:tcBorders/>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drawing>
                <wp:inline distT="0" distB="0" distL="0" distR="0">
                  <wp:extent cx="238125" cy="228600"/>
                  <wp:effectExtent l="0" t="0" r="0" b="0"/>
                  <wp:docPr id="12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9" descr=""/>
                          <pic:cNvPicPr>
                            <a:picLocks noChangeAspect="1" noChangeArrowheads="1"/>
                          </pic:cNvPicPr>
                        </pic:nvPicPr>
                        <pic:blipFill>
                          <a:blip r:embed="rId121"/>
                          <a:stretch>
                            <a:fillRect/>
                          </a:stretch>
                        </pic:blipFill>
                        <pic:spPr bwMode="auto">
                          <a:xfrm>
                            <a:off x="0" y="0"/>
                            <a:ext cx="238125" cy="228600"/>
                          </a:xfrm>
                          <a:prstGeom prst="rect">
                            <a:avLst/>
                          </a:prstGeom>
                        </pic:spPr>
                      </pic:pic>
                    </a:graphicData>
                  </a:graphic>
                </wp:inline>
              </w:drawing>
            </w:r>
          </w:p>
        </w:tc>
        <w:tc>
          <w:tcPr>
            <w:tcW w:w="35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591" w:type="dxa"/>
            <w:tcBorders/>
            <w:vAlign w:val="center"/>
          </w:tcPr>
          <w:p>
            <w:pPr>
              <w:pStyle w:val="TableContents"/>
              <w:bidi w:val="0"/>
              <w:spacing w:before="0" w:after="283"/>
              <w:jc w:val="left"/>
              <w:rPr/>
            </w:pPr>
            <w:r>
              <w:rPr/>
              <w:drawing>
                <wp:inline distT="0" distB="0" distL="0" distR="0">
                  <wp:extent cx="190500" cy="257175"/>
                  <wp:effectExtent l="0" t="0" r="0" b="0"/>
                  <wp:docPr id="12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0" descr=""/>
                          <pic:cNvPicPr>
                            <a:picLocks noChangeAspect="1" noChangeArrowheads="1"/>
                          </pic:cNvPicPr>
                        </pic:nvPicPr>
                        <pic:blipFill>
                          <a:blip r:embed="rId122"/>
                          <a:stretch>
                            <a:fillRect/>
                          </a:stretch>
                        </pic:blipFill>
                        <pic:spPr bwMode="auto">
                          <a:xfrm>
                            <a:off x="0" y="0"/>
                            <a:ext cx="190500" cy="257175"/>
                          </a:xfrm>
                          <a:prstGeom prst="rect">
                            <a:avLst/>
                          </a:prstGeom>
                        </pic:spPr>
                      </pic:pic>
                    </a:graphicData>
                  </a:graphic>
                </wp:inline>
              </w:drawing>
            </w:r>
          </w:p>
        </w:tc>
        <w:tc>
          <w:tcPr>
            <w:tcW w:w="300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3552"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3006" w:type="dxa"/>
            <w:tcBorders/>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drawing>
                <wp:inline distT="0" distB="0" distL="0" distR="0">
                  <wp:extent cx="238125" cy="228600"/>
                  <wp:effectExtent l="0" t="0" r="0" b="0"/>
                  <wp:docPr id="12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1" descr=""/>
                          <pic:cNvPicPr>
                            <a:picLocks noChangeAspect="1" noChangeArrowheads="1"/>
                          </pic:cNvPicPr>
                        </pic:nvPicPr>
                        <pic:blipFill>
                          <a:blip r:embed="rId123"/>
                          <a:stretch>
                            <a:fillRect/>
                          </a:stretch>
                        </pic:blipFill>
                        <pic:spPr bwMode="auto">
                          <a:xfrm>
                            <a:off x="0" y="0"/>
                            <a:ext cx="238125" cy="228600"/>
                          </a:xfrm>
                          <a:prstGeom prst="rect">
                            <a:avLst/>
                          </a:prstGeom>
                        </pic:spPr>
                      </pic:pic>
                    </a:graphicData>
                  </a:graphic>
                </wp:inline>
              </w:drawing>
            </w:r>
          </w:p>
        </w:tc>
        <w:tc>
          <w:tcPr>
            <w:tcW w:w="35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Business Strategy/Operations Experience</w:t>
            </w:r>
          </w:p>
        </w:tc>
        <w:tc>
          <w:tcPr>
            <w:tcW w:w="591"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38125" cy="209550"/>
                  <wp:effectExtent l="0" t="0" r="0" b="0"/>
                  <wp:docPr id="12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2" descr=""/>
                          <pic:cNvPicPr>
                            <a:picLocks noChangeAspect="1" noChangeArrowheads="1"/>
                          </pic:cNvPicPr>
                        </pic:nvPicPr>
                        <pic:blipFill>
                          <a:blip r:embed="rId124"/>
                          <a:stretch>
                            <a:fillRect/>
                          </a:stretch>
                        </pic:blipFill>
                        <pic:spPr bwMode="auto">
                          <a:xfrm>
                            <a:off x="0" y="0"/>
                            <a:ext cx="238125" cy="209550"/>
                          </a:xfrm>
                          <a:prstGeom prst="rect">
                            <a:avLst/>
                          </a:prstGeom>
                        </pic:spPr>
                      </pic:pic>
                    </a:graphicData>
                  </a:graphic>
                </wp:inline>
              </w:drawing>
            </w:r>
          </w:p>
        </w:tc>
        <w:tc>
          <w:tcPr>
            <w:tcW w:w="300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Financial Expertise</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1" w:type="dxa"/>
            <w:tcBorders>
              <w:bottom w:val="single" w:sz="8" w:space="0" w:color="3B5AA4"/>
            </w:tcBorders>
            <w:tcMar>
              <w:bottom w:w="28" w:type="dxa"/>
            </w:tcMar>
            <w:vAlign w:val="center"/>
          </w:tcPr>
          <w:p>
            <w:pPr>
              <w:pStyle w:val="TableContents"/>
              <w:bidi w:val="0"/>
              <w:spacing w:before="0" w:after="283"/>
              <w:jc w:val="center"/>
              <w:rPr/>
            </w:pPr>
            <w:r>
              <w:rPr/>
              <w:t> </w:t>
            </w:r>
          </w:p>
        </w:tc>
        <w:tc>
          <w:tcPr>
            <w:tcW w:w="3552" w:type="dxa"/>
            <w:tcBorders>
              <w:bottom w:val="single" w:sz="8" w:space="0" w:color="215AA8"/>
            </w:tcBorders>
            <w:tcMar>
              <w:bottom w:w="28" w:type="dxa"/>
            </w:tcMar>
            <w:vAlign w:val="center"/>
          </w:tcPr>
          <w:p>
            <w:pPr>
              <w:pStyle w:val="TableContents"/>
              <w:bidi w:val="0"/>
              <w:spacing w:before="0" w:after="283"/>
              <w:jc w:val="left"/>
              <w:rPr/>
            </w:pPr>
            <w:r>
              <w:rPr/>
              <w:t> </w:t>
            </w:r>
          </w:p>
        </w:tc>
        <w:tc>
          <w:tcPr>
            <w:tcW w:w="591" w:type="dxa"/>
            <w:tcBorders>
              <w:bottom w:val="single" w:sz="8" w:space="0" w:color="3B5AA4"/>
            </w:tcBorders>
            <w:tcMar>
              <w:bottom w:w="28" w:type="dxa"/>
            </w:tcMar>
            <w:vAlign w:val="center"/>
          </w:tcPr>
          <w:p>
            <w:pPr>
              <w:pStyle w:val="TableContents"/>
              <w:bidi w:val="0"/>
              <w:spacing w:before="0" w:after="283"/>
              <w:jc w:val="center"/>
              <w:rPr/>
            </w:pPr>
            <w:r>
              <w:rPr/>
              <w:t> </w:t>
            </w:r>
          </w:p>
        </w:tc>
        <w:tc>
          <w:tcPr>
            <w:tcW w:w="3006"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552"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c>
          <w:tcPr>
            <w:tcW w:w="3006" w:type="dxa"/>
            <w:tcBorders/>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4143" w:type="dxa"/>
            <w:gridSpan w:val="2"/>
            <w:tcBorders>
              <w:bottom w:val="single" w:sz="8" w:space="0" w:color="215AA8"/>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Other Public Company Boards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Neurocrine Biosciences, Inc.</w:t>
            </w:r>
          </w:p>
          <w:p>
            <w:pPr>
              <w:pStyle w:val="TableContents"/>
              <w:bidi w:val="0"/>
              <w:spacing w:before="0" w:after="2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Prudential Financial, Inc.</w:t>
            </w:r>
          </w:p>
        </w:tc>
        <w:tc>
          <w:tcPr>
            <w:tcW w:w="591" w:type="dxa"/>
            <w:tcBorders>
              <w:bottom w:val="single" w:sz="8" w:space="0" w:color="215AA8"/>
            </w:tcBorders>
            <w:tcMar>
              <w:bottom w:w="28" w:type="dxa"/>
            </w:tcMar>
            <w:vAlign w:val="center"/>
          </w:tcPr>
          <w:p>
            <w:pPr>
              <w:pStyle w:val="TableContents"/>
              <w:bidi w:val="0"/>
              <w:spacing w:before="0" w:after="283"/>
              <w:jc w:val="left"/>
              <w:rPr/>
            </w:pPr>
            <w:r>
              <w:rPr/>
              <w:t> </w:t>
            </w:r>
          </w:p>
        </w:tc>
        <w:tc>
          <w:tcPr>
            <w:tcW w:w="3006" w:type="dxa"/>
            <w:tcBorders>
              <w:bottom w:val="single" w:sz="8" w:space="0" w:color="215AA8"/>
            </w:tcBorders>
            <w:tcMar>
              <w:bottom w:w="28" w:type="dxa"/>
            </w:tcMar>
            <w:vAlign w:val="center"/>
          </w:tcPr>
          <w:p>
            <w:pPr>
              <w:pStyle w:val="TableContents"/>
              <w:bidi w:val="0"/>
              <w:spacing w:before="0" w:after="283"/>
              <w:jc w:val="left"/>
              <w:rPr/>
            </w:pPr>
            <w:r>
              <w:rPr/>
              <w:t> </w:t>
            </w:r>
          </w:p>
        </w:tc>
      </w:tr>
      <w:tr>
        <w:trPr/>
        <w:tc>
          <w:tcPr>
            <w:tcW w:w="240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4143" w:type="dxa"/>
            <w:gridSpan w:val="2"/>
            <w:tcBorders/>
            <w:vAlign w:val="center"/>
          </w:tcPr>
          <w:p>
            <w:pPr>
              <w:pStyle w:val="TableContents"/>
              <w:bidi w:val="0"/>
              <w:spacing w:before="0" w:after="0"/>
              <w:ind w:left="0" w:right="0" w:hanging="0"/>
              <w:jc w:val="left"/>
              <w:rPr>
                <w:caps w:val="false"/>
                <w:smallCaps w:val="false"/>
                <w:color w:val="C60C44"/>
              </w:rPr>
            </w:pPr>
            <w:r>
              <w:rPr>
                <w:caps w:val="false"/>
                <w:smallCaps w:val="false"/>
                <w:color w:val="C60C44"/>
              </w:rPr>
              <w:t> </w:t>
            </w:r>
          </w:p>
        </w:tc>
        <w:tc>
          <w:tcPr>
            <w:tcW w:w="3597" w:type="dxa"/>
            <w:gridSpan w:val="2"/>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91" w:type="dxa"/>
            <w:tcBorders/>
            <w:vAlign w:val="center"/>
          </w:tcPr>
          <w:p>
            <w:pPr>
              <w:pStyle w:val="TableContents"/>
              <w:bidi w:val="0"/>
              <w:spacing w:before="0" w:after="283"/>
              <w:jc w:val="left"/>
              <w:rPr/>
            </w:pPr>
            <w:r>
              <w:rPr/>
              <w:t> </w:t>
            </w:r>
          </w:p>
        </w:tc>
        <w:tc>
          <w:tcPr>
            <w:tcW w:w="3552" w:type="dxa"/>
            <w:tcBorders/>
            <w:vAlign w:val="center"/>
          </w:tcPr>
          <w:p>
            <w:pPr>
              <w:pStyle w:val="TableContents"/>
              <w:bidi w:val="0"/>
              <w:spacing w:before="0" w:after="283"/>
              <w:jc w:val="center"/>
              <w:rPr/>
            </w:pPr>
            <w:r>
              <w:rPr/>
              <w:t> </w:t>
            </w:r>
          </w:p>
        </w:tc>
        <w:tc>
          <w:tcPr>
            <w:tcW w:w="591" w:type="dxa"/>
            <w:tcBorders/>
            <w:vAlign w:val="center"/>
          </w:tcPr>
          <w:p>
            <w:pPr>
              <w:pStyle w:val="TableContents"/>
              <w:bidi w:val="0"/>
              <w:spacing w:before="0" w:after="283"/>
              <w:jc w:val="left"/>
              <w:rPr/>
            </w:pPr>
            <w:r>
              <w:rPr/>
              <w:t> </w:t>
            </w:r>
          </w:p>
        </w:tc>
        <w:tc>
          <w:tcPr>
            <w:tcW w:w="3006"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40"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Ms. Poon’s extensive expertise in domestic and international business operations, including sales and marketing and commercial operations, and her deep strategic and operational knowledge of the pharmaceutical industry, led the board to conclude that Ms. Poon should serve as a 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2" w:space="1" w:color="BCBEC0"/>
        </w:pBdr>
        <w:bidi w:val="0"/>
        <w:jc w:val="center"/>
        <w:rPr>
          <w:caps w:val="false"/>
          <w:smallCaps w:val="false"/>
        </w:rPr>
      </w:pPr>
      <w:r>
        <w:rPr>
          <w:caps w:val="false"/>
          <w:smallCaps w:val="false"/>
        </w:rPr>
        <w:t> </w:t>
      </w:r>
    </w:p>
    <w:tbl>
      <w:tblPr>
        <w:tblW w:w="8005" w:type="dxa"/>
        <w:jc w:val="center"/>
        <w:tblInd w:w="0" w:type="dxa"/>
        <w:tblLayout w:type="fixed"/>
        <w:tblCellMar>
          <w:top w:w="0" w:type="dxa"/>
          <w:left w:w="0" w:type="dxa"/>
          <w:bottom w:w="0" w:type="dxa"/>
          <w:right w:w="0" w:type="dxa"/>
        </w:tblCellMar>
      </w:tblPr>
      <w:tblGrid>
        <w:gridCol w:w="110"/>
        <w:gridCol w:w="7895"/>
      </w:tblGrid>
      <w:tr>
        <w:trPr/>
        <w:tc>
          <w:tcPr>
            <w:tcW w:w="11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10101"/>
                <w:position w:val="5"/>
                <w:sz w:val="13"/>
                <w:sz w:val="16"/>
              </w:rPr>
            </w:pPr>
            <w:r>
              <w:rPr>
                <w:rFonts w:ascii="Arial;Helvetica;Sans-Serif" w:hAnsi="Arial;Helvetica;Sans-Serif"/>
                <w:b w:val="false"/>
                <w:i w:val="false"/>
                <w:caps w:val="false"/>
                <w:smallCaps w:val="false"/>
                <w:color w:val="010101"/>
                <w:position w:val="5"/>
                <w:sz w:val="13"/>
                <w:sz w:val="16"/>
              </w:rPr>
              <w:t>3</w:t>
            </w:r>
          </w:p>
        </w:tc>
        <w:tc>
          <w:tcPr>
            <w:tcW w:w="789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Ms. Poon retired from the board of directors of The Sherwin-Williams Company effective as of April 16, 2025.</w:t>
            </w:r>
          </w:p>
        </w:tc>
      </w:tr>
      <w:tr>
        <w:trPr/>
        <w:tc>
          <w:tcPr>
            <w:tcW w:w="11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r>
    </w:tbl>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3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3" descr=""/>
                          <pic:cNvPicPr>
                            <a:picLocks noChangeAspect="1" noChangeArrowheads="1"/>
                          </pic:cNvPicPr>
                        </pic:nvPicPr>
                        <pic:blipFill>
                          <a:blip r:embed="rId125"/>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186"/>
        <w:gridCol w:w="60"/>
        <w:gridCol w:w="596"/>
        <w:gridCol w:w="3670"/>
        <w:gridCol w:w="596"/>
        <w:gridCol w:w="3097"/>
      </w:tblGrid>
      <w:tr>
        <w:trPr/>
        <w:tc>
          <w:tcPr>
            <w:tcW w:w="21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67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13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4" descr=""/>
                          <pic:cNvPicPr>
                            <a:picLocks noChangeAspect="1" noChangeArrowheads="1"/>
                          </pic:cNvPicPr>
                        </pic:nvPicPr>
                        <pic:blipFill>
                          <a:blip r:embed="rId126"/>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2/2</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7959"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David P. Schenkein, M.D.</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959" w:type="dxa"/>
            <w:gridSpan w:val="4"/>
            <w:tcBorders/>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959"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2023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67</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266" w:type="dxa"/>
            <w:gridSpan w:val="2"/>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959"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General Partner and Co-lead of the Life Sciences team of GV (formerly Google Ventures) since 2019</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Adjunct attending physician in hematology at Tufts Medical Center since 2009</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President, Chief Executive Officer, Chair, and director of Agios Pharmaceuticals, Inc., where he continues to serve as a strategic advisor</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Senior Vice President, Clinical Hematology/Oncology at Genentech Inc.</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Adjunct Clinical Professor of Medical Oncology at Stanford University School of Medicine</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Senior Vice President of Clinical Research at Millennium Pharmaceuticals, Inc.</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director of Foundation Medicine, Inc. and bluebird bio, Inc.</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67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266"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596" w:type="dxa"/>
            <w:tcBorders/>
            <w:vAlign w:val="center"/>
          </w:tcPr>
          <w:p>
            <w:pPr>
              <w:pStyle w:val="TableContents"/>
              <w:bidi w:val="0"/>
              <w:spacing w:before="0" w:after="283"/>
              <w:jc w:val="center"/>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67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drawing>
                <wp:inline distT="0" distB="0" distL="0" distR="0">
                  <wp:extent cx="238125" cy="228600"/>
                  <wp:effectExtent l="0" t="0" r="0" b="0"/>
                  <wp:docPr id="13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5" descr=""/>
                          <pic:cNvPicPr>
                            <a:picLocks noChangeAspect="1" noChangeArrowheads="1"/>
                          </pic:cNvPicPr>
                        </pic:nvPicPr>
                        <pic:blipFill>
                          <a:blip r:embed="rId127"/>
                          <a:stretch>
                            <a:fillRect/>
                          </a:stretch>
                        </pic:blipFill>
                        <pic:spPr bwMode="auto">
                          <a:xfrm>
                            <a:off x="0" y="0"/>
                            <a:ext cx="238125" cy="228600"/>
                          </a:xfrm>
                          <a:prstGeom prst="rect">
                            <a:avLst/>
                          </a:prstGeom>
                        </pic:spPr>
                      </pic:pic>
                    </a:graphicData>
                  </a:graphic>
                </wp:inline>
              </w:drawing>
            </w:r>
          </w:p>
        </w:tc>
        <w:tc>
          <w:tcPr>
            <w:tcW w:w="36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596" w:type="dxa"/>
            <w:tcBorders/>
            <w:vAlign w:val="center"/>
          </w:tcPr>
          <w:p>
            <w:pPr>
              <w:pStyle w:val="TableContents"/>
              <w:bidi w:val="0"/>
              <w:spacing w:before="0" w:after="283"/>
              <w:jc w:val="left"/>
              <w:rPr/>
            </w:pPr>
            <w:r>
              <w:rPr/>
              <w:drawing>
                <wp:inline distT="0" distB="0" distL="0" distR="0">
                  <wp:extent cx="238125" cy="209550"/>
                  <wp:effectExtent l="0" t="0" r="0" b="0"/>
                  <wp:docPr id="13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6" descr=""/>
                          <pic:cNvPicPr>
                            <a:picLocks noChangeAspect="1" noChangeArrowheads="1"/>
                          </pic:cNvPicPr>
                        </pic:nvPicPr>
                        <pic:blipFill>
                          <a:blip r:embed="rId128"/>
                          <a:stretch>
                            <a:fillRect/>
                          </a:stretch>
                        </pic:blipFill>
                        <pic:spPr bwMode="auto">
                          <a:xfrm>
                            <a:off x="0" y="0"/>
                            <a:ext cx="238125" cy="209550"/>
                          </a:xfrm>
                          <a:prstGeom prst="rect">
                            <a:avLst/>
                          </a:prstGeom>
                        </pic:spPr>
                      </pic:pic>
                    </a:graphicData>
                  </a:graphic>
                </wp:inline>
              </w:drawing>
            </w:r>
          </w:p>
        </w:tc>
        <w:tc>
          <w:tcPr>
            <w:tcW w:w="3097"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67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drawing>
                <wp:inline distT="0" distB="0" distL="0" distR="0">
                  <wp:extent cx="238125" cy="228600"/>
                  <wp:effectExtent l="0" t="0" r="0" b="0"/>
                  <wp:docPr id="13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7" descr=""/>
                          <pic:cNvPicPr>
                            <a:picLocks noChangeAspect="1" noChangeArrowheads="1"/>
                          </pic:cNvPicPr>
                        </pic:nvPicPr>
                        <pic:blipFill>
                          <a:blip r:embed="rId129"/>
                          <a:stretch>
                            <a:fillRect/>
                          </a:stretch>
                        </pic:blipFill>
                        <pic:spPr bwMode="auto">
                          <a:xfrm>
                            <a:off x="0" y="0"/>
                            <a:ext cx="238125" cy="228600"/>
                          </a:xfrm>
                          <a:prstGeom prst="rect">
                            <a:avLst/>
                          </a:prstGeom>
                        </pic:spPr>
                      </pic:pic>
                    </a:graphicData>
                  </a:graphic>
                </wp:inline>
              </w:drawing>
            </w:r>
          </w:p>
        </w:tc>
        <w:tc>
          <w:tcPr>
            <w:tcW w:w="36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596" w:type="dxa"/>
            <w:tcBorders/>
            <w:vAlign w:val="center"/>
          </w:tcPr>
          <w:p>
            <w:pPr>
              <w:pStyle w:val="TableContents"/>
              <w:bidi w:val="0"/>
              <w:spacing w:before="0" w:after="283"/>
              <w:jc w:val="left"/>
              <w:rPr/>
            </w:pPr>
            <w:r>
              <w:rPr/>
              <w:drawing>
                <wp:inline distT="0" distB="0" distL="0" distR="0">
                  <wp:extent cx="190500" cy="257175"/>
                  <wp:effectExtent l="0" t="0" r="0" b="0"/>
                  <wp:docPr id="13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8" descr=""/>
                          <pic:cNvPicPr>
                            <a:picLocks noChangeAspect="1" noChangeArrowheads="1"/>
                          </pic:cNvPicPr>
                        </pic:nvPicPr>
                        <pic:blipFill>
                          <a:blip r:embed="rId130"/>
                          <a:stretch>
                            <a:fillRect/>
                          </a:stretch>
                        </pic:blipFill>
                        <pic:spPr bwMode="auto">
                          <a:xfrm>
                            <a:off x="0" y="0"/>
                            <a:ext cx="190500" cy="257175"/>
                          </a:xfrm>
                          <a:prstGeom prst="rect">
                            <a:avLst/>
                          </a:prstGeom>
                        </pic:spPr>
                      </pic:pic>
                    </a:graphicData>
                  </a:graphic>
                </wp:inline>
              </w:drawing>
            </w:r>
          </w:p>
        </w:tc>
        <w:tc>
          <w:tcPr>
            <w:tcW w:w="3097"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367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drawing>
                <wp:inline distT="0" distB="0" distL="0" distR="0">
                  <wp:extent cx="238125" cy="228600"/>
                  <wp:effectExtent l="0" t="0" r="0" b="0"/>
                  <wp:docPr id="13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9" descr=""/>
                          <pic:cNvPicPr>
                            <a:picLocks noChangeAspect="1" noChangeArrowheads="1"/>
                          </pic:cNvPicPr>
                        </pic:nvPicPr>
                        <pic:blipFill>
                          <a:blip r:embed="rId131"/>
                          <a:stretch>
                            <a:fillRect/>
                          </a:stretch>
                        </pic:blipFill>
                        <pic:spPr bwMode="auto">
                          <a:xfrm>
                            <a:off x="0" y="0"/>
                            <a:ext cx="238125" cy="228600"/>
                          </a:xfrm>
                          <a:prstGeom prst="rect">
                            <a:avLst/>
                          </a:prstGeom>
                        </pic:spPr>
                      </pic:pic>
                    </a:graphicData>
                  </a:graphic>
                </wp:inline>
              </w:drawing>
            </w:r>
          </w:p>
        </w:tc>
        <w:tc>
          <w:tcPr>
            <w:tcW w:w="36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Business Strategy/Operations Experience</w:t>
            </w:r>
          </w:p>
        </w:tc>
        <w:tc>
          <w:tcPr>
            <w:tcW w:w="596" w:type="dxa"/>
            <w:tcBorders/>
            <w:vAlign w:val="center"/>
          </w:tcPr>
          <w:p>
            <w:pPr>
              <w:pStyle w:val="TableContents"/>
              <w:bidi w:val="0"/>
              <w:spacing w:before="0" w:after="283"/>
              <w:jc w:val="left"/>
              <w:rPr/>
            </w:pPr>
            <w:r>
              <w:rPr/>
              <w:drawing>
                <wp:inline distT="0" distB="0" distL="0" distR="0">
                  <wp:extent cx="238125" cy="209550"/>
                  <wp:effectExtent l="0" t="0" r="0" b="0"/>
                  <wp:docPr id="13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0" descr=""/>
                          <pic:cNvPicPr>
                            <a:picLocks noChangeAspect="1" noChangeArrowheads="1"/>
                          </pic:cNvPicPr>
                        </pic:nvPicPr>
                        <pic:blipFill>
                          <a:blip r:embed="rId132"/>
                          <a:stretch>
                            <a:fillRect/>
                          </a:stretch>
                        </pic:blipFill>
                        <pic:spPr bwMode="auto">
                          <a:xfrm>
                            <a:off x="0" y="0"/>
                            <a:ext cx="238125" cy="209550"/>
                          </a:xfrm>
                          <a:prstGeom prst="rect">
                            <a:avLst/>
                          </a:prstGeom>
                        </pic:spPr>
                      </pic:pic>
                    </a:graphicData>
                  </a:graphic>
                </wp:inline>
              </w:drawing>
            </w:r>
          </w:p>
        </w:tc>
        <w:tc>
          <w:tcPr>
            <w:tcW w:w="3097"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Financial Expertise</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367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drawing>
                <wp:inline distT="0" distB="0" distL="0" distR="0">
                  <wp:extent cx="238125" cy="238125"/>
                  <wp:effectExtent l="0" t="0" r="0" b="0"/>
                  <wp:docPr id="138"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1" descr=""/>
                          <pic:cNvPicPr>
                            <a:picLocks noChangeAspect="1" noChangeArrowheads="1"/>
                          </pic:cNvPicPr>
                        </pic:nvPicPr>
                        <pic:blipFill>
                          <a:blip r:embed="rId133"/>
                          <a:stretch>
                            <a:fillRect/>
                          </a:stretch>
                        </pic:blipFill>
                        <pic:spPr bwMode="auto">
                          <a:xfrm>
                            <a:off x="0" y="0"/>
                            <a:ext cx="238125" cy="238125"/>
                          </a:xfrm>
                          <a:prstGeom prst="rect">
                            <a:avLst/>
                          </a:prstGeom>
                        </pic:spPr>
                      </pic:pic>
                    </a:graphicData>
                  </a:graphic>
                </wp:inline>
              </w:drawing>
            </w:r>
          </w:p>
        </w:tc>
        <w:tc>
          <w:tcPr>
            <w:tcW w:w="36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Public Company CEO Experience</w:t>
            </w:r>
          </w:p>
        </w:tc>
        <w:tc>
          <w:tcPr>
            <w:tcW w:w="596" w:type="dxa"/>
            <w:tcBorders/>
            <w:vAlign w:val="center"/>
          </w:tcPr>
          <w:p>
            <w:pPr>
              <w:pStyle w:val="TableContents"/>
              <w:bidi w:val="0"/>
              <w:spacing w:before="0" w:after="283"/>
              <w:jc w:val="left"/>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bottom w:val="single" w:sz="8" w:space="0" w:color="3B5AA4"/>
            </w:tcBorders>
            <w:tcMar>
              <w:bottom w:w="28" w:type="dxa"/>
            </w:tcMar>
            <w:vAlign w:val="center"/>
          </w:tcPr>
          <w:p>
            <w:pPr>
              <w:pStyle w:val="TableContents"/>
              <w:bidi w:val="0"/>
              <w:spacing w:before="0" w:after="283"/>
              <w:jc w:val="center"/>
              <w:rPr/>
            </w:pPr>
            <w:r>
              <w:rPr/>
              <w:t> </w:t>
            </w:r>
          </w:p>
        </w:tc>
        <w:tc>
          <w:tcPr>
            <w:tcW w:w="3670" w:type="dxa"/>
            <w:tcBorders>
              <w:bottom w:val="single" w:sz="8" w:space="0" w:color="215AA8"/>
            </w:tcBorders>
            <w:tcMar>
              <w:bottom w:w="28" w:type="dxa"/>
            </w:tcMar>
            <w:vAlign w:val="center"/>
          </w:tcPr>
          <w:p>
            <w:pPr>
              <w:pStyle w:val="TableContents"/>
              <w:bidi w:val="0"/>
              <w:spacing w:before="0" w:after="283"/>
              <w:jc w:val="left"/>
              <w:rPr/>
            </w:pPr>
            <w:r>
              <w:rPr/>
              <w:t> </w:t>
            </w:r>
          </w:p>
        </w:tc>
        <w:tc>
          <w:tcPr>
            <w:tcW w:w="596" w:type="dxa"/>
            <w:tcBorders>
              <w:bottom w:val="single" w:sz="8" w:space="0" w:color="3B5AA4"/>
            </w:tcBorders>
            <w:tcMar>
              <w:bottom w:w="28" w:type="dxa"/>
            </w:tcMar>
            <w:vAlign w:val="center"/>
          </w:tcPr>
          <w:p>
            <w:pPr>
              <w:pStyle w:val="TableContents"/>
              <w:bidi w:val="0"/>
              <w:spacing w:before="0" w:after="283"/>
              <w:jc w:val="center"/>
              <w:rPr/>
            </w:pPr>
            <w:r>
              <w:rPr/>
              <w:t> </w:t>
            </w:r>
          </w:p>
        </w:tc>
        <w:tc>
          <w:tcPr>
            <w:tcW w:w="3097"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670"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center"/>
              <w:rPr/>
            </w:pPr>
            <w:r>
              <w:rPr/>
              <w:t> </w:t>
            </w:r>
          </w:p>
        </w:tc>
        <w:tc>
          <w:tcPr>
            <w:tcW w:w="3097" w:type="dxa"/>
            <w:tcBorders/>
            <w:vAlign w:val="center"/>
          </w:tcPr>
          <w:p>
            <w:pPr>
              <w:pStyle w:val="TableContents"/>
              <w:bidi w:val="0"/>
              <w:spacing w:before="0" w:after="283"/>
              <w:jc w:val="left"/>
              <w:rPr/>
            </w:pPr>
            <w:r>
              <w:rPr/>
              <w:t> </w:t>
            </w:r>
          </w:p>
        </w:tc>
      </w:tr>
      <w:tr>
        <w:trPr/>
        <w:tc>
          <w:tcPr>
            <w:tcW w:w="2186"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66" w:type="dxa"/>
            <w:gridSpan w:val="2"/>
            <w:tcBorders>
              <w:bottom w:val="single" w:sz="8" w:space="0" w:color="215AA8"/>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Other Public Company Boards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Denali Therapeutics Inc.</w:t>
            </w:r>
          </w:p>
          <w:p>
            <w:pPr>
              <w:pStyle w:val="TableContents"/>
              <w:bidi w:val="0"/>
              <w:spacing w:before="0" w:after="18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Prime Medicine, Inc.</w:t>
            </w:r>
          </w:p>
        </w:tc>
        <w:tc>
          <w:tcPr>
            <w:tcW w:w="596" w:type="dxa"/>
            <w:tcBorders>
              <w:bottom w:val="single" w:sz="8" w:space="0" w:color="215AA8"/>
            </w:tcBorders>
            <w:tcMar>
              <w:bottom w:w="28" w:type="dxa"/>
            </w:tcMar>
            <w:vAlign w:val="center"/>
          </w:tcPr>
          <w:p>
            <w:pPr>
              <w:pStyle w:val="TableContents"/>
              <w:bidi w:val="0"/>
              <w:spacing w:before="0" w:after="283"/>
              <w:jc w:val="left"/>
              <w:rPr/>
            </w:pPr>
            <w:r>
              <w:rPr/>
              <w:t> </w:t>
            </w:r>
          </w:p>
        </w:tc>
        <w:tc>
          <w:tcPr>
            <w:tcW w:w="3097" w:type="dxa"/>
            <w:tcBorders>
              <w:bottom w:val="single" w:sz="8" w:space="0" w:color="215AA8"/>
            </w:tcBorders>
            <w:tcMar>
              <w:bottom w:w="28" w:type="dxa"/>
            </w:tcMar>
            <w:vAlign w:val="center"/>
          </w:tcPr>
          <w:p>
            <w:pPr>
              <w:pStyle w:val="TableContents"/>
              <w:bidi w:val="0"/>
              <w:spacing w:before="0" w:after="283"/>
              <w:jc w:val="left"/>
              <w:rPr/>
            </w:pPr>
            <w:r>
              <w:rPr/>
              <w:t> </w:t>
            </w:r>
          </w:p>
        </w:tc>
      </w:tr>
      <w:tr>
        <w:trPr/>
        <w:tc>
          <w:tcPr>
            <w:tcW w:w="2186" w:type="dxa"/>
            <w:vMerge w:val="continue"/>
            <w:tcBorders/>
            <w:vAlign w:val="center"/>
          </w:tcPr>
          <w:p>
            <w:pPr>
              <w:pStyle w:val="Normal"/>
              <w:bidi w:val="0"/>
              <w:jc w:val="left"/>
              <w:rPr/>
            </w:pPr>
            <w:r>
              <w:rPr/>
            </w:r>
          </w:p>
        </w:tc>
        <w:tc>
          <w:tcPr>
            <w:tcW w:w="656" w:type="dxa"/>
            <w:gridSpan w:val="2"/>
            <w:tcBorders/>
            <w:vAlign w:val="center"/>
          </w:tcPr>
          <w:p>
            <w:pPr>
              <w:pStyle w:val="TableContents"/>
              <w:bidi w:val="0"/>
              <w:spacing w:before="0" w:after="0"/>
              <w:ind w:left="0" w:right="0" w:hanging="0"/>
              <w:jc w:val="left"/>
              <w:rPr>
                <w:caps w:val="false"/>
                <w:smallCaps w:val="false"/>
                <w:color w:val="C60C44"/>
              </w:rPr>
            </w:pPr>
            <w:r>
              <w:rPr>
                <w:caps w:val="false"/>
                <w:smallCaps w:val="false"/>
                <w:color w:val="C60C44"/>
              </w:rPr>
              <w:t> </w:t>
            </w:r>
          </w:p>
        </w:tc>
        <w:tc>
          <w:tcPr>
            <w:tcW w:w="4266" w:type="dxa"/>
            <w:gridSpan w:val="2"/>
            <w:tcBorders/>
            <w:vAlign w:val="center"/>
          </w:tcPr>
          <w:p>
            <w:pPr>
              <w:pStyle w:val="TableContents"/>
              <w:bidi w:val="0"/>
              <w:spacing w:before="0" w:after="283"/>
              <w:jc w:val="left"/>
              <w:rPr/>
            </w:pPr>
            <w:r>
              <w:rPr/>
              <w:t> </w:t>
            </w:r>
          </w:p>
        </w:tc>
        <w:tc>
          <w:tcPr>
            <w:tcW w:w="3097" w:type="dxa"/>
            <w:tcBorders/>
          </w:tcPr>
          <w:p>
            <w:pPr>
              <w:pStyle w:val="TableContents"/>
              <w:bidi w:val="0"/>
              <w:spacing w:before="0" w:after="283"/>
              <w:jc w:val="left"/>
              <w:rPr>
                <w:sz w:val="4"/>
                <w:szCs w:val="4"/>
              </w:rPr>
            </w:pPr>
            <w:r>
              <w:rPr>
                <w:sz w:val="4"/>
                <w:szCs w:val="4"/>
              </w:rPr>
            </w:r>
          </w:p>
        </w:tc>
      </w:tr>
      <w:tr>
        <w:trPr/>
        <w:tc>
          <w:tcPr>
            <w:tcW w:w="21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96" w:type="dxa"/>
            <w:tcBorders/>
            <w:vAlign w:val="center"/>
          </w:tcPr>
          <w:p>
            <w:pPr>
              <w:pStyle w:val="TableContents"/>
              <w:bidi w:val="0"/>
              <w:spacing w:before="0" w:after="283"/>
              <w:jc w:val="left"/>
              <w:rPr/>
            </w:pPr>
            <w:r>
              <w:rPr/>
              <w:t> </w:t>
            </w:r>
          </w:p>
        </w:tc>
        <w:tc>
          <w:tcPr>
            <w:tcW w:w="3670" w:type="dxa"/>
            <w:tcBorders/>
            <w:vAlign w:val="center"/>
          </w:tcPr>
          <w:p>
            <w:pPr>
              <w:pStyle w:val="TableContents"/>
              <w:bidi w:val="0"/>
              <w:spacing w:before="0" w:after="283"/>
              <w:jc w:val="center"/>
              <w:rPr/>
            </w:pPr>
            <w:r>
              <w:rPr/>
              <w:t> </w:t>
            </w:r>
          </w:p>
        </w:tc>
        <w:tc>
          <w:tcPr>
            <w:tcW w:w="596" w:type="dxa"/>
            <w:tcBorders/>
            <w:vAlign w:val="center"/>
          </w:tcPr>
          <w:p>
            <w:pPr>
              <w:pStyle w:val="TableContents"/>
              <w:bidi w:val="0"/>
              <w:spacing w:before="0" w:after="283"/>
              <w:jc w:val="left"/>
              <w:rPr/>
            </w:pPr>
            <w:r>
              <w:rPr/>
              <w:t> </w:t>
            </w:r>
          </w:p>
        </w:tc>
        <w:tc>
          <w:tcPr>
            <w:tcW w:w="3097" w:type="dxa"/>
            <w:tcBorders/>
            <w:vAlign w:val="center"/>
          </w:tcPr>
          <w:p>
            <w:pPr>
              <w:pStyle w:val="TableContents"/>
              <w:bidi w:val="0"/>
              <w:spacing w:before="0" w:after="283"/>
              <w:jc w:val="left"/>
              <w:rPr/>
            </w:pPr>
            <w:r>
              <w:rPr/>
              <w:t> </w:t>
            </w:r>
          </w:p>
        </w:tc>
      </w:tr>
      <w:tr>
        <w:trPr/>
        <w:tc>
          <w:tcPr>
            <w:tcW w:w="21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59"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Schenkein’s extensive leadership experience as an executive and corporate director in the pharmaceutical and healthcare industries, as well as his considerable research and academic experience, led the board to conclude that Dr. Schenkein should serve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3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2" descr=""/>
                          <pic:cNvPicPr>
                            <a:picLocks noChangeAspect="1" noChangeArrowheads="1"/>
                          </pic:cNvPicPr>
                        </pic:nvPicPr>
                        <pic:blipFill>
                          <a:blip r:embed="rId134"/>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255"/>
        <w:gridCol w:w="60"/>
        <w:gridCol w:w="581"/>
        <w:gridCol w:w="3652"/>
        <w:gridCol w:w="581"/>
        <w:gridCol w:w="3076"/>
      </w:tblGrid>
      <w:tr>
        <w:trPr/>
        <w:tc>
          <w:tcPr>
            <w:tcW w:w="2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652"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076" w:type="dxa"/>
            <w:tcBorders/>
            <w:vAlign w:val="center"/>
          </w:tcPr>
          <w:p>
            <w:pPr>
              <w:pStyle w:val="TableContents"/>
              <w:bidi w:val="0"/>
              <w:spacing w:before="0" w:after="283"/>
              <w:jc w:val="left"/>
              <w:rPr/>
            </w:pPr>
            <w:r>
              <w:rPr/>
              <w:t> </w:t>
            </w:r>
          </w:p>
        </w:tc>
      </w:tr>
      <w:tr>
        <w:trPr/>
        <w:tc>
          <w:tcPr>
            <w:tcW w:w="2255"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14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3" descr=""/>
                          <pic:cNvPicPr>
                            <a:picLocks noChangeAspect="1" noChangeArrowheads="1"/>
                          </pic:cNvPicPr>
                        </pic:nvPicPr>
                        <pic:blipFill>
                          <a:blip r:embed="rId135"/>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2/2</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7890"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Craig B. Thompson, M.D.</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90" w:type="dxa"/>
            <w:gridSpan w:val="4"/>
            <w:tcBorders/>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90"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2022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72</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233" w:type="dxa"/>
            <w:gridSpan w:val="2"/>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076" w:type="dxa"/>
            <w:tcBorders/>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890"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President and Chief Executive Officer of Memorial Sloan Kettering Cancer Center from 2010 to 2022, where he continues to oversee the Craig Thompson Lab</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Co-founder of Agios Pharmaceuticals, Inc.</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director of Merck &amp; Co., Inc.</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652"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076" w:type="dxa"/>
            <w:tcBorders/>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233"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581" w:type="dxa"/>
            <w:tcBorders/>
            <w:vAlign w:val="center"/>
          </w:tcPr>
          <w:p>
            <w:pPr>
              <w:pStyle w:val="TableContents"/>
              <w:bidi w:val="0"/>
              <w:spacing w:before="0" w:after="283"/>
              <w:jc w:val="center"/>
              <w:rPr/>
            </w:pPr>
            <w:r>
              <w:rPr/>
              <w:t> </w:t>
            </w:r>
          </w:p>
        </w:tc>
        <w:tc>
          <w:tcPr>
            <w:tcW w:w="3076" w:type="dxa"/>
            <w:tcBorders/>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652"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076" w:type="dxa"/>
            <w:tcBorders/>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drawing>
                <wp:inline distT="0" distB="0" distL="0" distR="0">
                  <wp:extent cx="238125" cy="228600"/>
                  <wp:effectExtent l="0" t="0" r="0" b="0"/>
                  <wp:docPr id="14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4" descr=""/>
                          <pic:cNvPicPr>
                            <a:picLocks noChangeAspect="1" noChangeArrowheads="1"/>
                          </pic:cNvPicPr>
                        </pic:nvPicPr>
                        <pic:blipFill>
                          <a:blip r:embed="rId136"/>
                          <a:stretch>
                            <a:fillRect/>
                          </a:stretch>
                        </pic:blipFill>
                        <pic:spPr bwMode="auto">
                          <a:xfrm>
                            <a:off x="0" y="0"/>
                            <a:ext cx="238125" cy="228600"/>
                          </a:xfrm>
                          <a:prstGeom prst="rect">
                            <a:avLst/>
                          </a:prstGeom>
                        </pic:spPr>
                      </pic:pic>
                    </a:graphicData>
                  </a:graphic>
                </wp:inline>
              </w:drawing>
            </w:r>
          </w:p>
        </w:tc>
        <w:tc>
          <w:tcPr>
            <w:tcW w:w="36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581" w:type="dxa"/>
            <w:tcBorders/>
            <w:vAlign w:val="center"/>
          </w:tcPr>
          <w:p>
            <w:pPr>
              <w:pStyle w:val="TableContents"/>
              <w:bidi w:val="0"/>
              <w:spacing w:before="0" w:after="283"/>
              <w:jc w:val="left"/>
              <w:rPr/>
            </w:pPr>
            <w:r>
              <w:rPr/>
              <w:drawing>
                <wp:inline distT="0" distB="0" distL="0" distR="0">
                  <wp:extent cx="238125" cy="209550"/>
                  <wp:effectExtent l="0" t="0" r="0" b="0"/>
                  <wp:docPr id="14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5" descr=""/>
                          <pic:cNvPicPr>
                            <a:picLocks noChangeAspect="1" noChangeArrowheads="1"/>
                          </pic:cNvPicPr>
                        </pic:nvPicPr>
                        <pic:blipFill>
                          <a:blip r:embed="rId137"/>
                          <a:stretch>
                            <a:fillRect/>
                          </a:stretch>
                        </pic:blipFill>
                        <pic:spPr bwMode="auto">
                          <a:xfrm>
                            <a:off x="0" y="0"/>
                            <a:ext cx="238125" cy="209550"/>
                          </a:xfrm>
                          <a:prstGeom prst="rect">
                            <a:avLst/>
                          </a:prstGeom>
                        </pic:spPr>
                      </pic:pic>
                    </a:graphicData>
                  </a:graphic>
                </wp:inline>
              </w:drawing>
            </w:r>
          </w:p>
        </w:tc>
        <w:tc>
          <w:tcPr>
            <w:tcW w:w="307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652"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076" w:type="dxa"/>
            <w:tcBorders/>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drawing>
                <wp:inline distT="0" distB="0" distL="0" distR="0">
                  <wp:extent cx="238125" cy="228600"/>
                  <wp:effectExtent l="0" t="0" r="0" b="0"/>
                  <wp:docPr id="143"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6" descr=""/>
                          <pic:cNvPicPr>
                            <a:picLocks noChangeAspect="1" noChangeArrowheads="1"/>
                          </pic:cNvPicPr>
                        </pic:nvPicPr>
                        <pic:blipFill>
                          <a:blip r:embed="rId138"/>
                          <a:stretch>
                            <a:fillRect/>
                          </a:stretch>
                        </pic:blipFill>
                        <pic:spPr bwMode="auto">
                          <a:xfrm>
                            <a:off x="0" y="0"/>
                            <a:ext cx="238125" cy="228600"/>
                          </a:xfrm>
                          <a:prstGeom prst="rect">
                            <a:avLst/>
                          </a:prstGeom>
                        </pic:spPr>
                      </pic:pic>
                    </a:graphicData>
                  </a:graphic>
                </wp:inline>
              </w:drawing>
            </w:r>
          </w:p>
        </w:tc>
        <w:tc>
          <w:tcPr>
            <w:tcW w:w="36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581" w:type="dxa"/>
            <w:tcBorders/>
            <w:vAlign w:val="center"/>
          </w:tcPr>
          <w:p>
            <w:pPr>
              <w:pStyle w:val="TableContents"/>
              <w:bidi w:val="0"/>
              <w:spacing w:before="0" w:after="283"/>
              <w:jc w:val="left"/>
              <w:rPr/>
            </w:pPr>
            <w:r>
              <w:rPr/>
              <w:drawing>
                <wp:inline distT="0" distB="0" distL="0" distR="0">
                  <wp:extent cx="190500" cy="257175"/>
                  <wp:effectExtent l="0" t="0" r="0" b="0"/>
                  <wp:docPr id="144"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7" descr=""/>
                          <pic:cNvPicPr>
                            <a:picLocks noChangeAspect="1" noChangeArrowheads="1"/>
                          </pic:cNvPicPr>
                        </pic:nvPicPr>
                        <pic:blipFill>
                          <a:blip r:embed="rId139"/>
                          <a:stretch>
                            <a:fillRect/>
                          </a:stretch>
                        </pic:blipFill>
                        <pic:spPr bwMode="auto">
                          <a:xfrm>
                            <a:off x="0" y="0"/>
                            <a:ext cx="190500" cy="257175"/>
                          </a:xfrm>
                          <a:prstGeom prst="rect">
                            <a:avLst/>
                          </a:prstGeom>
                        </pic:spPr>
                      </pic:pic>
                    </a:graphicData>
                  </a:graphic>
                </wp:inline>
              </w:drawing>
            </w:r>
          </w:p>
        </w:tc>
        <w:tc>
          <w:tcPr>
            <w:tcW w:w="307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3652"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3076" w:type="dxa"/>
            <w:tcBorders/>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drawing>
                <wp:inline distT="0" distB="0" distL="0" distR="0">
                  <wp:extent cx="238125" cy="228600"/>
                  <wp:effectExtent l="0" t="0" r="0" b="0"/>
                  <wp:docPr id="145"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8" descr=""/>
                          <pic:cNvPicPr>
                            <a:picLocks noChangeAspect="1" noChangeArrowheads="1"/>
                          </pic:cNvPicPr>
                        </pic:nvPicPr>
                        <pic:blipFill>
                          <a:blip r:embed="rId140"/>
                          <a:stretch>
                            <a:fillRect/>
                          </a:stretch>
                        </pic:blipFill>
                        <pic:spPr bwMode="auto">
                          <a:xfrm>
                            <a:off x="0" y="0"/>
                            <a:ext cx="238125" cy="228600"/>
                          </a:xfrm>
                          <a:prstGeom prst="rect">
                            <a:avLst/>
                          </a:prstGeom>
                        </pic:spPr>
                      </pic:pic>
                    </a:graphicData>
                  </a:graphic>
                </wp:inline>
              </w:drawing>
            </w:r>
          </w:p>
        </w:tc>
        <w:tc>
          <w:tcPr>
            <w:tcW w:w="36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Business Strategy/Operations Experience</w:t>
            </w:r>
          </w:p>
        </w:tc>
        <w:tc>
          <w:tcPr>
            <w:tcW w:w="581" w:type="dxa"/>
            <w:tcBorders/>
            <w:vAlign w:val="center"/>
          </w:tcPr>
          <w:p>
            <w:pPr>
              <w:pStyle w:val="TableContents"/>
              <w:bidi w:val="0"/>
              <w:spacing w:before="0" w:after="283"/>
              <w:jc w:val="left"/>
              <w:rPr/>
            </w:pPr>
            <w:r>
              <w:rPr/>
              <w:drawing>
                <wp:inline distT="0" distB="0" distL="0" distR="0">
                  <wp:extent cx="238125" cy="209550"/>
                  <wp:effectExtent l="0" t="0" r="0" b="0"/>
                  <wp:docPr id="146"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9" descr=""/>
                          <pic:cNvPicPr>
                            <a:picLocks noChangeAspect="1" noChangeArrowheads="1"/>
                          </pic:cNvPicPr>
                        </pic:nvPicPr>
                        <pic:blipFill>
                          <a:blip r:embed="rId141"/>
                          <a:stretch>
                            <a:fillRect/>
                          </a:stretch>
                        </pic:blipFill>
                        <pic:spPr bwMode="auto">
                          <a:xfrm>
                            <a:off x="0" y="0"/>
                            <a:ext cx="238125" cy="209550"/>
                          </a:xfrm>
                          <a:prstGeom prst="rect">
                            <a:avLst/>
                          </a:prstGeom>
                        </pic:spPr>
                      </pic:pic>
                    </a:graphicData>
                  </a:graphic>
                </wp:inline>
              </w:drawing>
            </w:r>
          </w:p>
        </w:tc>
        <w:tc>
          <w:tcPr>
            <w:tcW w:w="307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Financial Expertise</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81" w:type="dxa"/>
            <w:tcBorders>
              <w:bottom w:val="single" w:sz="8" w:space="0" w:color="3B5AA4"/>
            </w:tcBorders>
            <w:tcMar>
              <w:bottom w:w="28" w:type="dxa"/>
            </w:tcMar>
            <w:vAlign w:val="center"/>
          </w:tcPr>
          <w:p>
            <w:pPr>
              <w:pStyle w:val="TableContents"/>
              <w:bidi w:val="0"/>
              <w:spacing w:before="0" w:after="283"/>
              <w:jc w:val="center"/>
              <w:rPr/>
            </w:pPr>
            <w:r>
              <w:rPr/>
              <w:t> </w:t>
            </w:r>
          </w:p>
        </w:tc>
        <w:tc>
          <w:tcPr>
            <w:tcW w:w="3652" w:type="dxa"/>
            <w:tcBorders>
              <w:bottom w:val="single" w:sz="8" w:space="0" w:color="215AA8"/>
            </w:tcBorders>
            <w:tcMar>
              <w:bottom w:w="28" w:type="dxa"/>
            </w:tcMar>
            <w:vAlign w:val="center"/>
          </w:tcPr>
          <w:p>
            <w:pPr>
              <w:pStyle w:val="TableContents"/>
              <w:bidi w:val="0"/>
              <w:spacing w:before="0" w:after="283"/>
              <w:jc w:val="left"/>
              <w:rPr/>
            </w:pPr>
            <w:r>
              <w:rPr/>
              <w:t> </w:t>
            </w:r>
          </w:p>
        </w:tc>
        <w:tc>
          <w:tcPr>
            <w:tcW w:w="581" w:type="dxa"/>
            <w:tcBorders>
              <w:bottom w:val="single" w:sz="8" w:space="0" w:color="3B5AA4"/>
            </w:tcBorders>
            <w:tcMar>
              <w:bottom w:w="28" w:type="dxa"/>
            </w:tcMar>
            <w:vAlign w:val="center"/>
          </w:tcPr>
          <w:p>
            <w:pPr>
              <w:pStyle w:val="TableContents"/>
              <w:bidi w:val="0"/>
              <w:spacing w:before="0" w:after="283"/>
              <w:jc w:val="center"/>
              <w:rPr/>
            </w:pPr>
            <w:r>
              <w:rPr/>
              <w:t> </w:t>
            </w:r>
          </w:p>
        </w:tc>
        <w:tc>
          <w:tcPr>
            <w:tcW w:w="3076"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652"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center"/>
              <w:rPr/>
            </w:pPr>
            <w:r>
              <w:rPr/>
              <w:t> </w:t>
            </w:r>
          </w:p>
        </w:tc>
        <w:tc>
          <w:tcPr>
            <w:tcW w:w="3076" w:type="dxa"/>
            <w:tcBorders/>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4233" w:type="dxa"/>
            <w:gridSpan w:val="2"/>
            <w:tcBorders>
              <w:bottom w:val="single" w:sz="8" w:space="0" w:color="215AA8"/>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Scientific Society Memberships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Sciences</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Medicine</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American Academy of Arts and Sciences</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American Society for Clinical Investigation</w:t>
            </w:r>
          </w:p>
          <w:p>
            <w:pPr>
              <w:pStyle w:val="TableContents"/>
              <w:bidi w:val="0"/>
              <w:spacing w:before="0" w:after="2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Association of American Physicians</w:t>
            </w:r>
          </w:p>
        </w:tc>
        <w:tc>
          <w:tcPr>
            <w:tcW w:w="581" w:type="dxa"/>
            <w:tcBorders>
              <w:bottom w:val="single" w:sz="8" w:space="0" w:color="215AA8"/>
            </w:tcBorders>
            <w:tcMar>
              <w:bottom w:w="28" w:type="dxa"/>
            </w:tcMar>
            <w:vAlign w:val="center"/>
          </w:tcPr>
          <w:p>
            <w:pPr>
              <w:pStyle w:val="TableContents"/>
              <w:bidi w:val="0"/>
              <w:spacing w:before="0" w:after="283"/>
              <w:jc w:val="left"/>
              <w:rPr/>
            </w:pPr>
            <w:r>
              <w:rPr/>
              <w:t> </w:t>
            </w:r>
          </w:p>
        </w:tc>
        <w:tc>
          <w:tcPr>
            <w:tcW w:w="3076" w:type="dxa"/>
            <w:tcBorders>
              <w:bottom w:val="single" w:sz="8" w:space="0" w:color="215AA8"/>
            </w:tcBorders>
            <w:tcMar>
              <w:bottom w:w="28" w:type="dxa"/>
            </w:tcMar>
            <w:vAlign w:val="center"/>
          </w:tcPr>
          <w:p>
            <w:pPr>
              <w:pStyle w:val="TableContents"/>
              <w:bidi w:val="0"/>
              <w:spacing w:before="0" w:after="283"/>
              <w:jc w:val="left"/>
              <w:rPr/>
            </w:pPr>
            <w:r>
              <w:rPr/>
              <w:t> </w:t>
            </w:r>
          </w:p>
        </w:tc>
      </w:tr>
      <w:tr>
        <w:trPr/>
        <w:tc>
          <w:tcPr>
            <w:tcW w:w="22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4233" w:type="dxa"/>
            <w:gridSpan w:val="2"/>
            <w:tcBorders>
              <w:bottom w:val="single" w:sz="8" w:space="0" w:color="215AA8"/>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Other Public Company Boards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2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Charles River Laboratories International, Inc.</w:t>
            </w:r>
          </w:p>
        </w:tc>
        <w:tc>
          <w:tcPr>
            <w:tcW w:w="581" w:type="dxa"/>
            <w:tcBorders>
              <w:bottom w:val="single" w:sz="8" w:space="0" w:color="215AA8"/>
            </w:tcBorders>
            <w:tcMar>
              <w:bottom w:w="28" w:type="dxa"/>
            </w:tcMar>
            <w:vAlign w:val="center"/>
          </w:tcPr>
          <w:p>
            <w:pPr>
              <w:pStyle w:val="TableContents"/>
              <w:bidi w:val="0"/>
              <w:spacing w:before="0" w:after="283"/>
              <w:jc w:val="left"/>
              <w:rPr/>
            </w:pPr>
            <w:r>
              <w:rPr/>
              <w:t> </w:t>
            </w:r>
          </w:p>
        </w:tc>
        <w:tc>
          <w:tcPr>
            <w:tcW w:w="3076" w:type="dxa"/>
            <w:tcBorders>
              <w:bottom w:val="single" w:sz="8" w:space="0" w:color="215AA8"/>
            </w:tcBorders>
            <w:tcMar>
              <w:bottom w:w="28" w:type="dxa"/>
            </w:tcMar>
            <w:vAlign w:val="center"/>
          </w:tcPr>
          <w:p>
            <w:pPr>
              <w:pStyle w:val="TableContents"/>
              <w:bidi w:val="0"/>
              <w:spacing w:before="0" w:after="283"/>
              <w:jc w:val="left"/>
              <w:rPr/>
            </w:pPr>
            <w:r>
              <w:rPr/>
              <w:t> </w:t>
            </w:r>
          </w:p>
        </w:tc>
      </w:tr>
      <w:tr>
        <w:trPr/>
        <w:tc>
          <w:tcPr>
            <w:tcW w:w="2315" w:type="dxa"/>
            <w:gridSpan w:val="2"/>
            <w:tcBorders/>
            <w:vAlign w:val="center"/>
          </w:tcPr>
          <w:p>
            <w:pPr>
              <w:pStyle w:val="TableContents"/>
              <w:bidi w:val="0"/>
              <w:spacing w:before="0" w:after="0"/>
              <w:ind w:left="0" w:right="0" w:hanging="0"/>
              <w:jc w:val="left"/>
              <w:rPr>
                <w:caps w:val="false"/>
                <w:smallCaps w:val="false"/>
                <w:color w:val="C60C44"/>
              </w:rPr>
            </w:pPr>
            <w:r>
              <w:rPr>
                <w:caps w:val="false"/>
                <w:smallCaps w:val="false"/>
                <w:color w:val="C60C44"/>
              </w:rPr>
              <w:t> </w:t>
            </w:r>
          </w:p>
        </w:tc>
        <w:tc>
          <w:tcPr>
            <w:tcW w:w="4233" w:type="dxa"/>
            <w:gridSpan w:val="2"/>
            <w:tcBorders/>
            <w:vAlign w:val="center"/>
          </w:tcPr>
          <w:p>
            <w:pPr>
              <w:pStyle w:val="TableContents"/>
              <w:bidi w:val="0"/>
              <w:spacing w:before="0" w:after="283"/>
              <w:jc w:val="left"/>
              <w:rPr/>
            </w:pPr>
            <w:r>
              <w:rPr/>
              <w:t> </w:t>
            </w:r>
          </w:p>
        </w:tc>
        <w:tc>
          <w:tcPr>
            <w:tcW w:w="3657" w:type="dxa"/>
            <w:gridSpan w:val="2"/>
            <w:tcBorders/>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81" w:type="dxa"/>
            <w:tcBorders/>
            <w:vAlign w:val="center"/>
          </w:tcPr>
          <w:p>
            <w:pPr>
              <w:pStyle w:val="TableContents"/>
              <w:bidi w:val="0"/>
              <w:spacing w:before="0" w:after="283"/>
              <w:jc w:val="left"/>
              <w:rPr/>
            </w:pPr>
            <w:r>
              <w:rPr/>
              <w:t> </w:t>
            </w:r>
          </w:p>
        </w:tc>
        <w:tc>
          <w:tcPr>
            <w:tcW w:w="3652" w:type="dxa"/>
            <w:tcBorders/>
            <w:vAlign w:val="center"/>
          </w:tcPr>
          <w:p>
            <w:pPr>
              <w:pStyle w:val="TableContents"/>
              <w:bidi w:val="0"/>
              <w:spacing w:before="0" w:after="283"/>
              <w:jc w:val="center"/>
              <w:rPr/>
            </w:pPr>
            <w:r>
              <w:rPr/>
              <w:t> </w:t>
            </w:r>
          </w:p>
        </w:tc>
        <w:tc>
          <w:tcPr>
            <w:tcW w:w="581" w:type="dxa"/>
            <w:tcBorders/>
            <w:vAlign w:val="center"/>
          </w:tcPr>
          <w:p>
            <w:pPr>
              <w:pStyle w:val="TableContents"/>
              <w:bidi w:val="0"/>
              <w:spacing w:before="0" w:after="283"/>
              <w:jc w:val="left"/>
              <w:rPr/>
            </w:pPr>
            <w:r>
              <w:rPr/>
              <w:t> </w:t>
            </w:r>
          </w:p>
        </w:tc>
        <w:tc>
          <w:tcPr>
            <w:tcW w:w="3076"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90"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Thompson’s extensive research and leadership experience in the pharmaceutical and healthcare industries, as well as his experience as a corporate director, led the board to conclude that Dr. Thompson should serve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47"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30" descr=""/>
                          <pic:cNvPicPr>
                            <a:picLocks noChangeAspect="1" noChangeArrowheads="1"/>
                          </pic:cNvPicPr>
                        </pic:nvPicPr>
                        <pic:blipFill>
                          <a:blip r:embed="rId142"/>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421"/>
        <w:gridCol w:w="60"/>
        <w:gridCol w:w="603"/>
        <w:gridCol w:w="3433"/>
        <w:gridCol w:w="603"/>
        <w:gridCol w:w="3085"/>
      </w:tblGrid>
      <w:tr>
        <w:trPr/>
        <w:tc>
          <w:tcPr>
            <w:tcW w:w="24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085" w:type="dxa"/>
            <w:tcBorders/>
            <w:vAlign w:val="center"/>
          </w:tcPr>
          <w:p>
            <w:pPr>
              <w:pStyle w:val="TableContents"/>
              <w:bidi w:val="0"/>
              <w:spacing w:before="0" w:after="283"/>
              <w:jc w:val="left"/>
              <w:rPr/>
            </w:pPr>
            <w:r>
              <w:rPr/>
              <w:t> </w:t>
            </w:r>
          </w:p>
        </w:tc>
      </w:tr>
      <w:tr>
        <w:trPr/>
        <w:tc>
          <w:tcPr>
            <w:tcW w:w="2421"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148"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31" descr=""/>
                          <pic:cNvPicPr>
                            <a:picLocks noChangeAspect="1" noChangeArrowheads="1"/>
                          </pic:cNvPicPr>
                        </pic:nvPicPr>
                        <pic:blipFill>
                          <a:blip r:embed="rId143"/>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6/7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Compensation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10/10</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2/2</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7724"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Huda Y. Zoghbi, M.D.</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24" w:type="dxa"/>
            <w:gridSpan w:val="4"/>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24"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2016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70</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036" w:type="dxa"/>
            <w:gridSpan w:val="2"/>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085" w:type="dxa"/>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24"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Professor in the departments of Pediatrics, Molecular and Human Genetics, and Neurology and Neuroscience at Baylor College of Medicine since 1994</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Director of the Jan and Dan Duncan Neurological Research Institute at Texas Children’s Hospital</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Howard Hughes Medical Institute Investigator</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Breakthrough Prize in Life Sciences</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Pearl Meister Greengard Prize</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March of Dimes Prize in Developmental Biology</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Vanderbilt Prize in Biomedical Science</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085" w:type="dxa"/>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036"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603" w:type="dxa"/>
            <w:tcBorders/>
            <w:vAlign w:val="center"/>
          </w:tcPr>
          <w:p>
            <w:pPr>
              <w:pStyle w:val="TableContents"/>
              <w:bidi w:val="0"/>
              <w:spacing w:before="0" w:after="283"/>
              <w:jc w:val="center"/>
              <w:rPr/>
            </w:pPr>
            <w:r>
              <w:rPr/>
              <w:t> </w:t>
            </w:r>
          </w:p>
        </w:tc>
        <w:tc>
          <w:tcPr>
            <w:tcW w:w="3085" w:type="dxa"/>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085" w:type="dxa"/>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pPr>
            <w:r>
              <w:rPr/>
              <w:drawing>
                <wp:inline distT="0" distB="0" distL="0" distR="0">
                  <wp:extent cx="238125" cy="209550"/>
                  <wp:effectExtent l="0" t="0" r="0" b="0"/>
                  <wp:docPr id="149"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2" descr=""/>
                          <pic:cNvPicPr>
                            <a:picLocks noChangeAspect="1" noChangeArrowheads="1"/>
                          </pic:cNvPicPr>
                        </pic:nvPicPr>
                        <pic:blipFill>
                          <a:blip r:embed="rId144"/>
                          <a:stretch>
                            <a:fillRect/>
                          </a:stretch>
                        </pic:blipFill>
                        <pic:spPr bwMode="auto">
                          <a:xfrm>
                            <a:off x="0" y="0"/>
                            <a:ext cx="238125" cy="209550"/>
                          </a:xfrm>
                          <a:prstGeom prst="rect">
                            <a:avLst/>
                          </a:prstGeom>
                        </pic:spPr>
                      </pic:pic>
                    </a:graphicData>
                  </a:graphic>
                </wp:inline>
              </w:drawing>
            </w:r>
          </w:p>
        </w:tc>
        <w:tc>
          <w:tcPr>
            <w:tcW w:w="34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c>
          <w:tcPr>
            <w:tcW w:w="603" w:type="dxa"/>
            <w:tcBorders/>
            <w:vAlign w:val="center"/>
          </w:tcPr>
          <w:p>
            <w:pPr>
              <w:pStyle w:val="TableContents"/>
              <w:bidi w:val="0"/>
              <w:spacing w:before="0" w:after="283"/>
              <w:jc w:val="left"/>
              <w:rPr/>
            </w:pPr>
            <w:r>
              <w:rPr/>
              <w:drawing>
                <wp:inline distT="0" distB="0" distL="0" distR="0">
                  <wp:extent cx="238125" cy="228600"/>
                  <wp:effectExtent l="0" t="0" r="0" b="0"/>
                  <wp:docPr id="150"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3" descr=""/>
                          <pic:cNvPicPr>
                            <a:picLocks noChangeAspect="1" noChangeArrowheads="1"/>
                          </pic:cNvPicPr>
                        </pic:nvPicPr>
                        <pic:blipFill>
                          <a:blip r:embed="rId145"/>
                          <a:stretch>
                            <a:fillRect/>
                          </a:stretch>
                        </pic:blipFill>
                        <pic:spPr bwMode="auto">
                          <a:xfrm>
                            <a:off x="0" y="0"/>
                            <a:ext cx="238125" cy="228600"/>
                          </a:xfrm>
                          <a:prstGeom prst="rect">
                            <a:avLst/>
                          </a:prstGeom>
                        </pic:spPr>
                      </pic:pic>
                    </a:graphicData>
                  </a:graphic>
                </wp:inline>
              </w:drawing>
            </w:r>
          </w:p>
        </w:tc>
        <w:tc>
          <w:tcPr>
            <w:tcW w:w="308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085" w:type="dxa"/>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pPr>
            <w:r>
              <w:rPr/>
              <w:drawing>
                <wp:inline distT="0" distB="0" distL="0" distR="0">
                  <wp:extent cx="190500" cy="257175"/>
                  <wp:effectExtent l="0" t="0" r="0" b="0"/>
                  <wp:docPr id="151"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34" descr=""/>
                          <pic:cNvPicPr>
                            <a:picLocks noChangeAspect="1" noChangeArrowheads="1"/>
                          </pic:cNvPicPr>
                        </pic:nvPicPr>
                        <pic:blipFill>
                          <a:blip r:embed="rId146"/>
                          <a:stretch>
                            <a:fillRect/>
                          </a:stretch>
                        </pic:blipFill>
                        <pic:spPr bwMode="auto">
                          <a:xfrm>
                            <a:off x="0" y="0"/>
                            <a:ext cx="190500" cy="257175"/>
                          </a:xfrm>
                          <a:prstGeom prst="rect">
                            <a:avLst/>
                          </a:prstGeom>
                        </pic:spPr>
                      </pic:pic>
                    </a:graphicData>
                  </a:graphic>
                </wp:inline>
              </w:drawing>
            </w:r>
          </w:p>
        </w:tc>
        <w:tc>
          <w:tcPr>
            <w:tcW w:w="34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c>
          <w:tcPr>
            <w:tcW w:w="603" w:type="dxa"/>
            <w:tcBorders/>
            <w:vAlign w:val="center"/>
          </w:tcPr>
          <w:p>
            <w:pPr>
              <w:pStyle w:val="TableContents"/>
              <w:bidi w:val="0"/>
              <w:spacing w:before="0" w:after="283"/>
              <w:jc w:val="left"/>
              <w:rPr/>
            </w:pPr>
            <w:r>
              <w:rPr/>
              <w:t> </w:t>
            </w:r>
          </w:p>
        </w:tc>
        <w:tc>
          <w:tcPr>
            <w:tcW w:w="3085" w:type="dxa"/>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3" w:type="dxa"/>
            <w:tcBorders>
              <w:bottom w:val="single" w:sz="8" w:space="0" w:color="3B5AA4"/>
            </w:tcBorders>
            <w:tcMar>
              <w:bottom w:w="28" w:type="dxa"/>
            </w:tcMar>
            <w:vAlign w:val="center"/>
          </w:tcPr>
          <w:p>
            <w:pPr>
              <w:pStyle w:val="TableContents"/>
              <w:bidi w:val="0"/>
              <w:spacing w:before="0" w:after="283"/>
              <w:jc w:val="center"/>
              <w:rPr/>
            </w:pPr>
            <w:r>
              <w:rPr/>
              <w:t> </w:t>
            </w:r>
          </w:p>
        </w:tc>
        <w:tc>
          <w:tcPr>
            <w:tcW w:w="3433" w:type="dxa"/>
            <w:tcBorders>
              <w:bottom w:val="single" w:sz="8" w:space="0" w:color="215AA8"/>
            </w:tcBorders>
            <w:tcMar>
              <w:bottom w:w="28" w:type="dxa"/>
            </w:tcMar>
            <w:vAlign w:val="center"/>
          </w:tcPr>
          <w:p>
            <w:pPr>
              <w:pStyle w:val="TableContents"/>
              <w:bidi w:val="0"/>
              <w:spacing w:before="0" w:after="283"/>
              <w:jc w:val="left"/>
              <w:rPr/>
            </w:pPr>
            <w:r>
              <w:rPr/>
              <w:t> </w:t>
            </w:r>
          </w:p>
        </w:tc>
        <w:tc>
          <w:tcPr>
            <w:tcW w:w="603" w:type="dxa"/>
            <w:tcBorders>
              <w:bottom w:val="single" w:sz="8" w:space="0" w:color="3B5AA4"/>
            </w:tcBorders>
            <w:tcMar>
              <w:bottom w:w="28" w:type="dxa"/>
            </w:tcMar>
            <w:vAlign w:val="center"/>
          </w:tcPr>
          <w:p>
            <w:pPr>
              <w:pStyle w:val="TableContents"/>
              <w:bidi w:val="0"/>
              <w:spacing w:before="0" w:after="283"/>
              <w:jc w:val="center"/>
              <w:rPr/>
            </w:pPr>
            <w:r>
              <w:rPr/>
              <w:t> </w:t>
            </w:r>
          </w:p>
        </w:tc>
        <w:tc>
          <w:tcPr>
            <w:tcW w:w="3085"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085" w:type="dxa"/>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7724" w:type="dxa"/>
            <w:gridSpan w:val="4"/>
            <w:tcBorders>
              <w:bottom w:val="single" w:sz="8" w:space="0" w:color="215AA8"/>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Scientific Society Memberships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National Academy of Sciences</w:t>
            </w:r>
          </w:p>
          <w:p>
            <w:pPr>
              <w:pStyle w:val="TableContents"/>
              <w:bidi w:val="0"/>
              <w:spacing w:before="0" w:after="1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Institute of Medicine</w:t>
            </w:r>
          </w:p>
          <w:p>
            <w:pPr>
              <w:pStyle w:val="TableContents"/>
              <w:bidi w:val="0"/>
              <w:spacing w:before="0" w:after="200"/>
              <w:ind w:left="216" w:right="0" w:hanging="216"/>
              <w:jc w:val="left"/>
              <w:rPr>
                <w:caps w:val="false"/>
                <w:smallCaps w:val="false"/>
              </w:rPr>
            </w:pPr>
            <w:r>
              <w:rPr>
                <w:caps w:val="false"/>
                <w:smallCaps w:val="false"/>
                <w:color w:val="3B5AA4"/>
              </w:rPr>
              <w:t>•   </w:t>
            </w:r>
            <w:r>
              <w:rPr>
                <w:rFonts w:ascii="Arial;Helvetica;Sans-Serif" w:hAnsi="Arial;Helvetica;Sans-Serif"/>
                <w:b w:val="false"/>
                <w:i w:val="false"/>
                <w:caps w:val="false"/>
                <w:smallCaps w:val="false"/>
                <w:sz w:val="18"/>
              </w:rPr>
              <w:t>The American Association for the Advancement of Science</w:t>
            </w:r>
          </w:p>
        </w:tc>
      </w:tr>
      <w:tr>
        <w:trPr/>
        <w:tc>
          <w:tcPr>
            <w:tcW w:w="2421"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4036" w:type="dxa"/>
            <w:gridSpan w:val="2"/>
            <w:tcBorders/>
            <w:vAlign w:val="center"/>
          </w:tcPr>
          <w:p>
            <w:pPr>
              <w:pStyle w:val="TableContents"/>
              <w:bidi w:val="0"/>
              <w:spacing w:before="0" w:after="0"/>
              <w:ind w:left="0" w:right="0" w:hanging="0"/>
              <w:jc w:val="left"/>
              <w:rPr>
                <w:caps w:val="false"/>
                <w:smallCaps w:val="false"/>
                <w:color w:val="C60C44"/>
              </w:rPr>
            </w:pPr>
            <w:r>
              <w:rPr>
                <w:caps w:val="false"/>
                <w:smallCaps w:val="false"/>
                <w:color w:val="C60C44"/>
              </w:rPr>
              <w:t> </w:t>
            </w:r>
          </w:p>
        </w:tc>
        <w:tc>
          <w:tcPr>
            <w:tcW w:w="3688" w:type="dxa"/>
            <w:gridSpan w:val="2"/>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433"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c>
          <w:tcPr>
            <w:tcW w:w="3085" w:type="dxa"/>
            <w:tcBorders/>
            <w:vAlign w:val="center"/>
          </w:tcPr>
          <w:p>
            <w:pPr>
              <w:pStyle w:val="TableContents"/>
              <w:bidi w:val="0"/>
              <w:spacing w:before="0" w:after="283"/>
              <w:jc w:val="left"/>
              <w:rPr/>
            </w:pPr>
            <w:r>
              <w:rPr/>
              <w:t> </w:t>
            </w:r>
          </w:p>
        </w:tc>
      </w:tr>
      <w:tr>
        <w:trPr/>
        <w:tc>
          <w:tcPr>
            <w:tcW w:w="2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24"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Zoghbi’s extensive research experience and her scientific and academic career and accomplishments led the board to conclude that Dr. Zoghbi should serve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52"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5" descr=""/>
                          <pic:cNvPicPr>
                            <a:picLocks noChangeAspect="1" noChangeArrowheads="1"/>
                          </pic:cNvPicPr>
                        </pic:nvPicPr>
                        <pic:blipFill>
                          <a:blip r:embed="rId147"/>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jc w:val="left"/>
        <w:rPr>
          <w:rFonts w:ascii="Arial;Helvetica;Sans-Serif" w:hAnsi="Arial;Helvetica;Sans-Serif"/>
          <w:b/>
          <w:i w:val="false"/>
          <w:caps w:val="false"/>
          <w:smallCaps w:val="false"/>
          <w:color w:val="0F5EAC"/>
          <w:sz w:val="32"/>
        </w:rPr>
      </w:pPr>
      <w:r>
        <w:rPr>
          <w:rFonts w:ascii="Arial;Helvetica;Sans-Serif" w:hAnsi="Arial;Helvetica;Sans-Serif"/>
          <w:b/>
          <w:i w:val="false"/>
          <w:caps w:val="false"/>
          <w:smallCaps w:val="false"/>
          <w:color w:val="0F5EAC"/>
          <w:sz w:val="32"/>
        </w:rPr>
        <w:t xml:space="preserve">Class III Directors Continuing in Office </w:t>
        <w:br/>
        <w:t>Term Expires at the 2027 Annual Meeting</w:t>
      </w:r>
    </w:p>
    <w:p>
      <w:pPr>
        <w:pStyle w:val="TextBody"/>
        <w:bidi w:val="0"/>
        <w:jc w:val="center"/>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3009"/>
        <w:gridCol w:w="70"/>
        <w:gridCol w:w="573"/>
        <w:gridCol w:w="3228"/>
        <w:gridCol w:w="573"/>
        <w:gridCol w:w="2752"/>
      </w:tblGrid>
      <w:tr>
        <w:trPr/>
        <w:tc>
          <w:tcPr>
            <w:tcW w:w="3009"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3228"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2752" w:type="dxa"/>
            <w:tcBorders/>
            <w:vAlign w:val="center"/>
          </w:tcPr>
          <w:p>
            <w:pPr>
              <w:pStyle w:val="TableContents"/>
              <w:bidi w:val="0"/>
              <w:spacing w:before="0" w:after="283"/>
              <w:jc w:val="left"/>
              <w:rPr/>
            </w:pPr>
            <w:r>
              <w:rPr/>
              <w:t> </w:t>
            </w:r>
          </w:p>
        </w:tc>
      </w:tr>
      <w:tr>
        <w:trPr/>
        <w:tc>
          <w:tcPr>
            <w:tcW w:w="3009"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52525"/>
                  <wp:effectExtent l="0" t="0" r="0" b="0"/>
                  <wp:docPr id="153"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6" descr=""/>
                          <pic:cNvPicPr>
                            <a:picLocks noChangeAspect="1" noChangeArrowheads="1"/>
                          </pic:cNvPicPr>
                        </pic:nvPicPr>
                        <pic:blipFill>
                          <a:blip r:embed="rId148"/>
                          <a:stretch>
                            <a:fillRect/>
                          </a:stretch>
                        </pic:blipFill>
                        <pic:spPr bwMode="auto">
                          <a:xfrm>
                            <a:off x="0" y="0"/>
                            <a:ext cx="1143000" cy="1152525"/>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Audit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8/9</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Effective April 4, 2025, Dr. Coles was appointed as a member of the Compensation Committee of the board.</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70" w:type="dxa"/>
            <w:tcBorders/>
            <w:vAlign w:val="center"/>
          </w:tcPr>
          <w:p>
            <w:pPr>
              <w:pStyle w:val="TableContents"/>
              <w:bidi w:val="0"/>
              <w:spacing w:before="0" w:after="283"/>
              <w:jc w:val="left"/>
              <w:rPr/>
            </w:pPr>
            <w:r>
              <w:rPr/>
              <w:t> </w:t>
            </w:r>
          </w:p>
        </w:tc>
        <w:tc>
          <w:tcPr>
            <w:tcW w:w="7126"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N. Anthony Coles, M.D.</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7126" w:type="dxa"/>
            <w:gridSpan w:val="4"/>
            <w:tcBorders/>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7126"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2017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64</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3801" w:type="dxa"/>
            <w:gridSpan w:val="2"/>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2752" w:type="dxa"/>
            <w:tcBorders/>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7126"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Chair and CEO of TRATE Enterprises LLC, a privately-held company, since 2013</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Chair (from 2018 to 2024) and President and Chief Executive Officer (from 2019 to 2023) of Cerevel Therapeutics Holdings, Inc., the parent entity of Cerevel Therapeutics, Inc.</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Chief Executive Officer and Chair of the Board of Yumanity Therapeutics, Inc.</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President, Chief Executive Officer and Chair of the Board of Onyx Pharmaceuticals, Inc.</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President, Chief Executive Officer, and member of the board of directors of NPS Pharmaceuticals, Inc.</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Previously held various leadership positions in the biopharmaceutical and pharmaceutical industries, including at Merck &amp; Co., Inc., Bristol-Myers Squibb Company, and Vertex Pharmaceuticals Incorporated</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director of Laboratory Corporation of America Holdings, Campus Crest Communities, Inc., CRISPR Therapeutics AG, and McKesson Corporation</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3228"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2752" w:type="dxa"/>
            <w:tcBorders/>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3801"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573" w:type="dxa"/>
            <w:tcBorders/>
            <w:vAlign w:val="center"/>
          </w:tcPr>
          <w:p>
            <w:pPr>
              <w:pStyle w:val="TableContents"/>
              <w:bidi w:val="0"/>
              <w:spacing w:before="0" w:after="283"/>
              <w:jc w:val="center"/>
              <w:rPr/>
            </w:pPr>
            <w:r>
              <w:rPr/>
              <w:t> </w:t>
            </w:r>
          </w:p>
        </w:tc>
        <w:tc>
          <w:tcPr>
            <w:tcW w:w="2752" w:type="dxa"/>
            <w:tcBorders/>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3228"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2752" w:type="dxa"/>
            <w:tcBorders/>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drawing>
                <wp:inline distT="0" distB="0" distL="0" distR="0">
                  <wp:extent cx="238125" cy="228600"/>
                  <wp:effectExtent l="0" t="0" r="0" b="0"/>
                  <wp:docPr id="154"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7" descr=""/>
                          <pic:cNvPicPr>
                            <a:picLocks noChangeAspect="1" noChangeArrowheads="1"/>
                          </pic:cNvPicPr>
                        </pic:nvPicPr>
                        <pic:blipFill>
                          <a:blip r:embed="rId149"/>
                          <a:stretch>
                            <a:fillRect/>
                          </a:stretch>
                        </pic:blipFill>
                        <pic:spPr bwMode="auto">
                          <a:xfrm>
                            <a:off x="0" y="0"/>
                            <a:ext cx="238125" cy="228600"/>
                          </a:xfrm>
                          <a:prstGeom prst="rect">
                            <a:avLst/>
                          </a:prstGeom>
                        </pic:spPr>
                      </pic:pic>
                    </a:graphicData>
                  </a:graphic>
                </wp:inline>
              </w:drawing>
            </w:r>
          </w:p>
        </w:tc>
        <w:tc>
          <w:tcPr>
            <w:tcW w:w="3228"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573" w:type="dxa"/>
            <w:tcBorders/>
            <w:vAlign w:val="center"/>
          </w:tcPr>
          <w:p>
            <w:pPr>
              <w:pStyle w:val="TableContents"/>
              <w:bidi w:val="0"/>
              <w:spacing w:before="0" w:after="283"/>
              <w:jc w:val="left"/>
              <w:rPr/>
            </w:pPr>
            <w:r>
              <w:rPr/>
              <w:drawing>
                <wp:inline distT="0" distB="0" distL="0" distR="0">
                  <wp:extent cx="238125" cy="209550"/>
                  <wp:effectExtent l="0" t="0" r="0" b="0"/>
                  <wp:docPr id="155"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8" descr=""/>
                          <pic:cNvPicPr>
                            <a:picLocks noChangeAspect="1" noChangeArrowheads="1"/>
                          </pic:cNvPicPr>
                        </pic:nvPicPr>
                        <pic:blipFill>
                          <a:blip r:embed="rId150"/>
                          <a:stretch>
                            <a:fillRect/>
                          </a:stretch>
                        </pic:blipFill>
                        <pic:spPr bwMode="auto">
                          <a:xfrm>
                            <a:off x="0" y="0"/>
                            <a:ext cx="238125" cy="209550"/>
                          </a:xfrm>
                          <a:prstGeom prst="rect">
                            <a:avLst/>
                          </a:prstGeom>
                        </pic:spPr>
                      </pic:pic>
                    </a:graphicData>
                  </a:graphic>
                </wp:inline>
              </w:drawing>
            </w:r>
          </w:p>
        </w:tc>
        <w:tc>
          <w:tcPr>
            <w:tcW w:w="27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3228"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2752" w:type="dxa"/>
            <w:tcBorders/>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drawing>
                <wp:inline distT="0" distB="0" distL="0" distR="0">
                  <wp:extent cx="238125" cy="228600"/>
                  <wp:effectExtent l="0" t="0" r="0" b="0"/>
                  <wp:docPr id="156"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9" descr=""/>
                          <pic:cNvPicPr>
                            <a:picLocks noChangeAspect="1" noChangeArrowheads="1"/>
                          </pic:cNvPicPr>
                        </pic:nvPicPr>
                        <pic:blipFill>
                          <a:blip r:embed="rId151"/>
                          <a:stretch>
                            <a:fillRect/>
                          </a:stretch>
                        </pic:blipFill>
                        <pic:spPr bwMode="auto">
                          <a:xfrm>
                            <a:off x="0" y="0"/>
                            <a:ext cx="238125" cy="228600"/>
                          </a:xfrm>
                          <a:prstGeom prst="rect">
                            <a:avLst/>
                          </a:prstGeom>
                        </pic:spPr>
                      </pic:pic>
                    </a:graphicData>
                  </a:graphic>
                </wp:inline>
              </w:drawing>
            </w:r>
          </w:p>
        </w:tc>
        <w:tc>
          <w:tcPr>
            <w:tcW w:w="3228"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573" w:type="dxa"/>
            <w:tcBorders/>
            <w:vAlign w:val="center"/>
          </w:tcPr>
          <w:p>
            <w:pPr>
              <w:pStyle w:val="TableContents"/>
              <w:bidi w:val="0"/>
              <w:spacing w:before="0" w:after="283"/>
              <w:jc w:val="left"/>
              <w:rPr/>
            </w:pPr>
            <w:r>
              <w:rPr/>
              <w:drawing>
                <wp:inline distT="0" distB="0" distL="0" distR="0">
                  <wp:extent cx="190500" cy="257175"/>
                  <wp:effectExtent l="0" t="0" r="0" b="0"/>
                  <wp:docPr id="157"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40" descr=""/>
                          <pic:cNvPicPr>
                            <a:picLocks noChangeAspect="1" noChangeArrowheads="1"/>
                          </pic:cNvPicPr>
                        </pic:nvPicPr>
                        <pic:blipFill>
                          <a:blip r:embed="rId152"/>
                          <a:stretch>
                            <a:fillRect/>
                          </a:stretch>
                        </pic:blipFill>
                        <pic:spPr bwMode="auto">
                          <a:xfrm>
                            <a:off x="0" y="0"/>
                            <a:ext cx="190500" cy="257175"/>
                          </a:xfrm>
                          <a:prstGeom prst="rect">
                            <a:avLst/>
                          </a:prstGeom>
                        </pic:spPr>
                      </pic:pic>
                    </a:graphicData>
                  </a:graphic>
                </wp:inline>
              </w:drawing>
            </w:r>
          </w:p>
        </w:tc>
        <w:tc>
          <w:tcPr>
            <w:tcW w:w="27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228"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2752" w:type="dxa"/>
            <w:tcBorders/>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drawing>
                <wp:inline distT="0" distB="0" distL="0" distR="0">
                  <wp:extent cx="238125" cy="228600"/>
                  <wp:effectExtent l="0" t="0" r="0" b="0"/>
                  <wp:docPr id="158"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41" descr=""/>
                          <pic:cNvPicPr>
                            <a:picLocks noChangeAspect="1" noChangeArrowheads="1"/>
                          </pic:cNvPicPr>
                        </pic:nvPicPr>
                        <pic:blipFill>
                          <a:blip r:embed="rId153"/>
                          <a:stretch>
                            <a:fillRect/>
                          </a:stretch>
                        </pic:blipFill>
                        <pic:spPr bwMode="auto">
                          <a:xfrm>
                            <a:off x="0" y="0"/>
                            <a:ext cx="238125" cy="228600"/>
                          </a:xfrm>
                          <a:prstGeom prst="rect">
                            <a:avLst/>
                          </a:prstGeom>
                        </pic:spPr>
                      </pic:pic>
                    </a:graphicData>
                  </a:graphic>
                </wp:inline>
              </w:drawing>
            </w:r>
          </w:p>
        </w:tc>
        <w:tc>
          <w:tcPr>
            <w:tcW w:w="3228"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Business Strategy/Operations Experience</w:t>
            </w:r>
          </w:p>
        </w:tc>
        <w:tc>
          <w:tcPr>
            <w:tcW w:w="573" w:type="dxa"/>
            <w:tcBorders/>
            <w:vAlign w:val="center"/>
          </w:tcPr>
          <w:p>
            <w:pPr>
              <w:pStyle w:val="TableContents"/>
              <w:bidi w:val="0"/>
              <w:spacing w:before="0" w:after="283"/>
              <w:jc w:val="left"/>
              <w:rPr/>
            </w:pPr>
            <w:r>
              <w:rPr/>
              <w:drawing>
                <wp:inline distT="0" distB="0" distL="0" distR="0">
                  <wp:extent cx="238125" cy="209550"/>
                  <wp:effectExtent l="0" t="0" r="0" b="0"/>
                  <wp:docPr id="159"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42" descr=""/>
                          <pic:cNvPicPr>
                            <a:picLocks noChangeAspect="1" noChangeArrowheads="1"/>
                          </pic:cNvPicPr>
                        </pic:nvPicPr>
                        <pic:blipFill>
                          <a:blip r:embed="rId154"/>
                          <a:stretch>
                            <a:fillRect/>
                          </a:stretch>
                        </pic:blipFill>
                        <pic:spPr bwMode="auto">
                          <a:xfrm>
                            <a:off x="0" y="0"/>
                            <a:ext cx="238125" cy="209550"/>
                          </a:xfrm>
                          <a:prstGeom prst="rect">
                            <a:avLst/>
                          </a:prstGeom>
                        </pic:spPr>
                      </pic:pic>
                    </a:graphicData>
                  </a:graphic>
                </wp:inline>
              </w:drawing>
            </w:r>
          </w:p>
        </w:tc>
        <w:tc>
          <w:tcPr>
            <w:tcW w:w="275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Financial Expertise</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228"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2752" w:type="dxa"/>
            <w:tcBorders/>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drawing>
                <wp:inline distT="0" distB="0" distL="0" distR="0">
                  <wp:extent cx="238125" cy="238125"/>
                  <wp:effectExtent l="0" t="0" r="0" b="0"/>
                  <wp:docPr id="160"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43" descr=""/>
                          <pic:cNvPicPr>
                            <a:picLocks noChangeAspect="1" noChangeArrowheads="1"/>
                          </pic:cNvPicPr>
                        </pic:nvPicPr>
                        <pic:blipFill>
                          <a:blip r:embed="rId155"/>
                          <a:stretch>
                            <a:fillRect/>
                          </a:stretch>
                        </pic:blipFill>
                        <pic:spPr bwMode="auto">
                          <a:xfrm>
                            <a:off x="0" y="0"/>
                            <a:ext cx="238125" cy="238125"/>
                          </a:xfrm>
                          <a:prstGeom prst="rect">
                            <a:avLst/>
                          </a:prstGeom>
                        </pic:spPr>
                      </pic:pic>
                    </a:graphicData>
                  </a:graphic>
                </wp:inline>
              </w:drawing>
            </w:r>
          </w:p>
        </w:tc>
        <w:tc>
          <w:tcPr>
            <w:tcW w:w="3228"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Public Company CEO Experience</w:t>
            </w:r>
          </w:p>
        </w:tc>
        <w:tc>
          <w:tcPr>
            <w:tcW w:w="573" w:type="dxa"/>
            <w:tcBorders/>
            <w:vAlign w:val="center"/>
          </w:tcPr>
          <w:p>
            <w:pPr>
              <w:pStyle w:val="TableContents"/>
              <w:bidi w:val="0"/>
              <w:spacing w:before="0" w:after="283"/>
              <w:jc w:val="left"/>
              <w:rPr/>
            </w:pPr>
            <w:r>
              <w:rPr/>
              <w:t> </w:t>
            </w:r>
          </w:p>
        </w:tc>
        <w:tc>
          <w:tcPr>
            <w:tcW w:w="2752" w:type="dxa"/>
            <w:tcBorders/>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bottom w:val="single" w:sz="8" w:space="0" w:color="3B5AA4"/>
            </w:tcBorders>
            <w:tcMar>
              <w:bottom w:w="28" w:type="dxa"/>
            </w:tcMar>
            <w:vAlign w:val="center"/>
          </w:tcPr>
          <w:p>
            <w:pPr>
              <w:pStyle w:val="TableContents"/>
              <w:bidi w:val="0"/>
              <w:spacing w:before="0" w:after="283"/>
              <w:jc w:val="center"/>
              <w:rPr/>
            </w:pPr>
            <w:r>
              <w:rPr/>
              <w:t> </w:t>
            </w:r>
          </w:p>
        </w:tc>
        <w:tc>
          <w:tcPr>
            <w:tcW w:w="3228" w:type="dxa"/>
            <w:tcBorders>
              <w:bottom w:val="single" w:sz="8" w:space="0" w:color="215AA8"/>
            </w:tcBorders>
            <w:tcMar>
              <w:bottom w:w="28" w:type="dxa"/>
            </w:tcMar>
            <w:vAlign w:val="center"/>
          </w:tcPr>
          <w:p>
            <w:pPr>
              <w:pStyle w:val="TableContents"/>
              <w:bidi w:val="0"/>
              <w:spacing w:before="0" w:after="283"/>
              <w:jc w:val="left"/>
              <w:rPr/>
            </w:pPr>
            <w:r>
              <w:rPr/>
              <w:t> </w:t>
            </w:r>
          </w:p>
        </w:tc>
        <w:tc>
          <w:tcPr>
            <w:tcW w:w="573" w:type="dxa"/>
            <w:tcBorders>
              <w:bottom w:val="single" w:sz="8" w:space="0" w:color="3B5AA4"/>
            </w:tcBorders>
            <w:tcMar>
              <w:bottom w:w="28" w:type="dxa"/>
            </w:tcMar>
            <w:vAlign w:val="center"/>
          </w:tcPr>
          <w:p>
            <w:pPr>
              <w:pStyle w:val="TableContents"/>
              <w:bidi w:val="0"/>
              <w:spacing w:before="0" w:after="283"/>
              <w:jc w:val="center"/>
              <w:rPr/>
            </w:pPr>
            <w:r>
              <w:rPr/>
              <w:t> </w:t>
            </w:r>
          </w:p>
        </w:tc>
        <w:tc>
          <w:tcPr>
            <w:tcW w:w="2752"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3009" w:type="dxa"/>
            <w:vMerge w:val="continue"/>
            <w:tcBorders/>
            <w:vAlign w:val="center"/>
          </w:tcPr>
          <w:p>
            <w:pPr>
              <w:pStyle w:val="Normal"/>
              <w:bidi w:val="0"/>
              <w:jc w:val="left"/>
              <w:rPr/>
            </w:pPr>
            <w:r>
              <w:rPr/>
            </w:r>
          </w:p>
        </w:tc>
        <w:tc>
          <w:tcPr>
            <w:tcW w:w="70"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3228"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center"/>
              <w:rPr/>
            </w:pPr>
            <w:r>
              <w:rPr/>
              <w:t> </w:t>
            </w:r>
          </w:p>
        </w:tc>
        <w:tc>
          <w:tcPr>
            <w:tcW w:w="2752" w:type="dxa"/>
            <w:tcBorders/>
            <w:vAlign w:val="center"/>
          </w:tcPr>
          <w:p>
            <w:pPr>
              <w:pStyle w:val="TableContents"/>
              <w:bidi w:val="0"/>
              <w:spacing w:before="0" w:after="283"/>
              <w:jc w:val="left"/>
              <w:rPr/>
            </w:pPr>
            <w:r>
              <w:rPr/>
              <w:t> </w:t>
            </w:r>
          </w:p>
        </w:tc>
      </w:tr>
      <w:tr>
        <w:trPr/>
        <w:tc>
          <w:tcPr>
            <w:tcW w:w="3009"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xml:space="preserve">  </w:t>
            </w:r>
          </w:p>
        </w:tc>
        <w:tc>
          <w:tcPr>
            <w:tcW w:w="7126"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Coles’s experience as a seasoned executive and corporate director with extensive knowledge of highly regulated biopharmaceutical and pharmaceutical companies, as well as his in-depth knowledge and understanding of the regulatory environment in which Regeneron operates, led to the board to conclude that Dr. Coles should serve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61"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4" descr=""/>
                          <pic:cNvPicPr>
                            <a:picLocks noChangeAspect="1" noChangeArrowheads="1"/>
                          </pic:cNvPicPr>
                        </pic:nvPicPr>
                        <pic:blipFill>
                          <a:blip r:embed="rId156"/>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083"/>
        <w:gridCol w:w="60"/>
        <w:gridCol w:w="615"/>
        <w:gridCol w:w="3126"/>
        <w:gridCol w:w="615"/>
        <w:gridCol w:w="3706"/>
      </w:tblGrid>
      <w:tr>
        <w:trPr/>
        <w:tc>
          <w:tcPr>
            <w:tcW w:w="20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126"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162"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5" descr=""/>
                          <pic:cNvPicPr>
                            <a:picLocks noChangeAspect="1" noChangeArrowheads="1"/>
                          </pic:cNvPicPr>
                        </pic:nvPicPr>
                        <pic:blipFill>
                          <a:blip r:embed="rId157"/>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Audit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9/9</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8062"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Kathryn Guarini, Ph.D.</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062" w:type="dxa"/>
            <w:gridSpan w:val="4"/>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062"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2023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53</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741" w:type="dxa"/>
            <w:gridSpan w:val="2"/>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062"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Chief Information Officer of International Business Machines Corporation (IBM) from 2021 to 2023</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Previously held positions of increasing responsibility at IBM, including Vice President, Chief Operating Officer of IBM Research from 2020 to 2021; Vice President, Industry Research of IBM Research from 2018 to 2020; Vice President, Research Strategy of IBM Research from 2017 to 2018; and Vice President, Product Management of IBM Systems from 2014 to 2016</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126"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741"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615" w:type="dxa"/>
            <w:tcBorders/>
            <w:vAlign w:val="center"/>
          </w:tcPr>
          <w:p>
            <w:pPr>
              <w:pStyle w:val="TableContents"/>
              <w:bidi w:val="0"/>
              <w:spacing w:before="0" w:after="283"/>
              <w:jc w:val="center"/>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126"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drawing>
                <wp:inline distT="0" distB="0" distL="0" distR="0">
                  <wp:extent cx="238125" cy="209550"/>
                  <wp:effectExtent l="0" t="0" r="0" b="0"/>
                  <wp:docPr id="163"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6" descr=""/>
                          <pic:cNvPicPr>
                            <a:picLocks noChangeAspect="1" noChangeArrowheads="1"/>
                          </pic:cNvPicPr>
                        </pic:nvPicPr>
                        <pic:blipFill>
                          <a:blip r:embed="rId158"/>
                          <a:stretch>
                            <a:fillRect/>
                          </a:stretch>
                        </pic:blipFill>
                        <pic:spPr bwMode="auto">
                          <a:xfrm>
                            <a:off x="0" y="0"/>
                            <a:ext cx="238125" cy="209550"/>
                          </a:xfrm>
                          <a:prstGeom prst="rect">
                            <a:avLst/>
                          </a:prstGeom>
                        </pic:spPr>
                      </pic:pic>
                    </a:graphicData>
                  </a:graphic>
                </wp:inline>
              </w:drawing>
            </w:r>
          </w:p>
        </w:tc>
        <w:tc>
          <w:tcPr>
            <w:tcW w:w="31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c>
          <w:tcPr>
            <w:tcW w:w="615" w:type="dxa"/>
            <w:tcBorders/>
            <w:vAlign w:val="center"/>
          </w:tcPr>
          <w:p>
            <w:pPr>
              <w:pStyle w:val="TableContents"/>
              <w:bidi w:val="0"/>
              <w:spacing w:before="0" w:after="283"/>
              <w:jc w:val="left"/>
              <w:rPr/>
            </w:pPr>
            <w:r>
              <w:rPr/>
              <w:drawing>
                <wp:inline distT="0" distB="0" distL="0" distR="0">
                  <wp:extent cx="238125" cy="228600"/>
                  <wp:effectExtent l="0" t="0" r="0" b="0"/>
                  <wp:docPr id="164"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7" descr=""/>
                          <pic:cNvPicPr>
                            <a:picLocks noChangeAspect="1" noChangeArrowheads="1"/>
                          </pic:cNvPicPr>
                        </pic:nvPicPr>
                        <pic:blipFill>
                          <a:blip r:embed="rId159"/>
                          <a:stretch>
                            <a:fillRect/>
                          </a:stretch>
                        </pic:blipFill>
                        <pic:spPr bwMode="auto">
                          <a:xfrm>
                            <a:off x="0" y="0"/>
                            <a:ext cx="238125" cy="228600"/>
                          </a:xfrm>
                          <a:prstGeom prst="rect">
                            <a:avLst/>
                          </a:prstGeom>
                        </pic:spPr>
                      </pic:pic>
                    </a:graphicData>
                  </a:graphic>
                </wp:inline>
              </w:drawing>
            </w:r>
          </w:p>
        </w:tc>
        <w:tc>
          <w:tcPr>
            <w:tcW w:w="370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Technology/Digital Experience</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126"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drawing>
                <wp:inline distT="0" distB="0" distL="0" distR="0">
                  <wp:extent cx="238125" cy="228600"/>
                  <wp:effectExtent l="0" t="0" r="0" b="0"/>
                  <wp:docPr id="165"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8" descr=""/>
                          <pic:cNvPicPr>
                            <a:picLocks noChangeAspect="1" noChangeArrowheads="1"/>
                          </pic:cNvPicPr>
                        </pic:nvPicPr>
                        <pic:blipFill>
                          <a:blip r:embed="rId160"/>
                          <a:stretch>
                            <a:fillRect/>
                          </a:stretch>
                        </pic:blipFill>
                        <pic:spPr bwMode="auto">
                          <a:xfrm>
                            <a:off x="0" y="0"/>
                            <a:ext cx="238125" cy="228600"/>
                          </a:xfrm>
                          <a:prstGeom prst="rect">
                            <a:avLst/>
                          </a:prstGeom>
                        </pic:spPr>
                      </pic:pic>
                    </a:graphicData>
                  </a:graphic>
                </wp:inline>
              </w:drawing>
            </w:r>
          </w:p>
        </w:tc>
        <w:tc>
          <w:tcPr>
            <w:tcW w:w="31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615" w:type="dxa"/>
            <w:tcBorders/>
            <w:vAlign w:val="center"/>
          </w:tcPr>
          <w:p>
            <w:pPr>
              <w:pStyle w:val="TableContents"/>
              <w:bidi w:val="0"/>
              <w:spacing w:before="0" w:after="283"/>
              <w:jc w:val="left"/>
              <w:rPr/>
            </w:pPr>
            <w:r>
              <w:rPr/>
              <w:drawing>
                <wp:inline distT="0" distB="0" distL="0" distR="0">
                  <wp:extent cx="238125" cy="228600"/>
                  <wp:effectExtent l="0" t="0" r="0" b="0"/>
                  <wp:docPr id="166"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9" descr=""/>
                          <pic:cNvPicPr>
                            <a:picLocks noChangeAspect="1" noChangeArrowheads="1"/>
                          </pic:cNvPicPr>
                        </pic:nvPicPr>
                        <pic:blipFill>
                          <a:blip r:embed="rId161"/>
                          <a:stretch>
                            <a:fillRect/>
                          </a:stretch>
                        </pic:blipFill>
                        <pic:spPr bwMode="auto">
                          <a:xfrm>
                            <a:off x="0" y="0"/>
                            <a:ext cx="238125" cy="228600"/>
                          </a:xfrm>
                          <a:prstGeom prst="rect">
                            <a:avLst/>
                          </a:prstGeom>
                        </pic:spPr>
                      </pic:pic>
                    </a:graphicData>
                  </a:graphic>
                </wp:inline>
              </w:drawing>
            </w:r>
          </w:p>
        </w:tc>
        <w:tc>
          <w:tcPr>
            <w:tcW w:w="370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Business Strategy/Operations Experience</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3126"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drawing>
                <wp:inline distT="0" distB="0" distL="0" distR="0">
                  <wp:extent cx="190500" cy="257175"/>
                  <wp:effectExtent l="0" t="0" r="0" b="0"/>
                  <wp:docPr id="167"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50" descr=""/>
                          <pic:cNvPicPr>
                            <a:picLocks noChangeAspect="1" noChangeArrowheads="1"/>
                          </pic:cNvPicPr>
                        </pic:nvPicPr>
                        <pic:blipFill>
                          <a:blip r:embed="rId162"/>
                          <a:stretch>
                            <a:fillRect/>
                          </a:stretch>
                        </pic:blipFill>
                        <pic:spPr bwMode="auto">
                          <a:xfrm>
                            <a:off x="0" y="0"/>
                            <a:ext cx="190500" cy="257175"/>
                          </a:xfrm>
                          <a:prstGeom prst="rect">
                            <a:avLst/>
                          </a:prstGeom>
                        </pic:spPr>
                      </pic:pic>
                    </a:graphicData>
                  </a:graphic>
                </wp:inline>
              </w:drawing>
            </w:r>
          </w:p>
        </w:tc>
        <w:tc>
          <w:tcPr>
            <w:tcW w:w="31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Research/Academic Experience</w:t>
            </w:r>
          </w:p>
        </w:tc>
        <w:tc>
          <w:tcPr>
            <w:tcW w:w="615" w:type="dxa"/>
            <w:tcBorders/>
            <w:vAlign w:val="center"/>
          </w:tcPr>
          <w:p>
            <w:pPr>
              <w:pStyle w:val="TableContents"/>
              <w:bidi w:val="0"/>
              <w:spacing w:before="0" w:after="283"/>
              <w:jc w:val="left"/>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bottom w:val="single" w:sz="8" w:space="0" w:color="3B5AA4"/>
            </w:tcBorders>
            <w:tcMar>
              <w:bottom w:w="28" w:type="dxa"/>
            </w:tcMar>
            <w:vAlign w:val="center"/>
          </w:tcPr>
          <w:p>
            <w:pPr>
              <w:pStyle w:val="TableContents"/>
              <w:bidi w:val="0"/>
              <w:spacing w:before="0" w:after="283"/>
              <w:jc w:val="center"/>
              <w:rPr/>
            </w:pPr>
            <w:r>
              <w:rPr/>
              <w:t> </w:t>
            </w:r>
          </w:p>
        </w:tc>
        <w:tc>
          <w:tcPr>
            <w:tcW w:w="3126" w:type="dxa"/>
            <w:tcBorders>
              <w:bottom w:val="single" w:sz="8" w:space="0" w:color="215AA8"/>
            </w:tcBorders>
            <w:tcMar>
              <w:bottom w:w="28" w:type="dxa"/>
            </w:tcMar>
            <w:vAlign w:val="center"/>
          </w:tcPr>
          <w:p>
            <w:pPr>
              <w:pStyle w:val="TableContents"/>
              <w:bidi w:val="0"/>
              <w:spacing w:before="0" w:after="283"/>
              <w:jc w:val="left"/>
              <w:rPr/>
            </w:pPr>
            <w:r>
              <w:rPr/>
              <w:t> </w:t>
            </w:r>
          </w:p>
        </w:tc>
        <w:tc>
          <w:tcPr>
            <w:tcW w:w="615" w:type="dxa"/>
            <w:tcBorders>
              <w:bottom w:val="single" w:sz="8" w:space="0" w:color="3B5AA4"/>
            </w:tcBorders>
            <w:tcMar>
              <w:bottom w:w="28" w:type="dxa"/>
            </w:tcMar>
            <w:vAlign w:val="center"/>
          </w:tcPr>
          <w:p>
            <w:pPr>
              <w:pStyle w:val="TableContents"/>
              <w:bidi w:val="0"/>
              <w:spacing w:before="0" w:after="283"/>
              <w:jc w:val="center"/>
              <w:rPr/>
            </w:pPr>
            <w:r>
              <w:rPr/>
              <w:t> </w:t>
            </w:r>
          </w:p>
        </w:tc>
        <w:tc>
          <w:tcPr>
            <w:tcW w:w="3706"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126"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3741" w:type="dxa"/>
            <w:gridSpan w:val="2"/>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3741" w:type="dxa"/>
            <w:gridSpan w:val="2"/>
            <w:tcBorders/>
            <w:vAlign w:val="center"/>
          </w:tcPr>
          <w:p>
            <w:pPr>
              <w:pStyle w:val="TableContents"/>
              <w:bidi w:val="0"/>
              <w:spacing w:before="0" w:after="0"/>
              <w:ind w:left="0" w:right="0" w:hanging="0"/>
              <w:jc w:val="left"/>
              <w:rPr>
                <w:caps w:val="false"/>
                <w:smallCaps w:val="false"/>
                <w:color w:val="C60C44"/>
              </w:rPr>
            </w:pPr>
            <w:r>
              <w:rPr>
                <w:caps w:val="false"/>
                <w:smallCaps w:val="false"/>
                <w:color w:val="C60C44"/>
              </w:rPr>
              <w:t> </w:t>
            </w:r>
          </w:p>
        </w:tc>
        <w:tc>
          <w:tcPr>
            <w:tcW w:w="4321" w:type="dxa"/>
            <w:gridSpan w:val="2"/>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126"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center"/>
              <w:rPr/>
            </w:pPr>
            <w:r>
              <w:rPr/>
              <w:t> </w:t>
            </w:r>
          </w:p>
        </w:tc>
        <w:tc>
          <w:tcPr>
            <w:tcW w:w="3706" w:type="dxa"/>
            <w:tcBorders/>
            <w:vAlign w:val="center"/>
          </w:tcPr>
          <w:p>
            <w:pPr>
              <w:pStyle w:val="TableContents"/>
              <w:bidi w:val="0"/>
              <w:spacing w:before="0" w:after="283"/>
              <w:jc w:val="left"/>
              <w:rPr/>
            </w:pPr>
            <w:r>
              <w:rPr/>
              <w:t> </w:t>
            </w:r>
          </w:p>
        </w:tc>
      </w:tr>
      <w:tr>
        <w:trPr/>
        <w:tc>
          <w:tcPr>
            <w:tcW w:w="208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062"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Dr. Guarini’s experience as an executive of a major corporation and extensive knowledge of information technology, data security, and artificial intelligence matters led the board to conclude that Dr. Guarini should serve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68"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51" descr=""/>
                          <pic:cNvPicPr>
                            <a:picLocks noChangeAspect="1" noChangeArrowheads="1"/>
                          </pic:cNvPicPr>
                        </pic:nvPicPr>
                        <pic:blipFill>
                          <a:blip r:embed="rId163"/>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608"/>
        <w:gridCol w:w="60"/>
        <w:gridCol w:w="578"/>
        <w:gridCol w:w="3436"/>
        <w:gridCol w:w="578"/>
        <w:gridCol w:w="2945"/>
      </w:tblGrid>
      <w:tr>
        <w:trPr/>
        <w:tc>
          <w:tcPr>
            <w:tcW w:w="2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3436"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2945" w:type="dxa"/>
            <w:tcBorders/>
            <w:vAlign w:val="center"/>
          </w:tcPr>
          <w:p>
            <w:pPr>
              <w:pStyle w:val="TableContents"/>
              <w:bidi w:val="0"/>
              <w:spacing w:before="0" w:after="283"/>
              <w:jc w:val="left"/>
              <w:rPr/>
            </w:pPr>
            <w:r>
              <w:rPr/>
              <w:t> </w:t>
            </w:r>
          </w:p>
        </w:tc>
      </w:tr>
      <w:tr>
        <w:trPr/>
        <w:tc>
          <w:tcPr>
            <w:tcW w:w="2608"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169"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52" descr=""/>
                          <pic:cNvPicPr>
                            <a:picLocks noChangeAspect="1" noChangeArrowheads="1"/>
                          </pic:cNvPicPr>
                        </pic:nvPicPr>
                        <pic:blipFill>
                          <a:blip r:embed="rId164"/>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Audit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9/9</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Corporate Governance and Compliance Committee (Chair):</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5/5</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7537"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Arthur F. Ryan</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37" w:type="dxa"/>
            <w:gridSpan w:val="4"/>
            <w:tcBorders/>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37"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2003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82</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014" w:type="dxa"/>
            <w:gridSpan w:val="2"/>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2945" w:type="dxa"/>
            <w:tcBorders/>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37"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Former Chief Executive Officer and Chair of the Board of Prudential Financial, Inc. from 1994 to 2008</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President and Chief Operating Officer of Chase Manhattan Bank from 1990 to 1994</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Managed Chase’s worldwide retail bank between 1984 and 1990</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Non-executive director of the Royal Bank of Scotland Group plc from 2008 to 2013</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Director of Citizens Financial Group, Inc. from 2009 to 2019</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3436"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2945" w:type="dxa"/>
            <w:tcBorders/>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014"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578" w:type="dxa"/>
            <w:tcBorders/>
            <w:vAlign w:val="center"/>
          </w:tcPr>
          <w:p>
            <w:pPr>
              <w:pStyle w:val="TableContents"/>
              <w:bidi w:val="0"/>
              <w:spacing w:before="0" w:after="283"/>
              <w:jc w:val="center"/>
              <w:rPr/>
            </w:pPr>
            <w:r>
              <w:rPr/>
              <w:t> </w:t>
            </w:r>
          </w:p>
        </w:tc>
        <w:tc>
          <w:tcPr>
            <w:tcW w:w="2945" w:type="dxa"/>
            <w:tcBorders/>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3436"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2945" w:type="dxa"/>
            <w:tcBorders/>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left"/>
              <w:rPr/>
            </w:pPr>
            <w:r>
              <w:rPr/>
              <w:drawing>
                <wp:inline distT="0" distB="0" distL="0" distR="0">
                  <wp:extent cx="238125" cy="228600"/>
                  <wp:effectExtent l="0" t="0" r="0" b="0"/>
                  <wp:docPr id="170"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3" descr=""/>
                          <pic:cNvPicPr>
                            <a:picLocks noChangeAspect="1" noChangeArrowheads="1"/>
                          </pic:cNvPicPr>
                        </pic:nvPicPr>
                        <pic:blipFill>
                          <a:blip r:embed="rId165"/>
                          <a:stretch>
                            <a:fillRect/>
                          </a:stretch>
                        </pic:blipFill>
                        <pic:spPr bwMode="auto">
                          <a:xfrm>
                            <a:off x="0" y="0"/>
                            <a:ext cx="238125" cy="228600"/>
                          </a:xfrm>
                          <a:prstGeom prst="rect">
                            <a:avLst/>
                          </a:prstGeom>
                        </pic:spPr>
                      </pic:pic>
                    </a:graphicData>
                  </a:graphic>
                </wp:inline>
              </w:drawing>
            </w:r>
          </w:p>
        </w:tc>
        <w:tc>
          <w:tcPr>
            <w:tcW w:w="343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578" w:type="dxa"/>
            <w:tcBorders/>
            <w:vAlign w:val="center"/>
          </w:tcPr>
          <w:p>
            <w:pPr>
              <w:pStyle w:val="TableContents"/>
              <w:bidi w:val="0"/>
              <w:spacing w:before="0" w:after="283"/>
              <w:jc w:val="left"/>
              <w:rPr/>
            </w:pPr>
            <w:r>
              <w:rPr/>
              <w:drawing>
                <wp:inline distT="0" distB="0" distL="0" distR="0">
                  <wp:extent cx="238125" cy="209550"/>
                  <wp:effectExtent l="0" t="0" r="0" b="0"/>
                  <wp:docPr id="171"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54" descr=""/>
                          <pic:cNvPicPr>
                            <a:picLocks noChangeAspect="1" noChangeArrowheads="1"/>
                          </pic:cNvPicPr>
                        </pic:nvPicPr>
                        <pic:blipFill>
                          <a:blip r:embed="rId166"/>
                          <a:stretch>
                            <a:fillRect/>
                          </a:stretch>
                        </pic:blipFill>
                        <pic:spPr bwMode="auto">
                          <a:xfrm>
                            <a:off x="0" y="0"/>
                            <a:ext cx="238125" cy="209550"/>
                          </a:xfrm>
                          <a:prstGeom prst="rect">
                            <a:avLst/>
                          </a:prstGeom>
                        </pic:spPr>
                      </pic:pic>
                    </a:graphicData>
                  </a:graphic>
                </wp:inline>
              </w:drawing>
            </w:r>
          </w:p>
        </w:tc>
        <w:tc>
          <w:tcPr>
            <w:tcW w:w="2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3436"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2945" w:type="dxa"/>
            <w:tcBorders/>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left"/>
              <w:rPr/>
            </w:pPr>
            <w:r>
              <w:rPr/>
              <w:drawing>
                <wp:inline distT="0" distB="0" distL="0" distR="0">
                  <wp:extent cx="238125" cy="228600"/>
                  <wp:effectExtent l="0" t="0" r="0" b="0"/>
                  <wp:docPr id="172"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5" descr=""/>
                          <pic:cNvPicPr>
                            <a:picLocks noChangeAspect="1" noChangeArrowheads="1"/>
                          </pic:cNvPicPr>
                        </pic:nvPicPr>
                        <pic:blipFill>
                          <a:blip r:embed="rId167"/>
                          <a:stretch>
                            <a:fillRect/>
                          </a:stretch>
                        </pic:blipFill>
                        <pic:spPr bwMode="auto">
                          <a:xfrm>
                            <a:off x="0" y="0"/>
                            <a:ext cx="238125" cy="228600"/>
                          </a:xfrm>
                          <a:prstGeom prst="rect">
                            <a:avLst/>
                          </a:prstGeom>
                        </pic:spPr>
                      </pic:pic>
                    </a:graphicData>
                  </a:graphic>
                </wp:inline>
              </w:drawing>
            </w:r>
          </w:p>
        </w:tc>
        <w:tc>
          <w:tcPr>
            <w:tcW w:w="343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Business Strategy/Operations Experience</w:t>
            </w:r>
          </w:p>
        </w:tc>
        <w:tc>
          <w:tcPr>
            <w:tcW w:w="578" w:type="dxa"/>
            <w:tcBorders/>
            <w:vAlign w:val="center"/>
          </w:tcPr>
          <w:p>
            <w:pPr>
              <w:pStyle w:val="TableContents"/>
              <w:bidi w:val="0"/>
              <w:spacing w:before="0" w:after="283"/>
              <w:jc w:val="left"/>
              <w:rPr/>
            </w:pPr>
            <w:r>
              <w:rPr/>
              <w:drawing>
                <wp:inline distT="0" distB="0" distL="0" distR="0">
                  <wp:extent cx="238125" cy="209550"/>
                  <wp:effectExtent l="0" t="0" r="0" b="0"/>
                  <wp:docPr id="173"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6" descr=""/>
                          <pic:cNvPicPr>
                            <a:picLocks noChangeAspect="1" noChangeArrowheads="1"/>
                          </pic:cNvPicPr>
                        </pic:nvPicPr>
                        <pic:blipFill>
                          <a:blip r:embed="rId168"/>
                          <a:stretch>
                            <a:fillRect/>
                          </a:stretch>
                        </pic:blipFill>
                        <pic:spPr bwMode="auto">
                          <a:xfrm>
                            <a:off x="0" y="0"/>
                            <a:ext cx="238125" cy="209550"/>
                          </a:xfrm>
                          <a:prstGeom prst="rect">
                            <a:avLst/>
                          </a:prstGeom>
                        </pic:spPr>
                      </pic:pic>
                    </a:graphicData>
                  </a:graphic>
                </wp:inline>
              </w:drawing>
            </w:r>
          </w:p>
        </w:tc>
        <w:tc>
          <w:tcPr>
            <w:tcW w:w="2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Financial Expertise</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left"/>
              <w:rPr/>
            </w:pPr>
            <w:r>
              <w:rPr/>
              <w:t> </w:t>
            </w:r>
          </w:p>
        </w:tc>
        <w:tc>
          <w:tcPr>
            <w:tcW w:w="3436"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left"/>
              <w:rPr/>
            </w:pPr>
            <w:r>
              <w:rPr/>
              <w:drawing>
                <wp:inline distT="0" distB="0" distL="0" distR="0">
                  <wp:extent cx="238125" cy="238125"/>
                  <wp:effectExtent l="0" t="0" r="0" b="0"/>
                  <wp:docPr id="174"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57" descr=""/>
                          <pic:cNvPicPr>
                            <a:picLocks noChangeAspect="1" noChangeArrowheads="1"/>
                          </pic:cNvPicPr>
                        </pic:nvPicPr>
                        <pic:blipFill>
                          <a:blip r:embed="rId169"/>
                          <a:stretch>
                            <a:fillRect/>
                          </a:stretch>
                        </pic:blipFill>
                        <pic:spPr bwMode="auto">
                          <a:xfrm>
                            <a:off x="0" y="0"/>
                            <a:ext cx="238125" cy="238125"/>
                          </a:xfrm>
                          <a:prstGeom prst="rect">
                            <a:avLst/>
                          </a:prstGeom>
                        </pic:spPr>
                      </pic:pic>
                    </a:graphicData>
                  </a:graphic>
                </wp:inline>
              </w:drawing>
            </w:r>
          </w:p>
        </w:tc>
        <w:tc>
          <w:tcPr>
            <w:tcW w:w="3436"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Public Company CEO Experience</w:t>
            </w:r>
          </w:p>
        </w:tc>
        <w:tc>
          <w:tcPr>
            <w:tcW w:w="578"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78" w:type="dxa"/>
            <w:tcBorders>
              <w:bottom w:val="single" w:sz="8" w:space="0" w:color="3B5AA4"/>
            </w:tcBorders>
            <w:tcMar>
              <w:bottom w:w="28" w:type="dxa"/>
            </w:tcMar>
            <w:vAlign w:val="center"/>
          </w:tcPr>
          <w:p>
            <w:pPr>
              <w:pStyle w:val="TableContents"/>
              <w:bidi w:val="0"/>
              <w:spacing w:before="0" w:after="283"/>
              <w:jc w:val="center"/>
              <w:rPr/>
            </w:pPr>
            <w:r>
              <w:rPr/>
              <w:t> </w:t>
            </w:r>
          </w:p>
        </w:tc>
        <w:tc>
          <w:tcPr>
            <w:tcW w:w="3436" w:type="dxa"/>
            <w:tcBorders>
              <w:bottom w:val="single" w:sz="8" w:space="0" w:color="215AA8"/>
            </w:tcBorders>
            <w:tcMar>
              <w:bottom w:w="28" w:type="dxa"/>
            </w:tcMar>
            <w:vAlign w:val="center"/>
          </w:tcPr>
          <w:p>
            <w:pPr>
              <w:pStyle w:val="TableContents"/>
              <w:bidi w:val="0"/>
              <w:spacing w:before="0" w:after="283"/>
              <w:jc w:val="left"/>
              <w:rPr/>
            </w:pPr>
            <w:r>
              <w:rPr/>
              <w:t> </w:t>
            </w:r>
          </w:p>
        </w:tc>
        <w:tc>
          <w:tcPr>
            <w:tcW w:w="578" w:type="dxa"/>
            <w:tcBorders>
              <w:bottom w:val="single" w:sz="8" w:space="0" w:color="3B5AA4"/>
            </w:tcBorders>
            <w:tcMar>
              <w:bottom w:w="28" w:type="dxa"/>
            </w:tcMar>
            <w:vAlign w:val="center"/>
          </w:tcPr>
          <w:p>
            <w:pPr>
              <w:pStyle w:val="TableContents"/>
              <w:bidi w:val="0"/>
              <w:spacing w:before="0" w:after="283"/>
              <w:jc w:val="center"/>
              <w:rPr/>
            </w:pPr>
            <w:r>
              <w:rPr/>
              <w:t> </w:t>
            </w:r>
          </w:p>
        </w:tc>
        <w:tc>
          <w:tcPr>
            <w:tcW w:w="2945"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3436"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center"/>
              <w:rPr/>
            </w:pPr>
            <w:r>
              <w:rPr/>
              <w:t> </w:t>
            </w:r>
          </w:p>
        </w:tc>
        <w:tc>
          <w:tcPr>
            <w:tcW w:w="2945" w:type="dxa"/>
            <w:tcBorders/>
            <w:vAlign w:val="center"/>
          </w:tcPr>
          <w:p>
            <w:pPr>
              <w:pStyle w:val="TableContents"/>
              <w:bidi w:val="0"/>
              <w:spacing w:before="0" w:after="283"/>
              <w:jc w:val="left"/>
              <w:rPr/>
            </w:pPr>
            <w:r>
              <w:rPr/>
              <w:t> </w:t>
            </w:r>
          </w:p>
        </w:tc>
      </w:tr>
      <w:tr>
        <w:trPr/>
        <w:tc>
          <w:tcPr>
            <w:tcW w:w="2608" w:type="dxa"/>
            <w:vMerge w:val="continue"/>
            <w:tcBorders/>
            <w:vAlign w:val="center"/>
          </w:tcPr>
          <w:p>
            <w:pPr>
              <w:pStyle w:val="Normal"/>
              <w:bidi w:val="0"/>
              <w:jc w:val="left"/>
              <w:rPr/>
            </w:pPr>
            <w:r>
              <w:rPr/>
            </w:r>
          </w:p>
        </w:tc>
        <w:tc>
          <w:tcPr>
            <w:tcW w:w="638" w:type="dxa"/>
            <w:gridSpan w:val="2"/>
            <w:tcBorders/>
            <w:vAlign w:val="center"/>
          </w:tcPr>
          <w:p>
            <w:pPr>
              <w:pStyle w:val="TableContents"/>
              <w:bidi w:val="0"/>
              <w:spacing w:before="0" w:after="0"/>
              <w:ind w:left="0" w:right="0" w:hanging="0"/>
              <w:jc w:val="left"/>
              <w:rPr>
                <w:caps w:val="false"/>
                <w:smallCaps w:val="false"/>
                <w:color w:val="C60C44"/>
              </w:rPr>
            </w:pPr>
            <w:r>
              <w:rPr>
                <w:caps w:val="false"/>
                <w:smallCaps w:val="false"/>
                <w:color w:val="C60C44"/>
              </w:rPr>
              <w:t> </w:t>
            </w:r>
          </w:p>
        </w:tc>
        <w:tc>
          <w:tcPr>
            <w:tcW w:w="4014" w:type="dxa"/>
            <w:gridSpan w:val="2"/>
            <w:tcBorders/>
            <w:vAlign w:val="center"/>
          </w:tcPr>
          <w:p>
            <w:pPr>
              <w:pStyle w:val="TableContents"/>
              <w:bidi w:val="0"/>
              <w:spacing w:before="0" w:after="283"/>
              <w:jc w:val="left"/>
              <w:rPr/>
            </w:pPr>
            <w:r>
              <w:rPr/>
              <w:t> </w:t>
            </w:r>
          </w:p>
        </w:tc>
        <w:tc>
          <w:tcPr>
            <w:tcW w:w="2945" w:type="dxa"/>
            <w:tcBorders/>
          </w:tcPr>
          <w:p>
            <w:pPr>
              <w:pStyle w:val="TableContents"/>
              <w:bidi w:val="0"/>
              <w:spacing w:before="0" w:after="283"/>
              <w:jc w:val="left"/>
              <w:rPr>
                <w:sz w:val="4"/>
                <w:szCs w:val="4"/>
              </w:rPr>
            </w:pPr>
            <w:r>
              <w:rPr>
                <w:sz w:val="4"/>
                <w:szCs w:val="4"/>
              </w:rPr>
            </w:r>
          </w:p>
        </w:tc>
      </w:tr>
      <w:tr>
        <w:trPr/>
        <w:tc>
          <w:tcPr>
            <w:tcW w:w="260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537"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Mr. Ryan’s substantial leadership experience as a chief executive officer of leading companies in the banking and insurance industries, and his extensive business experience and financial expertise, led the board to conclude that Mr. Ryan should serve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75"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8" descr=""/>
                          <pic:cNvPicPr>
                            <a:picLocks noChangeAspect="1" noChangeArrowheads="1"/>
                          </pic:cNvPicPr>
                        </pic:nvPicPr>
                        <pic:blipFill>
                          <a:blip r:embed="rId17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155"/>
        <w:gridCol w:w="60"/>
        <w:gridCol w:w="619"/>
        <w:gridCol w:w="2893"/>
        <w:gridCol w:w="619"/>
        <w:gridCol w:w="3859"/>
      </w:tblGrid>
      <w:tr>
        <w:trPr/>
        <w:tc>
          <w:tcPr>
            <w:tcW w:w="2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2893"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3859" w:type="dxa"/>
            <w:tcBorders/>
            <w:vAlign w:val="center"/>
          </w:tcPr>
          <w:p>
            <w:pPr>
              <w:pStyle w:val="TableContents"/>
              <w:bidi w:val="0"/>
              <w:spacing w:before="0" w:after="283"/>
              <w:jc w:val="left"/>
              <w:rPr/>
            </w:pPr>
            <w:r>
              <w:rPr/>
              <w:t> </w:t>
            </w:r>
          </w:p>
        </w:tc>
      </w:tr>
      <w:tr>
        <w:trPr/>
        <w:tc>
          <w:tcPr>
            <w:tcW w:w="2155" w:type="dxa"/>
            <w:vMerge w:val="restart"/>
            <w:tcBorders/>
            <w:vAlign w:val="center"/>
          </w:tcPr>
          <w:p>
            <w:pPr>
              <w:pStyle w:val="TableContents"/>
              <w:bidi w:val="0"/>
              <w:spacing w:before="0" w:after="0"/>
              <w:ind w:left="0" w:right="0" w:hanging="0"/>
              <w:jc w:val="left"/>
              <w:rPr>
                <w:caps w:val="false"/>
                <w:smallCaps w:val="false"/>
                <w:color w:val="215AA8"/>
              </w:rPr>
            </w:pPr>
            <w:r>
              <w:rPr>
                <w:caps w:val="false"/>
                <w:smallCaps w:val="false"/>
                <w:color w:val="215AA8"/>
              </w:rPr>
              <w:drawing>
                <wp:inline distT="0" distB="0" distL="0" distR="0">
                  <wp:extent cx="1143000" cy="1143000"/>
                  <wp:effectExtent l="0" t="0" r="0" b="0"/>
                  <wp:docPr id="176"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9" descr=""/>
                          <pic:cNvPicPr>
                            <a:picLocks noChangeAspect="1" noChangeArrowheads="1"/>
                          </pic:cNvPicPr>
                        </pic:nvPicPr>
                        <pic:blipFill>
                          <a:blip r:embed="rId171"/>
                          <a:stretch>
                            <a:fillRect/>
                          </a:stretch>
                        </pic:blipFill>
                        <pic:spPr bwMode="auto">
                          <a:xfrm>
                            <a:off x="0" y="0"/>
                            <a:ext cx="1143000" cy="1143000"/>
                          </a:xfrm>
                          <a:prstGeom prst="rect">
                            <a:avLst/>
                          </a:prstGeom>
                        </pic:spPr>
                      </pic:pic>
                    </a:graphicData>
                  </a:graphic>
                </wp:inline>
              </w:drawing>
            </w:r>
          </w:p>
          <w:p>
            <w:pPr>
              <w:pStyle w:val="TableContents"/>
              <w:bidi w:val="0"/>
              <w:spacing w:before="0" w:after="0"/>
              <w:ind w:left="0" w:right="0" w:hanging="0"/>
              <w:jc w:val="left"/>
              <w:rPr>
                <w:caps w:val="false"/>
                <w:smallCaps w:val="false"/>
                <w:color w:val="215AA8"/>
              </w:rPr>
            </w:pPr>
            <w:r>
              <w:rPr>
                <w:caps w:val="false"/>
                <w:smallCaps w:val="false"/>
                <w:color w:val="215AA8"/>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Board and Committee Membership—</w:t>
              <w:br/>
              <w:t>2024 Attendance</w:t>
            </w:r>
          </w:p>
          <w:p>
            <w:pPr>
              <w:pStyle w:val="TableContents"/>
              <w:bidi w:val="0"/>
              <w:spacing w:before="0" w:after="0"/>
              <w:ind w:left="0" w:right="0" w:hanging="0"/>
              <w:jc w:val="left"/>
              <w:rPr>
                <w:caps w:val="false"/>
                <w:smallCaps w:val="false"/>
                <w:color w:val="3B5AA4"/>
              </w:rPr>
            </w:pPr>
            <w:r>
              <w:rPr>
                <w:caps w:val="false"/>
                <w:smallCaps w:val="false"/>
                <w:color w:val="3B5AA4"/>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Board of Directors:</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7/7</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Audit Committee (Chair):</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9/9</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Compensation Committee:</w:t>
            </w:r>
          </w:p>
          <w:p>
            <w:pPr>
              <w:pStyle w:val="TableContents"/>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10/10</w:t>
            </w:r>
          </w:p>
          <w:p>
            <w:pPr>
              <w:pStyle w:val="TableContents"/>
              <w:bidi w:val="0"/>
              <w:spacing w:before="0" w:after="0"/>
              <w:ind w:left="0" w:right="0" w:hanging="0"/>
              <w:jc w:val="left"/>
              <w:rPr>
                <w:caps w:val="false"/>
                <w:smallCaps w:val="false"/>
                <w:color w:val="3B5AA4"/>
              </w:rPr>
            </w:pPr>
            <w:r>
              <w:rPr>
                <w:caps w:val="false"/>
                <w:smallCaps w:val="false"/>
                <w:color w:val="3B5AA4"/>
              </w:rPr>
              <w:t> </w:t>
            </w:r>
          </w:p>
        </w:tc>
        <w:tc>
          <w:tcPr>
            <w:tcW w:w="60" w:type="dxa"/>
            <w:tcBorders/>
            <w:vAlign w:val="center"/>
          </w:tcPr>
          <w:p>
            <w:pPr>
              <w:pStyle w:val="TableContents"/>
              <w:bidi w:val="0"/>
              <w:spacing w:before="0" w:after="283"/>
              <w:jc w:val="left"/>
              <w:rPr/>
            </w:pPr>
            <w:r>
              <w:rPr/>
              <w:t> </w:t>
            </w:r>
          </w:p>
        </w:tc>
        <w:tc>
          <w:tcPr>
            <w:tcW w:w="7990" w:type="dxa"/>
            <w:gridSpan w:val="4"/>
            <w:tcBorders/>
            <w:vAlign w:val="center"/>
          </w:tcPr>
          <w:p>
            <w:pPr>
              <w:pStyle w:val="TableContents"/>
              <w:bidi w:val="0"/>
              <w:spacing w:before="0" w:after="283"/>
              <w:jc w:val="left"/>
              <w:rPr>
                <w:sz w:val="24"/>
              </w:rPr>
            </w:pPr>
            <w:r>
              <w:rPr>
                <w:rFonts w:ascii="Arial;Helvetica;Sans-Serif" w:hAnsi="Arial;Helvetica;Sans-Serif"/>
                <w:b/>
                <w:i w:val="false"/>
                <w:caps w:val="false"/>
                <w:smallCaps w:val="false"/>
                <w:color w:val="3B5AA4"/>
                <w:sz w:val="28"/>
              </w:rPr>
              <w:t>George L. Sing</w:t>
            </w:r>
            <w:r>
              <w:rPr>
                <w:sz w:val="24"/>
              </w:rPr>
              <w:t>     </w:t>
            </w:r>
            <w:r>
              <w:rPr>
                <w:color w:val="FFFFFF"/>
                <w:sz w:val="24"/>
                <w:shd w:fill="3B5AA4" w:val="clear"/>
              </w:rPr>
              <w:t> </w:t>
            </w:r>
            <w:r>
              <w:rPr>
                <w:rFonts w:ascii="Arial;Helvetica;Sans-Serif" w:hAnsi="Arial;Helvetica;Sans-Serif"/>
                <w:b/>
                <w:color w:val="FFFFFF"/>
                <w:sz w:val="18"/>
                <w:shd w:fill="3B5AA4" w:val="clear"/>
              </w:rPr>
              <w:t>Independent</w:t>
            </w:r>
            <w:r>
              <w:rPr>
                <w:rFonts w:ascii="Arial;Helvetica;Sans-Serif" w:hAnsi="Arial;Helvetica;Sans-Serif"/>
                <w:color w:val="FFFFFF"/>
                <w:sz w:val="18"/>
                <w:shd w:fill="3B5AA4" w:val="clea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990" w:type="dxa"/>
            <w:gridSpan w:val="4"/>
            <w:tcBorders/>
            <w:vAlign w:val="center"/>
          </w:tcPr>
          <w:p>
            <w:pPr>
              <w:pStyle w:val="TableContents"/>
              <w:bidi w:val="0"/>
              <w:spacing w:before="0" w:after="283"/>
              <w:jc w:val="left"/>
              <w:rPr/>
            </w:pPr>
            <w: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990" w:type="dxa"/>
            <w:gridSpan w:val="4"/>
            <w:tcBorders/>
            <w:vAlign w:val="center"/>
          </w:tcPr>
          <w:p>
            <w:pPr>
              <w:pStyle w:val="TableContents"/>
              <w:bidi w:val="0"/>
              <w:spacing w:before="0" w:after="0"/>
              <w:jc w:val="left"/>
              <w:rPr/>
            </w:pPr>
            <w:r>
              <w:rPr>
                <w:rFonts w:ascii="Arial;Helvetica;Sans-Serif" w:hAnsi="Arial;Helvetica;Sans-Serif"/>
                <w:b/>
                <w:i w:val="false"/>
                <w:caps w:val="false"/>
                <w:smallCaps w:val="false"/>
                <w:color w:val="3B5AA4"/>
                <w:sz w:val="18"/>
              </w:rPr>
              <w:t xml:space="preserve">Director since: </w:t>
            </w:r>
            <w:r>
              <w:rPr>
                <w:rFonts w:ascii="Arial;Helvetica;Sans-Serif" w:hAnsi="Arial;Helvetica;Sans-Serif"/>
                <w:b w:val="false"/>
                <w:i w:val="false"/>
                <w:caps w:val="false"/>
                <w:smallCaps w:val="false"/>
                <w:sz w:val="18"/>
              </w:rPr>
              <w:t xml:space="preserve">1988 | </w:t>
            </w:r>
            <w:r>
              <w:rPr>
                <w:rFonts w:ascii="Arial;Helvetica;Sans-Serif" w:hAnsi="Arial;Helvetica;Sans-Serif"/>
                <w:b/>
                <w:i w:val="false"/>
                <w:caps w:val="false"/>
                <w:smallCaps w:val="false"/>
                <w:color w:val="3B5AA4"/>
                <w:sz w:val="18"/>
              </w:rPr>
              <w:t xml:space="preserve">Age: </w:t>
            </w:r>
            <w:r>
              <w:rPr>
                <w:rFonts w:ascii="Arial;Helvetica;Sans-Serif" w:hAnsi="Arial;Helvetica;Sans-Serif"/>
                <w:b w:val="false"/>
                <w:i w:val="false"/>
                <w:caps w:val="false"/>
                <w:smallCaps w:val="false"/>
                <w:sz w:val="18"/>
              </w:rPr>
              <w:t>75</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512" w:type="dxa"/>
            <w:gridSpan w:val="2"/>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3859" w:type="dxa"/>
            <w:tcBorders/>
            <w:vAlign w:val="center"/>
          </w:tcPr>
          <w:p>
            <w:pPr>
              <w:pStyle w:val="TableContents"/>
              <w:bidi w:val="0"/>
              <w:spacing w:before="0" w:after="283"/>
              <w:jc w:val="left"/>
              <w:rPr/>
            </w:pPr>
            <w: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990" w:type="dxa"/>
            <w:gridSpan w:val="4"/>
            <w:tcBorders>
              <w:bottom w:val="single" w:sz="8" w:space="0" w:color="3B5AA4"/>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Career Highlights</w:t>
            </w:r>
          </w:p>
          <w:p>
            <w:pPr>
              <w:pStyle w:val="TableContents"/>
              <w:bidi w:val="0"/>
              <w:spacing w:before="0" w:after="0"/>
              <w:ind w:left="0" w:right="0" w:hanging="0"/>
              <w:jc w:val="left"/>
              <w:rPr>
                <w:caps w:val="false"/>
                <w:smallCaps w:val="false"/>
                <w:color w:val="C60C44"/>
              </w:rPr>
            </w:pPr>
            <w:r>
              <w:rPr>
                <w:caps w:val="false"/>
                <w:smallCaps w:val="false"/>
                <w:color w:val="C60C44"/>
              </w:rPr>
              <w:t> </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Chief Executive Officer of GanD, Inc. since 2016</w:t>
            </w:r>
          </w:p>
          <w:p>
            <w:pPr>
              <w:pStyle w:val="TableContents"/>
              <w:bidi w:val="0"/>
              <w:spacing w:before="0" w:after="1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Chair of Grace Science, LLC since 2017</w:t>
            </w:r>
          </w:p>
          <w:p>
            <w:pPr>
              <w:pStyle w:val="TableContents"/>
              <w:bidi w:val="0"/>
              <w:spacing w:before="0" w:after="200"/>
              <w:ind w:left="216" w:right="0" w:hanging="216"/>
              <w:jc w:val="left"/>
              <w:rPr>
                <w:caps w:val="false"/>
                <w:smallCaps w:val="false"/>
              </w:rPr>
            </w:pPr>
            <w:r>
              <w:rPr>
                <w:caps w:val="false"/>
                <w:smallCaps w:val="false"/>
                <w:color w:val="0F5EAC"/>
              </w:rPr>
              <w:t>•   </w:t>
            </w:r>
            <w:r>
              <w:rPr>
                <w:rFonts w:ascii="Arial;Helvetica;Sans-Serif" w:hAnsi="Arial;Helvetica;Sans-Serif"/>
                <w:b w:val="false"/>
                <w:i w:val="false"/>
                <w:caps w:val="false"/>
                <w:smallCaps w:val="false"/>
                <w:color w:val="231F20"/>
                <w:sz w:val="18"/>
              </w:rPr>
              <w:t>Extensive venture capital and leadership experience in the biotechnology sector and high technology</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2893"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3859" w:type="dxa"/>
            <w:tcBorders/>
            <w:vAlign w:val="center"/>
          </w:tcPr>
          <w:p>
            <w:pPr>
              <w:pStyle w:val="TableContents"/>
              <w:bidi w:val="0"/>
              <w:spacing w:before="0" w:after="283"/>
              <w:jc w:val="left"/>
              <w:rPr/>
            </w:pPr>
            <w: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512" w:type="dxa"/>
            <w:gridSpan w:val="2"/>
            <w:tcBorders/>
            <w:vAlign w:val="center"/>
          </w:tcPr>
          <w:p>
            <w:pPr>
              <w:pStyle w:val="TableContents"/>
              <w:bidi w:val="0"/>
              <w:spacing w:before="0" w:after="283"/>
              <w:jc w:val="left"/>
              <w:rPr>
                <w:rFonts w:ascii="Arial;Helvetica;Sans-Serif" w:hAnsi="Arial;Helvetica;Sans-Serif"/>
                <w:b/>
                <w:i w:val="false"/>
                <w:caps w:val="false"/>
                <w:smallCaps w:val="false"/>
                <w:color w:val="C60C44"/>
                <w:sz w:val="18"/>
              </w:rPr>
            </w:pPr>
            <w:r>
              <w:rPr>
                <w:rFonts w:ascii="Arial;Helvetica;Sans-Serif" w:hAnsi="Arial;Helvetica;Sans-Serif"/>
                <w:b/>
                <w:i w:val="false"/>
                <w:caps w:val="false"/>
                <w:smallCaps w:val="false"/>
                <w:color w:val="C60C44"/>
                <w:sz w:val="18"/>
              </w:rPr>
              <w:t>Experience and Expertise</w:t>
            </w:r>
          </w:p>
        </w:tc>
        <w:tc>
          <w:tcPr>
            <w:tcW w:w="619" w:type="dxa"/>
            <w:tcBorders/>
            <w:vAlign w:val="center"/>
          </w:tcPr>
          <w:p>
            <w:pPr>
              <w:pStyle w:val="TableContents"/>
              <w:bidi w:val="0"/>
              <w:spacing w:before="0" w:after="283"/>
              <w:jc w:val="center"/>
              <w:rPr/>
            </w:pPr>
            <w:r>
              <w:rPr/>
              <w:t> </w:t>
            </w:r>
          </w:p>
        </w:tc>
        <w:tc>
          <w:tcPr>
            <w:tcW w:w="3859" w:type="dxa"/>
            <w:tcBorders/>
            <w:vAlign w:val="center"/>
          </w:tcPr>
          <w:p>
            <w:pPr>
              <w:pStyle w:val="TableContents"/>
              <w:bidi w:val="0"/>
              <w:spacing w:before="0" w:after="283"/>
              <w:jc w:val="left"/>
              <w:rPr/>
            </w:pPr>
            <w: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2893"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3859" w:type="dxa"/>
            <w:tcBorders/>
            <w:vAlign w:val="center"/>
          </w:tcPr>
          <w:p>
            <w:pPr>
              <w:pStyle w:val="TableContents"/>
              <w:bidi w:val="0"/>
              <w:spacing w:before="0" w:after="283"/>
              <w:jc w:val="left"/>
              <w:rPr/>
            </w:pPr>
            <w: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drawing>
                <wp:inline distT="0" distB="0" distL="0" distR="0">
                  <wp:extent cx="238125" cy="228600"/>
                  <wp:effectExtent l="0" t="0" r="0" b="0"/>
                  <wp:docPr id="177"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60" descr=""/>
                          <pic:cNvPicPr>
                            <a:picLocks noChangeAspect="1" noChangeArrowheads="1"/>
                          </pic:cNvPicPr>
                        </pic:nvPicPr>
                        <pic:blipFill>
                          <a:blip r:embed="rId172"/>
                          <a:stretch>
                            <a:fillRect/>
                          </a:stretch>
                        </pic:blipFill>
                        <pic:spPr bwMode="auto">
                          <a:xfrm>
                            <a:off x="0" y="0"/>
                            <a:ext cx="238125" cy="228600"/>
                          </a:xfrm>
                          <a:prstGeom prst="rect">
                            <a:avLst/>
                          </a:prstGeom>
                        </pic:spPr>
                      </pic:pic>
                    </a:graphicData>
                  </a:graphic>
                </wp:inline>
              </w:drawing>
            </w:r>
          </w:p>
        </w:tc>
        <w:tc>
          <w:tcPr>
            <w:tcW w:w="2893"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Industry Experience</w:t>
            </w:r>
          </w:p>
        </w:tc>
        <w:tc>
          <w:tcPr>
            <w:tcW w:w="619" w:type="dxa"/>
            <w:tcBorders/>
            <w:vAlign w:val="center"/>
          </w:tcPr>
          <w:p>
            <w:pPr>
              <w:pStyle w:val="TableContents"/>
              <w:bidi w:val="0"/>
              <w:spacing w:before="0" w:after="283"/>
              <w:jc w:val="left"/>
              <w:rPr/>
            </w:pPr>
            <w:r>
              <w:rPr/>
              <w:drawing>
                <wp:inline distT="0" distB="0" distL="0" distR="0">
                  <wp:extent cx="238125" cy="209550"/>
                  <wp:effectExtent l="0" t="0" r="0" b="0"/>
                  <wp:docPr id="178"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61" descr=""/>
                          <pic:cNvPicPr>
                            <a:picLocks noChangeAspect="1" noChangeArrowheads="1"/>
                          </pic:cNvPicPr>
                        </pic:nvPicPr>
                        <pic:blipFill>
                          <a:blip r:embed="rId173"/>
                          <a:stretch>
                            <a:fillRect/>
                          </a:stretch>
                        </pic:blipFill>
                        <pic:spPr bwMode="auto">
                          <a:xfrm>
                            <a:off x="0" y="0"/>
                            <a:ext cx="238125" cy="209550"/>
                          </a:xfrm>
                          <a:prstGeom prst="rect">
                            <a:avLst/>
                          </a:prstGeom>
                        </pic:spPr>
                      </pic:pic>
                    </a:graphicData>
                  </a:graphic>
                </wp:inline>
              </w:drawing>
            </w:r>
          </w:p>
        </w:tc>
        <w:tc>
          <w:tcPr>
            <w:tcW w:w="385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Executive/Leadership Experience</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2893"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3859" w:type="dxa"/>
            <w:tcBorders/>
            <w:vAlign w:val="center"/>
          </w:tcPr>
          <w:p>
            <w:pPr>
              <w:pStyle w:val="TableContents"/>
              <w:bidi w:val="0"/>
              <w:spacing w:before="0" w:after="283"/>
              <w:jc w:val="left"/>
              <w:rPr/>
            </w:pPr>
            <w: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drawing>
                <wp:inline distT="0" distB="0" distL="0" distR="0">
                  <wp:extent cx="238125" cy="228600"/>
                  <wp:effectExtent l="0" t="0" r="0" b="0"/>
                  <wp:docPr id="179"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2" descr=""/>
                          <pic:cNvPicPr>
                            <a:picLocks noChangeAspect="1" noChangeArrowheads="1"/>
                          </pic:cNvPicPr>
                        </pic:nvPicPr>
                        <pic:blipFill>
                          <a:blip r:embed="rId174"/>
                          <a:stretch>
                            <a:fillRect/>
                          </a:stretch>
                        </pic:blipFill>
                        <pic:spPr bwMode="auto">
                          <a:xfrm>
                            <a:off x="0" y="0"/>
                            <a:ext cx="238125" cy="228600"/>
                          </a:xfrm>
                          <a:prstGeom prst="rect">
                            <a:avLst/>
                          </a:prstGeom>
                        </pic:spPr>
                      </pic:pic>
                    </a:graphicData>
                  </a:graphic>
                </wp:inline>
              </w:drawing>
            </w:r>
          </w:p>
        </w:tc>
        <w:tc>
          <w:tcPr>
            <w:tcW w:w="2893"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Science/Biotech Background</w:t>
            </w:r>
          </w:p>
        </w:tc>
        <w:tc>
          <w:tcPr>
            <w:tcW w:w="619" w:type="dxa"/>
            <w:tcBorders/>
            <w:vAlign w:val="center"/>
          </w:tcPr>
          <w:p>
            <w:pPr>
              <w:pStyle w:val="TableContents"/>
              <w:bidi w:val="0"/>
              <w:spacing w:before="0" w:after="283"/>
              <w:jc w:val="left"/>
              <w:rPr/>
            </w:pPr>
            <w:r>
              <w:rPr/>
              <w:drawing>
                <wp:inline distT="0" distB="0" distL="0" distR="0">
                  <wp:extent cx="238125" cy="228600"/>
                  <wp:effectExtent l="0" t="0" r="0" b="0"/>
                  <wp:docPr id="180"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63" descr=""/>
                          <pic:cNvPicPr>
                            <a:picLocks noChangeAspect="1" noChangeArrowheads="1"/>
                          </pic:cNvPicPr>
                        </pic:nvPicPr>
                        <pic:blipFill>
                          <a:blip r:embed="rId175"/>
                          <a:stretch>
                            <a:fillRect/>
                          </a:stretch>
                        </pic:blipFill>
                        <pic:spPr bwMode="auto">
                          <a:xfrm>
                            <a:off x="0" y="0"/>
                            <a:ext cx="238125" cy="228600"/>
                          </a:xfrm>
                          <a:prstGeom prst="rect">
                            <a:avLst/>
                          </a:prstGeom>
                        </pic:spPr>
                      </pic:pic>
                    </a:graphicData>
                  </a:graphic>
                </wp:inline>
              </w:drawing>
            </w:r>
          </w:p>
        </w:tc>
        <w:tc>
          <w:tcPr>
            <w:tcW w:w="385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Business Strategy/Operations Experience</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c>
          <w:tcPr>
            <w:tcW w:w="2893"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c>
          <w:tcPr>
            <w:tcW w:w="3859" w:type="dxa"/>
            <w:tcBorders/>
            <w:vAlign w:val="center"/>
          </w:tcPr>
          <w:p>
            <w:pPr>
              <w:pStyle w:val="TableContents"/>
              <w:bidi w:val="0"/>
              <w:spacing w:before="0" w:after="283"/>
              <w:jc w:val="left"/>
              <w:rPr/>
            </w:pPr>
            <w: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drawing>
                <wp:inline distT="0" distB="0" distL="0" distR="0">
                  <wp:extent cx="238125" cy="209550"/>
                  <wp:effectExtent l="0" t="0" r="0" b="0"/>
                  <wp:docPr id="181"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64" descr=""/>
                          <pic:cNvPicPr>
                            <a:picLocks noChangeAspect="1" noChangeArrowheads="1"/>
                          </pic:cNvPicPr>
                        </pic:nvPicPr>
                        <pic:blipFill>
                          <a:blip r:embed="rId176"/>
                          <a:stretch>
                            <a:fillRect/>
                          </a:stretch>
                        </pic:blipFill>
                        <pic:spPr bwMode="auto">
                          <a:xfrm>
                            <a:off x="0" y="0"/>
                            <a:ext cx="238125" cy="209550"/>
                          </a:xfrm>
                          <a:prstGeom prst="rect">
                            <a:avLst/>
                          </a:prstGeom>
                        </pic:spPr>
                      </pic:pic>
                    </a:graphicData>
                  </a:graphic>
                </wp:inline>
              </w:drawing>
            </w:r>
          </w:p>
        </w:tc>
        <w:tc>
          <w:tcPr>
            <w:tcW w:w="2893"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Financial Expertise</w:t>
            </w:r>
          </w:p>
        </w:tc>
        <w:tc>
          <w:tcPr>
            <w:tcW w:w="619" w:type="dxa"/>
            <w:tcBorders/>
            <w:vAlign w:val="center"/>
          </w:tcPr>
          <w:p>
            <w:pPr>
              <w:pStyle w:val="TableContents"/>
              <w:bidi w:val="0"/>
              <w:spacing w:before="0" w:after="283"/>
              <w:jc w:val="left"/>
              <w:rPr/>
            </w:pPr>
            <w:r>
              <w:rPr/>
              <w:drawing>
                <wp:inline distT="0" distB="0" distL="0" distR="0">
                  <wp:extent cx="238125" cy="228600"/>
                  <wp:effectExtent l="0" t="0" r="0" b="0"/>
                  <wp:docPr id="182"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65" descr=""/>
                          <pic:cNvPicPr>
                            <a:picLocks noChangeAspect="1" noChangeArrowheads="1"/>
                          </pic:cNvPicPr>
                        </pic:nvPicPr>
                        <pic:blipFill>
                          <a:blip r:embed="rId177"/>
                          <a:stretch>
                            <a:fillRect/>
                          </a:stretch>
                        </pic:blipFill>
                        <pic:spPr bwMode="auto">
                          <a:xfrm>
                            <a:off x="0" y="0"/>
                            <a:ext cx="238125" cy="228600"/>
                          </a:xfrm>
                          <a:prstGeom prst="rect">
                            <a:avLst/>
                          </a:prstGeom>
                        </pic:spPr>
                      </pic:pic>
                    </a:graphicData>
                  </a:graphic>
                </wp:inline>
              </w:drawing>
            </w:r>
          </w:p>
        </w:tc>
        <w:tc>
          <w:tcPr>
            <w:tcW w:w="385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Technology/Digital Experience</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9" w:type="dxa"/>
            <w:tcBorders>
              <w:bottom w:val="single" w:sz="8" w:space="0" w:color="3B5AA4"/>
            </w:tcBorders>
            <w:tcMar>
              <w:bottom w:w="28" w:type="dxa"/>
            </w:tcMar>
            <w:vAlign w:val="center"/>
          </w:tcPr>
          <w:p>
            <w:pPr>
              <w:pStyle w:val="TableContents"/>
              <w:bidi w:val="0"/>
              <w:spacing w:before="0" w:after="283"/>
              <w:jc w:val="center"/>
              <w:rPr/>
            </w:pPr>
            <w:r>
              <w:rPr/>
              <w:t> </w:t>
            </w:r>
          </w:p>
        </w:tc>
        <w:tc>
          <w:tcPr>
            <w:tcW w:w="2893" w:type="dxa"/>
            <w:tcBorders>
              <w:bottom w:val="single" w:sz="8" w:space="0" w:color="215AA8"/>
            </w:tcBorders>
            <w:tcMar>
              <w:bottom w:w="28" w:type="dxa"/>
            </w:tcMar>
            <w:vAlign w:val="center"/>
          </w:tcPr>
          <w:p>
            <w:pPr>
              <w:pStyle w:val="TableContents"/>
              <w:bidi w:val="0"/>
              <w:spacing w:before="0" w:after="283"/>
              <w:jc w:val="left"/>
              <w:rPr/>
            </w:pPr>
            <w:r>
              <w:rPr/>
              <w:t> </w:t>
            </w:r>
          </w:p>
        </w:tc>
        <w:tc>
          <w:tcPr>
            <w:tcW w:w="619" w:type="dxa"/>
            <w:tcBorders>
              <w:bottom w:val="single" w:sz="8" w:space="0" w:color="3B5AA4"/>
            </w:tcBorders>
            <w:tcMar>
              <w:bottom w:w="28" w:type="dxa"/>
            </w:tcMar>
            <w:vAlign w:val="center"/>
          </w:tcPr>
          <w:p>
            <w:pPr>
              <w:pStyle w:val="TableContents"/>
              <w:bidi w:val="0"/>
              <w:spacing w:before="0" w:after="283"/>
              <w:jc w:val="center"/>
              <w:rPr/>
            </w:pPr>
            <w:r>
              <w:rPr/>
              <w:t> </w:t>
            </w:r>
          </w:p>
        </w:tc>
        <w:tc>
          <w:tcPr>
            <w:tcW w:w="3859" w:type="dxa"/>
            <w:tcBorders>
              <w:bottom w:val="single" w:sz="8" w:space="0" w:color="3B5AA4"/>
            </w:tcBorders>
            <w:tcMar>
              <w:bottom w:w="28" w:type="dxa"/>
            </w:tcMar>
            <w:vAlign w:val="center"/>
          </w:tcPr>
          <w:p>
            <w:pPr>
              <w:pStyle w:val="TableContents"/>
              <w:bidi w:val="0"/>
              <w:spacing w:before="0" w:after="283"/>
              <w:jc w:val="left"/>
              <w:rPr/>
            </w:pPr>
            <w: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2893"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3859" w:type="dxa"/>
            <w:tcBorders/>
            <w:vAlign w:val="center"/>
          </w:tcPr>
          <w:p>
            <w:pPr>
              <w:pStyle w:val="TableContents"/>
              <w:bidi w:val="0"/>
              <w:spacing w:before="0" w:after="283"/>
              <w:jc w:val="left"/>
              <w:rPr/>
            </w:pPr>
            <w:r>
              <w:rPr/>
              <w:t> </w:t>
            </w:r>
          </w:p>
        </w:tc>
      </w:tr>
      <w:tr>
        <w:trPr/>
        <w:tc>
          <w:tcPr>
            <w:tcW w:w="2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990" w:type="dxa"/>
            <w:gridSpan w:val="4"/>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Mr. Sing’s extensive healthcare and financial expertise as a healthcare venture capital investor and biomedical company chief executive officer, his executive leadership experience, and his substantial knowledge of the Company led the board to conclude that Mr. Sing should serve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83"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66" descr=""/>
                          <pic:cNvPicPr>
                            <a:picLocks noChangeAspect="1" noChangeArrowheads="1"/>
                          </pic:cNvPicPr>
                        </pic:nvPicPr>
                        <pic:blipFill>
                          <a:blip r:embed="rId178"/>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i w:val="false"/>
          <w:caps w:val="false"/>
          <w:smallCaps w:val="false"/>
          <w:color w:val="C60C44"/>
          <w:sz w:val="40"/>
        </w:rPr>
      </w:pPr>
      <w:bookmarkStart w:id="19" w:name="regn013211-def14aa012"/>
      <w:bookmarkEnd w:id="19"/>
      <w:r>
        <w:rPr>
          <w:rFonts w:ascii="Arial;Helvetica;Sans-Serif" w:hAnsi="Arial;Helvetica;Sans-Serif"/>
          <w:b/>
          <w:i w:val="false"/>
          <w:caps w:val="false"/>
          <w:smallCaps w:val="false"/>
          <w:color w:val="C60C44"/>
          <w:sz w:val="40"/>
        </w:rPr>
        <w:t>Director Independence</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has determined that each of the following currently serving directors is independent as defined in the listing standards of the Nasdaq Stock Market LLC and our Corporate Governance Guidelines: Bonnie L. Bassler, Ph.D., Michael S. Brown, M.D., N. Anthony Coles, M.D., Joseph L. Goldstein, M.D., Kathryn Guarini, Ph.D., Christine A. Poon, Arthur F. Ryan, David P. Schenkein, M.D., George L. Sing, Craig B. Thompson, M.D., and Huda Y. Zoghbi, M.D. These individuals are affiliated with numerous educational institutions, hospitals, charities, and corporations, as well as civic organizations and professional associations. The board of directors considered such affiliations and determined that none of them conflicted with the interests of the Company or would impair a director’s independence or judgment. In accordance with our Corporate Governance Guidelines, the board conducts executive sessions of independent directors presided by the Lead Independent Director following each regularly scheduled board meeting, as discussed further below.</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has determined that each of the current members of the Audit Committee, Messrs. Ryan and Sing and Drs. Coles and Guarini, is independent as defined for audit committee members in the listing standards of the Nasdaq Stock Market LLC and U.S. Securities and Exchange Commission (“SEC”) rules; and that each of Messrs. Ryan and Sing and Dr. Coles qualifies as an “audit committee financial expert” as that term is defined by SEC rules.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addition, the board of directors has determined that each of the current members of the Compensation Committee, Dr. Coles, Ms. Poon, Mr. Sing, and Dr. Zoghbi, meets the additional independence criteria applicable to compensation committee members under the listing standards of the Nasdaq Stock Market LLC and qualifies as a “Non-Employee Director” pursuant to Rule 16b-3 under the Securities Exchange Act of 1934, as amended (the “Exchange Act”).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2"/>
        <w:bidi w:val="0"/>
        <w:spacing w:before="0" w:after="0"/>
        <w:ind w:left="0" w:right="0" w:hanging="0"/>
        <w:jc w:val="left"/>
        <w:rPr>
          <w:rFonts w:ascii="Arial;Helvetica;Sans-Serif" w:hAnsi="Arial;Helvetica;Sans-Serif"/>
          <w:b/>
          <w:i w:val="false"/>
          <w:caps w:val="false"/>
          <w:smallCaps w:val="false"/>
          <w:color w:val="C60C44"/>
          <w:sz w:val="40"/>
        </w:rPr>
      </w:pPr>
      <w:bookmarkStart w:id="20" w:name="regn013211-def14aa013"/>
      <w:bookmarkEnd w:id="20"/>
      <w:r>
        <w:rPr>
          <w:rFonts w:ascii="Arial;Helvetica;Sans-Serif" w:hAnsi="Arial;Helvetica;Sans-Serif"/>
          <w:b/>
          <w:i w:val="false"/>
          <w:caps w:val="false"/>
          <w:smallCaps w:val="false"/>
          <w:color w:val="C60C44"/>
          <w:sz w:val="40"/>
        </w:rPr>
        <w:t>Board Committees</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The board has a standing Audit Committee, Compensation Committee, and Corporate Governance and Compliance Committee, each of which is comprised entirely of independent directors. The board also has a standing Technology Committee, which provides direct oversight of our research and clinical development programs, plans, and policies. The charters for the Audit Committee, Compensation Committee, Corporate Governance and Compliance Committee, and Technology Committee are available on our website at </w:t>
      </w:r>
      <w:r>
        <w:rPr>
          <w:rFonts w:ascii="Arial;Helvetica;Sans-Serif" w:hAnsi="Arial;Helvetica;Sans-Serif"/>
          <w:b/>
          <w:i w:val="false"/>
          <w:caps w:val="false"/>
          <w:smallCaps w:val="false"/>
          <w:color w:val="3B5AA4"/>
          <w:sz w:val="18"/>
        </w:rPr>
        <w:t xml:space="preserve">www.regeneron.com </w:t>
      </w:r>
      <w:r>
        <w:rPr>
          <w:rFonts w:ascii="Arial;Helvetica;Sans-Serif" w:hAnsi="Arial;Helvetica;Sans-Serif"/>
          <w:b w:val="false"/>
          <w:i w:val="false"/>
          <w:caps w:val="false"/>
          <w:smallCaps w:val="false"/>
          <w:color w:val="231F20"/>
          <w:sz w:val="18"/>
        </w:rPr>
        <w:t>under the “Governance” heading on the “Investors &amp; Media”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show on the following pages information on the membership, key functions, recent focus areas, and number of meetings of each board committee during 2024.</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84"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7" descr=""/>
                          <pic:cNvPicPr>
                            <a:picLocks noChangeAspect="1" noChangeArrowheads="1"/>
                          </pic:cNvPicPr>
                        </pic:nvPicPr>
                        <pic:blipFill>
                          <a:blip r:embed="rId17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1040"/>
        <w:gridCol w:w="75"/>
      </w:tblGrid>
      <w:tr>
        <w:trPr/>
        <w:tc>
          <w:tcPr>
            <w:tcW w:w="1040" w:type="dxa"/>
            <w:vMerge w:val="restart"/>
            <w:tcBorders/>
            <w:vAlign w:val="center"/>
          </w:tcPr>
          <w:p>
            <w:pPr>
              <w:pStyle w:val="Heading3"/>
              <w:bidi w:val="0"/>
              <w:spacing w:before="140" w:after="120"/>
              <w:jc w:val="left"/>
              <w:rPr>
                <w:b/>
                <w:color w:val="3B5AA4"/>
                <w:sz w:val="32"/>
              </w:rPr>
            </w:pPr>
            <w:r>
              <w:rPr>
                <w:b/>
                <w:color w:val="3B5AA4"/>
                <w:sz w:val="32"/>
              </w:rPr>
              <w:t>AUDIT</w:t>
            </w:r>
          </w:p>
        </w:tc>
        <w:tc>
          <w:tcPr>
            <w:tcW w:w="75" w:type="dxa"/>
            <w:tcBorders>
              <w:bottom w:val="single" w:sz="12" w:space="0" w:color="3B5AA4"/>
            </w:tcBorders>
            <w:tcMar>
              <w:bottom w:w="28" w:type="dxa"/>
            </w:tcMar>
            <w:vAlign w:val="center"/>
          </w:tcPr>
          <w:p>
            <w:pPr>
              <w:pStyle w:val="TableContents"/>
              <w:bidi w:val="0"/>
              <w:spacing w:before="0" w:after="283"/>
              <w:jc w:val="left"/>
              <w:rPr/>
            </w:pPr>
            <w:r>
              <w:rPr/>
              <w:t> </w:t>
            </w:r>
          </w:p>
        </w:tc>
      </w:tr>
      <w:tr>
        <w:trPr/>
        <w:tc>
          <w:tcPr>
            <w:tcW w:w="1040" w:type="dxa"/>
            <w:vMerge w:val="continue"/>
            <w:tcBorders/>
            <w:vAlign w:val="center"/>
          </w:tcPr>
          <w:p>
            <w:pPr>
              <w:pStyle w:val="Normal"/>
              <w:bidi w:val="0"/>
              <w:jc w:val="left"/>
              <w:rPr/>
            </w:pPr>
            <w:r>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726"/>
        <w:gridCol w:w="60"/>
        <w:gridCol w:w="8419"/>
      </w:tblGrid>
      <w:tr>
        <w:trPr/>
        <w:tc>
          <w:tcPr>
            <w:tcW w:w="1726" w:type="dxa"/>
            <w:tcBorders/>
            <w:vAlign w:val="center"/>
          </w:tcPr>
          <w:p>
            <w:pPr>
              <w:pStyle w:val="TableContents"/>
              <w:bidi w:val="0"/>
              <w:spacing w:before="0" w:after="283"/>
              <w:jc w:val="left"/>
              <w:rPr>
                <w:b/>
                <w:color w:val="3B5AA4"/>
              </w:rPr>
            </w:pPr>
            <w:r>
              <w:rPr>
                <w:b/>
                <w:color w:val="3B5AA4"/>
              </w:rPr>
              <w:t>Members</w:t>
            </w:r>
          </w:p>
        </w:tc>
        <w:tc>
          <w:tcPr>
            <w:tcW w:w="60" w:type="dxa"/>
            <w:tcBorders/>
            <w:vAlign w:val="center"/>
          </w:tcPr>
          <w:p>
            <w:pPr>
              <w:pStyle w:val="TableContents"/>
              <w:bidi w:val="0"/>
              <w:spacing w:before="0" w:after="283"/>
              <w:jc w:val="left"/>
              <w:rPr/>
            </w:pPr>
            <w:r>
              <w:rPr/>
              <w:t> </w:t>
            </w:r>
          </w:p>
        </w:tc>
        <w:tc>
          <w:tcPr>
            <w:tcW w:w="8419" w:type="dxa"/>
            <w:tcBorders/>
            <w:vAlign w:val="center"/>
          </w:tcPr>
          <w:p>
            <w:pPr>
              <w:pStyle w:val="TableContents"/>
              <w:bidi w:val="0"/>
              <w:spacing w:before="0" w:after="283"/>
              <w:jc w:val="left"/>
              <w:rPr>
                <w:b/>
                <w:color w:val="3B5AA4"/>
              </w:rPr>
            </w:pPr>
            <w:r>
              <w:rPr>
                <w:b/>
                <w:color w:val="3B5AA4"/>
              </w:rPr>
              <w:t>Key Functions of the Committee</w:t>
            </w:r>
          </w:p>
        </w:tc>
      </w:tr>
      <w:tr>
        <w:trPr/>
        <w:tc>
          <w:tcPr>
            <w:tcW w:w="1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19" w:type="dxa"/>
            <w:tcBorders/>
            <w:vAlign w:val="center"/>
          </w:tcPr>
          <w:p>
            <w:pPr>
              <w:pStyle w:val="TableContents"/>
              <w:bidi w:val="0"/>
              <w:spacing w:before="0" w:after="283"/>
              <w:jc w:val="left"/>
              <w:rPr/>
            </w:pPr>
            <w:r>
              <w:rPr/>
              <w:t> </w:t>
            </w:r>
          </w:p>
        </w:tc>
      </w:tr>
      <w:tr>
        <w:trPr/>
        <w:tc>
          <w:tcPr>
            <w:tcW w:w="1726" w:type="dxa"/>
            <w:tcBorders>
              <w:bottom w:val="single" w:sz="12" w:space="0" w:color="3B5AA4"/>
            </w:tcBorders>
            <w:tcMar>
              <w:bottom w:w="28" w:type="dxa"/>
            </w:tcMar>
            <w:vAlign w:val="center"/>
          </w:tcPr>
          <w:p>
            <w:pPr>
              <w:pStyle w:val="TableContents"/>
              <w:bidi w:val="0"/>
              <w:spacing w:before="0" w:after="0"/>
              <w:ind w:left="0" w:right="0" w:hanging="0"/>
              <w:jc w:val="left"/>
              <w:rPr/>
            </w:pPr>
            <w:r>
              <w:rPr>
                <w:color w:val="231F20"/>
              </w:rPr>
              <w:t xml:space="preserve">George L. Sing, </w:t>
            </w:r>
            <w:r>
              <w:rPr>
                <w:i/>
                <w:color w:val="231F20"/>
              </w:rPr>
              <w:t xml:space="preserve">Chair </w:t>
            </w:r>
            <w:r>
              <w:rPr/>
              <w:br/>
            </w:r>
            <w:r>
              <w:rPr>
                <w:color w:val="231F20"/>
              </w:rPr>
              <w:t>N. Anthony Coles, M.D.</w:t>
            </w:r>
            <w:r>
              <w:rPr/>
              <w:t xml:space="preserve"> </w:t>
              <w:br/>
            </w:r>
            <w:r>
              <w:rPr>
                <w:color w:val="231F20"/>
              </w:rPr>
              <w:t>Kathryn Guarini, Ph.D.</w:t>
            </w:r>
            <w:r>
              <w:rPr/>
              <w:t xml:space="preserve"> </w:t>
              <w:br/>
            </w:r>
            <w:r>
              <w:rPr>
                <w:color w:val="231F20"/>
              </w:rPr>
              <w:t>Arthur F. Ryan</w:t>
            </w:r>
          </w:p>
          <w:p>
            <w:pPr>
              <w:pStyle w:val="TableContents"/>
              <w:bidi w:val="0"/>
              <w:spacing w:before="0" w:after="0"/>
              <w:ind w:left="0" w:right="0" w:hanging="0"/>
              <w:jc w:val="left"/>
              <w:rPr>
                <w:color w:val="3B5AA4"/>
              </w:rPr>
            </w:pPr>
            <w:r>
              <w:rPr>
                <w:color w:val="3B5AA4"/>
              </w:rPr>
              <w:t> </w:t>
            </w:r>
          </w:p>
          <w:p>
            <w:pPr>
              <w:pStyle w:val="TableContents"/>
              <w:bidi w:val="0"/>
              <w:spacing w:before="0" w:after="0"/>
              <w:ind w:left="0" w:right="0" w:hanging="0"/>
              <w:jc w:val="left"/>
              <w:rPr>
                <w:b/>
                <w:color w:val="3B5AA4"/>
              </w:rPr>
            </w:pPr>
            <w:r>
              <w:rPr>
                <w:b/>
                <w:color w:val="3B5AA4"/>
              </w:rPr>
              <w:t>Number of Meetings Held in 2024</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0" w:right="0" w:hanging="0"/>
              <w:jc w:val="left"/>
              <w:rPr>
                <w:color w:val="231F20"/>
              </w:rPr>
            </w:pPr>
            <w:r>
              <w:rPr>
                <w:color w:val="231F20"/>
              </w:rPr>
              <w:t>9</w:t>
            </w:r>
          </w:p>
          <w:p>
            <w:pPr>
              <w:pStyle w:val="TableContents"/>
              <w:bidi w:val="0"/>
              <w:spacing w:before="0" w:after="0"/>
              <w:ind w:left="0" w:right="0" w:hanging="0"/>
              <w:jc w:val="left"/>
              <w:rPr>
                <w:color w:val="231F20"/>
              </w:rPr>
            </w:pPr>
            <w:r>
              <w:rPr>
                <w:color w:val="231F20"/>
              </w:rPr>
              <w:t> </w:t>
            </w:r>
          </w:p>
        </w:tc>
        <w:tc>
          <w:tcPr>
            <w:tcW w:w="60" w:type="dxa"/>
            <w:tcBorders>
              <w:bottom w:val="single" w:sz="12" w:space="0" w:color="3B5AA4"/>
            </w:tcBorders>
            <w:tcMar>
              <w:bottom w:w="28" w:type="dxa"/>
            </w:tcMar>
            <w:vAlign w:val="center"/>
          </w:tcPr>
          <w:p>
            <w:pPr>
              <w:pStyle w:val="TableContents"/>
              <w:bidi w:val="0"/>
              <w:spacing w:before="0" w:after="283"/>
              <w:jc w:val="left"/>
              <w:rPr/>
            </w:pPr>
            <w:r>
              <w:rPr/>
              <w:t> </w:t>
            </w:r>
          </w:p>
        </w:tc>
        <w:tc>
          <w:tcPr>
            <w:tcW w:w="8419" w:type="dxa"/>
            <w:tcBorders>
              <w:bottom w:val="single" w:sz="12" w:space="0" w:color="3B5AA4"/>
            </w:tcBorders>
            <w:tcMar>
              <w:bottom w:w="28" w:type="dxa"/>
            </w:tcMar>
            <w:vAlign w:val="center"/>
          </w:tcPr>
          <w:p>
            <w:pPr>
              <w:pStyle w:val="TableContents"/>
              <w:bidi w:val="0"/>
              <w:jc w:val="left"/>
              <w:rPr>
                <w:color w:val="3B5AA4"/>
              </w:rPr>
            </w:pPr>
            <w:r>
              <w:rPr>
                <w:color w:val="3B5AA4"/>
              </w:rPr>
              <w:t>•</w:t>
            </w:r>
          </w:p>
          <w:p>
            <w:pPr>
              <w:pStyle w:val="TableContents"/>
              <w:bidi w:val="0"/>
              <w:spacing w:before="0" w:after="100"/>
              <w:ind w:left="200" w:right="0" w:hanging="0"/>
              <w:jc w:val="left"/>
              <w:rPr/>
            </w:pPr>
            <w:r>
              <w:rPr>
                <w:color w:val="231F20"/>
              </w:rPr>
              <w:t>Select the independent registered public accounting firm, review and approve its</w:t>
            </w:r>
            <w:r>
              <w:rPr/>
              <w:t xml:space="preserve"> </w:t>
            </w:r>
            <w:r>
              <w:rPr>
                <w:color w:val="231F20"/>
              </w:rPr>
              <w:t>engagement letter, and monitor its independence and performance</w:t>
            </w:r>
          </w:p>
          <w:p>
            <w:pPr>
              <w:pStyle w:val="TableContents"/>
              <w:bidi w:val="0"/>
              <w:jc w:val="left"/>
              <w:rPr>
                <w:color w:val="3B5AA4"/>
              </w:rPr>
            </w:pPr>
            <w:r>
              <w:rPr>
                <w:color w:val="3B5AA4"/>
              </w:rPr>
              <w:t>•</w:t>
            </w:r>
          </w:p>
          <w:p>
            <w:pPr>
              <w:pStyle w:val="TableContents"/>
              <w:bidi w:val="0"/>
              <w:spacing w:before="0" w:after="100"/>
              <w:ind w:left="200" w:right="0" w:hanging="0"/>
              <w:jc w:val="left"/>
              <w:rPr/>
            </w:pPr>
            <w:r>
              <w:rPr>
                <w:color w:val="231F20"/>
              </w:rPr>
              <w:t>Review the overall scope and plans for the annual audit by the independent</w:t>
            </w:r>
            <w:r>
              <w:rPr/>
              <w:t xml:space="preserve"> </w:t>
            </w:r>
            <w:r>
              <w:rPr>
                <w:color w:val="231F20"/>
              </w:rPr>
              <w:t>registered public accounting firm</w:t>
            </w:r>
          </w:p>
          <w:p>
            <w:pPr>
              <w:pStyle w:val="TableContents"/>
              <w:bidi w:val="0"/>
              <w:jc w:val="left"/>
              <w:rPr>
                <w:color w:val="3B5AA4"/>
              </w:rPr>
            </w:pPr>
            <w:r>
              <w:rPr>
                <w:color w:val="3B5AA4"/>
              </w:rPr>
              <w:t>•</w:t>
            </w:r>
          </w:p>
          <w:p>
            <w:pPr>
              <w:pStyle w:val="TableContents"/>
              <w:bidi w:val="0"/>
              <w:spacing w:before="0" w:after="100"/>
              <w:ind w:left="200" w:right="0" w:hanging="0"/>
              <w:jc w:val="left"/>
              <w:rPr/>
            </w:pPr>
            <w:r>
              <w:rPr>
                <w:color w:val="231F20"/>
              </w:rPr>
              <w:t>Approve permissible non-audit services by the independent registered public</w:t>
            </w:r>
            <w:r>
              <w:rPr/>
              <w:t xml:space="preserve"> </w:t>
            </w:r>
            <w:r>
              <w:rPr>
                <w:color w:val="231F20"/>
              </w:rPr>
              <w:t>accounting firm and evaluate the performance and independence of the</w:t>
            </w:r>
            <w:r>
              <w:rPr/>
              <w:t xml:space="preserve"> </w:t>
            </w:r>
            <w:r>
              <w:rPr>
                <w:color w:val="231F20"/>
              </w:rPr>
              <w:t>independent registered public accounting firm</w:t>
            </w:r>
          </w:p>
          <w:p>
            <w:pPr>
              <w:pStyle w:val="TableContents"/>
              <w:bidi w:val="0"/>
              <w:jc w:val="left"/>
              <w:rPr>
                <w:color w:val="3B5AA4"/>
              </w:rPr>
            </w:pPr>
            <w:r>
              <w:rPr>
                <w:color w:val="3B5AA4"/>
              </w:rPr>
              <w:t>•</w:t>
            </w:r>
          </w:p>
          <w:p>
            <w:pPr>
              <w:pStyle w:val="TableContents"/>
              <w:bidi w:val="0"/>
              <w:spacing w:before="0" w:after="100"/>
              <w:ind w:left="200" w:right="0" w:hanging="0"/>
              <w:jc w:val="left"/>
              <w:rPr/>
            </w:pPr>
            <w:r>
              <w:rPr>
                <w:color w:val="231F20"/>
              </w:rPr>
              <w:t>Review and approve the Company’s periodic financial statements and the results</w:t>
            </w:r>
            <w:r>
              <w:rPr/>
              <w:t xml:space="preserve"> </w:t>
            </w:r>
            <w:r>
              <w:rPr>
                <w:color w:val="231F20"/>
              </w:rPr>
              <w:t>of the year-end audit</w:t>
            </w:r>
          </w:p>
          <w:p>
            <w:pPr>
              <w:pStyle w:val="TableContents"/>
              <w:bidi w:val="0"/>
              <w:jc w:val="left"/>
              <w:rPr>
                <w:color w:val="3B5AA4"/>
              </w:rPr>
            </w:pPr>
            <w:r>
              <w:rPr>
                <w:color w:val="3B5AA4"/>
              </w:rPr>
              <w:t>•</w:t>
            </w:r>
          </w:p>
          <w:p>
            <w:pPr>
              <w:pStyle w:val="TableContents"/>
              <w:bidi w:val="0"/>
              <w:spacing w:before="0" w:after="100"/>
              <w:ind w:left="200" w:right="0" w:hanging="0"/>
              <w:jc w:val="left"/>
              <w:rPr/>
            </w:pPr>
            <w:r>
              <w:rPr>
                <w:color w:val="231F20"/>
              </w:rPr>
              <w:t>Review and discuss the adequacy and effectiveness of the Company’s</w:t>
            </w:r>
            <w:r>
              <w:rPr/>
              <w:t xml:space="preserve"> </w:t>
            </w:r>
            <w:r>
              <w:rPr>
                <w:color w:val="231F20"/>
              </w:rPr>
              <w:t>accounting and internal control policies and procedures</w:t>
            </w:r>
          </w:p>
          <w:p>
            <w:pPr>
              <w:pStyle w:val="TableContents"/>
              <w:bidi w:val="0"/>
              <w:jc w:val="left"/>
              <w:rPr>
                <w:color w:val="3B5AA4"/>
              </w:rPr>
            </w:pPr>
            <w:r>
              <w:rPr>
                <w:color w:val="3B5AA4"/>
              </w:rPr>
              <w:t>•</w:t>
            </w:r>
          </w:p>
          <w:p>
            <w:pPr>
              <w:pStyle w:val="TableContents"/>
              <w:bidi w:val="0"/>
              <w:spacing w:before="0" w:after="100"/>
              <w:ind w:left="200" w:right="0" w:hanging="0"/>
              <w:jc w:val="left"/>
              <w:rPr/>
            </w:pPr>
            <w:r>
              <w:rPr>
                <w:color w:val="231F20"/>
              </w:rPr>
              <w:t>Evaluate the internal audit process for establishing the annual audit plan; review</w:t>
            </w:r>
            <w:r>
              <w:rPr/>
              <w:t xml:space="preserve"> </w:t>
            </w:r>
            <w:r>
              <w:rPr>
                <w:color w:val="231F20"/>
              </w:rPr>
              <w:t>and approve the appointment and replacement of the Company’s Chief Audit</w:t>
            </w:r>
            <w:r>
              <w:rPr/>
              <w:t xml:space="preserve"> </w:t>
            </w:r>
            <w:r>
              <w:rPr>
                <w:color w:val="231F20"/>
              </w:rPr>
              <w:t>Executive, if applicable, and any outside entities providing internal audit services</w:t>
            </w:r>
            <w:r>
              <w:rPr/>
              <w:t xml:space="preserve"> </w:t>
            </w:r>
            <w:r>
              <w:rPr>
                <w:color w:val="231F20"/>
              </w:rPr>
              <w:t>and evaluate their performance on an annual basis</w:t>
            </w:r>
          </w:p>
          <w:p>
            <w:pPr>
              <w:pStyle w:val="TableContents"/>
              <w:bidi w:val="0"/>
              <w:jc w:val="left"/>
              <w:rPr>
                <w:color w:val="3B5AA4"/>
              </w:rPr>
            </w:pPr>
            <w:r>
              <w:rPr>
                <w:color w:val="3B5AA4"/>
              </w:rPr>
              <w:t>•</w:t>
            </w:r>
          </w:p>
          <w:p>
            <w:pPr>
              <w:pStyle w:val="TableContents"/>
              <w:bidi w:val="0"/>
              <w:spacing w:before="0" w:after="100"/>
              <w:ind w:left="200" w:right="0" w:hanging="0"/>
              <w:jc w:val="left"/>
              <w:rPr/>
            </w:pPr>
            <w:r>
              <w:rPr>
                <w:color w:val="231F20"/>
              </w:rPr>
              <w:t>Review the independent registered public accounting firm’s recommendations</w:t>
            </w:r>
            <w:r>
              <w:rPr/>
              <w:t xml:space="preserve"> </w:t>
            </w:r>
            <w:r>
              <w:rPr>
                <w:color w:val="231F20"/>
              </w:rPr>
              <w:t>concerning the Company’s financial practices and procedures</w:t>
            </w:r>
          </w:p>
          <w:p>
            <w:pPr>
              <w:pStyle w:val="TableContents"/>
              <w:bidi w:val="0"/>
              <w:jc w:val="left"/>
              <w:rPr>
                <w:color w:val="3B5AA4"/>
              </w:rPr>
            </w:pPr>
            <w:r>
              <w:rPr>
                <w:color w:val="3B5AA4"/>
              </w:rPr>
              <w:t>•</w:t>
            </w:r>
          </w:p>
          <w:p>
            <w:pPr>
              <w:pStyle w:val="TableContents"/>
              <w:bidi w:val="0"/>
              <w:spacing w:before="0" w:after="100"/>
              <w:ind w:left="200" w:right="0" w:hanging="0"/>
              <w:jc w:val="left"/>
              <w:rPr>
                <w:color w:val="231F20"/>
              </w:rPr>
            </w:pPr>
            <w:r>
              <w:rPr>
                <w:color w:val="231F20"/>
              </w:rPr>
              <w:t>Oversee the Company’s risk management program</w:t>
            </w:r>
          </w:p>
          <w:p>
            <w:pPr>
              <w:pStyle w:val="TableContents"/>
              <w:bidi w:val="0"/>
              <w:jc w:val="left"/>
              <w:rPr>
                <w:color w:val="3B5AA4"/>
              </w:rPr>
            </w:pPr>
            <w:r>
              <w:rPr>
                <w:color w:val="3B5AA4"/>
              </w:rPr>
              <w:t>•</w:t>
            </w:r>
          </w:p>
          <w:p>
            <w:pPr>
              <w:pStyle w:val="TableContents"/>
              <w:bidi w:val="0"/>
              <w:spacing w:before="0" w:after="100"/>
              <w:ind w:left="200" w:right="0" w:hanging="0"/>
              <w:jc w:val="left"/>
              <w:rPr/>
            </w:pPr>
            <w:r>
              <w:rPr>
                <w:color w:val="231F20"/>
              </w:rPr>
              <w:t>Discuss with management the Company’s major financial risk exposures and the</w:t>
            </w:r>
            <w:r>
              <w:rPr/>
              <w:t xml:space="preserve"> </w:t>
            </w:r>
            <w:r>
              <w:rPr>
                <w:color w:val="231F20"/>
              </w:rPr>
              <w:t>steps management has taken to monitor and control such exposures</w:t>
            </w:r>
          </w:p>
          <w:p>
            <w:pPr>
              <w:pStyle w:val="TableContents"/>
              <w:bidi w:val="0"/>
              <w:jc w:val="left"/>
              <w:rPr>
                <w:color w:val="3B5AA4"/>
              </w:rPr>
            </w:pPr>
            <w:r>
              <w:rPr>
                <w:color w:val="3B5AA4"/>
              </w:rPr>
              <w:t>•</w:t>
            </w:r>
          </w:p>
          <w:p>
            <w:pPr>
              <w:pStyle w:val="TableContents"/>
              <w:bidi w:val="0"/>
              <w:spacing w:before="0" w:after="100"/>
              <w:ind w:left="200" w:right="0" w:hanging="0"/>
              <w:jc w:val="left"/>
              <w:rPr/>
            </w:pPr>
            <w:r>
              <w:rPr>
                <w:color w:val="231F20"/>
              </w:rPr>
              <w:t>Establish procedures for the receipt, retention, and treatment of complaints</w:t>
            </w:r>
            <w:r>
              <w:rPr/>
              <w:t xml:space="preserve"> </w:t>
            </w:r>
            <w:r>
              <w:rPr>
                <w:color w:val="231F20"/>
              </w:rPr>
              <w:t>received by the Company regarding accounting, internal accounting controls, or</w:t>
            </w:r>
            <w:r>
              <w:rPr/>
              <w:t xml:space="preserve"> </w:t>
            </w:r>
            <w:r>
              <w:rPr>
                <w:color w:val="231F20"/>
              </w:rPr>
              <w:t>auditing matters and for the confidential, anonymous submission by employees</w:t>
            </w:r>
            <w:r>
              <w:rPr/>
              <w:t xml:space="preserve"> </w:t>
            </w:r>
            <w:r>
              <w:rPr>
                <w:color w:val="231F20"/>
              </w:rPr>
              <w:t>of concerns regarding questionable accounting or auditing matters</w:t>
            </w:r>
          </w:p>
          <w:p>
            <w:pPr>
              <w:pStyle w:val="TableContents"/>
              <w:bidi w:val="0"/>
              <w:jc w:val="left"/>
              <w:rPr>
                <w:color w:val="3B5AA4"/>
              </w:rPr>
            </w:pPr>
            <w:r>
              <w:rPr>
                <w:color w:val="3B5AA4"/>
              </w:rPr>
              <w:t>•</w:t>
            </w:r>
          </w:p>
          <w:p>
            <w:pPr>
              <w:pStyle w:val="TableContents"/>
              <w:bidi w:val="0"/>
              <w:spacing w:before="0" w:after="100"/>
              <w:ind w:left="200" w:right="0" w:hanging="0"/>
              <w:jc w:val="left"/>
              <w:rPr>
                <w:color w:val="231F20"/>
              </w:rPr>
            </w:pPr>
            <w:r>
              <w:rPr>
                <w:color w:val="231F20"/>
              </w:rPr>
              <w:t>Review and approve any related person transaction</w:t>
            </w:r>
          </w:p>
          <w:p>
            <w:pPr>
              <w:pStyle w:val="TableContents"/>
              <w:bidi w:val="0"/>
              <w:jc w:val="left"/>
              <w:rPr>
                <w:color w:val="3B5AA4"/>
              </w:rPr>
            </w:pPr>
            <w:r>
              <w:rPr>
                <w:color w:val="3B5AA4"/>
              </w:rPr>
              <w:t>•</w:t>
            </w:r>
          </w:p>
          <w:p>
            <w:pPr>
              <w:pStyle w:val="TableContents"/>
              <w:bidi w:val="0"/>
              <w:spacing w:before="0" w:after="180"/>
              <w:ind w:left="200" w:right="0" w:hanging="0"/>
              <w:jc w:val="left"/>
              <w:rPr>
                <w:color w:val="231F20"/>
              </w:rPr>
            </w:pPr>
            <w:r>
              <w:rPr>
                <w:color w:val="231F20"/>
              </w:rPr>
              <w:t>Prepare an annual report of the Audit Committee for inclusion in the Company’s proxy statement</w:t>
            </w:r>
          </w:p>
          <w:p>
            <w:pPr>
              <w:pStyle w:val="TableContents"/>
              <w:bidi w:val="0"/>
              <w:spacing w:before="0" w:after="0"/>
              <w:ind w:left="0" w:right="0" w:hanging="0"/>
              <w:jc w:val="left"/>
              <w:rPr>
                <w:b/>
                <w:color w:val="3B5AA4"/>
              </w:rPr>
            </w:pPr>
            <w:r>
              <w:rPr>
                <w:b/>
                <w:color w:val="3B5AA4"/>
              </w:rPr>
              <w:t>Recent Focus Areas</w:t>
            </w:r>
          </w:p>
          <w:p>
            <w:pPr>
              <w:pStyle w:val="TableContents"/>
              <w:bidi w:val="0"/>
              <w:spacing w:before="0" w:after="0"/>
              <w:ind w:left="0" w:right="0" w:hanging="0"/>
              <w:jc w:val="left"/>
              <w:rPr/>
            </w:pPr>
            <w:r>
              <w:rPr/>
              <w:t> </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Regeneron’s international expansion and related audit matters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Cybersecurity risk management</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Artificial intelligence</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Succession planning for the Company’s finance, information technology, and real</w:t>
            </w:r>
            <w:r>
              <w:rPr/>
              <w:t xml:space="preserve"> </w:t>
            </w:r>
            <w:r>
              <w:rPr>
                <w:color w:val="231F20"/>
              </w:rPr>
              <w:t>estate &amp; facilities management organizations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85"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68" descr=""/>
                          <pic:cNvPicPr>
                            <a:picLocks noChangeAspect="1" noChangeArrowheads="1"/>
                          </pic:cNvPicPr>
                        </pic:nvPicPr>
                        <pic:blipFill>
                          <a:blip r:embed="rId18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2705" w:type="dxa"/>
        <w:jc w:val="left"/>
        <w:tblInd w:w="0" w:type="dxa"/>
        <w:tblLayout w:type="fixed"/>
        <w:tblCellMar>
          <w:top w:w="0" w:type="dxa"/>
          <w:left w:w="0" w:type="dxa"/>
          <w:bottom w:w="0" w:type="dxa"/>
          <w:right w:w="0" w:type="dxa"/>
        </w:tblCellMar>
      </w:tblPr>
      <w:tblGrid>
        <w:gridCol w:w="2630"/>
        <w:gridCol w:w="75"/>
      </w:tblGrid>
      <w:tr>
        <w:trPr/>
        <w:tc>
          <w:tcPr>
            <w:tcW w:w="2630" w:type="dxa"/>
            <w:vMerge w:val="restart"/>
            <w:tcBorders/>
            <w:vAlign w:val="center"/>
          </w:tcPr>
          <w:p>
            <w:pPr>
              <w:pStyle w:val="Heading3"/>
              <w:bidi w:val="0"/>
              <w:spacing w:before="140" w:after="120"/>
              <w:jc w:val="left"/>
              <w:rPr>
                <w:b/>
                <w:color w:val="3B5AA4"/>
                <w:sz w:val="32"/>
              </w:rPr>
            </w:pPr>
            <w:r>
              <w:rPr>
                <w:b/>
                <w:color w:val="3B5AA4"/>
                <w:sz w:val="32"/>
              </w:rPr>
              <w:t>COMPENSATION</w:t>
            </w:r>
          </w:p>
        </w:tc>
        <w:tc>
          <w:tcPr>
            <w:tcW w:w="75" w:type="dxa"/>
            <w:tcBorders>
              <w:bottom w:val="single" w:sz="12" w:space="0" w:color="3B5AA4"/>
            </w:tcBorders>
            <w:tcMar>
              <w:bottom w:w="28" w:type="dxa"/>
            </w:tcMar>
            <w:vAlign w:val="center"/>
          </w:tcPr>
          <w:p>
            <w:pPr>
              <w:pStyle w:val="TableContents"/>
              <w:bidi w:val="0"/>
              <w:spacing w:before="0" w:after="283"/>
              <w:jc w:val="left"/>
              <w:rPr/>
            </w:pPr>
            <w:r>
              <w:rPr/>
              <w:t> </w:t>
            </w:r>
          </w:p>
        </w:tc>
      </w:tr>
      <w:tr>
        <w:trPr/>
        <w:tc>
          <w:tcPr>
            <w:tcW w:w="2630" w:type="dxa"/>
            <w:vMerge w:val="continue"/>
            <w:tcBorders/>
            <w:vAlign w:val="center"/>
          </w:tcPr>
          <w:p>
            <w:pPr>
              <w:pStyle w:val="Normal"/>
              <w:bidi w:val="0"/>
              <w:jc w:val="left"/>
              <w:rPr/>
            </w:pPr>
            <w:r>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944"/>
        <w:gridCol w:w="60"/>
        <w:gridCol w:w="8201"/>
      </w:tblGrid>
      <w:tr>
        <w:trPr/>
        <w:tc>
          <w:tcPr>
            <w:tcW w:w="1944" w:type="dxa"/>
            <w:tcBorders/>
            <w:vAlign w:val="center"/>
          </w:tcPr>
          <w:p>
            <w:pPr>
              <w:pStyle w:val="TableContents"/>
              <w:bidi w:val="0"/>
              <w:spacing w:before="0" w:after="283"/>
              <w:jc w:val="left"/>
              <w:rPr>
                <w:b/>
                <w:color w:val="3B5AA4"/>
              </w:rPr>
            </w:pPr>
            <w:r>
              <w:rPr>
                <w:b/>
                <w:color w:val="3B5AA4"/>
              </w:rPr>
              <w:t>Members</w:t>
            </w:r>
          </w:p>
        </w:tc>
        <w:tc>
          <w:tcPr>
            <w:tcW w:w="60" w:type="dxa"/>
            <w:tcBorders/>
            <w:vAlign w:val="center"/>
          </w:tcPr>
          <w:p>
            <w:pPr>
              <w:pStyle w:val="TableContents"/>
              <w:bidi w:val="0"/>
              <w:spacing w:before="0" w:after="283"/>
              <w:jc w:val="left"/>
              <w:rPr/>
            </w:pPr>
            <w:r>
              <w:rPr/>
              <w:t> </w:t>
            </w:r>
          </w:p>
        </w:tc>
        <w:tc>
          <w:tcPr>
            <w:tcW w:w="8201" w:type="dxa"/>
            <w:tcBorders/>
            <w:vAlign w:val="center"/>
          </w:tcPr>
          <w:p>
            <w:pPr>
              <w:pStyle w:val="TableContents"/>
              <w:bidi w:val="0"/>
              <w:spacing w:before="0" w:after="283"/>
              <w:jc w:val="left"/>
              <w:rPr>
                <w:b/>
                <w:color w:val="3B5AA4"/>
              </w:rPr>
            </w:pPr>
            <w:r>
              <w:rPr>
                <w:b/>
                <w:color w:val="3B5AA4"/>
              </w:rPr>
              <w:t>Key Functions of the Committee</w:t>
            </w:r>
          </w:p>
        </w:tc>
      </w:tr>
      <w:tr>
        <w:trPr/>
        <w:tc>
          <w:tcPr>
            <w:tcW w:w="19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1" w:type="dxa"/>
            <w:tcBorders/>
            <w:vAlign w:val="center"/>
          </w:tcPr>
          <w:p>
            <w:pPr>
              <w:pStyle w:val="TableContents"/>
              <w:bidi w:val="0"/>
              <w:spacing w:before="0" w:after="283"/>
              <w:jc w:val="left"/>
              <w:rPr/>
            </w:pPr>
            <w:r>
              <w:rPr/>
              <w:t> </w:t>
            </w:r>
          </w:p>
        </w:tc>
      </w:tr>
      <w:tr>
        <w:trPr/>
        <w:tc>
          <w:tcPr>
            <w:tcW w:w="1944" w:type="dxa"/>
            <w:tcBorders>
              <w:bottom w:val="single" w:sz="12" w:space="0" w:color="3B5AA4"/>
            </w:tcBorders>
            <w:tcMar>
              <w:bottom w:w="28" w:type="dxa"/>
            </w:tcMar>
            <w:vAlign w:val="center"/>
          </w:tcPr>
          <w:p>
            <w:pPr>
              <w:pStyle w:val="TableContents"/>
              <w:bidi w:val="0"/>
              <w:spacing w:before="0" w:after="0"/>
              <w:ind w:left="0" w:right="0" w:hanging="0"/>
              <w:jc w:val="left"/>
              <w:rPr/>
            </w:pPr>
            <w:r>
              <w:rPr>
                <w:color w:val="231F20"/>
              </w:rPr>
              <w:t xml:space="preserve">Christine A. Poon, </w:t>
            </w:r>
            <w:r>
              <w:rPr>
                <w:i/>
                <w:color w:val="231F20"/>
              </w:rPr>
              <w:t>Chair</w:t>
              <w:br/>
            </w:r>
            <w:r>
              <w:rPr>
                <w:color w:val="231F20"/>
              </w:rPr>
              <w:t>N. Anthony Coles, M.D.</w:t>
              <w:br/>
            </w:r>
            <w:r>
              <w:rPr>
                <w:i/>
                <w:color w:val="231F20"/>
              </w:rPr>
              <w:t>(since April 4, 2025)</w:t>
            </w:r>
            <w:r>
              <w:rPr/>
              <w:t xml:space="preserve"> </w:t>
            </w:r>
            <w:r>
              <w:rPr>
                <w:color w:val="231F20"/>
              </w:rPr>
              <w:br/>
              <w:t>George L. Sing</w:t>
              <w:br/>
              <w:t>Huda Y. Zoghbi, M.D.</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0" w:right="0" w:hanging="0"/>
              <w:jc w:val="left"/>
              <w:rPr>
                <w:b/>
                <w:color w:val="3B5AA4"/>
              </w:rPr>
            </w:pPr>
            <w:r>
              <w:rPr>
                <w:b/>
                <w:color w:val="3B5AA4"/>
              </w:rPr>
              <w:t>Number of Meetings Held in 2024</w:t>
            </w:r>
          </w:p>
          <w:p>
            <w:pPr>
              <w:pStyle w:val="TableContents"/>
              <w:bidi w:val="0"/>
              <w:spacing w:before="0" w:after="0"/>
              <w:ind w:left="0" w:right="0" w:hanging="0"/>
              <w:jc w:val="left"/>
              <w:rPr>
                <w:color w:val="3B5AA4"/>
              </w:rPr>
            </w:pPr>
            <w:r>
              <w:rPr>
                <w:color w:val="3B5AA4"/>
              </w:rPr>
              <w:t> </w:t>
            </w:r>
          </w:p>
          <w:p>
            <w:pPr>
              <w:pStyle w:val="TableContents"/>
              <w:bidi w:val="0"/>
              <w:spacing w:before="0" w:after="0"/>
              <w:ind w:left="0" w:right="0" w:hanging="0"/>
              <w:jc w:val="left"/>
              <w:rPr>
                <w:color w:val="231F20"/>
              </w:rPr>
            </w:pPr>
            <w:r>
              <w:rPr>
                <w:color w:val="231F20"/>
              </w:rPr>
              <w:t>10</w:t>
            </w:r>
          </w:p>
          <w:p>
            <w:pPr>
              <w:pStyle w:val="TableContents"/>
              <w:bidi w:val="0"/>
              <w:spacing w:before="0" w:after="0"/>
              <w:ind w:left="0" w:right="0" w:hanging="0"/>
              <w:jc w:val="left"/>
              <w:rPr>
                <w:color w:val="231F20"/>
              </w:rPr>
            </w:pPr>
            <w:r>
              <w:rPr>
                <w:color w:val="231F20"/>
              </w:rPr>
              <w:t> </w:t>
            </w:r>
          </w:p>
        </w:tc>
        <w:tc>
          <w:tcPr>
            <w:tcW w:w="60" w:type="dxa"/>
            <w:tcBorders>
              <w:bottom w:val="single" w:sz="12" w:space="0" w:color="3B5AA4"/>
            </w:tcBorders>
            <w:tcMar>
              <w:bottom w:w="28" w:type="dxa"/>
            </w:tcMar>
            <w:vAlign w:val="center"/>
          </w:tcPr>
          <w:p>
            <w:pPr>
              <w:pStyle w:val="TableContents"/>
              <w:bidi w:val="0"/>
              <w:spacing w:before="0" w:after="283"/>
              <w:jc w:val="left"/>
              <w:rPr/>
            </w:pPr>
            <w:r>
              <w:rPr/>
              <w:t> </w:t>
            </w:r>
          </w:p>
        </w:tc>
        <w:tc>
          <w:tcPr>
            <w:tcW w:w="8201" w:type="dxa"/>
            <w:tcBorders>
              <w:bottom w:val="single" w:sz="12" w:space="0" w:color="3B5AA4"/>
            </w:tcBorders>
            <w:tcMar>
              <w:bottom w:w="28" w:type="dxa"/>
            </w:tcMar>
            <w:vAlign w:val="center"/>
          </w:tcPr>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Evaluate the performance of the Chief Executive Officer, the Chief Scientific</w:t>
            </w:r>
            <w:r>
              <w:rPr/>
              <w:t xml:space="preserve"> </w:t>
            </w:r>
            <w:r>
              <w:rPr>
                <w:color w:val="231F20"/>
              </w:rPr>
              <w:t>Officer, and other executive officers of the Company</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Recommend compensation for the Chief Executive Officer and the Chief Scientific</w:t>
            </w:r>
            <w:r>
              <w:rPr/>
              <w:t xml:space="preserve"> </w:t>
            </w:r>
            <w:r>
              <w:rPr>
                <w:color w:val="231F20"/>
              </w:rPr>
              <w:t>Officer for approval by the non-employee members of the board of directors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Approve compensation for other executive officers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Approve the total compensation budget for all Company employees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Oversee the Company’s compensation and benefit philosophy and programs generally</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Oversee the Company’s strategies and policies related to human capital</w:t>
            </w:r>
            <w:r>
              <w:rPr/>
              <w:t xml:space="preserve"> </w:t>
            </w:r>
            <w:r>
              <w:rPr>
                <w:color w:val="231F20"/>
              </w:rPr>
              <w:t>management, including with respect to workplace environment and culture; talent</w:t>
            </w:r>
            <w:r>
              <w:rPr/>
              <w:t xml:space="preserve"> </w:t>
            </w:r>
            <w:r>
              <w:rPr>
                <w:color w:val="231F20"/>
              </w:rPr>
              <w:t>recruitment, development, and retention; and employee engagement*</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Review and approve annually the corporate goals and objectives applicable to the</w:t>
            </w:r>
            <w:r>
              <w:rPr/>
              <w:t xml:space="preserve"> </w:t>
            </w:r>
            <w:r>
              <w:rPr>
                <w:color w:val="231F20"/>
              </w:rPr>
              <w:t>compensation of the Chief Executive Officer and the goals and objectives of the</w:t>
            </w:r>
            <w:r>
              <w:rPr/>
              <w:t xml:space="preserve"> </w:t>
            </w:r>
            <w:r>
              <w:rPr>
                <w:color w:val="231F20"/>
              </w:rPr>
              <w:t>Company’s executive compensation programs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Review and approve the Compensation Discussion and Analysis to be included in</w:t>
            </w:r>
            <w:r>
              <w:rPr/>
              <w:t xml:space="preserve"> </w:t>
            </w:r>
            <w:r>
              <w:rPr>
                <w:color w:val="231F20"/>
              </w:rPr>
              <w:t>the Company’s proxy statement</w:t>
            </w:r>
          </w:p>
          <w:p>
            <w:pPr>
              <w:pStyle w:val="TableContents"/>
              <w:bidi w:val="0"/>
              <w:spacing w:before="0" w:after="0"/>
              <w:ind w:left="0" w:right="0" w:hanging="0"/>
              <w:jc w:val="left"/>
              <w:rPr>
                <w:color w:val="3B5AA4"/>
              </w:rPr>
            </w:pPr>
            <w:r>
              <w:rPr>
                <w:color w:val="3B5AA4"/>
              </w:rPr>
              <w:t>•</w:t>
            </w:r>
          </w:p>
          <w:p>
            <w:pPr>
              <w:pStyle w:val="TableContents"/>
              <w:bidi w:val="0"/>
              <w:spacing w:before="0" w:after="180"/>
              <w:ind w:left="200" w:right="0" w:hanging="0"/>
              <w:jc w:val="left"/>
              <w:rPr/>
            </w:pPr>
            <w:r>
              <w:rPr>
                <w:color w:val="231F20"/>
              </w:rPr>
              <w:t>Prepare an annual report of the Compensation Committee for inclusion in the</w:t>
            </w:r>
            <w:r>
              <w:rPr/>
              <w:t xml:space="preserve"> </w:t>
            </w:r>
            <w:r>
              <w:rPr>
                <w:color w:val="231F20"/>
              </w:rPr>
              <w:t>Company’s proxy statement</w:t>
            </w:r>
          </w:p>
          <w:p>
            <w:pPr>
              <w:pStyle w:val="TableContents"/>
              <w:bidi w:val="0"/>
              <w:spacing w:before="0" w:after="0"/>
              <w:ind w:left="0" w:right="0" w:hanging="0"/>
              <w:jc w:val="left"/>
              <w:rPr>
                <w:b/>
                <w:color w:val="3B5AA4"/>
              </w:rPr>
            </w:pPr>
            <w:r>
              <w:rPr>
                <w:b/>
                <w:color w:val="3B5AA4"/>
              </w:rPr>
              <w:t>Recent Focus Areas</w:t>
            </w:r>
          </w:p>
          <w:p>
            <w:pPr>
              <w:pStyle w:val="TableContents"/>
              <w:bidi w:val="0"/>
              <w:spacing w:before="0" w:after="0"/>
              <w:ind w:left="0" w:right="0" w:hanging="0"/>
              <w:jc w:val="left"/>
              <w:rPr>
                <w:color w:val="3B5AA4"/>
              </w:rPr>
            </w:pPr>
            <w:r>
              <w:rPr>
                <w:color w:val="3B5AA4"/>
              </w:rPr>
              <w:t> </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Equity compensation program expectations of shareholders and other</w:t>
            </w:r>
            <w:r>
              <w:rPr/>
              <w:t xml:space="preserve"> </w:t>
            </w:r>
            <w:r>
              <w:rPr>
                <w:color w:val="231F20"/>
              </w:rPr>
              <w:t>stakeholders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Retention of key leaders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Pay mix considerations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Senior officer perquisites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86"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9" descr=""/>
                          <pic:cNvPicPr>
                            <a:picLocks noChangeAspect="1" noChangeArrowheads="1"/>
                          </pic:cNvPicPr>
                        </pic:nvPicPr>
                        <pic:blipFill>
                          <a:blip r:embed="rId18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7430" w:type="dxa"/>
        <w:jc w:val="left"/>
        <w:tblInd w:w="0" w:type="dxa"/>
        <w:tblLayout w:type="fixed"/>
        <w:tblCellMar>
          <w:top w:w="0" w:type="dxa"/>
          <w:left w:w="0" w:type="dxa"/>
          <w:bottom w:w="0" w:type="dxa"/>
          <w:right w:w="0" w:type="dxa"/>
        </w:tblCellMar>
      </w:tblPr>
      <w:tblGrid>
        <w:gridCol w:w="7355"/>
        <w:gridCol w:w="75"/>
      </w:tblGrid>
      <w:tr>
        <w:trPr/>
        <w:tc>
          <w:tcPr>
            <w:tcW w:w="7355" w:type="dxa"/>
            <w:vMerge w:val="restart"/>
            <w:tcBorders/>
            <w:vAlign w:val="center"/>
          </w:tcPr>
          <w:p>
            <w:pPr>
              <w:pStyle w:val="Heading3"/>
              <w:bidi w:val="0"/>
              <w:spacing w:before="140" w:after="120"/>
              <w:jc w:val="left"/>
              <w:rPr>
                <w:b/>
                <w:color w:val="3B5AA4"/>
                <w:sz w:val="32"/>
              </w:rPr>
            </w:pPr>
            <w:r>
              <w:rPr>
                <w:b/>
                <w:color w:val="3B5AA4"/>
                <w:sz w:val="32"/>
              </w:rPr>
              <w:t>CORPORATE GOVERNANCE AND COMPLIANCE</w:t>
            </w:r>
          </w:p>
        </w:tc>
        <w:tc>
          <w:tcPr>
            <w:tcW w:w="75" w:type="dxa"/>
            <w:tcBorders>
              <w:bottom w:val="single" w:sz="12" w:space="0" w:color="3B5AA4"/>
            </w:tcBorders>
            <w:tcMar>
              <w:bottom w:w="28" w:type="dxa"/>
            </w:tcMar>
            <w:vAlign w:val="center"/>
          </w:tcPr>
          <w:p>
            <w:pPr>
              <w:pStyle w:val="TableContents"/>
              <w:bidi w:val="0"/>
              <w:spacing w:before="0" w:after="283"/>
              <w:jc w:val="left"/>
              <w:rPr/>
            </w:pPr>
            <w:r>
              <w:rPr/>
              <w:t> </w:t>
            </w:r>
          </w:p>
        </w:tc>
      </w:tr>
      <w:tr>
        <w:trPr/>
        <w:tc>
          <w:tcPr>
            <w:tcW w:w="7355" w:type="dxa"/>
            <w:vMerge w:val="continue"/>
            <w:tcBorders/>
            <w:vAlign w:val="center"/>
          </w:tcPr>
          <w:p>
            <w:pPr>
              <w:pStyle w:val="Normal"/>
              <w:bidi w:val="0"/>
              <w:jc w:val="left"/>
              <w:rPr/>
            </w:pPr>
            <w:r>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2206"/>
        <w:gridCol w:w="60"/>
        <w:gridCol w:w="7939"/>
      </w:tblGrid>
      <w:tr>
        <w:trPr/>
        <w:tc>
          <w:tcPr>
            <w:tcW w:w="2206" w:type="dxa"/>
            <w:tcBorders/>
            <w:vAlign w:val="center"/>
          </w:tcPr>
          <w:p>
            <w:pPr>
              <w:pStyle w:val="TableContents"/>
              <w:bidi w:val="0"/>
              <w:spacing w:before="0" w:after="283"/>
              <w:jc w:val="left"/>
              <w:rPr>
                <w:b/>
                <w:color w:val="3B5AA4"/>
              </w:rPr>
            </w:pPr>
            <w:r>
              <w:rPr>
                <w:b/>
                <w:color w:val="3B5AA4"/>
              </w:rPr>
              <w:t>Members</w:t>
            </w:r>
          </w:p>
        </w:tc>
        <w:tc>
          <w:tcPr>
            <w:tcW w:w="60" w:type="dxa"/>
            <w:tcBorders/>
            <w:vAlign w:val="center"/>
          </w:tcPr>
          <w:p>
            <w:pPr>
              <w:pStyle w:val="TableContents"/>
              <w:bidi w:val="0"/>
              <w:spacing w:before="0" w:after="283"/>
              <w:jc w:val="left"/>
              <w:rPr/>
            </w:pPr>
            <w:r>
              <w:rPr/>
              <w:t> </w:t>
            </w:r>
          </w:p>
        </w:tc>
        <w:tc>
          <w:tcPr>
            <w:tcW w:w="7939" w:type="dxa"/>
            <w:tcBorders/>
            <w:vAlign w:val="center"/>
          </w:tcPr>
          <w:p>
            <w:pPr>
              <w:pStyle w:val="TableContents"/>
              <w:bidi w:val="0"/>
              <w:spacing w:before="0" w:after="283"/>
              <w:jc w:val="left"/>
              <w:rPr>
                <w:b/>
                <w:color w:val="3B5AA4"/>
              </w:rPr>
            </w:pPr>
            <w:r>
              <w:rPr>
                <w:b/>
                <w:color w:val="3B5AA4"/>
              </w:rPr>
              <w:t>Key Functions of the Committee</w:t>
            </w:r>
          </w:p>
        </w:tc>
      </w:tr>
      <w:tr>
        <w:trPr/>
        <w:tc>
          <w:tcPr>
            <w:tcW w:w="22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9" w:type="dxa"/>
            <w:tcBorders/>
            <w:vAlign w:val="center"/>
          </w:tcPr>
          <w:p>
            <w:pPr>
              <w:pStyle w:val="TableContents"/>
              <w:bidi w:val="0"/>
              <w:spacing w:before="0" w:after="283"/>
              <w:jc w:val="left"/>
              <w:rPr/>
            </w:pPr>
            <w:r>
              <w:rPr/>
              <w:t> </w:t>
            </w:r>
          </w:p>
        </w:tc>
      </w:tr>
      <w:tr>
        <w:trPr/>
        <w:tc>
          <w:tcPr>
            <w:tcW w:w="2206" w:type="dxa"/>
            <w:tcBorders>
              <w:bottom w:val="single" w:sz="12" w:space="0" w:color="3B5AA4"/>
            </w:tcBorders>
            <w:tcMar>
              <w:bottom w:w="28" w:type="dxa"/>
            </w:tcMar>
            <w:vAlign w:val="center"/>
          </w:tcPr>
          <w:p>
            <w:pPr>
              <w:pStyle w:val="TableContents"/>
              <w:bidi w:val="0"/>
              <w:spacing w:before="0" w:after="0"/>
              <w:ind w:left="0" w:right="0" w:hanging="0"/>
              <w:jc w:val="left"/>
              <w:rPr>
                <w:color w:val="231F20"/>
              </w:rPr>
            </w:pPr>
            <w:r>
              <w:rPr>
                <w:color w:val="231F20"/>
              </w:rPr>
              <w:t xml:space="preserve">Arthur F. Ryan, </w:t>
            </w:r>
            <w:r>
              <w:rPr>
                <w:i/>
                <w:color w:val="231F20"/>
              </w:rPr>
              <w:t xml:space="preserve">Chair </w:t>
            </w:r>
            <w:r>
              <w:rPr>
                <w:color w:val="231F20"/>
              </w:rPr>
              <w:br/>
              <w:t>Bonnie L. Bassler, Ph.D.</w:t>
            </w:r>
          </w:p>
          <w:p>
            <w:pPr>
              <w:pStyle w:val="TableContents"/>
              <w:bidi w:val="0"/>
              <w:spacing w:before="0" w:after="0"/>
              <w:ind w:left="0" w:right="0" w:hanging="0"/>
              <w:jc w:val="left"/>
              <w:rPr>
                <w:color w:val="231F20"/>
              </w:rPr>
            </w:pPr>
            <w:r>
              <w:rPr>
                <w:color w:val="231F20"/>
              </w:rPr>
              <w:t>Michael S. Brown, M.D.</w:t>
              <w:br/>
              <w:t>Joseph L. Goldstein, M.D.</w:t>
              <w:br/>
              <w:t>Christine A. Poon</w:t>
            </w:r>
          </w:p>
          <w:p>
            <w:pPr>
              <w:pStyle w:val="TableContents"/>
              <w:bidi w:val="0"/>
              <w:spacing w:before="0" w:after="0"/>
              <w:ind w:left="0" w:right="0" w:hanging="0"/>
              <w:jc w:val="left"/>
              <w:rPr/>
            </w:pPr>
            <w:r>
              <w:rPr/>
              <w:t> </w:t>
            </w:r>
          </w:p>
          <w:p>
            <w:pPr>
              <w:pStyle w:val="TableContents"/>
              <w:bidi w:val="0"/>
              <w:spacing w:before="0" w:after="0"/>
              <w:ind w:left="0" w:right="0" w:hanging="0"/>
              <w:jc w:val="left"/>
              <w:rPr>
                <w:b/>
                <w:color w:val="3B5AA4"/>
              </w:rPr>
            </w:pPr>
            <w:r>
              <w:rPr>
                <w:b/>
                <w:color w:val="3B5AA4"/>
              </w:rPr>
              <w:t>Number of Meetings Held in 2024</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0" w:right="0" w:hanging="0"/>
              <w:jc w:val="left"/>
              <w:rPr>
                <w:color w:val="231F20"/>
              </w:rPr>
            </w:pPr>
            <w:r>
              <w:rPr>
                <w:color w:val="231F20"/>
              </w:rPr>
              <w:t>5</w:t>
            </w:r>
          </w:p>
          <w:p>
            <w:pPr>
              <w:pStyle w:val="TableContents"/>
              <w:bidi w:val="0"/>
              <w:spacing w:before="0" w:after="0"/>
              <w:ind w:left="0" w:right="0" w:hanging="0"/>
              <w:jc w:val="left"/>
              <w:rPr>
                <w:color w:val="231F20"/>
              </w:rPr>
            </w:pPr>
            <w:r>
              <w:rPr>
                <w:color w:val="231F20"/>
              </w:rPr>
              <w:t> </w:t>
            </w:r>
          </w:p>
        </w:tc>
        <w:tc>
          <w:tcPr>
            <w:tcW w:w="60" w:type="dxa"/>
            <w:tcBorders>
              <w:bottom w:val="single" w:sz="12" w:space="0" w:color="3B5AA4"/>
            </w:tcBorders>
            <w:tcMar>
              <w:bottom w:w="28" w:type="dxa"/>
            </w:tcMar>
            <w:vAlign w:val="center"/>
          </w:tcPr>
          <w:p>
            <w:pPr>
              <w:pStyle w:val="TableContents"/>
              <w:bidi w:val="0"/>
              <w:spacing w:before="0" w:after="283"/>
              <w:jc w:val="left"/>
              <w:rPr/>
            </w:pPr>
            <w:r>
              <w:rPr/>
              <w:t> </w:t>
            </w:r>
          </w:p>
        </w:tc>
        <w:tc>
          <w:tcPr>
            <w:tcW w:w="7939" w:type="dxa"/>
            <w:tcBorders>
              <w:bottom w:val="single" w:sz="12" w:space="0" w:color="3B5AA4"/>
            </w:tcBorders>
            <w:tcMar>
              <w:bottom w:w="28" w:type="dxa"/>
            </w:tcMar>
            <w:vAlign w:val="center"/>
          </w:tcPr>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Identify qualified individuals to become members of the board and recommend</w:t>
            </w:r>
            <w:r>
              <w:rPr/>
              <w:t xml:space="preserve"> </w:t>
            </w:r>
            <w:r>
              <w:rPr>
                <w:color w:val="231F20"/>
              </w:rPr>
              <w:t>such candidates to the board</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Assess the functioning of the board and its committees and make</w:t>
            </w:r>
            <w:r>
              <w:rPr/>
              <w:t xml:space="preserve"> </w:t>
            </w:r>
            <w:r>
              <w:rPr>
                <w:color w:val="231F20"/>
              </w:rPr>
              <w:t>recommendations to the board concerning the appropriate size, function, and</w:t>
            </w:r>
            <w:r>
              <w:rPr/>
              <w:t xml:space="preserve"> </w:t>
            </w:r>
            <w:r>
              <w:rPr>
                <w:color w:val="231F20"/>
              </w:rPr>
              <w:t>needs of the board</w:t>
            </w:r>
            <w:r>
              <w:rPr/>
              <w:t xml:space="preserve"> </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Review, and make recommendations to the board regarding, non-employee</w:t>
            </w:r>
            <w:r>
              <w:rPr/>
              <w:t xml:space="preserve"> </w:t>
            </w:r>
            <w:r>
              <w:rPr>
                <w:color w:val="231F20"/>
              </w:rPr>
              <w:t>director compensation</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Oversee, periodically review, and make recommendations to the board regarding</w:t>
            </w:r>
            <w:r>
              <w:rPr/>
              <w:t xml:space="preserve"> </w:t>
            </w:r>
            <w:r>
              <w:rPr>
                <w:color w:val="231F20"/>
              </w:rPr>
              <w:t>corporate governance matters and practices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Oversee all aspects of the Company’s comprehensive compliance program other</w:t>
            </w:r>
            <w:r>
              <w:rPr/>
              <w:t xml:space="preserve"> </w:t>
            </w:r>
            <w:r>
              <w:rPr>
                <w:color w:val="231F20"/>
              </w:rPr>
              <w:t>than financial compliance</w:t>
            </w:r>
          </w:p>
          <w:p>
            <w:pPr>
              <w:pStyle w:val="TableContents"/>
              <w:bidi w:val="0"/>
              <w:spacing w:before="0" w:after="0"/>
              <w:ind w:left="0" w:right="0" w:hanging="0"/>
              <w:jc w:val="left"/>
              <w:rPr>
                <w:color w:val="3B5AA4"/>
              </w:rPr>
            </w:pPr>
            <w:r>
              <w:rPr>
                <w:color w:val="3B5AA4"/>
              </w:rPr>
              <w:t>•</w:t>
            </w:r>
          </w:p>
          <w:p>
            <w:pPr>
              <w:pStyle w:val="TableContents"/>
              <w:bidi w:val="0"/>
              <w:spacing w:before="0" w:after="180"/>
              <w:ind w:left="200" w:right="0" w:hanging="0"/>
              <w:jc w:val="left"/>
              <w:rPr/>
            </w:pPr>
            <w:r>
              <w:rPr>
                <w:color w:val="231F20"/>
              </w:rPr>
              <w:t>Oversee and periodically review the Company’s corporate responsibility matters</w:t>
            </w:r>
            <w:r>
              <w:rPr/>
              <w:t xml:space="preserve"> </w:t>
            </w:r>
            <w:r>
              <w:rPr>
                <w:color w:val="231F20"/>
              </w:rPr>
              <w:t>and key initiatives*</w:t>
            </w:r>
          </w:p>
          <w:p>
            <w:pPr>
              <w:pStyle w:val="TableContents"/>
              <w:bidi w:val="0"/>
              <w:spacing w:before="0" w:after="0"/>
              <w:ind w:left="0" w:right="0" w:hanging="0"/>
              <w:jc w:val="left"/>
              <w:rPr>
                <w:b/>
                <w:color w:val="3B5AA4"/>
              </w:rPr>
            </w:pPr>
            <w:r>
              <w:rPr>
                <w:b/>
                <w:color w:val="3B5AA4"/>
              </w:rPr>
              <w:t>Recent Focus Areas</w:t>
            </w:r>
          </w:p>
          <w:p>
            <w:pPr>
              <w:pStyle w:val="TableContents"/>
              <w:bidi w:val="0"/>
              <w:spacing w:before="0" w:after="0"/>
              <w:ind w:left="0" w:right="0" w:hanging="0"/>
              <w:jc w:val="left"/>
              <w:rPr/>
            </w:pPr>
            <w:r>
              <w:rPr/>
              <w:t> </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Corporate governance expectations of shareholders and other stakeholders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Establishing new compliance oversight framework encompassing all relevant</w:t>
            </w:r>
            <w:r>
              <w:rPr/>
              <w:t xml:space="preserve"> </w:t>
            </w:r>
            <w:r>
              <w:rPr>
                <w:color w:val="231F20"/>
              </w:rPr>
              <w:t>compliance categories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color w:val="231F20"/>
              </w:rPr>
            </w:pPr>
            <w:r>
              <w:rPr>
                <w:color w:val="231F20"/>
              </w:rPr>
              <w:t>Corporate responsibility matters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2375" w:type="dxa"/>
        <w:jc w:val="left"/>
        <w:tblInd w:w="0" w:type="dxa"/>
        <w:tblLayout w:type="fixed"/>
        <w:tblCellMar>
          <w:top w:w="0" w:type="dxa"/>
          <w:left w:w="0" w:type="dxa"/>
          <w:bottom w:w="0" w:type="dxa"/>
          <w:right w:w="0" w:type="dxa"/>
        </w:tblCellMar>
      </w:tblPr>
      <w:tblGrid>
        <w:gridCol w:w="2300"/>
        <w:gridCol w:w="75"/>
      </w:tblGrid>
      <w:tr>
        <w:trPr/>
        <w:tc>
          <w:tcPr>
            <w:tcW w:w="2300" w:type="dxa"/>
            <w:vMerge w:val="restart"/>
            <w:tcBorders/>
            <w:vAlign w:val="center"/>
          </w:tcPr>
          <w:p>
            <w:pPr>
              <w:pStyle w:val="Heading3"/>
              <w:bidi w:val="0"/>
              <w:spacing w:before="140" w:after="120"/>
              <w:jc w:val="left"/>
              <w:rPr>
                <w:b/>
                <w:color w:val="3B5AA4"/>
                <w:sz w:val="32"/>
              </w:rPr>
            </w:pPr>
            <w:r>
              <w:rPr>
                <w:b/>
                <w:color w:val="3B5AA4"/>
                <w:sz w:val="32"/>
              </w:rPr>
              <w:t>TECHNOLOGY</w:t>
            </w:r>
          </w:p>
        </w:tc>
        <w:tc>
          <w:tcPr>
            <w:tcW w:w="75" w:type="dxa"/>
            <w:tcBorders>
              <w:bottom w:val="single" w:sz="12" w:space="0" w:color="3B5AA4"/>
            </w:tcBorders>
            <w:tcMar>
              <w:bottom w:w="28" w:type="dxa"/>
            </w:tcMar>
            <w:vAlign w:val="center"/>
          </w:tcPr>
          <w:p>
            <w:pPr>
              <w:pStyle w:val="TableContents"/>
              <w:bidi w:val="0"/>
              <w:spacing w:before="0" w:after="283"/>
              <w:jc w:val="left"/>
              <w:rPr/>
            </w:pPr>
            <w:r>
              <w:rPr/>
              <w:t> </w:t>
            </w:r>
          </w:p>
        </w:tc>
      </w:tr>
      <w:tr>
        <w:trPr/>
        <w:tc>
          <w:tcPr>
            <w:tcW w:w="2300" w:type="dxa"/>
            <w:vMerge w:val="continue"/>
            <w:tcBorders/>
            <w:vAlign w:val="center"/>
          </w:tcPr>
          <w:p>
            <w:pPr>
              <w:pStyle w:val="Normal"/>
              <w:bidi w:val="0"/>
              <w:jc w:val="left"/>
              <w:rPr/>
            </w:pPr>
            <w:r>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2381"/>
        <w:gridCol w:w="60"/>
        <w:gridCol w:w="7764"/>
      </w:tblGrid>
      <w:tr>
        <w:trPr/>
        <w:tc>
          <w:tcPr>
            <w:tcW w:w="2381" w:type="dxa"/>
            <w:tcBorders/>
            <w:vAlign w:val="center"/>
          </w:tcPr>
          <w:p>
            <w:pPr>
              <w:pStyle w:val="TableContents"/>
              <w:bidi w:val="0"/>
              <w:spacing w:before="0" w:after="283"/>
              <w:jc w:val="left"/>
              <w:rPr>
                <w:b/>
                <w:color w:val="3B5AA4"/>
              </w:rPr>
            </w:pPr>
            <w:r>
              <w:rPr>
                <w:b/>
                <w:color w:val="3B5AA4"/>
              </w:rPr>
              <w:t>Members</w:t>
            </w:r>
          </w:p>
        </w:tc>
        <w:tc>
          <w:tcPr>
            <w:tcW w:w="60"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b/>
                <w:color w:val="3B5AA4"/>
              </w:rPr>
            </w:pPr>
            <w:r>
              <w:rPr>
                <w:b/>
                <w:color w:val="3B5AA4"/>
              </w:rPr>
              <w:t>Key Functions of the Committee</w:t>
            </w:r>
          </w:p>
        </w:tc>
      </w:tr>
      <w:tr>
        <w:trPr/>
        <w:tc>
          <w:tcPr>
            <w:tcW w:w="23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r>
      <w:tr>
        <w:trPr/>
        <w:tc>
          <w:tcPr>
            <w:tcW w:w="2381" w:type="dxa"/>
            <w:tcBorders>
              <w:bottom w:val="single" w:sz="12" w:space="0" w:color="3B5AA4"/>
            </w:tcBorders>
            <w:tcMar>
              <w:bottom w:w="28" w:type="dxa"/>
            </w:tcMar>
            <w:vAlign w:val="center"/>
          </w:tcPr>
          <w:p>
            <w:pPr>
              <w:pStyle w:val="TableContents"/>
              <w:bidi w:val="0"/>
              <w:spacing w:before="0" w:after="0"/>
              <w:ind w:left="0" w:right="0" w:hanging="0"/>
              <w:jc w:val="left"/>
              <w:rPr/>
            </w:pPr>
            <w:r>
              <w:rPr>
                <w:color w:val="231F20"/>
              </w:rPr>
              <w:t xml:space="preserve">Michael S. Brown, M.D., </w:t>
            </w:r>
            <w:r>
              <w:rPr>
                <w:i/>
                <w:color w:val="231F20"/>
              </w:rPr>
              <w:t>Chair</w:t>
              <w:br/>
            </w:r>
            <w:r>
              <w:rPr>
                <w:color w:val="231F20"/>
              </w:rPr>
              <w:t>Bonnie L. Bassler, Ph.D.</w:t>
              <w:br/>
              <w:t>Joseph L. Goldstein, M.D.</w:t>
            </w:r>
            <w:r>
              <w:rPr/>
              <w:t xml:space="preserve"> </w:t>
            </w:r>
            <w:r>
              <w:rPr>
                <w:color w:val="231F20"/>
              </w:rPr>
              <w:br/>
              <w:t>David P. Schenkein, M.D.</w:t>
              <w:br/>
              <w:t>Craig B. Thompson, M.D.</w:t>
              <w:br/>
              <w:t>Huda Y. Zoghbi, M.D.</w:t>
              <w:br/>
              <w:t>Leonard S. Schleifer, M.D., Ph.D.**</w:t>
              <w:br/>
              <w:t>George D. Yancopoulos, M.D.,</w:t>
            </w:r>
            <w:r>
              <w:rPr/>
              <w:t xml:space="preserve"> </w:t>
            </w:r>
            <w:r>
              <w:rPr>
                <w:color w:val="231F20"/>
              </w:rPr>
              <w:t>Ph.D.**</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0" w:right="0" w:hanging="0"/>
              <w:jc w:val="left"/>
              <w:rPr>
                <w:b/>
                <w:color w:val="3B5AA4"/>
              </w:rPr>
            </w:pPr>
            <w:r>
              <w:rPr>
                <w:b/>
                <w:color w:val="3B5AA4"/>
              </w:rPr>
              <w:t>Number of Meetings Held in 2024</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0" w:right="0" w:hanging="0"/>
              <w:jc w:val="left"/>
              <w:rPr>
                <w:color w:val="231F20"/>
              </w:rPr>
            </w:pPr>
            <w:r>
              <w:rPr>
                <w:color w:val="231F20"/>
              </w:rPr>
              <w:t>2</w:t>
            </w:r>
          </w:p>
          <w:p>
            <w:pPr>
              <w:pStyle w:val="TableContents"/>
              <w:bidi w:val="0"/>
              <w:spacing w:before="0" w:after="0"/>
              <w:ind w:left="0" w:right="0" w:hanging="0"/>
              <w:jc w:val="left"/>
              <w:rPr>
                <w:color w:val="231F20"/>
              </w:rPr>
            </w:pPr>
            <w:r>
              <w:rPr>
                <w:color w:val="231F20"/>
              </w:rPr>
              <w:t> </w:t>
            </w:r>
          </w:p>
        </w:tc>
        <w:tc>
          <w:tcPr>
            <w:tcW w:w="60" w:type="dxa"/>
            <w:tcBorders>
              <w:bottom w:val="single" w:sz="12" w:space="0" w:color="3B5AA4"/>
            </w:tcBorders>
            <w:tcMar>
              <w:bottom w:w="28" w:type="dxa"/>
            </w:tcMar>
            <w:vAlign w:val="center"/>
          </w:tcPr>
          <w:p>
            <w:pPr>
              <w:pStyle w:val="TableContents"/>
              <w:bidi w:val="0"/>
              <w:spacing w:before="0" w:after="283"/>
              <w:jc w:val="left"/>
              <w:rPr/>
            </w:pPr>
            <w:r>
              <w:rPr/>
              <w:t> </w:t>
            </w:r>
          </w:p>
        </w:tc>
        <w:tc>
          <w:tcPr>
            <w:tcW w:w="7764" w:type="dxa"/>
            <w:tcBorders>
              <w:bottom w:val="single" w:sz="12" w:space="0" w:color="3B5AA4"/>
            </w:tcBorders>
            <w:tcMar>
              <w:bottom w:w="28" w:type="dxa"/>
            </w:tcMar>
            <w:vAlign w:val="center"/>
          </w:tcPr>
          <w:p>
            <w:pPr>
              <w:pStyle w:val="TableContents"/>
              <w:bidi w:val="0"/>
              <w:spacing w:before="0" w:after="0"/>
              <w:ind w:left="0" w:right="0" w:hanging="0"/>
              <w:jc w:val="left"/>
              <w:rPr>
                <w:color w:val="3B5AA4"/>
              </w:rPr>
            </w:pPr>
            <w:r>
              <w:rPr>
                <w:color w:val="3B5AA4"/>
              </w:rPr>
              <w:t xml:space="preserve">• </w:t>
            </w:r>
          </w:p>
          <w:p>
            <w:pPr>
              <w:pStyle w:val="TableContents"/>
              <w:bidi w:val="0"/>
              <w:spacing w:before="0" w:after="100"/>
              <w:ind w:left="200" w:right="0" w:hanging="0"/>
              <w:jc w:val="left"/>
              <w:rPr/>
            </w:pPr>
            <w:r>
              <w:rPr>
                <w:color w:val="231F20"/>
              </w:rPr>
              <w:t>Oversee, review, and evaluate the Company’s research and clinical development</w:t>
            </w:r>
            <w:r>
              <w:rPr/>
              <w:t xml:space="preserve"> </w:t>
            </w:r>
            <w:r>
              <w:rPr>
                <w:color w:val="231F20"/>
              </w:rPr>
              <w:t>programs, plans, and policies</w:t>
            </w:r>
          </w:p>
          <w:p>
            <w:pPr>
              <w:pStyle w:val="TableContents"/>
              <w:bidi w:val="0"/>
              <w:spacing w:before="0" w:after="0"/>
              <w:ind w:left="0" w:right="0" w:hanging="0"/>
              <w:jc w:val="left"/>
              <w:rPr>
                <w:color w:val="3B5AA4"/>
              </w:rPr>
            </w:pPr>
            <w:r>
              <w:rPr>
                <w:color w:val="3B5AA4"/>
              </w:rPr>
              <w:t xml:space="preserve">• </w:t>
            </w:r>
          </w:p>
          <w:p>
            <w:pPr>
              <w:pStyle w:val="TableContents"/>
              <w:bidi w:val="0"/>
              <w:spacing w:before="0" w:after="100"/>
              <w:ind w:left="200" w:right="0" w:hanging="0"/>
              <w:jc w:val="left"/>
              <w:rPr/>
            </w:pPr>
            <w:r>
              <w:rPr>
                <w:color w:val="231F20"/>
              </w:rPr>
              <w:t>Identify and discuss emerging scientific and technology issues and trends,</w:t>
            </w:r>
            <w:r>
              <w:rPr/>
              <w:t xml:space="preserve"> </w:t>
            </w:r>
            <w:r>
              <w:rPr>
                <w:color w:val="231F20"/>
              </w:rPr>
              <w:t>including their impact on Regeneron’s research and development programs,</w:t>
            </w:r>
            <w:r>
              <w:rPr/>
              <w:t xml:space="preserve"> </w:t>
            </w:r>
            <w:r>
              <w:rPr>
                <w:color w:val="231F20"/>
              </w:rPr>
              <w:t>plans, or policies</w:t>
            </w:r>
          </w:p>
          <w:p>
            <w:pPr>
              <w:pStyle w:val="TableContents"/>
              <w:bidi w:val="0"/>
              <w:spacing w:before="0" w:after="0"/>
              <w:ind w:left="0" w:right="0" w:hanging="0"/>
              <w:jc w:val="left"/>
              <w:rPr>
                <w:color w:val="3B5AA4"/>
              </w:rPr>
            </w:pPr>
            <w:r>
              <w:rPr>
                <w:color w:val="3B5AA4"/>
              </w:rPr>
              <w:t>•</w:t>
            </w:r>
          </w:p>
          <w:p>
            <w:pPr>
              <w:pStyle w:val="TableContents"/>
              <w:bidi w:val="0"/>
              <w:spacing w:before="0" w:after="180"/>
              <w:ind w:left="200" w:right="0" w:hanging="0"/>
              <w:jc w:val="left"/>
              <w:rPr/>
            </w:pPr>
            <w:r>
              <w:rPr>
                <w:color w:val="231F20"/>
              </w:rPr>
              <w:t>Identify and assess new leaders within research &amp; development and global</w:t>
            </w:r>
            <w:r>
              <w:rPr/>
              <w:t xml:space="preserve"> </w:t>
            </w:r>
            <w:r>
              <w:rPr>
                <w:color w:val="231F20"/>
              </w:rPr>
              <w:t>development organizations</w:t>
            </w:r>
          </w:p>
          <w:p>
            <w:pPr>
              <w:pStyle w:val="TableContents"/>
              <w:bidi w:val="0"/>
              <w:spacing w:before="0" w:after="0"/>
              <w:ind w:left="0" w:right="0" w:hanging="0"/>
              <w:jc w:val="left"/>
              <w:rPr>
                <w:b/>
                <w:color w:val="3B5AA4"/>
              </w:rPr>
            </w:pPr>
            <w:r>
              <w:rPr>
                <w:b/>
                <w:color w:val="3B5AA4"/>
              </w:rPr>
              <w:t>Recent Focus Areas</w:t>
            </w:r>
          </w:p>
          <w:p>
            <w:pPr>
              <w:pStyle w:val="TableContents"/>
              <w:bidi w:val="0"/>
              <w:spacing w:before="0" w:after="0"/>
              <w:ind w:left="0" w:right="0" w:hanging="0"/>
              <w:jc w:val="left"/>
              <w:rPr>
                <w:color w:val="3B5AA4"/>
              </w:rPr>
            </w:pPr>
            <w:r>
              <w:rPr>
                <w:color w:val="3B5AA4"/>
              </w:rPr>
              <w:t> </w:t>
            </w:r>
          </w:p>
          <w:p>
            <w:pPr>
              <w:pStyle w:val="TableContents"/>
              <w:bidi w:val="0"/>
              <w:spacing w:before="0" w:after="0"/>
              <w:ind w:left="0" w:right="0" w:hanging="0"/>
              <w:jc w:val="left"/>
              <w:rPr>
                <w:color w:val="3B5AA4"/>
              </w:rPr>
            </w:pPr>
            <w:r>
              <w:rPr>
                <w:color w:val="3B5AA4"/>
              </w:rPr>
              <w:t xml:space="preserve">• </w:t>
            </w:r>
          </w:p>
          <w:p>
            <w:pPr>
              <w:pStyle w:val="TableContents"/>
              <w:bidi w:val="0"/>
              <w:spacing w:before="0" w:after="100"/>
              <w:ind w:left="200" w:right="0" w:hanging="0"/>
              <w:jc w:val="left"/>
              <w:rPr>
                <w:color w:val="231F20"/>
              </w:rPr>
            </w:pPr>
            <w:r>
              <w:rPr>
                <w:color w:val="231F20"/>
              </w:rPr>
              <w:t>The Company’s genetic medicine technologies and programs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The Company’s immuno-oncology, immunology, inflammation, cell therapy,</w:t>
            </w:r>
            <w:r>
              <w:rPr/>
              <w:t xml:space="preserve"> </w:t>
            </w:r>
            <w:r>
              <w:rPr>
                <w:color w:val="231F20"/>
              </w:rPr>
              <w:t>coagulation/hematology, iron overload, and obesity programs</w:t>
            </w:r>
          </w:p>
          <w:p>
            <w:pPr>
              <w:pStyle w:val="TableContents"/>
              <w:bidi w:val="0"/>
              <w:spacing w:before="0" w:after="0"/>
              <w:ind w:left="0" w:right="0" w:hanging="0"/>
              <w:jc w:val="left"/>
              <w:rPr>
                <w:color w:val="3B5AA4"/>
              </w:rPr>
            </w:pPr>
            <w:r>
              <w:rPr>
                <w:color w:val="3B5AA4"/>
              </w:rPr>
              <w:t>•</w:t>
            </w:r>
          </w:p>
          <w:p>
            <w:pPr>
              <w:pStyle w:val="TableContents"/>
              <w:bidi w:val="0"/>
              <w:spacing w:before="0" w:after="100"/>
              <w:ind w:left="200" w:right="0" w:hanging="0"/>
              <w:jc w:val="left"/>
              <w:rPr/>
            </w:pPr>
            <w:r>
              <w:rPr>
                <w:color w:val="231F20"/>
              </w:rPr>
              <w:t>Recent advances and discoveries of the Regeneron Genetics Center</w:t>
            </w:r>
            <w:r>
              <w:rPr>
                <w:color w:val="010101"/>
                <w:position w:val="8"/>
                <w:sz w:val="19"/>
              </w:rPr>
              <w:t xml:space="preserve">® </w:t>
            </w:r>
            <w:r>
              <w:rPr>
                <w:color w:val="231F20"/>
              </w:rPr>
              <w:t>and the</w:t>
            </w:r>
            <w:r>
              <w:rPr/>
              <w:t xml:space="preserve"> </w:t>
            </w:r>
            <w:r>
              <w:rPr>
                <w:color w:val="231F20"/>
              </w:rPr>
              <w:t>Company’s research and preclinical development pipeline</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color w:val="010101"/>
              </w:rPr>
            </w:pPr>
            <w:r>
              <w:rPr>
                <w:color w:val="010101"/>
              </w:rPr>
              <w:t>*</w:t>
            </w:r>
          </w:p>
        </w:tc>
        <w:tc>
          <w:tcPr>
            <w:tcW w:w="9992" w:type="dxa"/>
            <w:tcBorders/>
            <w:vAlign w:val="center"/>
          </w:tcPr>
          <w:p>
            <w:pPr>
              <w:pStyle w:val="TableContents"/>
              <w:bidi w:val="0"/>
              <w:spacing w:before="0" w:after="283"/>
              <w:jc w:val="left"/>
              <w:rPr>
                <w:color w:val="231F20"/>
              </w:rPr>
            </w:pPr>
            <w:r>
              <w:rPr>
                <w:color w:val="231F20"/>
              </w:rPr>
              <w:t>The full board retains oversight of the Company’s strategies and policies related to the Company’s culture. See the subsection “Corporate Governance—Corporate Responsibility” for more information.</w:t>
            </w:r>
          </w:p>
        </w:tc>
      </w:tr>
      <w:tr>
        <w:trPr/>
        <w:tc>
          <w:tcPr>
            <w:tcW w:w="213" w:type="dxa"/>
            <w:tcBorders/>
            <w:vAlign w:val="center"/>
          </w:tcPr>
          <w:p>
            <w:pPr>
              <w:pStyle w:val="TableContents"/>
              <w:bidi w:val="0"/>
              <w:spacing w:before="0" w:after="283"/>
              <w:jc w:val="left"/>
              <w:rPr>
                <w:color w:val="010101"/>
              </w:rPr>
            </w:pPr>
            <w:r>
              <w:rPr>
                <w:color w:val="010101"/>
              </w:rPr>
              <w:t>**</w:t>
            </w:r>
          </w:p>
        </w:tc>
        <w:tc>
          <w:tcPr>
            <w:tcW w:w="9992" w:type="dxa"/>
            <w:tcBorders/>
            <w:vAlign w:val="center"/>
          </w:tcPr>
          <w:p>
            <w:pPr>
              <w:pStyle w:val="TableContents"/>
              <w:bidi w:val="0"/>
              <w:spacing w:before="0" w:after="283"/>
              <w:jc w:val="left"/>
              <w:rPr>
                <w:color w:val="231F20"/>
              </w:rPr>
            </w:pPr>
            <w:r>
              <w:rPr>
                <w:i/>
                <w:color w:val="231F20"/>
              </w:rPr>
              <w:t xml:space="preserve">Ex Officio </w:t>
            </w:r>
            <w:r>
              <w:rPr>
                <w:color w:val="231F20"/>
              </w:rPr>
              <w:t>Member.</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87"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70" descr=""/>
                          <pic:cNvPicPr>
                            <a:picLocks noChangeAspect="1" noChangeArrowheads="1"/>
                          </pic:cNvPicPr>
                        </pic:nvPicPr>
                        <pic:blipFill>
                          <a:blip r:embed="rId182"/>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i w:val="false"/>
          <w:caps w:val="false"/>
          <w:smallCaps w:val="false"/>
          <w:color w:val="C60C44"/>
          <w:sz w:val="40"/>
        </w:rPr>
      </w:pPr>
      <w:bookmarkStart w:id="21" w:name="regn013211-def14aa014"/>
      <w:bookmarkEnd w:id="21"/>
      <w:r>
        <w:rPr>
          <w:rFonts w:ascii="Arial;Helvetica;Sans-Serif" w:hAnsi="Arial;Helvetica;Sans-Serif"/>
          <w:b/>
          <w:i w:val="false"/>
          <w:caps w:val="false"/>
          <w:smallCaps w:val="false"/>
          <w:color w:val="C60C44"/>
          <w:sz w:val="40"/>
        </w:rPr>
        <w:t>Compensation of Directors</w:t>
      </w:r>
    </w:p>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r>
        <w:rPr>
          <w:rFonts w:ascii="Arial;Helvetica;Sans-Serif" w:hAnsi="Arial;Helvetica;Sans-Serif"/>
          <w:b/>
          <w:i w:val="false"/>
          <w:caps w:val="false"/>
          <w:smallCaps w:val="false"/>
          <w:color w:val="3B5AA4"/>
          <w:sz w:val="32"/>
        </w:rPr>
        <w:t>Overview</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general philosophy of the compensation program for our non-employee directors is similar to the executive compensation philosophy outlined in the “Compensation-Related Matters” section of this proxy statement. This philosophy, including its emphasis on equity compensation, is consistent with the Company’s long-term business orientation and has helped ensure alignment of directors’ interests with those of Regeneron shareholders.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Non-employee director compensation is subject to annual review by the Corporate Governance and Compliance Committee, which makes recommendations to the board of directors regarding the non-employee director compensation program (including the appropriate level and form of compensation). Directors who are Company employees receive no additional compensation for serving on our board of directors or its committees. In determining compensation recommendations for the non-employee directors, the Corporate Governance and Compliance Committee considers, among other things, the qualifications and expertise of our non-employee directors, the time, effort, and accountability required of active board membership, practices of similar companies in the biotechnology industry (including the Peer Group described below under “Compensation-Related Matters—Compensation Discussion and Analysis—Compensation Processes—Peer and Other Market Data”), and any comparative information provided by independent compensation consultants. The Corporate Governance and Compliance Committee’s practice is to have the non-employee director compensation program reviewed annually by an independent compensation consultant. Since 2021, the Committee has engaged Pay Governance LLC for this purpose.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current compensation program for our non-employee directors is referred to in this section as the “Current Compensation Program.”</w:t>
      </w:r>
    </w:p>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r>
        <w:rPr>
          <w:rFonts w:ascii="Arial;Helvetica;Sans-Serif" w:hAnsi="Arial;Helvetica;Sans-Serif"/>
          <w:b/>
          <w:i w:val="false"/>
          <w:caps w:val="false"/>
          <w:smallCaps w:val="false"/>
          <w:color w:val="3B5AA4"/>
          <w:sz w:val="32"/>
        </w:rPr>
        <w:t>Non-Employee Director Compensation Philosophy</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philosophy for non-employee director compensation is simple: to attract the most highly qualified directors with a range of skillsets who will serve as stewards of the Company’s long-term prospects and scientific focus. There is significant competition within our industry for highly qualified directors, particularly those with distinguished scientific credentials (such as members of the National Academy of Sciences) and the caliber of science-based backgrounds that we seek in our board members from the industry. With this in mind, our non-employee director compensation program emphasizes equity compensation primarily in the form of stock options, which reward increases in stock price, over cash fees. The board of directors believes that this emphasis is consistent with the Company’s long-term business orientation and has helped ensure alignment of directors’ interests with those of Regeneron shareholders. Under the Current Compensation Program, we have utilized value-denominated equity compensation awards (granted in the form of stock options and a relatively small percentage of restricted stock units (“RSUs”)) for our non-employee directors. This feature is meant to, among other things, ensure greater stability in reported non-employee director compensation on a year-over-year basis. The board of directors believes that the Current Compensation Program is consistent with Regeneron’s philosophy for non-employee director compensation.</w:t>
      </w:r>
    </w:p>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r>
        <w:rPr>
          <w:rFonts w:ascii="Arial;Helvetica;Sans-Serif" w:hAnsi="Arial;Helvetica;Sans-Serif"/>
          <w:b/>
          <w:i w:val="false"/>
          <w:caps w:val="false"/>
          <w:smallCaps w:val="false"/>
          <w:color w:val="3B5AA4"/>
          <w:sz w:val="32"/>
        </w:rPr>
        <w:t>Cash Fees, Expenses, and Matching Gift Program</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2024, each non-employee director received an annual retainer of $90,000 and an annual committee retainer of $10,000 for each standing committee of the Company’s board of directors on which the director served. In addition, each committee chair received an additional annual retainer of $10,000, and Ms. Poon also received an annual Lead Independent Director retainer of $50,000. Compared to cash compensation of non-employee directors in our Peer Group, the 2024 annual retainer for board service was below the median; the additional retainers provided to our committee chairs were below the median; and the Lead Independent Director retainer was set at approximately the 75</w:t>
      </w:r>
      <w:r>
        <w:rPr>
          <w:rFonts w:ascii="Arial;Helvetica;Sans-Serif" w:hAnsi="Arial;Helvetica;Sans-Serif"/>
          <w:b w:val="false"/>
          <w:i w:val="false"/>
          <w:caps w:val="false"/>
          <w:smallCaps w:val="false"/>
          <w:color w:val="231F20"/>
          <w:position w:val="6"/>
          <w:sz w:val="14"/>
          <w:sz w:val="18"/>
        </w:rPr>
        <w:t xml:space="preserve">th </w:t>
      </w:r>
      <w:r>
        <w:rPr>
          <w:rFonts w:ascii="Arial;Helvetica;Sans-Serif" w:hAnsi="Arial;Helvetica;Sans-Serif"/>
          <w:b w:val="false"/>
          <w:i w:val="false"/>
          <w:caps w:val="false"/>
          <w:smallCaps w:val="false"/>
          <w:color w:val="231F20"/>
          <w:sz w:val="18"/>
        </w:rPr>
        <w:t>percentile (in each case based on information reported by our Peer Group companies in 2024).</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Non-employee directors are reimbursed for their actual expenses incurred in connection with their activities as directors, which include travel, hotel, and food and entertainment expenses (as applicable). In addition, directors are eligible to participate in the Regeneron Matching Gift Program, which is also available to eligible employees. Under this program, the Company matches contributions made by directors and employees to eligible tax-exempt organizations up to an annual maximum amount per director or employee.</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88"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71" descr=""/>
                          <pic:cNvPicPr>
                            <a:picLocks noChangeAspect="1" noChangeArrowheads="1"/>
                          </pic:cNvPicPr>
                        </pic:nvPicPr>
                        <pic:blipFill>
                          <a:blip r:embed="rId183"/>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r>
        <w:rPr>
          <w:rFonts w:ascii="Arial;Helvetica;Sans-Serif" w:hAnsi="Arial;Helvetica;Sans-Serif"/>
          <w:b/>
          <w:i w:val="false"/>
          <w:caps w:val="false"/>
          <w:smallCaps w:val="false"/>
          <w:color w:val="3B5AA4"/>
          <w:sz w:val="32"/>
        </w:rPr>
        <w:t>Annual Equity Awards</w:t>
      </w:r>
    </w:p>
    <w:p>
      <w:pPr>
        <w:pStyle w:val="TextBody"/>
        <w:bidi w:val="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r>
        <w:rPr>
          <w:rFonts w:ascii="Arial;Helvetica;Sans-Serif" w:hAnsi="Arial;Helvetica;Sans-Serif"/>
          <w:b/>
          <w:i w:val="false"/>
          <w:caps w:val="false"/>
          <w:smallCaps w:val="false"/>
          <w:color w:val="C60C44"/>
          <w:sz w:val="28"/>
        </w:rPr>
        <w:t>2024 Equity Awards</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(upon the recommendation of the Corporate Governance and Compliance Committee) determined that the targeted aggregate grant date fair value of the January 2024 annual equity awards would be set at $600,000 per non-employee director and consist of stock options with a grant date fair value of $480,000 (or 80% thereof) and RSUs with a grant date fair value of $120,000 (or 20% thereof). The January 2024 annual equity awards to our non-employee directors are shown in the table below. As non-employee directors newly elected effective September 8, 2023, Drs. Guarini and Schenkein each received a prorated January 2024 annual equity award (see “Equity Awards to New Directors” below for more information).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Corporate Governance and Compliance Committee recommended the approval of, and the board of directors approved, the terms of the January 2024 annual equity awards after consideration of the review, analysis, and recommendations of the Corporate Governance and Compliance Committee’s independent compensation consultant. Such analysis focused on, among other matters, the market practices of companies in our Peer Group, other relevant industry and market data points, and Regeneron’s non-employee director compensation philosophy (including its emphasis on long-term incentives).</w:t>
      </w:r>
    </w:p>
    <w:p>
      <w:pPr>
        <w:pStyle w:val="TextBody"/>
        <w:bidi w:val="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r>
        <w:rPr>
          <w:rFonts w:ascii="Arial;Helvetica;Sans-Serif" w:hAnsi="Arial;Helvetica;Sans-Serif"/>
          <w:b/>
          <w:i w:val="false"/>
          <w:caps w:val="false"/>
          <w:smallCaps w:val="false"/>
          <w:color w:val="C60C44"/>
          <w:sz w:val="28"/>
        </w:rPr>
        <w:t>Terms of Equity Awards</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exercise price of a non-employee director stock option is equal to the fair market value of a share of the Company’s common stock on the date of grant (determined as the average of the high and low sales price per share of the Company’s common stock on the Nasdaq Global Select Market on the date of grant or, if such date is not a trading day, on the last preceding date on which there was a sale of the Company’s common stock on the Nasdaq Global Select Market).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Under the Current Compensation Program, a pro-rata portion of each equity award (i.e., each stock option and RSU award) equal to the portion of one year that has passed from its date of grant vests on the date of the Company’s first annual shareholder meeting following the date of grant, and the remaining portion vests on the first anniversary of the date of grant. The RSU awards contain mandatory deferral provisions, according to which the shares underlying the RSUs will generally not be delivered to the non-employee director until the earliest of (i) the termination of the non-employee director’s service as a member of the board, (ii) the seventh anniversary of the RSU grant date, and (iii) the date of a change in control (as defined in the Second Amended and Restated Regeneron Pharmaceuticals, Inc. 2014 Long-Term Incentive Plan (or its predecessor)). A non-employee director may, subject to compliance with applicable tax rules, elect in writing a maximum deferral period longer than the seventh anniversary of the grant date. Other than as discussed below, the vesting of equity awards is generally subject to continued service on the board, and stock option awards generally expire ten years following the date of grant.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To the extent they remain unvested and outstanding, equity awards granted to a non-employee director continue to vest following the retirement of that director provided applicable conditions relating to the length of the director’s service and the director’s age have been met. If a non-employee director’s service as a member of the board is terminated as a result of his or her death, all of the director’s equity awards will immediately vest in full.</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To the extent they remain unvested and outstanding, equity awards granted to non-employee directors become fully vested automatically upon a change in control of the Company. Each non-employee director has the right to nullify this acceleration of vesting, in whole or in part, if it would cause the director to pay excise taxes under the requirements of the Internal Revenue Code.</w:t>
      </w:r>
    </w:p>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r>
        <w:rPr>
          <w:rFonts w:ascii="Arial;Helvetica;Sans-Serif" w:hAnsi="Arial;Helvetica;Sans-Serif"/>
          <w:b/>
          <w:i w:val="false"/>
          <w:caps w:val="false"/>
          <w:smallCaps w:val="false"/>
          <w:color w:val="3B5AA4"/>
          <w:sz w:val="32"/>
        </w:rPr>
        <w:t>Equity Awards to New Directors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Under the Current Compensation Program, any newly elected non-employee director will receive an initial equity award with an aggregate grant date fair value equal to 5/3rds of the aggregate grant date fair value of the most recent annual equity award to a non-employee director; and, with respect to the annual equity award to a non-employee director in respect of the first year of his or her service, the aggregate grant date fair value of such annual award will be prorated based on the date as of which the non-employee director first becomes a member of the board of directors. The prorated January 2024 annual equity awards to Drs. Guarini and Schenkein (shown in the table below) were consistent with these guidelines.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89"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72" descr=""/>
                          <pic:cNvPicPr>
                            <a:picLocks noChangeAspect="1" noChangeArrowheads="1"/>
                          </pic:cNvPicPr>
                        </pic:nvPicPr>
                        <pic:blipFill>
                          <a:blip r:embed="rId184"/>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r>
        <w:rPr>
          <w:rFonts w:ascii="Arial;Helvetica;Sans-Serif" w:hAnsi="Arial;Helvetica;Sans-Serif"/>
          <w:b/>
          <w:i w:val="false"/>
          <w:caps w:val="false"/>
          <w:smallCaps w:val="false"/>
          <w:color w:val="3B5AA4"/>
          <w:sz w:val="32"/>
        </w:rPr>
        <w:t>2024 Director Compensation</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and explanatory footnotes provide information with respect to compensation paid to each non-employee director for their service in 2024 in accordance with the policies and plans described above: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Director Compensation</w:t>
      </w:r>
    </w:p>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10205" w:type="dxa"/>
        <w:jc w:val="left"/>
        <w:tblInd w:w="0" w:type="dxa"/>
        <w:tblLayout w:type="fixed"/>
        <w:tblCellMar>
          <w:top w:w="0" w:type="dxa"/>
          <w:left w:w="0" w:type="dxa"/>
          <w:bottom w:w="28" w:type="dxa"/>
          <w:right w:w="0" w:type="dxa"/>
        </w:tblCellMar>
      </w:tblPr>
      <w:tblGrid>
        <w:gridCol w:w="1987"/>
        <w:gridCol w:w="60"/>
        <w:gridCol w:w="1145"/>
        <w:gridCol w:w="60"/>
        <w:gridCol w:w="800"/>
        <w:gridCol w:w="60"/>
        <w:gridCol w:w="950"/>
        <w:gridCol w:w="60"/>
        <w:gridCol w:w="1332"/>
        <w:gridCol w:w="60"/>
        <w:gridCol w:w="1325"/>
        <w:gridCol w:w="60"/>
        <w:gridCol w:w="1430"/>
        <w:gridCol w:w="60"/>
        <w:gridCol w:w="816"/>
      </w:tblGrid>
      <w:tr>
        <w:trPr/>
        <w:tc>
          <w:tcPr>
            <w:tcW w:w="1987" w:type="dxa"/>
            <w:tcBorders>
              <w:bottom w:val="single" w:sz="12" w:space="0" w:color="3B5AA4"/>
            </w:tcBorders>
            <w:vAlign w:val="center"/>
          </w:tcPr>
          <w:p>
            <w:pPr>
              <w:pStyle w:val="TableContents"/>
              <w:bidi w:val="0"/>
              <w:spacing w:before="0" w:after="283"/>
              <w:jc w:val="center"/>
              <w:rPr>
                <w:b/>
                <w:color w:val="3B5AA4"/>
              </w:rPr>
            </w:pPr>
            <w:r>
              <w:rPr>
                <w:b/>
                <w:color w:val="3B5AA4"/>
              </w:rPr>
              <w:t>A</w:t>
            </w:r>
          </w:p>
        </w:tc>
        <w:tc>
          <w:tcPr>
            <w:tcW w:w="60" w:type="dxa"/>
            <w:tcBorders>
              <w:bottom w:val="single" w:sz="12" w:space="0" w:color="3B5AA4"/>
            </w:tcBorders>
            <w:vAlign w:val="center"/>
          </w:tcPr>
          <w:p>
            <w:pPr>
              <w:pStyle w:val="TableContents"/>
              <w:bidi w:val="0"/>
              <w:spacing w:before="0" w:after="283"/>
              <w:jc w:val="left"/>
              <w:rPr/>
            </w:pPr>
            <w:r>
              <w:rPr/>
              <w:t> </w:t>
            </w:r>
          </w:p>
        </w:tc>
        <w:tc>
          <w:tcPr>
            <w:tcW w:w="1145" w:type="dxa"/>
            <w:tcBorders>
              <w:bottom w:val="single" w:sz="12" w:space="0" w:color="3B5AA4"/>
            </w:tcBorders>
            <w:vAlign w:val="center"/>
          </w:tcPr>
          <w:p>
            <w:pPr>
              <w:pStyle w:val="TableContents"/>
              <w:bidi w:val="0"/>
              <w:spacing w:before="0" w:after="283"/>
              <w:jc w:val="center"/>
              <w:rPr>
                <w:b/>
                <w:color w:val="3B5AA4"/>
              </w:rPr>
            </w:pPr>
            <w:r>
              <w:rPr>
                <w:b/>
                <w:color w:val="3B5AA4"/>
              </w:rPr>
              <w:t>B</w:t>
            </w:r>
          </w:p>
        </w:tc>
        <w:tc>
          <w:tcPr>
            <w:tcW w:w="60" w:type="dxa"/>
            <w:tcBorders>
              <w:bottom w:val="single" w:sz="12" w:space="0" w:color="3B5AA4"/>
            </w:tcBorders>
            <w:vAlign w:val="center"/>
          </w:tcPr>
          <w:p>
            <w:pPr>
              <w:pStyle w:val="TableContents"/>
              <w:bidi w:val="0"/>
              <w:spacing w:before="0" w:after="283"/>
              <w:jc w:val="left"/>
              <w:rPr/>
            </w:pPr>
            <w:r>
              <w:rPr/>
              <w:t> </w:t>
            </w:r>
          </w:p>
        </w:tc>
        <w:tc>
          <w:tcPr>
            <w:tcW w:w="800" w:type="dxa"/>
            <w:tcBorders>
              <w:bottom w:val="single" w:sz="12" w:space="0" w:color="3B5AA4"/>
            </w:tcBorders>
            <w:vAlign w:val="center"/>
          </w:tcPr>
          <w:p>
            <w:pPr>
              <w:pStyle w:val="TableContents"/>
              <w:bidi w:val="0"/>
              <w:spacing w:before="0" w:after="283"/>
              <w:jc w:val="center"/>
              <w:rPr>
                <w:b/>
                <w:color w:val="3B5AA4"/>
              </w:rPr>
            </w:pPr>
            <w:r>
              <w:rPr>
                <w:b/>
                <w:color w:val="3B5AA4"/>
              </w:rPr>
              <w:t>C</w:t>
            </w:r>
          </w:p>
        </w:tc>
        <w:tc>
          <w:tcPr>
            <w:tcW w:w="60" w:type="dxa"/>
            <w:tcBorders>
              <w:bottom w:val="single" w:sz="12" w:space="0" w:color="3B5AA4"/>
            </w:tcBorders>
            <w:vAlign w:val="center"/>
          </w:tcPr>
          <w:p>
            <w:pPr>
              <w:pStyle w:val="TableContents"/>
              <w:bidi w:val="0"/>
              <w:spacing w:before="0" w:after="283"/>
              <w:jc w:val="left"/>
              <w:rPr/>
            </w:pPr>
            <w:r>
              <w:rPr/>
              <w:t> </w:t>
            </w:r>
          </w:p>
        </w:tc>
        <w:tc>
          <w:tcPr>
            <w:tcW w:w="950" w:type="dxa"/>
            <w:tcBorders>
              <w:bottom w:val="single" w:sz="12" w:space="0" w:color="3B5AA4"/>
            </w:tcBorders>
            <w:vAlign w:val="center"/>
          </w:tcPr>
          <w:p>
            <w:pPr>
              <w:pStyle w:val="TableContents"/>
              <w:bidi w:val="0"/>
              <w:spacing w:before="0" w:after="283"/>
              <w:jc w:val="center"/>
              <w:rPr>
                <w:b/>
                <w:color w:val="3B5AA4"/>
              </w:rPr>
            </w:pPr>
            <w:r>
              <w:rPr>
                <w:b/>
                <w:color w:val="3B5AA4"/>
              </w:rPr>
              <w:t>D</w:t>
            </w:r>
          </w:p>
        </w:tc>
        <w:tc>
          <w:tcPr>
            <w:tcW w:w="60" w:type="dxa"/>
            <w:tcBorders>
              <w:bottom w:val="single" w:sz="12" w:space="0" w:color="3B5AA4"/>
            </w:tcBorders>
            <w:vAlign w:val="center"/>
          </w:tcPr>
          <w:p>
            <w:pPr>
              <w:pStyle w:val="TableContents"/>
              <w:bidi w:val="0"/>
              <w:spacing w:before="0" w:after="283"/>
              <w:jc w:val="left"/>
              <w:rPr/>
            </w:pPr>
            <w:r>
              <w:rPr/>
              <w:t> </w:t>
            </w:r>
          </w:p>
        </w:tc>
        <w:tc>
          <w:tcPr>
            <w:tcW w:w="1332" w:type="dxa"/>
            <w:tcBorders>
              <w:bottom w:val="single" w:sz="12" w:space="0" w:color="3B5AA4"/>
            </w:tcBorders>
            <w:vAlign w:val="center"/>
          </w:tcPr>
          <w:p>
            <w:pPr>
              <w:pStyle w:val="TableContents"/>
              <w:bidi w:val="0"/>
              <w:spacing w:before="0" w:after="283"/>
              <w:jc w:val="center"/>
              <w:rPr>
                <w:b/>
                <w:color w:val="3B5AA4"/>
              </w:rPr>
            </w:pPr>
            <w:r>
              <w:rPr>
                <w:b/>
                <w:color w:val="3B5AA4"/>
              </w:rPr>
              <w:t>E</w:t>
            </w:r>
          </w:p>
        </w:tc>
        <w:tc>
          <w:tcPr>
            <w:tcW w:w="60" w:type="dxa"/>
            <w:tcBorders>
              <w:bottom w:val="single" w:sz="12" w:space="0" w:color="3B5AA4"/>
            </w:tcBorders>
            <w:vAlign w:val="center"/>
          </w:tcPr>
          <w:p>
            <w:pPr>
              <w:pStyle w:val="TableContents"/>
              <w:bidi w:val="0"/>
              <w:spacing w:before="0" w:after="283"/>
              <w:jc w:val="left"/>
              <w:rPr/>
            </w:pPr>
            <w:r>
              <w:rPr/>
              <w:t> </w:t>
            </w:r>
          </w:p>
        </w:tc>
        <w:tc>
          <w:tcPr>
            <w:tcW w:w="1325" w:type="dxa"/>
            <w:tcBorders>
              <w:bottom w:val="single" w:sz="12" w:space="0" w:color="3B5AA4"/>
            </w:tcBorders>
            <w:vAlign w:val="center"/>
          </w:tcPr>
          <w:p>
            <w:pPr>
              <w:pStyle w:val="TableContents"/>
              <w:bidi w:val="0"/>
              <w:spacing w:before="0" w:after="283"/>
              <w:jc w:val="center"/>
              <w:rPr>
                <w:b/>
                <w:color w:val="3B5AA4"/>
              </w:rPr>
            </w:pPr>
            <w:r>
              <w:rPr>
                <w:b/>
                <w:color w:val="3B5AA4"/>
              </w:rPr>
              <w:t>F</w:t>
            </w:r>
          </w:p>
        </w:tc>
        <w:tc>
          <w:tcPr>
            <w:tcW w:w="60" w:type="dxa"/>
            <w:tcBorders>
              <w:bottom w:val="single" w:sz="12" w:space="0" w:color="3B5AA4"/>
            </w:tcBorders>
            <w:vAlign w:val="center"/>
          </w:tcPr>
          <w:p>
            <w:pPr>
              <w:pStyle w:val="TableContents"/>
              <w:bidi w:val="0"/>
              <w:spacing w:before="0" w:after="283"/>
              <w:jc w:val="left"/>
              <w:rPr/>
            </w:pPr>
            <w:r>
              <w:rPr/>
              <w:t> </w:t>
            </w:r>
          </w:p>
        </w:tc>
        <w:tc>
          <w:tcPr>
            <w:tcW w:w="1430" w:type="dxa"/>
            <w:tcBorders>
              <w:bottom w:val="single" w:sz="12" w:space="0" w:color="3B5AA4"/>
            </w:tcBorders>
            <w:vAlign w:val="center"/>
          </w:tcPr>
          <w:p>
            <w:pPr>
              <w:pStyle w:val="TableContents"/>
              <w:bidi w:val="0"/>
              <w:spacing w:before="0" w:after="283"/>
              <w:jc w:val="center"/>
              <w:rPr>
                <w:b/>
                <w:color w:val="3B5AA4"/>
              </w:rPr>
            </w:pPr>
            <w:r>
              <w:rPr>
                <w:b/>
                <w:color w:val="3B5AA4"/>
              </w:rPr>
              <w:t>G</w:t>
            </w:r>
          </w:p>
        </w:tc>
        <w:tc>
          <w:tcPr>
            <w:tcW w:w="60" w:type="dxa"/>
            <w:tcBorders>
              <w:bottom w:val="single" w:sz="12" w:space="0" w:color="3B5AA4"/>
            </w:tcBorders>
            <w:vAlign w:val="center"/>
          </w:tcPr>
          <w:p>
            <w:pPr>
              <w:pStyle w:val="TableContents"/>
              <w:bidi w:val="0"/>
              <w:spacing w:before="0" w:after="283"/>
              <w:jc w:val="left"/>
              <w:rPr/>
            </w:pPr>
            <w:r>
              <w:rPr/>
              <w:t> </w:t>
            </w:r>
          </w:p>
        </w:tc>
        <w:tc>
          <w:tcPr>
            <w:tcW w:w="816" w:type="dxa"/>
            <w:tcBorders>
              <w:bottom w:val="single" w:sz="12" w:space="0" w:color="3B5AA4"/>
            </w:tcBorders>
            <w:vAlign w:val="center"/>
          </w:tcPr>
          <w:p>
            <w:pPr>
              <w:pStyle w:val="TableContents"/>
              <w:bidi w:val="0"/>
              <w:spacing w:before="0" w:after="283"/>
              <w:jc w:val="center"/>
              <w:rPr>
                <w:b/>
                <w:color w:val="3B5AA4"/>
              </w:rPr>
            </w:pPr>
            <w:r>
              <w:rPr>
                <w:b/>
                <w:color w:val="3B5AA4"/>
              </w:rPr>
              <w:t>H</w:t>
            </w:r>
          </w:p>
        </w:tc>
      </w:tr>
      <w:tr>
        <w:trPr/>
        <w:tc>
          <w:tcPr>
            <w:tcW w:w="1987" w:type="dxa"/>
            <w:tcBorders>
              <w:bottom w:val="single" w:sz="12" w:space="0" w:color="3B5AA4"/>
            </w:tcBorders>
            <w:vAlign w:val="center"/>
          </w:tcPr>
          <w:p>
            <w:pPr>
              <w:pStyle w:val="TableContents"/>
              <w:bidi w:val="0"/>
              <w:spacing w:before="0" w:after="283"/>
              <w:jc w:val="left"/>
              <w:rPr>
                <w:color w:val="3B5AA4"/>
              </w:rPr>
            </w:pPr>
            <w:r>
              <w:rPr>
                <w:color w:val="3B5AA4"/>
              </w:rPr>
              <w:t>Name</w:t>
            </w:r>
          </w:p>
        </w:tc>
        <w:tc>
          <w:tcPr>
            <w:tcW w:w="60" w:type="dxa"/>
            <w:tcBorders>
              <w:bottom w:val="single" w:sz="12" w:space="0" w:color="3B5AA4"/>
            </w:tcBorders>
            <w:vAlign w:val="center"/>
          </w:tcPr>
          <w:p>
            <w:pPr>
              <w:pStyle w:val="TableContents"/>
              <w:bidi w:val="0"/>
              <w:spacing w:before="0" w:after="283"/>
              <w:jc w:val="left"/>
              <w:rPr/>
            </w:pPr>
            <w:r>
              <w:rPr/>
              <w:t> </w:t>
            </w:r>
          </w:p>
        </w:tc>
        <w:tc>
          <w:tcPr>
            <w:tcW w:w="1145" w:type="dxa"/>
            <w:tcBorders>
              <w:bottom w:val="single" w:sz="12" w:space="0" w:color="3B5AA4"/>
            </w:tcBorders>
            <w:vAlign w:val="center"/>
          </w:tcPr>
          <w:p>
            <w:pPr>
              <w:pStyle w:val="TableContents"/>
              <w:bidi w:val="0"/>
              <w:spacing w:before="0" w:after="283"/>
              <w:jc w:val="right"/>
              <w:rPr/>
            </w:pPr>
            <w:r>
              <w:rPr>
                <w:color w:val="3B5AA4"/>
              </w:rPr>
              <w:t>Fees earned</w:t>
            </w:r>
            <w:r>
              <w:rPr/>
              <w:br/>
            </w:r>
            <w:r>
              <w:rPr>
                <w:color w:val="3B5AA4"/>
              </w:rPr>
              <w:t>or paid in</w:t>
            </w:r>
            <w:r>
              <w:rPr/>
              <w:br/>
            </w:r>
            <w:r>
              <w:rPr>
                <w:color w:val="3B5AA4"/>
              </w:rPr>
              <w:t>cash</w:t>
            </w:r>
            <w:r>
              <w:rPr/>
              <w:br/>
            </w:r>
            <w:r>
              <w:rPr>
                <w:color w:val="3B5AA4"/>
              </w:rPr>
              <w:t>($)</w:t>
            </w:r>
          </w:p>
        </w:tc>
        <w:tc>
          <w:tcPr>
            <w:tcW w:w="60" w:type="dxa"/>
            <w:tcBorders>
              <w:bottom w:val="single" w:sz="12" w:space="0" w:color="3B5AA4"/>
            </w:tcBorders>
            <w:vAlign w:val="center"/>
          </w:tcPr>
          <w:p>
            <w:pPr>
              <w:pStyle w:val="TableContents"/>
              <w:bidi w:val="0"/>
              <w:spacing w:before="0" w:after="283"/>
              <w:jc w:val="left"/>
              <w:rPr/>
            </w:pPr>
            <w:r>
              <w:rPr/>
              <w:t> </w:t>
            </w:r>
          </w:p>
        </w:tc>
        <w:tc>
          <w:tcPr>
            <w:tcW w:w="800" w:type="dxa"/>
            <w:tcBorders>
              <w:bottom w:val="single" w:sz="12" w:space="0" w:color="3B5AA4"/>
            </w:tcBorders>
            <w:vAlign w:val="center"/>
          </w:tcPr>
          <w:p>
            <w:pPr>
              <w:pStyle w:val="TableContents"/>
              <w:bidi w:val="0"/>
              <w:spacing w:before="0" w:after="283"/>
              <w:jc w:val="right"/>
              <w:rPr/>
            </w:pPr>
            <w:r>
              <w:rPr>
                <w:color w:val="3B5AA4"/>
              </w:rPr>
              <w:t>Stock</w:t>
            </w:r>
            <w:r>
              <w:rPr/>
              <w:br/>
            </w:r>
            <w:r>
              <w:rPr>
                <w:color w:val="3B5AA4"/>
              </w:rPr>
              <w:t>awards</w:t>
            </w:r>
            <w:r>
              <w:rPr>
                <w:color w:val="3B5AA4"/>
                <w:position w:val="8"/>
                <w:sz w:val="19"/>
              </w:rPr>
              <w:t>1</w:t>
            </w:r>
            <w:r>
              <w:rPr/>
              <w:br/>
            </w:r>
            <w:r>
              <w:rPr>
                <w:color w:val="3B5AA4"/>
              </w:rPr>
              <w:t>($)</w:t>
            </w:r>
          </w:p>
        </w:tc>
        <w:tc>
          <w:tcPr>
            <w:tcW w:w="60" w:type="dxa"/>
            <w:tcBorders>
              <w:bottom w:val="single" w:sz="12" w:space="0" w:color="3B5AA4"/>
            </w:tcBorders>
            <w:vAlign w:val="center"/>
          </w:tcPr>
          <w:p>
            <w:pPr>
              <w:pStyle w:val="TableContents"/>
              <w:bidi w:val="0"/>
              <w:spacing w:before="0" w:after="283"/>
              <w:jc w:val="left"/>
              <w:rPr/>
            </w:pPr>
            <w:r>
              <w:rPr/>
              <w:t> </w:t>
            </w:r>
          </w:p>
        </w:tc>
        <w:tc>
          <w:tcPr>
            <w:tcW w:w="950" w:type="dxa"/>
            <w:tcBorders>
              <w:bottom w:val="single" w:sz="12" w:space="0" w:color="3B5AA4"/>
            </w:tcBorders>
            <w:vAlign w:val="center"/>
          </w:tcPr>
          <w:p>
            <w:pPr>
              <w:pStyle w:val="TableContents"/>
              <w:bidi w:val="0"/>
              <w:spacing w:before="0" w:after="283"/>
              <w:jc w:val="right"/>
              <w:rPr/>
            </w:pPr>
            <w:r>
              <w:rPr>
                <w:color w:val="3B5AA4"/>
              </w:rPr>
              <w:t>Option</w:t>
            </w:r>
            <w:r>
              <w:rPr/>
              <w:br/>
            </w:r>
            <w:r>
              <w:rPr>
                <w:color w:val="3B5AA4"/>
              </w:rPr>
              <w:t>awards</w:t>
            </w:r>
            <w:r>
              <w:rPr>
                <w:color w:val="3B5AA4"/>
                <w:position w:val="8"/>
                <w:sz w:val="19"/>
              </w:rPr>
              <w:t>1,2</w:t>
            </w:r>
            <w:r>
              <w:rPr/>
              <w:br/>
            </w:r>
            <w:r>
              <w:rPr>
                <w:color w:val="3B5AA4"/>
              </w:rPr>
              <w:t>($)</w:t>
            </w:r>
          </w:p>
        </w:tc>
        <w:tc>
          <w:tcPr>
            <w:tcW w:w="60" w:type="dxa"/>
            <w:tcBorders>
              <w:bottom w:val="single" w:sz="12" w:space="0" w:color="3B5AA4"/>
            </w:tcBorders>
            <w:vAlign w:val="center"/>
          </w:tcPr>
          <w:p>
            <w:pPr>
              <w:pStyle w:val="TableContents"/>
              <w:bidi w:val="0"/>
              <w:spacing w:before="0" w:after="283"/>
              <w:jc w:val="left"/>
              <w:rPr/>
            </w:pPr>
            <w:r>
              <w:rPr/>
              <w:t> </w:t>
            </w:r>
          </w:p>
        </w:tc>
        <w:tc>
          <w:tcPr>
            <w:tcW w:w="1332" w:type="dxa"/>
            <w:tcBorders>
              <w:bottom w:val="single" w:sz="12" w:space="0" w:color="3B5AA4"/>
            </w:tcBorders>
            <w:vAlign w:val="center"/>
          </w:tcPr>
          <w:p>
            <w:pPr>
              <w:pStyle w:val="TableContents"/>
              <w:bidi w:val="0"/>
              <w:spacing w:before="0" w:after="283"/>
              <w:jc w:val="right"/>
              <w:rPr/>
            </w:pPr>
            <w:r>
              <w:rPr>
                <w:color w:val="3B5AA4"/>
              </w:rPr>
              <w:t>Non-Equity</w:t>
            </w:r>
            <w:r>
              <w:rPr/>
              <w:br/>
            </w:r>
            <w:r>
              <w:rPr>
                <w:color w:val="3B5AA4"/>
              </w:rPr>
              <w:t>incentive plan</w:t>
            </w:r>
            <w:r>
              <w:rPr/>
              <w:br/>
            </w:r>
            <w:r>
              <w:rPr>
                <w:color w:val="3B5AA4"/>
              </w:rPr>
              <w:t>compensation</w:t>
            </w:r>
            <w:r>
              <w:rPr/>
              <w:br/>
            </w:r>
            <w:r>
              <w:rPr>
                <w:color w:val="3B5AA4"/>
              </w:rPr>
              <w:t>($)</w:t>
            </w:r>
          </w:p>
        </w:tc>
        <w:tc>
          <w:tcPr>
            <w:tcW w:w="60" w:type="dxa"/>
            <w:tcBorders>
              <w:bottom w:val="single" w:sz="12" w:space="0" w:color="3B5AA4"/>
            </w:tcBorders>
            <w:vAlign w:val="center"/>
          </w:tcPr>
          <w:p>
            <w:pPr>
              <w:pStyle w:val="TableContents"/>
              <w:bidi w:val="0"/>
              <w:spacing w:before="0" w:after="283"/>
              <w:jc w:val="left"/>
              <w:rPr/>
            </w:pPr>
            <w:r>
              <w:rPr/>
              <w:t> </w:t>
            </w:r>
          </w:p>
        </w:tc>
        <w:tc>
          <w:tcPr>
            <w:tcW w:w="1325" w:type="dxa"/>
            <w:tcBorders>
              <w:bottom w:val="single" w:sz="12" w:space="0" w:color="3B5AA4"/>
            </w:tcBorders>
            <w:vAlign w:val="center"/>
          </w:tcPr>
          <w:p>
            <w:pPr>
              <w:pStyle w:val="TableContents"/>
              <w:bidi w:val="0"/>
              <w:spacing w:before="0" w:after="283"/>
              <w:jc w:val="right"/>
              <w:rPr/>
            </w:pPr>
            <w:r>
              <w:rPr>
                <w:color w:val="3B5AA4"/>
              </w:rPr>
              <w:t>Change in</w:t>
            </w:r>
            <w:r>
              <w:rPr/>
              <w:br/>
            </w:r>
            <w:r>
              <w:rPr>
                <w:color w:val="3B5AA4"/>
              </w:rPr>
              <w:t>pension</w:t>
            </w:r>
            <w:r>
              <w:rPr/>
              <w:br/>
            </w:r>
            <w:r>
              <w:rPr>
                <w:color w:val="3B5AA4"/>
              </w:rPr>
              <w:t>value and</w:t>
            </w:r>
            <w:r>
              <w:rPr/>
              <w:br/>
            </w:r>
            <w:r>
              <w:rPr>
                <w:color w:val="3B5AA4"/>
              </w:rPr>
              <w:t>non-qualified</w:t>
            </w:r>
            <w:r>
              <w:rPr/>
              <w:br/>
            </w:r>
            <w:r>
              <w:rPr>
                <w:color w:val="3B5AA4"/>
              </w:rPr>
              <w:t>deferred</w:t>
            </w:r>
            <w:r>
              <w:rPr/>
              <w:br/>
            </w:r>
            <w:r>
              <w:rPr>
                <w:color w:val="3B5AA4"/>
              </w:rPr>
              <w:t>compensation</w:t>
            </w:r>
            <w:r>
              <w:rPr/>
              <w:br/>
            </w:r>
            <w:r>
              <w:rPr>
                <w:color w:val="3B5AA4"/>
              </w:rPr>
              <w:t>earnings</w:t>
            </w:r>
          </w:p>
        </w:tc>
        <w:tc>
          <w:tcPr>
            <w:tcW w:w="60" w:type="dxa"/>
            <w:tcBorders>
              <w:bottom w:val="single" w:sz="12" w:space="0" w:color="3B5AA4"/>
            </w:tcBorders>
            <w:vAlign w:val="center"/>
          </w:tcPr>
          <w:p>
            <w:pPr>
              <w:pStyle w:val="TableContents"/>
              <w:bidi w:val="0"/>
              <w:spacing w:before="0" w:after="283"/>
              <w:jc w:val="left"/>
              <w:rPr/>
            </w:pPr>
            <w:r>
              <w:rPr/>
              <w:t> </w:t>
            </w:r>
          </w:p>
        </w:tc>
        <w:tc>
          <w:tcPr>
            <w:tcW w:w="1430" w:type="dxa"/>
            <w:tcBorders>
              <w:bottom w:val="single" w:sz="12" w:space="0" w:color="3B5AA4"/>
            </w:tcBorders>
            <w:vAlign w:val="center"/>
          </w:tcPr>
          <w:p>
            <w:pPr>
              <w:pStyle w:val="TableContents"/>
              <w:bidi w:val="0"/>
              <w:spacing w:before="0" w:after="283"/>
              <w:jc w:val="right"/>
              <w:rPr/>
            </w:pPr>
            <w:r>
              <w:rPr>
                <w:color w:val="3B5AA4"/>
              </w:rPr>
              <w:t>All other</w:t>
            </w:r>
            <w:r>
              <w:rPr/>
              <w:br/>
            </w:r>
            <w:r>
              <w:rPr>
                <w:color w:val="3B5AA4"/>
              </w:rPr>
              <w:t>compensation</w:t>
            </w:r>
            <w:r>
              <w:rPr>
                <w:color w:val="3B5AA4"/>
                <w:position w:val="8"/>
                <w:sz w:val="19"/>
              </w:rPr>
              <w:t>3</w:t>
            </w:r>
            <w:r>
              <w:rPr/>
              <w:br/>
            </w:r>
            <w:r>
              <w:rPr>
                <w:color w:val="3B5AA4"/>
              </w:rPr>
              <w:t>($)</w:t>
            </w:r>
          </w:p>
        </w:tc>
        <w:tc>
          <w:tcPr>
            <w:tcW w:w="60" w:type="dxa"/>
            <w:tcBorders>
              <w:bottom w:val="single" w:sz="12" w:space="0" w:color="3B5AA4"/>
            </w:tcBorders>
            <w:vAlign w:val="center"/>
          </w:tcPr>
          <w:p>
            <w:pPr>
              <w:pStyle w:val="TableContents"/>
              <w:bidi w:val="0"/>
              <w:spacing w:before="0" w:after="283"/>
              <w:jc w:val="left"/>
              <w:rPr/>
            </w:pPr>
            <w:r>
              <w:rPr/>
              <w:t> </w:t>
            </w:r>
          </w:p>
        </w:tc>
        <w:tc>
          <w:tcPr>
            <w:tcW w:w="816" w:type="dxa"/>
            <w:tcBorders>
              <w:bottom w:val="single" w:sz="12" w:space="0" w:color="3B5AA4"/>
            </w:tcBorders>
            <w:vAlign w:val="center"/>
          </w:tcPr>
          <w:p>
            <w:pPr>
              <w:pStyle w:val="TableContents"/>
              <w:bidi w:val="0"/>
              <w:spacing w:before="0" w:after="283"/>
              <w:jc w:val="right"/>
              <w:rPr/>
            </w:pPr>
            <w:r>
              <w:rPr>
                <w:color w:val="3B5AA4"/>
              </w:rPr>
              <w:t>Total</w:t>
            </w:r>
            <w:r>
              <w:rPr/>
              <w:br/>
            </w:r>
            <w:r>
              <w:rPr>
                <w:color w:val="3B5AA4"/>
              </w:rPr>
              <w:t>($)</w:t>
            </w:r>
          </w:p>
        </w:tc>
      </w:tr>
      <w:tr>
        <w:trPr/>
        <w:tc>
          <w:tcPr>
            <w:tcW w:w="1987" w:type="dxa"/>
            <w:tcBorders>
              <w:bottom w:val="single" w:sz="2" w:space="0" w:color="BCBEC0"/>
            </w:tcBorders>
            <w:vAlign w:val="center"/>
          </w:tcPr>
          <w:p>
            <w:pPr>
              <w:pStyle w:val="TableContents"/>
              <w:bidi w:val="0"/>
              <w:spacing w:before="0" w:after="283"/>
              <w:jc w:val="left"/>
              <w:rPr>
                <w:b/>
                <w:color w:val="3B5AA4"/>
              </w:rPr>
            </w:pPr>
            <w:r>
              <w:rPr>
                <w:b/>
                <w:color w:val="3B5AA4"/>
              </w:rPr>
              <w:t>Bonnie L. Bassler, Ph.D.</w:t>
            </w:r>
          </w:p>
        </w:tc>
        <w:tc>
          <w:tcPr>
            <w:tcW w:w="60" w:type="dxa"/>
            <w:tcBorders>
              <w:bottom w:val="single" w:sz="2" w:space="0" w:color="BCBEC0"/>
            </w:tcBorders>
            <w:vAlign w:val="center"/>
          </w:tcPr>
          <w:p>
            <w:pPr>
              <w:pStyle w:val="TableContents"/>
              <w:bidi w:val="0"/>
              <w:spacing w:before="0" w:after="283"/>
              <w:jc w:val="left"/>
              <w:rPr/>
            </w:pPr>
            <w:r>
              <w:rPr/>
              <w:t> </w:t>
            </w:r>
          </w:p>
        </w:tc>
        <w:tc>
          <w:tcPr>
            <w:tcW w:w="1145" w:type="dxa"/>
            <w:tcBorders>
              <w:bottom w:val="single" w:sz="2" w:space="0" w:color="BCBEC0"/>
            </w:tcBorders>
            <w:vAlign w:val="center"/>
          </w:tcPr>
          <w:p>
            <w:pPr>
              <w:pStyle w:val="TableContents"/>
              <w:bidi w:val="0"/>
              <w:spacing w:before="0" w:after="283"/>
              <w:jc w:val="right"/>
              <w:rPr>
                <w:color w:val="231F20"/>
              </w:rPr>
            </w:pPr>
            <w:r>
              <w:rPr>
                <w:color w:val="231F20"/>
              </w:rPr>
              <w:t>110,000</w:t>
            </w:r>
          </w:p>
        </w:tc>
        <w:tc>
          <w:tcPr>
            <w:tcW w:w="60" w:type="dxa"/>
            <w:tcBorders>
              <w:bottom w:val="single" w:sz="2" w:space="0" w:color="BCBEC0"/>
            </w:tcBorders>
            <w:vAlign w:val="center"/>
          </w:tcPr>
          <w:p>
            <w:pPr>
              <w:pStyle w:val="TableContents"/>
              <w:bidi w:val="0"/>
              <w:spacing w:before="0" w:after="283"/>
              <w:jc w:val="left"/>
              <w:rPr/>
            </w:pPr>
            <w:r>
              <w:rPr/>
              <w:t> </w:t>
            </w:r>
          </w:p>
        </w:tc>
        <w:tc>
          <w:tcPr>
            <w:tcW w:w="800" w:type="dxa"/>
            <w:tcBorders>
              <w:bottom w:val="single" w:sz="2" w:space="0" w:color="BCBEC0"/>
            </w:tcBorders>
            <w:vAlign w:val="center"/>
          </w:tcPr>
          <w:p>
            <w:pPr>
              <w:pStyle w:val="TableContents"/>
              <w:bidi w:val="0"/>
              <w:spacing w:before="0" w:after="283"/>
              <w:jc w:val="right"/>
              <w:rPr>
                <w:color w:val="231F20"/>
              </w:rPr>
            </w:pPr>
            <w:r>
              <w:rPr>
                <w:color w:val="231F20"/>
              </w:rPr>
              <w:t>119,926</w:t>
            </w:r>
          </w:p>
        </w:tc>
        <w:tc>
          <w:tcPr>
            <w:tcW w:w="60" w:type="dxa"/>
            <w:tcBorders>
              <w:bottom w:val="single" w:sz="2" w:space="0" w:color="BCBEC0"/>
            </w:tcBorders>
            <w:vAlign w:val="center"/>
          </w:tcPr>
          <w:p>
            <w:pPr>
              <w:pStyle w:val="TableContents"/>
              <w:bidi w:val="0"/>
              <w:spacing w:before="0" w:after="283"/>
              <w:jc w:val="left"/>
              <w:rPr/>
            </w:pPr>
            <w:r>
              <w:rPr/>
              <w:t> </w:t>
            </w:r>
          </w:p>
        </w:tc>
        <w:tc>
          <w:tcPr>
            <w:tcW w:w="950" w:type="dxa"/>
            <w:tcBorders>
              <w:bottom w:val="single" w:sz="2" w:space="0" w:color="BCBEC0"/>
            </w:tcBorders>
            <w:vAlign w:val="center"/>
          </w:tcPr>
          <w:p>
            <w:pPr>
              <w:pStyle w:val="TableContents"/>
              <w:bidi w:val="0"/>
              <w:spacing w:before="0" w:after="283"/>
              <w:jc w:val="right"/>
              <w:rPr>
                <w:color w:val="231F20"/>
              </w:rPr>
            </w:pPr>
            <w:r>
              <w:rPr>
                <w:color w:val="231F20"/>
              </w:rPr>
              <w:t>479,846</w:t>
            </w:r>
          </w:p>
        </w:tc>
        <w:tc>
          <w:tcPr>
            <w:tcW w:w="60" w:type="dxa"/>
            <w:tcBorders>
              <w:bottom w:val="single" w:sz="2" w:space="0" w:color="BCBEC0"/>
            </w:tcBorders>
            <w:vAlign w:val="center"/>
          </w:tcPr>
          <w:p>
            <w:pPr>
              <w:pStyle w:val="TableContents"/>
              <w:bidi w:val="0"/>
              <w:spacing w:before="0" w:after="283"/>
              <w:jc w:val="left"/>
              <w:rPr/>
            </w:pPr>
            <w:r>
              <w:rPr/>
              <w:t> </w:t>
            </w:r>
          </w:p>
        </w:tc>
        <w:tc>
          <w:tcPr>
            <w:tcW w:w="1332"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325"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430"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816" w:type="dxa"/>
            <w:tcBorders>
              <w:bottom w:val="single" w:sz="2" w:space="0" w:color="BCBEC0"/>
            </w:tcBorders>
            <w:vAlign w:val="center"/>
          </w:tcPr>
          <w:p>
            <w:pPr>
              <w:pStyle w:val="TableContents"/>
              <w:bidi w:val="0"/>
              <w:spacing w:before="0" w:after="283"/>
              <w:jc w:val="right"/>
              <w:rPr>
                <w:color w:val="231F20"/>
              </w:rPr>
            </w:pPr>
            <w:r>
              <w:rPr>
                <w:color w:val="231F20"/>
              </w:rPr>
              <w:t>709,772</w:t>
            </w:r>
          </w:p>
        </w:tc>
      </w:tr>
      <w:tr>
        <w:trPr/>
        <w:tc>
          <w:tcPr>
            <w:tcW w:w="1987" w:type="dxa"/>
            <w:tcBorders>
              <w:bottom w:val="single" w:sz="2" w:space="0" w:color="BCBEC0"/>
            </w:tcBorders>
            <w:shd w:fill="EBEBEC" w:val="clear"/>
            <w:vAlign w:val="center"/>
          </w:tcPr>
          <w:p>
            <w:pPr>
              <w:pStyle w:val="TableContents"/>
              <w:bidi w:val="0"/>
              <w:spacing w:before="0" w:after="283"/>
              <w:jc w:val="left"/>
              <w:rPr>
                <w:b/>
                <w:color w:val="3B5AA4"/>
              </w:rPr>
            </w:pPr>
            <w:r>
              <w:rPr>
                <w:b/>
                <w:color w:val="3B5AA4"/>
              </w:rPr>
              <w:t>Michael S. Brown, M.D.</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14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120,000</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0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119,926</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95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479,846</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32"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2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430" w:type="dxa"/>
            <w:tcBorders>
              <w:bottom w:val="single" w:sz="2" w:space="0" w:color="BCBEC0"/>
            </w:tcBorders>
            <w:shd w:fill="EBEBEC" w:val="clear"/>
            <w:vAlign w:val="center"/>
          </w:tcPr>
          <w:p>
            <w:pPr>
              <w:pStyle w:val="TableContents"/>
              <w:bidi w:val="0"/>
              <w:spacing w:before="0" w:after="283"/>
              <w:jc w:val="right"/>
              <w:rPr/>
            </w:pPr>
            <w:r>
              <w:rPr>
                <w:color w:val="231F20"/>
              </w:rPr>
              <w:t>5,000</w:t>
            </w:r>
            <w:r>
              <w:rPr>
                <w:color w:val="010101"/>
                <w:position w:val="8"/>
                <w:sz w:val="19"/>
              </w:rPr>
              <w:t>4</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16"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724,772</w:t>
            </w:r>
          </w:p>
        </w:tc>
      </w:tr>
      <w:tr>
        <w:trPr/>
        <w:tc>
          <w:tcPr>
            <w:tcW w:w="1987" w:type="dxa"/>
            <w:tcBorders>
              <w:bottom w:val="single" w:sz="2" w:space="0" w:color="BCBEC0"/>
            </w:tcBorders>
            <w:vAlign w:val="center"/>
          </w:tcPr>
          <w:p>
            <w:pPr>
              <w:pStyle w:val="TableContents"/>
              <w:bidi w:val="0"/>
              <w:spacing w:before="0" w:after="283"/>
              <w:jc w:val="left"/>
              <w:rPr>
                <w:b/>
                <w:color w:val="3B5AA4"/>
              </w:rPr>
            </w:pPr>
            <w:r>
              <w:rPr>
                <w:b/>
                <w:color w:val="3B5AA4"/>
              </w:rPr>
              <w:t>N. Anthony Coles, M. D.</w:t>
            </w:r>
          </w:p>
        </w:tc>
        <w:tc>
          <w:tcPr>
            <w:tcW w:w="60" w:type="dxa"/>
            <w:tcBorders>
              <w:bottom w:val="single" w:sz="2" w:space="0" w:color="BCBEC0"/>
            </w:tcBorders>
            <w:vAlign w:val="center"/>
          </w:tcPr>
          <w:p>
            <w:pPr>
              <w:pStyle w:val="TableContents"/>
              <w:bidi w:val="0"/>
              <w:spacing w:before="0" w:after="283"/>
              <w:jc w:val="left"/>
              <w:rPr/>
            </w:pPr>
            <w:r>
              <w:rPr/>
              <w:t> </w:t>
            </w:r>
          </w:p>
        </w:tc>
        <w:tc>
          <w:tcPr>
            <w:tcW w:w="1145" w:type="dxa"/>
            <w:tcBorders>
              <w:bottom w:val="single" w:sz="2" w:space="0" w:color="BCBEC0"/>
            </w:tcBorders>
            <w:vAlign w:val="center"/>
          </w:tcPr>
          <w:p>
            <w:pPr>
              <w:pStyle w:val="TableContents"/>
              <w:bidi w:val="0"/>
              <w:spacing w:before="0" w:after="283"/>
              <w:jc w:val="right"/>
              <w:rPr>
                <w:color w:val="231F20"/>
              </w:rPr>
            </w:pPr>
            <w:r>
              <w:rPr>
                <w:color w:val="231F20"/>
              </w:rPr>
              <w:t>100,000</w:t>
            </w:r>
          </w:p>
        </w:tc>
        <w:tc>
          <w:tcPr>
            <w:tcW w:w="60" w:type="dxa"/>
            <w:tcBorders>
              <w:bottom w:val="single" w:sz="2" w:space="0" w:color="BCBEC0"/>
            </w:tcBorders>
            <w:vAlign w:val="center"/>
          </w:tcPr>
          <w:p>
            <w:pPr>
              <w:pStyle w:val="TableContents"/>
              <w:bidi w:val="0"/>
              <w:spacing w:before="0" w:after="283"/>
              <w:jc w:val="left"/>
              <w:rPr/>
            </w:pPr>
            <w:r>
              <w:rPr/>
              <w:t> </w:t>
            </w:r>
          </w:p>
        </w:tc>
        <w:tc>
          <w:tcPr>
            <w:tcW w:w="800" w:type="dxa"/>
            <w:tcBorders>
              <w:bottom w:val="single" w:sz="2" w:space="0" w:color="BCBEC0"/>
            </w:tcBorders>
            <w:vAlign w:val="center"/>
          </w:tcPr>
          <w:p>
            <w:pPr>
              <w:pStyle w:val="TableContents"/>
              <w:bidi w:val="0"/>
              <w:spacing w:before="0" w:after="283"/>
              <w:jc w:val="right"/>
              <w:rPr>
                <w:color w:val="231F20"/>
              </w:rPr>
            </w:pPr>
            <w:r>
              <w:rPr>
                <w:color w:val="231F20"/>
              </w:rPr>
              <w:t>119,926</w:t>
            </w:r>
          </w:p>
        </w:tc>
        <w:tc>
          <w:tcPr>
            <w:tcW w:w="60" w:type="dxa"/>
            <w:tcBorders>
              <w:bottom w:val="single" w:sz="2" w:space="0" w:color="BCBEC0"/>
            </w:tcBorders>
            <w:vAlign w:val="center"/>
          </w:tcPr>
          <w:p>
            <w:pPr>
              <w:pStyle w:val="TableContents"/>
              <w:bidi w:val="0"/>
              <w:spacing w:before="0" w:after="283"/>
              <w:jc w:val="left"/>
              <w:rPr/>
            </w:pPr>
            <w:r>
              <w:rPr/>
              <w:t> </w:t>
            </w:r>
          </w:p>
        </w:tc>
        <w:tc>
          <w:tcPr>
            <w:tcW w:w="950" w:type="dxa"/>
            <w:tcBorders>
              <w:bottom w:val="single" w:sz="2" w:space="0" w:color="BCBEC0"/>
            </w:tcBorders>
            <w:vAlign w:val="center"/>
          </w:tcPr>
          <w:p>
            <w:pPr>
              <w:pStyle w:val="TableContents"/>
              <w:bidi w:val="0"/>
              <w:spacing w:before="0" w:after="283"/>
              <w:jc w:val="right"/>
              <w:rPr>
                <w:color w:val="231F20"/>
              </w:rPr>
            </w:pPr>
            <w:r>
              <w:rPr>
                <w:color w:val="231F20"/>
              </w:rPr>
              <w:t>479,846</w:t>
            </w:r>
          </w:p>
        </w:tc>
        <w:tc>
          <w:tcPr>
            <w:tcW w:w="60" w:type="dxa"/>
            <w:tcBorders>
              <w:bottom w:val="single" w:sz="2" w:space="0" w:color="BCBEC0"/>
            </w:tcBorders>
            <w:vAlign w:val="center"/>
          </w:tcPr>
          <w:p>
            <w:pPr>
              <w:pStyle w:val="TableContents"/>
              <w:bidi w:val="0"/>
              <w:spacing w:before="0" w:after="283"/>
              <w:jc w:val="left"/>
              <w:rPr/>
            </w:pPr>
            <w:r>
              <w:rPr/>
              <w:t> </w:t>
            </w:r>
          </w:p>
        </w:tc>
        <w:tc>
          <w:tcPr>
            <w:tcW w:w="1332"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325"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430"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816" w:type="dxa"/>
            <w:tcBorders>
              <w:bottom w:val="single" w:sz="2" w:space="0" w:color="BCBEC0"/>
            </w:tcBorders>
            <w:vAlign w:val="center"/>
          </w:tcPr>
          <w:p>
            <w:pPr>
              <w:pStyle w:val="TableContents"/>
              <w:bidi w:val="0"/>
              <w:spacing w:before="0" w:after="283"/>
              <w:jc w:val="right"/>
              <w:rPr>
                <w:color w:val="231F20"/>
              </w:rPr>
            </w:pPr>
            <w:r>
              <w:rPr>
                <w:color w:val="231F20"/>
              </w:rPr>
              <w:t>699,772</w:t>
            </w:r>
          </w:p>
        </w:tc>
      </w:tr>
      <w:tr>
        <w:trPr/>
        <w:tc>
          <w:tcPr>
            <w:tcW w:w="1987" w:type="dxa"/>
            <w:tcBorders>
              <w:bottom w:val="single" w:sz="2" w:space="0" w:color="BCBEC0"/>
            </w:tcBorders>
            <w:shd w:fill="EBEBEC" w:val="clear"/>
            <w:vAlign w:val="center"/>
          </w:tcPr>
          <w:p>
            <w:pPr>
              <w:pStyle w:val="TableContents"/>
              <w:bidi w:val="0"/>
              <w:spacing w:before="0" w:after="283"/>
              <w:jc w:val="left"/>
              <w:rPr>
                <w:b/>
                <w:color w:val="3B5AA4"/>
              </w:rPr>
            </w:pPr>
            <w:r>
              <w:rPr>
                <w:b/>
                <w:color w:val="3B5AA4"/>
              </w:rPr>
              <w:t>Joseph L. Goldstein, M.D.</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14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110,000</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0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119,926</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95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479,846</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32"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2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43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16"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709,772</w:t>
            </w:r>
          </w:p>
        </w:tc>
      </w:tr>
      <w:tr>
        <w:trPr/>
        <w:tc>
          <w:tcPr>
            <w:tcW w:w="1987" w:type="dxa"/>
            <w:tcBorders>
              <w:bottom w:val="single" w:sz="2" w:space="0" w:color="BCBEC0"/>
            </w:tcBorders>
            <w:vAlign w:val="center"/>
          </w:tcPr>
          <w:p>
            <w:pPr>
              <w:pStyle w:val="TableContents"/>
              <w:bidi w:val="0"/>
              <w:spacing w:before="0" w:after="283"/>
              <w:jc w:val="left"/>
              <w:rPr>
                <w:b/>
                <w:color w:val="3B5AA4"/>
              </w:rPr>
            </w:pPr>
            <w:r>
              <w:rPr>
                <w:b/>
                <w:color w:val="3B5AA4"/>
              </w:rPr>
              <w:t>Kathryn Guarini, Ph.D.</w:t>
            </w:r>
          </w:p>
        </w:tc>
        <w:tc>
          <w:tcPr>
            <w:tcW w:w="60" w:type="dxa"/>
            <w:tcBorders>
              <w:bottom w:val="single" w:sz="2" w:space="0" w:color="BCBEC0"/>
            </w:tcBorders>
            <w:vAlign w:val="center"/>
          </w:tcPr>
          <w:p>
            <w:pPr>
              <w:pStyle w:val="TableContents"/>
              <w:bidi w:val="0"/>
              <w:spacing w:before="0" w:after="283"/>
              <w:jc w:val="left"/>
              <w:rPr/>
            </w:pPr>
            <w:r>
              <w:rPr/>
              <w:t> </w:t>
            </w:r>
          </w:p>
        </w:tc>
        <w:tc>
          <w:tcPr>
            <w:tcW w:w="1145" w:type="dxa"/>
            <w:tcBorders>
              <w:bottom w:val="single" w:sz="2" w:space="0" w:color="BCBEC0"/>
            </w:tcBorders>
            <w:vAlign w:val="center"/>
          </w:tcPr>
          <w:p>
            <w:pPr>
              <w:pStyle w:val="TableContents"/>
              <w:bidi w:val="0"/>
              <w:spacing w:before="0" w:after="283"/>
              <w:jc w:val="right"/>
              <w:rPr>
                <w:color w:val="231F20"/>
              </w:rPr>
            </w:pPr>
            <w:r>
              <w:rPr>
                <w:color w:val="231F20"/>
              </w:rPr>
              <w:t>100,000</w:t>
            </w:r>
          </w:p>
        </w:tc>
        <w:tc>
          <w:tcPr>
            <w:tcW w:w="60" w:type="dxa"/>
            <w:tcBorders>
              <w:bottom w:val="single" w:sz="2" w:space="0" w:color="BCBEC0"/>
            </w:tcBorders>
            <w:vAlign w:val="center"/>
          </w:tcPr>
          <w:p>
            <w:pPr>
              <w:pStyle w:val="TableContents"/>
              <w:bidi w:val="0"/>
              <w:spacing w:before="0" w:after="283"/>
              <w:jc w:val="left"/>
              <w:rPr/>
            </w:pPr>
            <w:r>
              <w:rPr/>
              <w:t> </w:t>
            </w:r>
          </w:p>
        </w:tc>
        <w:tc>
          <w:tcPr>
            <w:tcW w:w="800" w:type="dxa"/>
            <w:tcBorders>
              <w:bottom w:val="single" w:sz="2" w:space="0" w:color="BCBEC0"/>
            </w:tcBorders>
            <w:vAlign w:val="center"/>
          </w:tcPr>
          <w:p>
            <w:pPr>
              <w:pStyle w:val="TableContents"/>
              <w:bidi w:val="0"/>
              <w:spacing w:before="0" w:after="283"/>
              <w:jc w:val="right"/>
              <w:rPr>
                <w:color w:val="231F20"/>
              </w:rPr>
            </w:pPr>
            <w:r>
              <w:rPr>
                <w:color w:val="231F20"/>
              </w:rPr>
              <w:t>37,310</w:t>
            </w:r>
          </w:p>
        </w:tc>
        <w:tc>
          <w:tcPr>
            <w:tcW w:w="60" w:type="dxa"/>
            <w:tcBorders>
              <w:bottom w:val="single" w:sz="2" w:space="0" w:color="BCBEC0"/>
            </w:tcBorders>
            <w:vAlign w:val="center"/>
          </w:tcPr>
          <w:p>
            <w:pPr>
              <w:pStyle w:val="TableContents"/>
              <w:bidi w:val="0"/>
              <w:spacing w:before="0" w:after="283"/>
              <w:jc w:val="left"/>
              <w:rPr/>
            </w:pPr>
            <w:r>
              <w:rPr/>
              <w:t> </w:t>
            </w:r>
          </w:p>
        </w:tc>
        <w:tc>
          <w:tcPr>
            <w:tcW w:w="950" w:type="dxa"/>
            <w:tcBorders>
              <w:bottom w:val="single" w:sz="2" w:space="0" w:color="BCBEC0"/>
            </w:tcBorders>
            <w:vAlign w:val="center"/>
          </w:tcPr>
          <w:p>
            <w:pPr>
              <w:pStyle w:val="TableContents"/>
              <w:bidi w:val="0"/>
              <w:spacing w:before="0" w:after="283"/>
              <w:jc w:val="right"/>
              <w:rPr>
                <w:color w:val="231F20"/>
              </w:rPr>
            </w:pPr>
            <w:r>
              <w:rPr>
                <w:color w:val="231F20"/>
              </w:rPr>
              <w:t>151,681</w:t>
            </w:r>
          </w:p>
        </w:tc>
        <w:tc>
          <w:tcPr>
            <w:tcW w:w="60" w:type="dxa"/>
            <w:tcBorders>
              <w:bottom w:val="single" w:sz="2" w:space="0" w:color="BCBEC0"/>
            </w:tcBorders>
            <w:vAlign w:val="center"/>
          </w:tcPr>
          <w:p>
            <w:pPr>
              <w:pStyle w:val="TableContents"/>
              <w:bidi w:val="0"/>
              <w:spacing w:before="0" w:after="283"/>
              <w:jc w:val="left"/>
              <w:rPr/>
            </w:pPr>
            <w:r>
              <w:rPr/>
              <w:t> </w:t>
            </w:r>
          </w:p>
        </w:tc>
        <w:tc>
          <w:tcPr>
            <w:tcW w:w="1332"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325"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430"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816" w:type="dxa"/>
            <w:tcBorders>
              <w:bottom w:val="single" w:sz="2" w:space="0" w:color="BCBEC0"/>
            </w:tcBorders>
            <w:vAlign w:val="center"/>
          </w:tcPr>
          <w:p>
            <w:pPr>
              <w:pStyle w:val="TableContents"/>
              <w:bidi w:val="0"/>
              <w:spacing w:before="0" w:after="283"/>
              <w:jc w:val="right"/>
              <w:rPr>
                <w:color w:val="231F20"/>
              </w:rPr>
            </w:pPr>
            <w:r>
              <w:rPr>
                <w:color w:val="231F20"/>
              </w:rPr>
              <w:t>288,991</w:t>
            </w:r>
          </w:p>
        </w:tc>
      </w:tr>
      <w:tr>
        <w:trPr/>
        <w:tc>
          <w:tcPr>
            <w:tcW w:w="1987" w:type="dxa"/>
            <w:tcBorders>
              <w:bottom w:val="single" w:sz="2" w:space="0" w:color="BCBEC0"/>
            </w:tcBorders>
            <w:shd w:fill="EBEBEC" w:val="clear"/>
            <w:vAlign w:val="center"/>
          </w:tcPr>
          <w:p>
            <w:pPr>
              <w:pStyle w:val="TableContents"/>
              <w:bidi w:val="0"/>
              <w:spacing w:before="0" w:after="283"/>
              <w:jc w:val="left"/>
              <w:rPr>
                <w:b/>
                <w:color w:val="3B5AA4"/>
              </w:rPr>
            </w:pPr>
            <w:r>
              <w:rPr>
                <w:b/>
                <w:color w:val="3B5AA4"/>
              </w:rPr>
              <w:t>Christine A. Poon</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14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170,000</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0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119,926</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95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479,846</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32"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2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43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16"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769,772</w:t>
            </w:r>
          </w:p>
        </w:tc>
      </w:tr>
      <w:tr>
        <w:trPr/>
        <w:tc>
          <w:tcPr>
            <w:tcW w:w="1987" w:type="dxa"/>
            <w:tcBorders>
              <w:bottom w:val="single" w:sz="2" w:space="0" w:color="BCBEC0"/>
            </w:tcBorders>
            <w:vAlign w:val="center"/>
          </w:tcPr>
          <w:p>
            <w:pPr>
              <w:pStyle w:val="TableContents"/>
              <w:bidi w:val="0"/>
              <w:spacing w:before="0" w:after="283"/>
              <w:jc w:val="left"/>
              <w:rPr>
                <w:b/>
                <w:color w:val="3B5AA4"/>
              </w:rPr>
            </w:pPr>
            <w:r>
              <w:rPr>
                <w:b/>
                <w:color w:val="3B5AA4"/>
              </w:rPr>
              <w:t>Arthur F. Ryan</w:t>
            </w:r>
          </w:p>
        </w:tc>
        <w:tc>
          <w:tcPr>
            <w:tcW w:w="60" w:type="dxa"/>
            <w:tcBorders>
              <w:bottom w:val="single" w:sz="2" w:space="0" w:color="BCBEC0"/>
            </w:tcBorders>
            <w:vAlign w:val="center"/>
          </w:tcPr>
          <w:p>
            <w:pPr>
              <w:pStyle w:val="TableContents"/>
              <w:bidi w:val="0"/>
              <w:spacing w:before="0" w:after="283"/>
              <w:jc w:val="left"/>
              <w:rPr/>
            </w:pPr>
            <w:r>
              <w:rPr/>
              <w:t> </w:t>
            </w:r>
          </w:p>
        </w:tc>
        <w:tc>
          <w:tcPr>
            <w:tcW w:w="1145" w:type="dxa"/>
            <w:tcBorders>
              <w:bottom w:val="single" w:sz="2" w:space="0" w:color="BCBEC0"/>
            </w:tcBorders>
            <w:vAlign w:val="center"/>
          </w:tcPr>
          <w:p>
            <w:pPr>
              <w:pStyle w:val="TableContents"/>
              <w:bidi w:val="0"/>
              <w:spacing w:before="0" w:after="283"/>
              <w:jc w:val="right"/>
              <w:rPr>
                <w:color w:val="231F20"/>
              </w:rPr>
            </w:pPr>
            <w:r>
              <w:rPr>
                <w:color w:val="231F20"/>
              </w:rPr>
              <w:t>120,000</w:t>
            </w:r>
          </w:p>
        </w:tc>
        <w:tc>
          <w:tcPr>
            <w:tcW w:w="60" w:type="dxa"/>
            <w:tcBorders>
              <w:bottom w:val="single" w:sz="2" w:space="0" w:color="BCBEC0"/>
            </w:tcBorders>
            <w:vAlign w:val="center"/>
          </w:tcPr>
          <w:p>
            <w:pPr>
              <w:pStyle w:val="TableContents"/>
              <w:bidi w:val="0"/>
              <w:spacing w:before="0" w:after="283"/>
              <w:jc w:val="left"/>
              <w:rPr/>
            </w:pPr>
            <w:r>
              <w:rPr/>
              <w:t> </w:t>
            </w:r>
          </w:p>
        </w:tc>
        <w:tc>
          <w:tcPr>
            <w:tcW w:w="800" w:type="dxa"/>
            <w:tcBorders>
              <w:bottom w:val="single" w:sz="2" w:space="0" w:color="BCBEC0"/>
            </w:tcBorders>
            <w:vAlign w:val="center"/>
          </w:tcPr>
          <w:p>
            <w:pPr>
              <w:pStyle w:val="TableContents"/>
              <w:bidi w:val="0"/>
              <w:spacing w:before="0" w:after="283"/>
              <w:jc w:val="right"/>
              <w:rPr>
                <w:color w:val="231F20"/>
              </w:rPr>
            </w:pPr>
            <w:r>
              <w:rPr>
                <w:color w:val="231F20"/>
              </w:rPr>
              <w:t>119,926</w:t>
            </w:r>
          </w:p>
        </w:tc>
        <w:tc>
          <w:tcPr>
            <w:tcW w:w="60" w:type="dxa"/>
            <w:tcBorders>
              <w:bottom w:val="single" w:sz="2" w:space="0" w:color="BCBEC0"/>
            </w:tcBorders>
            <w:vAlign w:val="center"/>
          </w:tcPr>
          <w:p>
            <w:pPr>
              <w:pStyle w:val="TableContents"/>
              <w:bidi w:val="0"/>
              <w:spacing w:before="0" w:after="283"/>
              <w:jc w:val="left"/>
              <w:rPr/>
            </w:pPr>
            <w:r>
              <w:rPr/>
              <w:t> </w:t>
            </w:r>
          </w:p>
        </w:tc>
        <w:tc>
          <w:tcPr>
            <w:tcW w:w="950" w:type="dxa"/>
            <w:tcBorders>
              <w:bottom w:val="single" w:sz="2" w:space="0" w:color="BCBEC0"/>
            </w:tcBorders>
            <w:vAlign w:val="center"/>
          </w:tcPr>
          <w:p>
            <w:pPr>
              <w:pStyle w:val="TableContents"/>
              <w:bidi w:val="0"/>
              <w:spacing w:before="0" w:after="283"/>
              <w:jc w:val="right"/>
              <w:rPr>
                <w:color w:val="231F20"/>
              </w:rPr>
            </w:pPr>
            <w:r>
              <w:rPr>
                <w:color w:val="231F20"/>
              </w:rPr>
              <w:t>479,846</w:t>
            </w:r>
          </w:p>
        </w:tc>
        <w:tc>
          <w:tcPr>
            <w:tcW w:w="60" w:type="dxa"/>
            <w:tcBorders>
              <w:bottom w:val="single" w:sz="2" w:space="0" w:color="BCBEC0"/>
            </w:tcBorders>
            <w:vAlign w:val="center"/>
          </w:tcPr>
          <w:p>
            <w:pPr>
              <w:pStyle w:val="TableContents"/>
              <w:bidi w:val="0"/>
              <w:spacing w:before="0" w:after="283"/>
              <w:jc w:val="left"/>
              <w:rPr/>
            </w:pPr>
            <w:r>
              <w:rPr/>
              <w:t> </w:t>
            </w:r>
          </w:p>
        </w:tc>
        <w:tc>
          <w:tcPr>
            <w:tcW w:w="1332"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325"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430"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816" w:type="dxa"/>
            <w:tcBorders>
              <w:bottom w:val="single" w:sz="2" w:space="0" w:color="BCBEC0"/>
            </w:tcBorders>
            <w:vAlign w:val="center"/>
          </w:tcPr>
          <w:p>
            <w:pPr>
              <w:pStyle w:val="TableContents"/>
              <w:bidi w:val="0"/>
              <w:spacing w:before="0" w:after="283"/>
              <w:jc w:val="right"/>
              <w:rPr>
                <w:color w:val="231F20"/>
              </w:rPr>
            </w:pPr>
            <w:r>
              <w:rPr>
                <w:color w:val="231F20"/>
              </w:rPr>
              <w:t>719,772</w:t>
            </w:r>
          </w:p>
        </w:tc>
      </w:tr>
      <w:tr>
        <w:trPr/>
        <w:tc>
          <w:tcPr>
            <w:tcW w:w="1987" w:type="dxa"/>
            <w:tcBorders>
              <w:bottom w:val="single" w:sz="2" w:space="0" w:color="BCBEC0"/>
            </w:tcBorders>
            <w:shd w:fill="EBEBEC" w:val="clear"/>
            <w:vAlign w:val="center"/>
          </w:tcPr>
          <w:p>
            <w:pPr>
              <w:pStyle w:val="TableContents"/>
              <w:bidi w:val="0"/>
              <w:spacing w:before="0" w:after="283"/>
              <w:jc w:val="left"/>
              <w:rPr>
                <w:b/>
                <w:color w:val="3B5AA4"/>
              </w:rPr>
            </w:pPr>
            <w:r>
              <w:rPr>
                <w:b/>
                <w:color w:val="3B5AA4"/>
              </w:rPr>
              <w:t>David P. Schenkein, M.D.</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14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100,000</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0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37,310</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95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151,681</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32"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2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43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16"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288,991</w:t>
            </w:r>
          </w:p>
        </w:tc>
      </w:tr>
      <w:tr>
        <w:trPr/>
        <w:tc>
          <w:tcPr>
            <w:tcW w:w="1987" w:type="dxa"/>
            <w:tcBorders>
              <w:bottom w:val="single" w:sz="2" w:space="0" w:color="BCBEC0"/>
            </w:tcBorders>
            <w:vAlign w:val="center"/>
          </w:tcPr>
          <w:p>
            <w:pPr>
              <w:pStyle w:val="TableContents"/>
              <w:bidi w:val="0"/>
              <w:spacing w:before="0" w:after="283"/>
              <w:jc w:val="left"/>
              <w:rPr>
                <w:b/>
                <w:color w:val="3B5AA4"/>
              </w:rPr>
            </w:pPr>
            <w:r>
              <w:rPr>
                <w:b/>
                <w:color w:val="3B5AA4"/>
              </w:rPr>
              <w:t>George L. Sing</w:t>
            </w:r>
          </w:p>
        </w:tc>
        <w:tc>
          <w:tcPr>
            <w:tcW w:w="60" w:type="dxa"/>
            <w:tcBorders>
              <w:bottom w:val="single" w:sz="2" w:space="0" w:color="BCBEC0"/>
            </w:tcBorders>
            <w:vAlign w:val="center"/>
          </w:tcPr>
          <w:p>
            <w:pPr>
              <w:pStyle w:val="TableContents"/>
              <w:bidi w:val="0"/>
              <w:spacing w:before="0" w:after="283"/>
              <w:jc w:val="left"/>
              <w:rPr/>
            </w:pPr>
            <w:r>
              <w:rPr/>
              <w:t> </w:t>
            </w:r>
          </w:p>
        </w:tc>
        <w:tc>
          <w:tcPr>
            <w:tcW w:w="1145" w:type="dxa"/>
            <w:tcBorders>
              <w:bottom w:val="single" w:sz="2" w:space="0" w:color="BCBEC0"/>
            </w:tcBorders>
            <w:vAlign w:val="center"/>
          </w:tcPr>
          <w:p>
            <w:pPr>
              <w:pStyle w:val="TableContents"/>
              <w:bidi w:val="0"/>
              <w:spacing w:before="0" w:after="283"/>
              <w:jc w:val="right"/>
              <w:rPr>
                <w:color w:val="231F20"/>
              </w:rPr>
            </w:pPr>
            <w:r>
              <w:rPr>
                <w:color w:val="231F20"/>
              </w:rPr>
              <w:t>120,000</w:t>
            </w:r>
          </w:p>
        </w:tc>
        <w:tc>
          <w:tcPr>
            <w:tcW w:w="60" w:type="dxa"/>
            <w:tcBorders>
              <w:bottom w:val="single" w:sz="2" w:space="0" w:color="BCBEC0"/>
            </w:tcBorders>
            <w:vAlign w:val="center"/>
          </w:tcPr>
          <w:p>
            <w:pPr>
              <w:pStyle w:val="TableContents"/>
              <w:bidi w:val="0"/>
              <w:spacing w:before="0" w:after="283"/>
              <w:jc w:val="left"/>
              <w:rPr/>
            </w:pPr>
            <w:r>
              <w:rPr/>
              <w:t> </w:t>
            </w:r>
          </w:p>
        </w:tc>
        <w:tc>
          <w:tcPr>
            <w:tcW w:w="800" w:type="dxa"/>
            <w:tcBorders>
              <w:bottom w:val="single" w:sz="2" w:space="0" w:color="BCBEC0"/>
            </w:tcBorders>
            <w:vAlign w:val="center"/>
          </w:tcPr>
          <w:p>
            <w:pPr>
              <w:pStyle w:val="TableContents"/>
              <w:bidi w:val="0"/>
              <w:spacing w:before="0" w:after="283"/>
              <w:jc w:val="right"/>
              <w:rPr>
                <w:color w:val="231F20"/>
              </w:rPr>
            </w:pPr>
            <w:r>
              <w:rPr>
                <w:color w:val="231F20"/>
              </w:rPr>
              <w:t>119,926</w:t>
            </w:r>
          </w:p>
        </w:tc>
        <w:tc>
          <w:tcPr>
            <w:tcW w:w="60" w:type="dxa"/>
            <w:tcBorders>
              <w:bottom w:val="single" w:sz="2" w:space="0" w:color="BCBEC0"/>
            </w:tcBorders>
            <w:vAlign w:val="center"/>
          </w:tcPr>
          <w:p>
            <w:pPr>
              <w:pStyle w:val="TableContents"/>
              <w:bidi w:val="0"/>
              <w:spacing w:before="0" w:after="283"/>
              <w:jc w:val="left"/>
              <w:rPr/>
            </w:pPr>
            <w:r>
              <w:rPr/>
              <w:t> </w:t>
            </w:r>
          </w:p>
        </w:tc>
        <w:tc>
          <w:tcPr>
            <w:tcW w:w="950" w:type="dxa"/>
            <w:tcBorders>
              <w:bottom w:val="single" w:sz="2" w:space="0" w:color="BCBEC0"/>
            </w:tcBorders>
            <w:vAlign w:val="center"/>
          </w:tcPr>
          <w:p>
            <w:pPr>
              <w:pStyle w:val="TableContents"/>
              <w:bidi w:val="0"/>
              <w:spacing w:before="0" w:after="283"/>
              <w:jc w:val="right"/>
              <w:rPr>
                <w:color w:val="231F20"/>
              </w:rPr>
            </w:pPr>
            <w:r>
              <w:rPr>
                <w:color w:val="231F20"/>
              </w:rPr>
              <w:t>479,846</w:t>
            </w:r>
          </w:p>
        </w:tc>
        <w:tc>
          <w:tcPr>
            <w:tcW w:w="60" w:type="dxa"/>
            <w:tcBorders>
              <w:bottom w:val="single" w:sz="2" w:space="0" w:color="BCBEC0"/>
            </w:tcBorders>
            <w:vAlign w:val="center"/>
          </w:tcPr>
          <w:p>
            <w:pPr>
              <w:pStyle w:val="TableContents"/>
              <w:bidi w:val="0"/>
              <w:spacing w:before="0" w:after="283"/>
              <w:jc w:val="left"/>
              <w:rPr/>
            </w:pPr>
            <w:r>
              <w:rPr/>
              <w:t> </w:t>
            </w:r>
          </w:p>
        </w:tc>
        <w:tc>
          <w:tcPr>
            <w:tcW w:w="1332"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325"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1430" w:type="dxa"/>
            <w:tcBorders>
              <w:bottom w:val="single" w:sz="2" w:space="0" w:color="BCBEC0"/>
            </w:tcBorders>
            <w:vAlign w:val="center"/>
          </w:tcPr>
          <w:p>
            <w:pPr>
              <w:pStyle w:val="TableContents"/>
              <w:bidi w:val="0"/>
              <w:spacing w:before="0" w:after="283"/>
              <w:jc w:val="right"/>
              <w:rPr/>
            </w:pPr>
            <w:r>
              <w:rPr>
                <w:color w:val="231F20"/>
              </w:rPr>
              <w:t>5,000</w:t>
            </w:r>
            <w:r>
              <w:rPr>
                <w:color w:val="010101"/>
                <w:position w:val="8"/>
                <w:sz w:val="19"/>
              </w:rPr>
              <w:t>4</w:t>
            </w:r>
          </w:p>
        </w:tc>
        <w:tc>
          <w:tcPr>
            <w:tcW w:w="60" w:type="dxa"/>
            <w:tcBorders>
              <w:bottom w:val="single" w:sz="2" w:space="0" w:color="BCBEC0"/>
            </w:tcBorders>
            <w:vAlign w:val="center"/>
          </w:tcPr>
          <w:p>
            <w:pPr>
              <w:pStyle w:val="TableContents"/>
              <w:bidi w:val="0"/>
              <w:spacing w:before="0" w:after="283"/>
              <w:jc w:val="left"/>
              <w:rPr/>
            </w:pPr>
            <w:r>
              <w:rPr/>
              <w:t> </w:t>
            </w:r>
          </w:p>
        </w:tc>
        <w:tc>
          <w:tcPr>
            <w:tcW w:w="816" w:type="dxa"/>
            <w:tcBorders>
              <w:bottom w:val="single" w:sz="2" w:space="0" w:color="BCBEC0"/>
            </w:tcBorders>
            <w:vAlign w:val="center"/>
          </w:tcPr>
          <w:p>
            <w:pPr>
              <w:pStyle w:val="TableContents"/>
              <w:bidi w:val="0"/>
              <w:spacing w:before="0" w:after="283"/>
              <w:jc w:val="right"/>
              <w:rPr>
                <w:color w:val="231F20"/>
              </w:rPr>
            </w:pPr>
            <w:r>
              <w:rPr>
                <w:color w:val="231F20"/>
              </w:rPr>
              <w:t>724,772</w:t>
            </w:r>
          </w:p>
        </w:tc>
      </w:tr>
      <w:tr>
        <w:trPr/>
        <w:tc>
          <w:tcPr>
            <w:tcW w:w="1987" w:type="dxa"/>
            <w:tcBorders>
              <w:bottom w:val="single" w:sz="2" w:space="0" w:color="BCBEC0"/>
            </w:tcBorders>
            <w:shd w:fill="EBEBEC" w:val="clear"/>
            <w:vAlign w:val="center"/>
          </w:tcPr>
          <w:p>
            <w:pPr>
              <w:pStyle w:val="TableContents"/>
              <w:bidi w:val="0"/>
              <w:spacing w:before="0" w:after="283"/>
              <w:jc w:val="left"/>
              <w:rPr>
                <w:b/>
                <w:color w:val="3B5AA4"/>
              </w:rPr>
            </w:pPr>
            <w:r>
              <w:rPr>
                <w:b/>
                <w:color w:val="3B5AA4"/>
              </w:rPr>
              <w:t>Craig B. Thompson, M.D.</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14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100,000</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0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119,926</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95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479,846</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32"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32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143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816"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699,772</w:t>
            </w:r>
          </w:p>
        </w:tc>
      </w:tr>
      <w:tr>
        <w:trPr/>
        <w:tc>
          <w:tcPr>
            <w:tcW w:w="1987" w:type="dxa"/>
            <w:tcBorders>
              <w:bottom w:val="single" w:sz="12" w:space="0" w:color="3B5AA4"/>
            </w:tcBorders>
            <w:vAlign w:val="center"/>
          </w:tcPr>
          <w:p>
            <w:pPr>
              <w:pStyle w:val="TableContents"/>
              <w:bidi w:val="0"/>
              <w:spacing w:before="0" w:after="283"/>
              <w:jc w:val="left"/>
              <w:rPr>
                <w:b/>
                <w:color w:val="3B5AA4"/>
              </w:rPr>
            </w:pPr>
            <w:r>
              <w:rPr>
                <w:b/>
                <w:color w:val="3B5AA4"/>
              </w:rPr>
              <w:t>Huda Y. Zoghbi, M.D.</w:t>
            </w:r>
          </w:p>
        </w:tc>
        <w:tc>
          <w:tcPr>
            <w:tcW w:w="60" w:type="dxa"/>
            <w:tcBorders>
              <w:bottom w:val="single" w:sz="12" w:space="0" w:color="3B5AA4"/>
            </w:tcBorders>
            <w:vAlign w:val="center"/>
          </w:tcPr>
          <w:p>
            <w:pPr>
              <w:pStyle w:val="TableContents"/>
              <w:bidi w:val="0"/>
              <w:spacing w:before="0" w:after="283"/>
              <w:jc w:val="left"/>
              <w:rPr/>
            </w:pPr>
            <w:r>
              <w:rPr/>
              <w:t> </w:t>
            </w:r>
          </w:p>
        </w:tc>
        <w:tc>
          <w:tcPr>
            <w:tcW w:w="1145" w:type="dxa"/>
            <w:tcBorders>
              <w:bottom w:val="single" w:sz="12" w:space="0" w:color="3B5AA4"/>
            </w:tcBorders>
            <w:vAlign w:val="center"/>
          </w:tcPr>
          <w:p>
            <w:pPr>
              <w:pStyle w:val="TableContents"/>
              <w:bidi w:val="0"/>
              <w:spacing w:before="0" w:after="283"/>
              <w:jc w:val="right"/>
              <w:rPr>
                <w:color w:val="231F20"/>
              </w:rPr>
            </w:pPr>
            <w:r>
              <w:rPr>
                <w:color w:val="231F20"/>
              </w:rPr>
              <w:t>110,000</w:t>
            </w:r>
          </w:p>
        </w:tc>
        <w:tc>
          <w:tcPr>
            <w:tcW w:w="60" w:type="dxa"/>
            <w:tcBorders>
              <w:bottom w:val="single" w:sz="12" w:space="0" w:color="3B5AA4"/>
            </w:tcBorders>
            <w:vAlign w:val="center"/>
          </w:tcPr>
          <w:p>
            <w:pPr>
              <w:pStyle w:val="TableContents"/>
              <w:bidi w:val="0"/>
              <w:spacing w:before="0" w:after="283"/>
              <w:jc w:val="left"/>
              <w:rPr/>
            </w:pPr>
            <w:r>
              <w:rPr/>
              <w:t> </w:t>
            </w:r>
          </w:p>
        </w:tc>
        <w:tc>
          <w:tcPr>
            <w:tcW w:w="800" w:type="dxa"/>
            <w:tcBorders>
              <w:bottom w:val="single" w:sz="12" w:space="0" w:color="3B5AA4"/>
            </w:tcBorders>
            <w:vAlign w:val="center"/>
          </w:tcPr>
          <w:p>
            <w:pPr>
              <w:pStyle w:val="TableContents"/>
              <w:bidi w:val="0"/>
              <w:spacing w:before="0" w:after="283"/>
              <w:jc w:val="right"/>
              <w:rPr>
                <w:color w:val="231F20"/>
              </w:rPr>
            </w:pPr>
            <w:r>
              <w:rPr>
                <w:color w:val="231F20"/>
              </w:rPr>
              <w:t>119,926</w:t>
            </w:r>
          </w:p>
        </w:tc>
        <w:tc>
          <w:tcPr>
            <w:tcW w:w="60" w:type="dxa"/>
            <w:tcBorders>
              <w:bottom w:val="single" w:sz="12" w:space="0" w:color="3B5AA4"/>
            </w:tcBorders>
            <w:vAlign w:val="center"/>
          </w:tcPr>
          <w:p>
            <w:pPr>
              <w:pStyle w:val="TableContents"/>
              <w:bidi w:val="0"/>
              <w:spacing w:before="0" w:after="283"/>
              <w:jc w:val="left"/>
              <w:rPr/>
            </w:pPr>
            <w:r>
              <w:rPr/>
              <w:t> </w:t>
            </w:r>
          </w:p>
        </w:tc>
        <w:tc>
          <w:tcPr>
            <w:tcW w:w="950" w:type="dxa"/>
            <w:tcBorders>
              <w:bottom w:val="single" w:sz="12" w:space="0" w:color="3B5AA4"/>
            </w:tcBorders>
            <w:vAlign w:val="center"/>
          </w:tcPr>
          <w:p>
            <w:pPr>
              <w:pStyle w:val="TableContents"/>
              <w:bidi w:val="0"/>
              <w:spacing w:before="0" w:after="283"/>
              <w:jc w:val="right"/>
              <w:rPr>
                <w:color w:val="231F20"/>
              </w:rPr>
            </w:pPr>
            <w:r>
              <w:rPr>
                <w:color w:val="231F20"/>
              </w:rPr>
              <w:t>479,846</w:t>
            </w:r>
          </w:p>
        </w:tc>
        <w:tc>
          <w:tcPr>
            <w:tcW w:w="60" w:type="dxa"/>
            <w:tcBorders>
              <w:bottom w:val="single" w:sz="12" w:space="0" w:color="3B5AA4"/>
            </w:tcBorders>
            <w:vAlign w:val="center"/>
          </w:tcPr>
          <w:p>
            <w:pPr>
              <w:pStyle w:val="TableContents"/>
              <w:bidi w:val="0"/>
              <w:spacing w:before="0" w:after="283"/>
              <w:jc w:val="left"/>
              <w:rPr/>
            </w:pPr>
            <w:r>
              <w:rPr/>
              <w:t> </w:t>
            </w:r>
          </w:p>
        </w:tc>
        <w:tc>
          <w:tcPr>
            <w:tcW w:w="1332" w:type="dxa"/>
            <w:tcBorders>
              <w:bottom w:val="single" w:sz="12" w:space="0" w:color="3B5AA4"/>
            </w:tcBorders>
            <w:vAlign w:val="center"/>
          </w:tcPr>
          <w:p>
            <w:pPr>
              <w:pStyle w:val="TableContents"/>
              <w:bidi w:val="0"/>
              <w:spacing w:before="0" w:after="283"/>
              <w:jc w:val="right"/>
              <w:rPr>
                <w:color w:val="231F20"/>
              </w:rPr>
            </w:pPr>
            <w:r>
              <w:rPr>
                <w:color w:val="231F20"/>
              </w:rPr>
              <w:t>—</w:t>
            </w:r>
          </w:p>
        </w:tc>
        <w:tc>
          <w:tcPr>
            <w:tcW w:w="60" w:type="dxa"/>
            <w:tcBorders>
              <w:bottom w:val="single" w:sz="12" w:space="0" w:color="3B5AA4"/>
            </w:tcBorders>
            <w:vAlign w:val="center"/>
          </w:tcPr>
          <w:p>
            <w:pPr>
              <w:pStyle w:val="TableContents"/>
              <w:bidi w:val="0"/>
              <w:spacing w:before="0" w:after="283"/>
              <w:jc w:val="left"/>
              <w:rPr/>
            </w:pPr>
            <w:r>
              <w:rPr/>
              <w:t> </w:t>
            </w:r>
          </w:p>
        </w:tc>
        <w:tc>
          <w:tcPr>
            <w:tcW w:w="1325" w:type="dxa"/>
            <w:tcBorders>
              <w:bottom w:val="single" w:sz="12" w:space="0" w:color="3B5AA4"/>
            </w:tcBorders>
            <w:vAlign w:val="center"/>
          </w:tcPr>
          <w:p>
            <w:pPr>
              <w:pStyle w:val="TableContents"/>
              <w:bidi w:val="0"/>
              <w:spacing w:before="0" w:after="283"/>
              <w:jc w:val="right"/>
              <w:rPr>
                <w:color w:val="231F20"/>
              </w:rPr>
            </w:pPr>
            <w:r>
              <w:rPr>
                <w:color w:val="231F20"/>
              </w:rPr>
              <w:t>—</w:t>
            </w:r>
          </w:p>
        </w:tc>
        <w:tc>
          <w:tcPr>
            <w:tcW w:w="60" w:type="dxa"/>
            <w:tcBorders>
              <w:bottom w:val="single" w:sz="12" w:space="0" w:color="3B5AA4"/>
            </w:tcBorders>
            <w:vAlign w:val="center"/>
          </w:tcPr>
          <w:p>
            <w:pPr>
              <w:pStyle w:val="TableContents"/>
              <w:bidi w:val="0"/>
              <w:spacing w:before="0" w:after="283"/>
              <w:jc w:val="left"/>
              <w:rPr/>
            </w:pPr>
            <w:r>
              <w:rPr/>
              <w:t> </w:t>
            </w:r>
          </w:p>
        </w:tc>
        <w:tc>
          <w:tcPr>
            <w:tcW w:w="1430" w:type="dxa"/>
            <w:tcBorders>
              <w:bottom w:val="single" w:sz="12" w:space="0" w:color="3B5AA4"/>
            </w:tcBorders>
            <w:vAlign w:val="center"/>
          </w:tcPr>
          <w:p>
            <w:pPr>
              <w:pStyle w:val="TableContents"/>
              <w:bidi w:val="0"/>
              <w:spacing w:before="0" w:after="283"/>
              <w:jc w:val="right"/>
              <w:rPr/>
            </w:pPr>
            <w:r>
              <w:rPr>
                <w:color w:val="231F20"/>
              </w:rPr>
              <w:t>5,000</w:t>
            </w:r>
            <w:r>
              <w:rPr>
                <w:color w:val="010101"/>
                <w:position w:val="8"/>
                <w:sz w:val="19"/>
              </w:rPr>
              <w:t>4</w:t>
            </w:r>
          </w:p>
        </w:tc>
        <w:tc>
          <w:tcPr>
            <w:tcW w:w="60" w:type="dxa"/>
            <w:tcBorders>
              <w:bottom w:val="single" w:sz="12" w:space="0" w:color="3B5AA4"/>
            </w:tcBorders>
            <w:vAlign w:val="center"/>
          </w:tcPr>
          <w:p>
            <w:pPr>
              <w:pStyle w:val="TableContents"/>
              <w:bidi w:val="0"/>
              <w:spacing w:before="0" w:after="283"/>
              <w:jc w:val="left"/>
              <w:rPr/>
            </w:pPr>
            <w:r>
              <w:rPr/>
              <w:t> </w:t>
            </w:r>
          </w:p>
        </w:tc>
        <w:tc>
          <w:tcPr>
            <w:tcW w:w="816" w:type="dxa"/>
            <w:tcBorders>
              <w:bottom w:val="single" w:sz="12" w:space="0" w:color="3B5AA4"/>
            </w:tcBorders>
            <w:vAlign w:val="center"/>
          </w:tcPr>
          <w:p>
            <w:pPr>
              <w:pStyle w:val="TableContents"/>
              <w:bidi w:val="0"/>
              <w:spacing w:before="0" w:after="283"/>
              <w:jc w:val="right"/>
              <w:rPr>
                <w:color w:val="231F20"/>
              </w:rPr>
            </w:pPr>
            <w:r>
              <w:rPr>
                <w:color w:val="231F20"/>
              </w:rPr>
              <w:t>714,772</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231F20"/>
                <w:position w:val="8"/>
                <w:sz w:val="19"/>
              </w:rPr>
            </w:pPr>
            <w:r>
              <w:rPr>
                <w:color w:val="231F20"/>
                <w:position w:val="8"/>
                <w:sz w:val="19"/>
              </w:rPr>
              <w:t>1</w:t>
            </w:r>
          </w:p>
        </w:tc>
        <w:tc>
          <w:tcPr>
            <w:tcW w:w="10065" w:type="dxa"/>
            <w:tcBorders/>
            <w:vAlign w:val="center"/>
          </w:tcPr>
          <w:p>
            <w:pPr>
              <w:pStyle w:val="TableContents"/>
              <w:bidi w:val="0"/>
              <w:spacing w:before="0" w:after="283"/>
              <w:jc w:val="left"/>
              <w:rPr>
                <w:color w:val="231F20"/>
              </w:rPr>
            </w:pPr>
            <w:r>
              <w:rPr>
                <w:color w:val="231F20"/>
              </w:rPr>
              <w:t>The amounts in columns C and D reflect the respective aggregate grant date fair values of RSUs and options awarded during the year ended December 31, 2024 pursuant to the Second Amended and Restated Regeneron Pharmaceuticals, Inc. 2014 Long-Term Incentive Plan. Valuation assumptions and methodologies used in the calculation of these amounts do not take into account expected forfeitures and are otherwise described in Note 13 to the Company’s audited financial statements for the fiscal year ended December 31, 2024 included in our Annual Report on Form 10-K for the fiscal year ended December 31, 2024 filed with the SEC on February 5, 2025 (the “2024 Annual Report”).</w:t>
            </w:r>
          </w:p>
        </w:tc>
      </w:tr>
      <w:tr>
        <w:trPr/>
        <w:tc>
          <w:tcPr>
            <w:tcW w:w="140" w:type="dxa"/>
            <w:tcBorders/>
            <w:vAlign w:val="center"/>
          </w:tcPr>
          <w:p>
            <w:pPr>
              <w:pStyle w:val="TableContents"/>
              <w:bidi w:val="0"/>
              <w:spacing w:before="0" w:after="283"/>
              <w:jc w:val="left"/>
              <w:rPr>
                <w:color w:val="231F20"/>
                <w:position w:val="8"/>
                <w:sz w:val="19"/>
              </w:rPr>
            </w:pPr>
            <w:r>
              <w:rPr>
                <w:color w:val="231F20"/>
                <w:position w:val="8"/>
                <w:sz w:val="19"/>
              </w:rPr>
              <w:t>2</w:t>
            </w:r>
          </w:p>
        </w:tc>
        <w:tc>
          <w:tcPr>
            <w:tcW w:w="10065" w:type="dxa"/>
            <w:tcBorders/>
            <w:vAlign w:val="center"/>
          </w:tcPr>
          <w:p>
            <w:pPr>
              <w:pStyle w:val="TableContents"/>
              <w:bidi w:val="0"/>
              <w:spacing w:before="0" w:after="283"/>
              <w:jc w:val="left"/>
              <w:rPr>
                <w:color w:val="231F20"/>
              </w:rPr>
            </w:pPr>
            <w:r>
              <w:rPr>
                <w:color w:val="231F20"/>
              </w:rPr>
              <w:t>As of December 31, 2024, the non-employee directors listed in this table had the following aggregate number of stock option awards outstanding: Dr. Bassler: 17,115; Dr. Brown: 4,918; Dr. Coles: 7,625; Dr. Goldstein: 4,918; Dr. Guarini: 3,529; Ms. Poon: 43,864; Mr. Ryan: 7,625; Dr. Schenkein: 3,529; Mr. Sing: 43,864; Dr. Thompson: 5,754; and Dr. Zoghbi: 29,260. As of December 31, 2024, these individuals had the following aggregate number of RSU awards outstanding: Dr. Bassler: 1,382; Dr. Brown: 1,382; Dr. Coles: 1,382; Dr. Goldstein: 1,382; Dr. Guarini: 282; Ms. Poon: 1,382; Mr. Ryan: 1,382; Dr. Schenkein: 282; Mr. Sing: 1,382; Dr. Thompson: 454; and Dr. Zoghbi: 1,382.</w:t>
            </w:r>
          </w:p>
        </w:tc>
      </w:tr>
      <w:tr>
        <w:trPr/>
        <w:tc>
          <w:tcPr>
            <w:tcW w:w="140" w:type="dxa"/>
            <w:tcBorders/>
            <w:vAlign w:val="center"/>
          </w:tcPr>
          <w:p>
            <w:pPr>
              <w:pStyle w:val="TableContents"/>
              <w:bidi w:val="0"/>
              <w:spacing w:before="0" w:after="283"/>
              <w:jc w:val="left"/>
              <w:rPr>
                <w:color w:val="231F20"/>
                <w:position w:val="8"/>
                <w:sz w:val="19"/>
              </w:rPr>
            </w:pPr>
            <w:r>
              <w:rPr>
                <w:color w:val="231F20"/>
                <w:position w:val="8"/>
                <w:sz w:val="19"/>
              </w:rPr>
              <w:t>3</w:t>
            </w:r>
          </w:p>
        </w:tc>
        <w:tc>
          <w:tcPr>
            <w:tcW w:w="10065" w:type="dxa"/>
            <w:tcBorders/>
            <w:vAlign w:val="center"/>
          </w:tcPr>
          <w:p>
            <w:pPr>
              <w:pStyle w:val="TableContents"/>
              <w:bidi w:val="0"/>
              <w:spacing w:before="0" w:after="283"/>
              <w:jc w:val="left"/>
              <w:rPr>
                <w:color w:val="231F20"/>
              </w:rPr>
            </w:pPr>
            <w:r>
              <w:rPr>
                <w:color w:val="231F20"/>
              </w:rPr>
              <w:t>See the subsection “Compensation-Related Matters—Compensation Dashboard—Additional Compensation Information—Perquisites and Personal Benefits” for information regarding director air transportation in accordance with guidelines approved by our board of directors.</w:t>
            </w:r>
          </w:p>
        </w:tc>
      </w:tr>
      <w:tr>
        <w:trPr/>
        <w:tc>
          <w:tcPr>
            <w:tcW w:w="140" w:type="dxa"/>
            <w:tcBorders/>
            <w:vAlign w:val="center"/>
          </w:tcPr>
          <w:p>
            <w:pPr>
              <w:pStyle w:val="TableContents"/>
              <w:bidi w:val="0"/>
              <w:spacing w:before="0" w:after="283"/>
              <w:jc w:val="left"/>
              <w:rPr>
                <w:color w:val="231F20"/>
                <w:position w:val="8"/>
                <w:sz w:val="19"/>
              </w:rPr>
            </w:pPr>
            <w:r>
              <w:rPr>
                <w:color w:val="231F20"/>
                <w:position w:val="8"/>
                <w:sz w:val="19"/>
              </w:rPr>
              <w:t>4</w:t>
            </w:r>
          </w:p>
        </w:tc>
        <w:tc>
          <w:tcPr>
            <w:tcW w:w="10065" w:type="dxa"/>
            <w:tcBorders/>
            <w:vAlign w:val="center"/>
          </w:tcPr>
          <w:p>
            <w:pPr>
              <w:pStyle w:val="TableContents"/>
              <w:bidi w:val="0"/>
              <w:spacing w:before="0" w:after="283"/>
              <w:jc w:val="left"/>
              <w:rPr>
                <w:color w:val="231F20"/>
              </w:rPr>
            </w:pPr>
            <w:r>
              <w:rPr>
                <w:color w:val="231F20"/>
              </w:rPr>
              <w:t>Consists of a Company contribution paid or payable on or before April 15, 2025 under the Regeneron Matching Gift Program in respect of charitable gifts made in 2024.</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90"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73" descr=""/>
                          <pic:cNvPicPr>
                            <a:picLocks noChangeAspect="1" noChangeArrowheads="1"/>
                          </pic:cNvPicPr>
                        </pic:nvPicPr>
                        <pic:blipFill>
                          <a:blip r:embed="rId185"/>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60" w:type="dxa"/>
        <w:jc w:val="left"/>
        <w:tblInd w:w="0" w:type="dxa"/>
        <w:tblLayout w:type="fixed"/>
        <w:tblCellMar>
          <w:top w:w="0" w:type="dxa"/>
          <w:left w:w="0" w:type="dxa"/>
          <w:bottom w:w="0" w:type="dxa"/>
          <w:right w:w="0" w:type="dxa"/>
        </w:tblCellMar>
      </w:tblPr>
      <w:tblGrid>
        <w:gridCol w:w="1325"/>
        <w:gridCol w:w="60"/>
        <w:gridCol w:w="1925"/>
        <w:gridCol w:w="60"/>
        <w:gridCol w:w="2180"/>
        <w:gridCol w:w="60"/>
        <w:gridCol w:w="1385"/>
        <w:gridCol w:w="60"/>
        <w:gridCol w:w="1505"/>
        <w:gridCol w:w="60"/>
        <w:gridCol w:w="1340"/>
      </w:tblGrid>
      <w:tr>
        <w:trPr/>
        <w:tc>
          <w:tcPr>
            <w:tcW w:w="1325" w:type="dxa"/>
            <w:tcBorders/>
            <w:vAlign w:val="center"/>
          </w:tcPr>
          <w:p>
            <w:pPr>
              <w:pStyle w:val="TableContents"/>
              <w:bidi w:val="0"/>
              <w:spacing w:before="0" w:after="283"/>
              <w:jc w:val="left"/>
              <w:rPr/>
            </w:pPr>
            <w:hyperlink w:anchor="regn013211-def14ac001">
              <w:r>
                <w:rPr>
                  <w:rStyle w:val="InternetLink"/>
                  <w:b/>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925" w:type="dxa"/>
            <w:tcBorders>
              <w:bottom w:val="single" w:sz="18" w:space="0" w:color="C60C45"/>
            </w:tcBorders>
            <w:tcMar>
              <w:bottom w:w="45" w:type="dxa"/>
            </w:tcMar>
            <w:vAlign w:val="center"/>
          </w:tcPr>
          <w:p>
            <w:pPr>
              <w:pStyle w:val="TableContents"/>
              <w:bidi w:val="0"/>
              <w:spacing w:before="0" w:after="283"/>
              <w:jc w:val="left"/>
              <w:rPr/>
            </w:pPr>
            <w:hyperlink w:anchor="regn013211-def14ac002">
              <w:r>
                <w:rPr>
                  <w:rStyle w:val="InternetLink"/>
                  <w:b/>
                  <w:strike w:val="false"/>
                  <w:dstrike w:val="false"/>
                  <w:color w:val="3B59A4"/>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2855" w:type="dxa"/>
        <w:jc w:val="left"/>
        <w:tblInd w:w="-60" w:type="dxa"/>
        <w:tblLayout w:type="fixed"/>
        <w:tblCellMar>
          <w:top w:w="0" w:type="dxa"/>
          <w:left w:w="200" w:type="dxa"/>
          <w:bottom w:w="0" w:type="dxa"/>
          <w:right w:w="0" w:type="dxa"/>
        </w:tblCellMar>
      </w:tblPr>
      <w:tblGrid>
        <w:gridCol w:w="2855"/>
      </w:tblGrid>
      <w:tr>
        <w:trPr/>
        <w:tc>
          <w:tcPr>
            <w:tcW w:w="2855" w:type="dxa"/>
            <w:tcBorders>
              <w:left w:val="single" w:sz="48" w:space="0" w:color="3B5AA4"/>
            </w:tcBorders>
            <w:shd w:fill="EBEDF8" w:val="clear"/>
            <w:vAlign w:val="center"/>
          </w:tcPr>
          <w:p>
            <w:pPr>
              <w:pStyle w:val="Heading4"/>
              <w:bidi w:val="0"/>
              <w:spacing w:before="0" w:after="0"/>
              <w:ind w:left="0" w:right="0" w:hanging="0"/>
              <w:jc w:val="left"/>
              <w:rPr>
                <w:rFonts w:ascii="Arial;Helvetica;Sans-Serif" w:hAnsi="Arial;Helvetica;Sans-Serif"/>
                <w:b w:val="false"/>
                <w:i w:val="false"/>
                <w:caps w:val="false"/>
                <w:smallCaps w:val="false"/>
                <w:color w:val="231F20"/>
                <w:sz w:val="18"/>
              </w:rPr>
            </w:pPr>
            <w:bookmarkStart w:id="22" w:name="regn013211-def14aa015"/>
            <w:bookmarkEnd w:id="22"/>
            <w:r>
              <w:rPr>
                <w:rFonts w:ascii="Arial;Helvetica;Sans-Serif" w:hAnsi="Arial;Helvetica;Sans-Serif"/>
                <w:b w:val="false"/>
                <w:i w:val="false"/>
                <w:caps w:val="false"/>
                <w:smallCaps w:val="false"/>
                <w:color w:val="231F20"/>
                <w:sz w:val="18"/>
              </w:rPr>
              <w:t>Proposal No. 1</w:t>
            </w:r>
          </w:p>
          <w:p>
            <w:pPr>
              <w:pStyle w:val="TableContents"/>
              <w:bidi w:val="0"/>
              <w:spacing w:before="0" w:after="0"/>
              <w:ind w:left="0" w:right="0" w:hanging="0"/>
              <w:jc w:val="left"/>
              <w:rPr>
                <w:rFonts w:ascii="Arial;Helvetica;Sans-Serif" w:hAnsi="Arial;Helvetica;Sans-Serif"/>
                <w:b/>
                <w:i w:val="false"/>
                <w:caps w:val="false"/>
                <w:smallCaps w:val="false"/>
                <w:color w:val="3B5AA4"/>
                <w:sz w:val="28"/>
              </w:rPr>
            </w:pPr>
            <w:r>
              <w:rPr>
                <w:rFonts w:ascii="Arial;Helvetica;Sans-Serif" w:hAnsi="Arial;Helvetica;Sans-Serif"/>
                <w:b/>
                <w:i w:val="false"/>
                <w:caps w:val="false"/>
                <w:smallCaps w:val="false"/>
                <w:color w:val="3B5AA4"/>
                <w:sz w:val="28"/>
              </w:rPr>
              <w:t>Election of Directors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30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upon the recommendation of the Corporate Governance and Compliance Committee, has nominated for election at the 2025 Annual Meeting Bonnie L. Bassler, Ph.D., Michael S. Brown, M.D., Leonard S. Schleifer, M.D., Ph.D., and George D. Yancopoulos, M.D., Ph.D. as Class I Directors for a three-year term expiring at the 2028 Annual Meeting.</w:t>
      </w:r>
    </w:p>
    <w:p>
      <w:pPr>
        <w:pStyle w:val="TextBody"/>
        <w:bidi w:val="0"/>
        <w:spacing w:before="0" w:after="0"/>
        <w:ind w:left="0" w:right="0" w:firstLine="720"/>
        <w:jc w:val="left"/>
        <w:rPr>
          <w:caps w:val="false"/>
          <w:smallCaps w:val="false"/>
          <w:color w:val="231F20"/>
        </w:rPr>
      </w:pPr>
      <w:r>
        <w:rPr>
          <w:caps w:val="false"/>
          <w:smallCaps w:val="false"/>
          <w:color w:val="231F20"/>
        </w:rPr>
        <w:t> </w:t>
      </w:r>
    </w:p>
    <w:tbl>
      <w:tblPr>
        <w:tblW w:w="9245" w:type="dxa"/>
        <w:jc w:val="left"/>
        <w:tblInd w:w="0" w:type="dxa"/>
        <w:tblLayout w:type="fixed"/>
        <w:tblCellMar>
          <w:top w:w="0" w:type="dxa"/>
          <w:left w:w="0" w:type="dxa"/>
          <w:bottom w:w="0" w:type="dxa"/>
          <w:right w:w="0" w:type="dxa"/>
        </w:tblCellMar>
      </w:tblPr>
      <w:tblGrid>
        <w:gridCol w:w="75"/>
        <w:gridCol w:w="390"/>
        <w:gridCol w:w="878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drawing>
                <wp:inline distT="0" distB="0" distL="0" distR="0">
                  <wp:extent cx="247650" cy="742950"/>
                  <wp:effectExtent l="0" t="0" r="0" b="0"/>
                  <wp:docPr id="191"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74" descr=""/>
                          <pic:cNvPicPr>
                            <a:picLocks noChangeAspect="1" noChangeArrowheads="1"/>
                          </pic:cNvPicPr>
                        </pic:nvPicPr>
                        <pic:blipFill>
                          <a:blip r:embed="rId186"/>
                          <a:stretch>
                            <a:fillRect/>
                          </a:stretch>
                        </pic:blipFill>
                        <pic:spPr bwMode="auto">
                          <a:xfrm>
                            <a:off x="0" y="0"/>
                            <a:ext cx="247650" cy="742950"/>
                          </a:xfrm>
                          <a:prstGeom prst="rect">
                            <a:avLst/>
                          </a:prstGeom>
                        </pic:spPr>
                      </pic:pic>
                    </a:graphicData>
                  </a:graphic>
                </wp:inline>
              </w:drawing>
            </w:r>
          </w:p>
        </w:tc>
        <w:tc>
          <w:tcPr>
            <w:tcW w:w="8780" w:type="dxa"/>
            <w:tcBorders/>
            <w:vAlign w:val="center"/>
          </w:tcPr>
          <w:p>
            <w:pPr>
              <w:pStyle w:val="TableContents"/>
              <w:bidi w:val="0"/>
              <w:spacing w:before="0" w:after="283"/>
              <w:jc w:val="left"/>
              <w:rPr/>
            </w:pPr>
            <w:r>
              <w:rPr>
                <w:b/>
                <w:color w:val="231F20"/>
              </w:rPr>
              <w:t xml:space="preserve">The board of directors recommends a vote </w:t>
            </w:r>
            <w:r>
              <w:rPr>
                <w:b/>
                <w:color w:val="3B5AA4"/>
              </w:rPr>
              <w:t xml:space="preserve">FOR </w:t>
            </w:r>
            <w:r>
              <w:rPr>
                <w:b/>
                <w:color w:val="231F20"/>
              </w:rPr>
              <w:t>the election of each of these nominees.</w:t>
            </w:r>
          </w:p>
        </w:tc>
      </w:tr>
    </w:tbl>
    <w:p>
      <w:pPr>
        <w:pStyle w:val="TextBody"/>
        <w:pBdr>
          <w:bottom w:val="single" w:sz="12" w:space="1" w:color="C60C44"/>
        </w:pBdr>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192"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75" descr=""/>
                          <pic:cNvPicPr>
                            <a:picLocks noChangeAspect="1" noChangeArrowheads="1"/>
                          </pic:cNvPicPr>
                        </pic:nvPicPr>
                        <pic:blipFill>
                          <a:blip r:embed="rId187"/>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1"/>
        <w:bidi w:val="0"/>
        <w:spacing w:before="0" w:after="0"/>
        <w:ind w:left="0" w:right="0" w:hanging="0"/>
        <w:jc w:val="left"/>
        <w:rPr>
          <w:rFonts w:ascii="Arial;Helvetica;Sans-Serif" w:hAnsi="Arial;Helvetica;Sans-Serif"/>
          <w:b/>
          <w:i w:val="false"/>
          <w:caps w:val="false"/>
          <w:smallCaps w:val="false"/>
          <w:color w:val="3B5AA4"/>
          <w:sz w:val="56"/>
        </w:rPr>
      </w:pPr>
      <w:bookmarkStart w:id="23" w:name="regn013211-def14aa016"/>
      <w:bookmarkStart w:id="24" w:name="regn013211-def14ac003"/>
      <w:bookmarkEnd w:id="23"/>
      <w:bookmarkEnd w:id="24"/>
      <w:r>
        <w:rPr>
          <w:rFonts w:ascii="Arial;Helvetica;Sans-Serif" w:hAnsi="Arial;Helvetica;Sans-Serif"/>
          <w:b/>
          <w:i w:val="false"/>
          <w:caps w:val="false"/>
          <w:smallCaps w:val="false"/>
          <w:color w:val="3B5AA4"/>
          <w:sz w:val="56"/>
        </w:rPr>
        <w:t>Corporate Governance</w:t>
      </w:r>
    </w:p>
    <w:p>
      <w:pPr>
        <w:pStyle w:val="TextBody"/>
        <w:bidi w:val="0"/>
        <w:jc w:val="left"/>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i w:val="false"/>
          <w:caps w:val="false"/>
          <w:smallCaps w:val="false"/>
          <w:color w:val="C60C44"/>
          <w:sz w:val="40"/>
        </w:rPr>
      </w:pPr>
      <w:bookmarkStart w:id="25" w:name="regn013211-def14aa017"/>
      <w:bookmarkStart w:id="26" w:name="regn013211-def14aa098"/>
      <w:bookmarkEnd w:id="25"/>
      <w:bookmarkEnd w:id="26"/>
      <w:r>
        <w:rPr>
          <w:rFonts w:ascii="Arial;Helvetica;Sans-Serif" w:hAnsi="Arial;Helvetica;Sans-Serif"/>
          <w:b/>
          <w:i w:val="false"/>
          <w:caps w:val="false"/>
          <w:smallCaps w:val="false"/>
          <w:color w:val="C60C44"/>
          <w:sz w:val="40"/>
        </w:rPr>
        <w:t>Governance Overview</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Regeneron is committed to good corporate governance, which we believe promotes the long-term interests of shareholders, strengthens the accountability of the board of directors and management, and helps build trust in the Company. The following chart summarizes key information regarding our corporate governance.</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9220" w:type="dxa"/>
        <w:jc w:val="left"/>
        <w:tblInd w:w="0" w:type="dxa"/>
        <w:tblLayout w:type="fixed"/>
        <w:tblCellMar>
          <w:top w:w="0" w:type="dxa"/>
          <w:left w:w="0" w:type="dxa"/>
          <w:bottom w:w="28" w:type="dxa"/>
          <w:right w:w="0" w:type="dxa"/>
        </w:tblCellMar>
      </w:tblPr>
      <w:tblGrid>
        <w:gridCol w:w="8705"/>
        <w:gridCol w:w="515"/>
      </w:tblGrid>
      <w:tr>
        <w:trPr/>
        <w:tc>
          <w:tcPr>
            <w:tcW w:w="8705" w:type="dxa"/>
            <w:tcBorders>
              <w:bottom w:val="single" w:sz="12" w:space="0" w:color="3B5AA4"/>
            </w:tcBorders>
            <w:vAlign w:val="center"/>
          </w:tcPr>
          <w:p>
            <w:pPr>
              <w:pStyle w:val="TableContents"/>
              <w:bidi w:val="0"/>
              <w:spacing w:before="0" w:after="283"/>
              <w:jc w:val="left"/>
              <w:rPr>
                <w:b/>
                <w:color w:val="3B5AA4"/>
              </w:rPr>
            </w:pPr>
            <w:r>
              <w:rPr>
                <w:b/>
                <w:color w:val="3B5AA4"/>
              </w:rPr>
              <w:t>Board and Other Governance Information</w:t>
            </w:r>
          </w:p>
        </w:tc>
        <w:tc>
          <w:tcPr>
            <w:tcW w:w="515" w:type="dxa"/>
            <w:tcBorders>
              <w:bottom w:val="single" w:sz="12" w:space="0" w:color="3B5AA4"/>
            </w:tcBorders>
            <w:vAlign w:val="center"/>
          </w:tcPr>
          <w:p>
            <w:pPr>
              <w:pStyle w:val="TableContents"/>
              <w:bidi w:val="0"/>
              <w:spacing w:before="0" w:after="283"/>
              <w:jc w:val="right"/>
              <w:rPr>
                <w:b/>
                <w:color w:val="3B5AA4"/>
              </w:rPr>
            </w:pPr>
            <w:r>
              <w:rPr>
                <w:b/>
                <w:color w:val="3B5AA4"/>
              </w:rPr>
              <w:t>2025</w:t>
            </w:r>
          </w:p>
        </w:tc>
      </w:tr>
      <w:tr>
        <w:trPr/>
        <w:tc>
          <w:tcPr>
            <w:tcW w:w="8705" w:type="dxa"/>
            <w:tcBorders>
              <w:bottom w:val="single" w:sz="2" w:space="0" w:color="BCBEC0"/>
            </w:tcBorders>
            <w:vAlign w:val="center"/>
          </w:tcPr>
          <w:p>
            <w:pPr>
              <w:pStyle w:val="TableContents"/>
              <w:bidi w:val="0"/>
              <w:spacing w:before="0" w:after="283"/>
              <w:jc w:val="left"/>
              <w:rPr>
                <w:color w:val="231F20"/>
              </w:rPr>
            </w:pPr>
            <w:r>
              <w:rPr>
                <w:color w:val="231F20"/>
              </w:rPr>
              <w:t>Size of Board</w:t>
            </w:r>
          </w:p>
        </w:tc>
        <w:tc>
          <w:tcPr>
            <w:tcW w:w="515" w:type="dxa"/>
            <w:tcBorders>
              <w:bottom w:val="single" w:sz="2" w:space="0" w:color="BCBEC0"/>
            </w:tcBorders>
            <w:vAlign w:val="center"/>
          </w:tcPr>
          <w:p>
            <w:pPr>
              <w:pStyle w:val="TableContents"/>
              <w:bidi w:val="0"/>
              <w:spacing w:before="0" w:after="283"/>
              <w:jc w:val="right"/>
              <w:rPr>
                <w:color w:val="231F20"/>
              </w:rPr>
            </w:pPr>
            <w:r>
              <w:rPr>
                <w:color w:val="231F20"/>
              </w:rPr>
              <w:t>13</w:t>
            </w:r>
          </w:p>
        </w:tc>
      </w:tr>
      <w:tr>
        <w:trPr/>
        <w:tc>
          <w:tcPr>
            <w:tcW w:w="8705" w:type="dxa"/>
            <w:tcBorders>
              <w:bottom w:val="single" w:sz="2" w:space="0" w:color="BCBEC0"/>
            </w:tcBorders>
            <w:shd w:fill="EBEBEC" w:val="clear"/>
            <w:vAlign w:val="center"/>
          </w:tcPr>
          <w:p>
            <w:pPr>
              <w:pStyle w:val="TableContents"/>
              <w:bidi w:val="0"/>
              <w:spacing w:before="0" w:after="283"/>
              <w:jc w:val="left"/>
              <w:rPr>
                <w:color w:val="231F20"/>
              </w:rPr>
            </w:pPr>
            <w:r>
              <w:rPr>
                <w:color w:val="231F20"/>
              </w:rPr>
              <w:t>Number of Independent Directors</w:t>
            </w:r>
          </w:p>
        </w:tc>
        <w:tc>
          <w:tcPr>
            <w:tcW w:w="515"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11</w:t>
            </w:r>
          </w:p>
        </w:tc>
      </w:tr>
      <w:tr>
        <w:trPr/>
        <w:tc>
          <w:tcPr>
            <w:tcW w:w="8705" w:type="dxa"/>
            <w:tcBorders>
              <w:bottom w:val="single" w:sz="2" w:space="0" w:color="BCBEC0"/>
            </w:tcBorders>
            <w:vAlign w:val="center"/>
          </w:tcPr>
          <w:p>
            <w:pPr>
              <w:pStyle w:val="TableContents"/>
              <w:bidi w:val="0"/>
              <w:spacing w:before="0" w:after="283"/>
              <w:jc w:val="left"/>
              <w:rPr>
                <w:color w:val="231F20"/>
              </w:rPr>
            </w:pPr>
            <w:r>
              <w:rPr>
                <w:color w:val="231F20"/>
              </w:rPr>
              <w:t>Lead Independent Director</w:t>
            </w:r>
          </w:p>
        </w:tc>
        <w:tc>
          <w:tcPr>
            <w:tcW w:w="515" w:type="dxa"/>
            <w:tcBorders>
              <w:bottom w:val="single" w:sz="2" w:space="0" w:color="BCBEC0"/>
            </w:tcBorders>
            <w:vAlign w:val="center"/>
          </w:tcPr>
          <w:p>
            <w:pPr>
              <w:pStyle w:val="TableContents"/>
              <w:bidi w:val="0"/>
              <w:spacing w:before="0" w:after="283"/>
              <w:jc w:val="right"/>
              <w:rPr/>
            </w:pPr>
            <w:r>
              <w:rPr/>
              <w:drawing>
                <wp:inline distT="0" distB="0" distL="0" distR="0">
                  <wp:extent cx="114300" cy="266700"/>
                  <wp:effectExtent l="0" t="0" r="0" b="0"/>
                  <wp:docPr id="193"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76" descr=""/>
                          <pic:cNvPicPr>
                            <a:picLocks noChangeAspect="1" noChangeArrowheads="1"/>
                          </pic:cNvPicPr>
                        </pic:nvPicPr>
                        <pic:blipFill>
                          <a:blip r:embed="rId188"/>
                          <a:stretch>
                            <a:fillRect/>
                          </a:stretch>
                        </pic:blipFill>
                        <pic:spPr bwMode="auto">
                          <a:xfrm>
                            <a:off x="0" y="0"/>
                            <a:ext cx="114300" cy="266700"/>
                          </a:xfrm>
                          <a:prstGeom prst="rect">
                            <a:avLst/>
                          </a:prstGeom>
                        </pic:spPr>
                      </pic:pic>
                    </a:graphicData>
                  </a:graphic>
                </wp:inline>
              </w:drawing>
            </w:r>
          </w:p>
        </w:tc>
      </w:tr>
      <w:tr>
        <w:trPr/>
        <w:tc>
          <w:tcPr>
            <w:tcW w:w="8705" w:type="dxa"/>
            <w:tcBorders>
              <w:bottom w:val="single" w:sz="2" w:space="0" w:color="BCBEC0"/>
            </w:tcBorders>
            <w:shd w:fill="EBEBEC" w:val="clear"/>
            <w:vAlign w:val="center"/>
          </w:tcPr>
          <w:p>
            <w:pPr>
              <w:pStyle w:val="TableContents"/>
              <w:bidi w:val="0"/>
              <w:spacing w:before="0" w:after="283"/>
              <w:jc w:val="left"/>
              <w:rPr>
                <w:color w:val="231F20"/>
              </w:rPr>
            </w:pPr>
            <w:r>
              <w:rPr>
                <w:color w:val="231F20"/>
              </w:rPr>
              <w:t>Majority Voting in the Election of Directors</w:t>
            </w:r>
          </w:p>
        </w:tc>
        <w:tc>
          <w:tcPr>
            <w:tcW w:w="515" w:type="dxa"/>
            <w:tcBorders>
              <w:bottom w:val="single" w:sz="2" w:space="0" w:color="BCBEC0"/>
            </w:tcBorders>
            <w:shd w:fill="EBEBEC" w:val="clear"/>
            <w:vAlign w:val="center"/>
          </w:tcPr>
          <w:p>
            <w:pPr>
              <w:pStyle w:val="TableContents"/>
              <w:bidi w:val="0"/>
              <w:spacing w:before="0" w:after="283"/>
              <w:jc w:val="right"/>
              <w:rPr/>
            </w:pPr>
            <w:r>
              <w:rPr/>
              <w:drawing>
                <wp:inline distT="0" distB="0" distL="0" distR="0">
                  <wp:extent cx="114300" cy="257175"/>
                  <wp:effectExtent l="0" t="0" r="0" b="0"/>
                  <wp:docPr id="194"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77" descr=""/>
                          <pic:cNvPicPr>
                            <a:picLocks noChangeAspect="1" noChangeArrowheads="1"/>
                          </pic:cNvPicPr>
                        </pic:nvPicPr>
                        <pic:blipFill>
                          <a:blip r:embed="rId189"/>
                          <a:stretch>
                            <a:fillRect/>
                          </a:stretch>
                        </pic:blipFill>
                        <pic:spPr bwMode="auto">
                          <a:xfrm>
                            <a:off x="0" y="0"/>
                            <a:ext cx="114300" cy="257175"/>
                          </a:xfrm>
                          <a:prstGeom prst="rect">
                            <a:avLst/>
                          </a:prstGeom>
                        </pic:spPr>
                      </pic:pic>
                    </a:graphicData>
                  </a:graphic>
                </wp:inline>
              </w:drawing>
            </w:r>
          </w:p>
        </w:tc>
      </w:tr>
      <w:tr>
        <w:trPr/>
        <w:tc>
          <w:tcPr>
            <w:tcW w:w="8705" w:type="dxa"/>
            <w:tcBorders>
              <w:bottom w:val="single" w:sz="2" w:space="0" w:color="BCBEC0"/>
            </w:tcBorders>
            <w:vAlign w:val="center"/>
          </w:tcPr>
          <w:p>
            <w:pPr>
              <w:pStyle w:val="TableContents"/>
              <w:bidi w:val="0"/>
              <w:spacing w:before="0" w:after="283"/>
              <w:jc w:val="left"/>
              <w:rPr>
                <w:color w:val="231F20"/>
              </w:rPr>
            </w:pPr>
            <w:r>
              <w:rPr>
                <w:color w:val="231F20"/>
              </w:rPr>
              <w:t>Director Resignation Policy</w:t>
            </w:r>
          </w:p>
        </w:tc>
        <w:tc>
          <w:tcPr>
            <w:tcW w:w="515" w:type="dxa"/>
            <w:tcBorders>
              <w:bottom w:val="single" w:sz="2" w:space="0" w:color="BCBEC0"/>
            </w:tcBorders>
            <w:vAlign w:val="center"/>
          </w:tcPr>
          <w:p>
            <w:pPr>
              <w:pStyle w:val="TableContents"/>
              <w:bidi w:val="0"/>
              <w:spacing w:before="0" w:after="283"/>
              <w:jc w:val="right"/>
              <w:rPr/>
            </w:pPr>
            <w:r>
              <w:rPr/>
              <w:drawing>
                <wp:inline distT="0" distB="0" distL="0" distR="0">
                  <wp:extent cx="114300" cy="266700"/>
                  <wp:effectExtent l="0" t="0" r="0" b="0"/>
                  <wp:docPr id="195"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8" descr=""/>
                          <pic:cNvPicPr>
                            <a:picLocks noChangeAspect="1" noChangeArrowheads="1"/>
                          </pic:cNvPicPr>
                        </pic:nvPicPr>
                        <pic:blipFill>
                          <a:blip r:embed="rId190"/>
                          <a:stretch>
                            <a:fillRect/>
                          </a:stretch>
                        </pic:blipFill>
                        <pic:spPr bwMode="auto">
                          <a:xfrm>
                            <a:off x="0" y="0"/>
                            <a:ext cx="114300" cy="266700"/>
                          </a:xfrm>
                          <a:prstGeom prst="rect">
                            <a:avLst/>
                          </a:prstGeom>
                        </pic:spPr>
                      </pic:pic>
                    </a:graphicData>
                  </a:graphic>
                </wp:inline>
              </w:drawing>
            </w:r>
          </w:p>
        </w:tc>
      </w:tr>
      <w:tr>
        <w:trPr/>
        <w:tc>
          <w:tcPr>
            <w:tcW w:w="8705" w:type="dxa"/>
            <w:tcBorders>
              <w:bottom w:val="single" w:sz="2" w:space="0" w:color="BCBEC0"/>
            </w:tcBorders>
            <w:shd w:fill="EBEBEC" w:val="clear"/>
            <w:vAlign w:val="center"/>
          </w:tcPr>
          <w:p>
            <w:pPr>
              <w:pStyle w:val="TableContents"/>
              <w:bidi w:val="0"/>
              <w:spacing w:before="0" w:after="283"/>
              <w:jc w:val="left"/>
              <w:rPr>
                <w:color w:val="231F20"/>
              </w:rPr>
            </w:pPr>
            <w:r>
              <w:rPr>
                <w:color w:val="231F20"/>
              </w:rPr>
              <w:t>Director Time Commitment Policy</w:t>
            </w:r>
          </w:p>
        </w:tc>
        <w:tc>
          <w:tcPr>
            <w:tcW w:w="515" w:type="dxa"/>
            <w:tcBorders>
              <w:bottom w:val="single" w:sz="2" w:space="0" w:color="BCBEC0"/>
            </w:tcBorders>
            <w:shd w:fill="EBEBEC" w:val="clear"/>
            <w:vAlign w:val="center"/>
          </w:tcPr>
          <w:p>
            <w:pPr>
              <w:pStyle w:val="TableContents"/>
              <w:bidi w:val="0"/>
              <w:spacing w:before="0" w:after="283"/>
              <w:jc w:val="right"/>
              <w:rPr/>
            </w:pPr>
            <w:r>
              <w:rPr/>
              <w:drawing>
                <wp:inline distT="0" distB="0" distL="0" distR="0">
                  <wp:extent cx="114300" cy="257175"/>
                  <wp:effectExtent l="0" t="0" r="0" b="0"/>
                  <wp:docPr id="196"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79" descr=""/>
                          <pic:cNvPicPr>
                            <a:picLocks noChangeAspect="1" noChangeArrowheads="1"/>
                          </pic:cNvPicPr>
                        </pic:nvPicPr>
                        <pic:blipFill>
                          <a:blip r:embed="rId191"/>
                          <a:stretch>
                            <a:fillRect/>
                          </a:stretch>
                        </pic:blipFill>
                        <pic:spPr bwMode="auto">
                          <a:xfrm>
                            <a:off x="0" y="0"/>
                            <a:ext cx="114300" cy="257175"/>
                          </a:xfrm>
                          <a:prstGeom prst="rect">
                            <a:avLst/>
                          </a:prstGeom>
                        </pic:spPr>
                      </pic:pic>
                    </a:graphicData>
                  </a:graphic>
                </wp:inline>
              </w:drawing>
            </w:r>
          </w:p>
        </w:tc>
      </w:tr>
      <w:tr>
        <w:trPr/>
        <w:tc>
          <w:tcPr>
            <w:tcW w:w="8705" w:type="dxa"/>
            <w:tcBorders>
              <w:bottom w:val="single" w:sz="2" w:space="0" w:color="BCBEC0"/>
            </w:tcBorders>
            <w:vAlign w:val="center"/>
          </w:tcPr>
          <w:p>
            <w:pPr>
              <w:pStyle w:val="TableContents"/>
              <w:bidi w:val="0"/>
              <w:spacing w:before="0" w:after="283"/>
              <w:jc w:val="left"/>
              <w:rPr>
                <w:color w:val="231F20"/>
              </w:rPr>
            </w:pPr>
            <w:r>
              <w:rPr>
                <w:color w:val="231F20"/>
              </w:rPr>
              <w:t>Number of Meetings of the Board of Directors Held in 2024</w:t>
            </w:r>
          </w:p>
        </w:tc>
        <w:tc>
          <w:tcPr>
            <w:tcW w:w="515" w:type="dxa"/>
            <w:tcBorders>
              <w:bottom w:val="single" w:sz="2" w:space="0" w:color="BCBEC0"/>
            </w:tcBorders>
            <w:vAlign w:val="center"/>
          </w:tcPr>
          <w:p>
            <w:pPr>
              <w:pStyle w:val="TableContents"/>
              <w:bidi w:val="0"/>
              <w:spacing w:before="0" w:after="283"/>
              <w:jc w:val="right"/>
              <w:rPr>
                <w:color w:val="231F20"/>
              </w:rPr>
            </w:pPr>
            <w:r>
              <w:rPr>
                <w:color w:val="231F20"/>
              </w:rPr>
              <w:t>7</w:t>
            </w:r>
          </w:p>
        </w:tc>
      </w:tr>
      <w:tr>
        <w:trPr/>
        <w:tc>
          <w:tcPr>
            <w:tcW w:w="8705" w:type="dxa"/>
            <w:tcBorders>
              <w:bottom w:val="single" w:sz="2" w:space="0" w:color="BCBEC0"/>
            </w:tcBorders>
            <w:shd w:fill="EBEBEC" w:val="clear"/>
            <w:vAlign w:val="center"/>
          </w:tcPr>
          <w:p>
            <w:pPr>
              <w:pStyle w:val="TableContents"/>
              <w:bidi w:val="0"/>
              <w:spacing w:before="0" w:after="283"/>
              <w:jc w:val="left"/>
              <w:rPr>
                <w:color w:val="231F20"/>
              </w:rPr>
            </w:pPr>
            <w:r>
              <w:rPr>
                <w:color w:val="231F20"/>
              </w:rPr>
              <w:t>Executive Sessions of Independent Directors without Management Present</w:t>
            </w:r>
          </w:p>
        </w:tc>
        <w:tc>
          <w:tcPr>
            <w:tcW w:w="515" w:type="dxa"/>
            <w:tcBorders>
              <w:bottom w:val="single" w:sz="2" w:space="0" w:color="BCBEC0"/>
            </w:tcBorders>
            <w:shd w:fill="EBEBEC" w:val="clear"/>
            <w:vAlign w:val="center"/>
          </w:tcPr>
          <w:p>
            <w:pPr>
              <w:pStyle w:val="TableContents"/>
              <w:bidi w:val="0"/>
              <w:spacing w:before="0" w:after="283"/>
              <w:jc w:val="right"/>
              <w:rPr/>
            </w:pPr>
            <w:r>
              <w:rPr/>
              <w:drawing>
                <wp:inline distT="0" distB="0" distL="0" distR="0">
                  <wp:extent cx="114300" cy="257175"/>
                  <wp:effectExtent l="0" t="0" r="0" b="0"/>
                  <wp:docPr id="197"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80" descr=""/>
                          <pic:cNvPicPr>
                            <a:picLocks noChangeAspect="1" noChangeArrowheads="1"/>
                          </pic:cNvPicPr>
                        </pic:nvPicPr>
                        <pic:blipFill>
                          <a:blip r:embed="rId192"/>
                          <a:stretch>
                            <a:fillRect/>
                          </a:stretch>
                        </pic:blipFill>
                        <pic:spPr bwMode="auto">
                          <a:xfrm>
                            <a:off x="0" y="0"/>
                            <a:ext cx="114300" cy="257175"/>
                          </a:xfrm>
                          <a:prstGeom prst="rect">
                            <a:avLst/>
                          </a:prstGeom>
                        </pic:spPr>
                      </pic:pic>
                    </a:graphicData>
                  </a:graphic>
                </wp:inline>
              </w:drawing>
            </w:r>
          </w:p>
        </w:tc>
      </w:tr>
      <w:tr>
        <w:trPr/>
        <w:tc>
          <w:tcPr>
            <w:tcW w:w="8705" w:type="dxa"/>
            <w:tcBorders>
              <w:bottom w:val="single" w:sz="2" w:space="0" w:color="BCBEC0"/>
            </w:tcBorders>
            <w:vAlign w:val="center"/>
          </w:tcPr>
          <w:p>
            <w:pPr>
              <w:pStyle w:val="TableContents"/>
              <w:bidi w:val="0"/>
              <w:spacing w:before="0" w:after="283"/>
              <w:jc w:val="left"/>
              <w:rPr>
                <w:color w:val="231F20"/>
              </w:rPr>
            </w:pPr>
            <w:r>
              <w:rPr>
                <w:color w:val="231F20"/>
              </w:rPr>
              <w:t>Code of Business Conduct and Ethics Applicable to All Employees, Officers, and Directors</w:t>
            </w:r>
          </w:p>
        </w:tc>
        <w:tc>
          <w:tcPr>
            <w:tcW w:w="515" w:type="dxa"/>
            <w:tcBorders>
              <w:bottom w:val="single" w:sz="2" w:space="0" w:color="BCBEC0"/>
            </w:tcBorders>
            <w:vAlign w:val="center"/>
          </w:tcPr>
          <w:p>
            <w:pPr>
              <w:pStyle w:val="TableContents"/>
              <w:bidi w:val="0"/>
              <w:spacing w:before="0" w:after="283"/>
              <w:jc w:val="right"/>
              <w:rPr/>
            </w:pPr>
            <w:r>
              <w:rPr/>
              <w:drawing>
                <wp:inline distT="0" distB="0" distL="0" distR="0">
                  <wp:extent cx="114300" cy="266700"/>
                  <wp:effectExtent l="0" t="0" r="0" b="0"/>
                  <wp:docPr id="198"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81" descr=""/>
                          <pic:cNvPicPr>
                            <a:picLocks noChangeAspect="1" noChangeArrowheads="1"/>
                          </pic:cNvPicPr>
                        </pic:nvPicPr>
                        <pic:blipFill>
                          <a:blip r:embed="rId193"/>
                          <a:stretch>
                            <a:fillRect/>
                          </a:stretch>
                        </pic:blipFill>
                        <pic:spPr bwMode="auto">
                          <a:xfrm>
                            <a:off x="0" y="0"/>
                            <a:ext cx="114300" cy="266700"/>
                          </a:xfrm>
                          <a:prstGeom prst="rect">
                            <a:avLst/>
                          </a:prstGeom>
                        </pic:spPr>
                      </pic:pic>
                    </a:graphicData>
                  </a:graphic>
                </wp:inline>
              </w:drawing>
            </w:r>
          </w:p>
        </w:tc>
      </w:tr>
      <w:tr>
        <w:trPr/>
        <w:tc>
          <w:tcPr>
            <w:tcW w:w="8705" w:type="dxa"/>
            <w:tcBorders>
              <w:bottom w:val="single" w:sz="2" w:space="0" w:color="BCBEC0"/>
            </w:tcBorders>
            <w:shd w:fill="EBEBEC" w:val="clear"/>
            <w:vAlign w:val="center"/>
          </w:tcPr>
          <w:p>
            <w:pPr>
              <w:pStyle w:val="TableContents"/>
              <w:bidi w:val="0"/>
              <w:spacing w:before="0" w:after="283"/>
              <w:jc w:val="left"/>
              <w:rPr>
                <w:color w:val="231F20"/>
              </w:rPr>
            </w:pPr>
            <w:r>
              <w:rPr>
                <w:color w:val="231F20"/>
              </w:rPr>
              <w:t>Annual Board and Committee Self-Evaluations</w:t>
            </w:r>
          </w:p>
        </w:tc>
        <w:tc>
          <w:tcPr>
            <w:tcW w:w="515" w:type="dxa"/>
            <w:tcBorders>
              <w:bottom w:val="single" w:sz="2" w:space="0" w:color="BCBEC0"/>
            </w:tcBorders>
            <w:shd w:fill="EBEBEC" w:val="clear"/>
            <w:vAlign w:val="center"/>
          </w:tcPr>
          <w:p>
            <w:pPr>
              <w:pStyle w:val="TableContents"/>
              <w:bidi w:val="0"/>
              <w:spacing w:before="0" w:after="283"/>
              <w:jc w:val="right"/>
              <w:rPr/>
            </w:pPr>
            <w:r>
              <w:rPr/>
              <w:drawing>
                <wp:inline distT="0" distB="0" distL="0" distR="0">
                  <wp:extent cx="114300" cy="257175"/>
                  <wp:effectExtent l="0" t="0" r="0" b="0"/>
                  <wp:docPr id="199"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82" descr=""/>
                          <pic:cNvPicPr>
                            <a:picLocks noChangeAspect="1" noChangeArrowheads="1"/>
                          </pic:cNvPicPr>
                        </pic:nvPicPr>
                        <pic:blipFill>
                          <a:blip r:embed="rId194"/>
                          <a:stretch>
                            <a:fillRect/>
                          </a:stretch>
                        </pic:blipFill>
                        <pic:spPr bwMode="auto">
                          <a:xfrm>
                            <a:off x="0" y="0"/>
                            <a:ext cx="114300" cy="257175"/>
                          </a:xfrm>
                          <a:prstGeom prst="rect">
                            <a:avLst/>
                          </a:prstGeom>
                        </pic:spPr>
                      </pic:pic>
                    </a:graphicData>
                  </a:graphic>
                </wp:inline>
              </w:drawing>
            </w:r>
          </w:p>
        </w:tc>
      </w:tr>
      <w:tr>
        <w:trPr/>
        <w:tc>
          <w:tcPr>
            <w:tcW w:w="8705" w:type="dxa"/>
            <w:tcBorders>
              <w:bottom w:val="single" w:sz="2" w:space="0" w:color="BCBEC0"/>
            </w:tcBorders>
            <w:vAlign w:val="center"/>
          </w:tcPr>
          <w:p>
            <w:pPr>
              <w:pStyle w:val="TableContents"/>
              <w:bidi w:val="0"/>
              <w:spacing w:before="0" w:after="283"/>
              <w:jc w:val="left"/>
              <w:rPr>
                <w:color w:val="231F20"/>
              </w:rPr>
            </w:pPr>
            <w:r>
              <w:rPr>
                <w:color w:val="231F20"/>
              </w:rPr>
              <w:t>Stock Ownership Guidelines for Directors and Senior Executives</w:t>
            </w:r>
          </w:p>
        </w:tc>
        <w:tc>
          <w:tcPr>
            <w:tcW w:w="515" w:type="dxa"/>
            <w:tcBorders>
              <w:bottom w:val="single" w:sz="2" w:space="0" w:color="BCBEC0"/>
            </w:tcBorders>
            <w:vAlign w:val="center"/>
          </w:tcPr>
          <w:p>
            <w:pPr>
              <w:pStyle w:val="TableContents"/>
              <w:bidi w:val="0"/>
              <w:spacing w:before="0" w:after="283"/>
              <w:jc w:val="right"/>
              <w:rPr/>
            </w:pPr>
            <w:r>
              <w:rPr/>
              <w:drawing>
                <wp:inline distT="0" distB="0" distL="0" distR="0">
                  <wp:extent cx="114300" cy="266700"/>
                  <wp:effectExtent l="0" t="0" r="0" b="0"/>
                  <wp:docPr id="200"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83" descr=""/>
                          <pic:cNvPicPr>
                            <a:picLocks noChangeAspect="1" noChangeArrowheads="1"/>
                          </pic:cNvPicPr>
                        </pic:nvPicPr>
                        <pic:blipFill>
                          <a:blip r:embed="rId195"/>
                          <a:stretch>
                            <a:fillRect/>
                          </a:stretch>
                        </pic:blipFill>
                        <pic:spPr bwMode="auto">
                          <a:xfrm>
                            <a:off x="0" y="0"/>
                            <a:ext cx="114300" cy="266700"/>
                          </a:xfrm>
                          <a:prstGeom prst="rect">
                            <a:avLst/>
                          </a:prstGeom>
                        </pic:spPr>
                      </pic:pic>
                    </a:graphicData>
                  </a:graphic>
                </wp:inline>
              </w:drawing>
            </w:r>
          </w:p>
        </w:tc>
      </w:tr>
      <w:tr>
        <w:trPr/>
        <w:tc>
          <w:tcPr>
            <w:tcW w:w="8705" w:type="dxa"/>
            <w:tcBorders>
              <w:bottom w:val="single" w:sz="2" w:space="0" w:color="BCBEC0"/>
            </w:tcBorders>
            <w:shd w:fill="EBEBEC" w:val="clear"/>
            <w:vAlign w:val="center"/>
          </w:tcPr>
          <w:p>
            <w:pPr>
              <w:pStyle w:val="TableContents"/>
              <w:bidi w:val="0"/>
              <w:spacing w:before="0" w:after="283"/>
              <w:jc w:val="left"/>
              <w:rPr>
                <w:color w:val="231F20"/>
              </w:rPr>
            </w:pPr>
            <w:r>
              <w:rPr>
                <w:color w:val="231F20"/>
              </w:rPr>
              <w:t>Annual Say-on-Pay Vote</w:t>
            </w:r>
          </w:p>
        </w:tc>
        <w:tc>
          <w:tcPr>
            <w:tcW w:w="515" w:type="dxa"/>
            <w:tcBorders>
              <w:bottom w:val="single" w:sz="2" w:space="0" w:color="BCBEC0"/>
            </w:tcBorders>
            <w:shd w:fill="EBEBEC" w:val="clear"/>
            <w:vAlign w:val="center"/>
          </w:tcPr>
          <w:p>
            <w:pPr>
              <w:pStyle w:val="TableContents"/>
              <w:bidi w:val="0"/>
              <w:spacing w:before="0" w:after="283"/>
              <w:jc w:val="right"/>
              <w:rPr/>
            </w:pPr>
            <w:r>
              <w:rPr/>
              <w:drawing>
                <wp:inline distT="0" distB="0" distL="0" distR="0">
                  <wp:extent cx="114300" cy="257175"/>
                  <wp:effectExtent l="0" t="0" r="0" b="0"/>
                  <wp:docPr id="201"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84" descr=""/>
                          <pic:cNvPicPr>
                            <a:picLocks noChangeAspect="1" noChangeArrowheads="1"/>
                          </pic:cNvPicPr>
                        </pic:nvPicPr>
                        <pic:blipFill>
                          <a:blip r:embed="rId196"/>
                          <a:stretch>
                            <a:fillRect/>
                          </a:stretch>
                        </pic:blipFill>
                        <pic:spPr bwMode="auto">
                          <a:xfrm>
                            <a:off x="0" y="0"/>
                            <a:ext cx="114300" cy="257175"/>
                          </a:xfrm>
                          <a:prstGeom prst="rect">
                            <a:avLst/>
                          </a:prstGeom>
                        </pic:spPr>
                      </pic:pic>
                    </a:graphicData>
                  </a:graphic>
                </wp:inline>
              </w:drawing>
            </w:r>
          </w:p>
        </w:tc>
      </w:tr>
      <w:tr>
        <w:trPr/>
        <w:tc>
          <w:tcPr>
            <w:tcW w:w="8705" w:type="dxa"/>
            <w:tcBorders>
              <w:bottom w:val="single" w:sz="2" w:space="0" w:color="BCBEC0"/>
            </w:tcBorders>
            <w:vAlign w:val="center"/>
          </w:tcPr>
          <w:p>
            <w:pPr>
              <w:pStyle w:val="TableContents"/>
              <w:bidi w:val="0"/>
              <w:spacing w:before="0" w:after="283"/>
              <w:jc w:val="left"/>
              <w:rPr>
                <w:color w:val="231F20"/>
              </w:rPr>
            </w:pPr>
            <w:r>
              <w:rPr>
                <w:color w:val="231F20"/>
              </w:rPr>
              <w:t>Active Shareholder Engagement</w:t>
            </w:r>
          </w:p>
        </w:tc>
        <w:tc>
          <w:tcPr>
            <w:tcW w:w="515" w:type="dxa"/>
            <w:tcBorders>
              <w:bottom w:val="single" w:sz="2" w:space="0" w:color="BCBEC0"/>
            </w:tcBorders>
            <w:vAlign w:val="center"/>
          </w:tcPr>
          <w:p>
            <w:pPr>
              <w:pStyle w:val="TableContents"/>
              <w:bidi w:val="0"/>
              <w:spacing w:before="0" w:after="283"/>
              <w:jc w:val="right"/>
              <w:rPr/>
            </w:pPr>
            <w:r>
              <w:rPr/>
              <w:drawing>
                <wp:inline distT="0" distB="0" distL="0" distR="0">
                  <wp:extent cx="114300" cy="266700"/>
                  <wp:effectExtent l="0" t="0" r="0" b="0"/>
                  <wp:docPr id="202"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85" descr=""/>
                          <pic:cNvPicPr>
                            <a:picLocks noChangeAspect="1" noChangeArrowheads="1"/>
                          </pic:cNvPicPr>
                        </pic:nvPicPr>
                        <pic:blipFill>
                          <a:blip r:embed="rId197"/>
                          <a:stretch>
                            <a:fillRect/>
                          </a:stretch>
                        </pic:blipFill>
                        <pic:spPr bwMode="auto">
                          <a:xfrm>
                            <a:off x="0" y="0"/>
                            <a:ext cx="114300" cy="266700"/>
                          </a:xfrm>
                          <a:prstGeom prst="rect">
                            <a:avLst/>
                          </a:prstGeom>
                        </pic:spPr>
                      </pic:pic>
                    </a:graphicData>
                  </a:graphic>
                </wp:inline>
              </w:drawing>
            </w:r>
          </w:p>
        </w:tc>
      </w:tr>
      <w:tr>
        <w:trPr/>
        <w:tc>
          <w:tcPr>
            <w:tcW w:w="8705"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Shareholder Right to Call Special Shareholder Meeting</w:t>
            </w:r>
          </w:p>
        </w:tc>
        <w:tc>
          <w:tcPr>
            <w:tcW w:w="515" w:type="dxa"/>
            <w:tcBorders>
              <w:bottom w:val="single" w:sz="12" w:space="0" w:color="3B5AA4"/>
            </w:tcBorders>
            <w:shd w:fill="EBEBEC" w:val="clear"/>
            <w:vAlign w:val="center"/>
          </w:tcPr>
          <w:p>
            <w:pPr>
              <w:pStyle w:val="TableContents"/>
              <w:bidi w:val="0"/>
              <w:spacing w:before="0" w:after="283"/>
              <w:jc w:val="right"/>
              <w:rPr/>
            </w:pPr>
            <w:r>
              <w:rPr/>
              <w:drawing>
                <wp:inline distT="0" distB="0" distL="0" distR="0">
                  <wp:extent cx="114300" cy="257175"/>
                  <wp:effectExtent l="0" t="0" r="0" b="0"/>
                  <wp:docPr id="203"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86" descr=""/>
                          <pic:cNvPicPr>
                            <a:picLocks noChangeAspect="1" noChangeArrowheads="1"/>
                          </pic:cNvPicPr>
                        </pic:nvPicPr>
                        <pic:blipFill>
                          <a:blip r:embed="rId198"/>
                          <a:stretch>
                            <a:fillRect/>
                          </a:stretch>
                        </pic:blipFill>
                        <pic:spPr bwMode="auto">
                          <a:xfrm>
                            <a:off x="0" y="0"/>
                            <a:ext cx="114300" cy="257175"/>
                          </a:xfrm>
                          <a:prstGeom prst="rect">
                            <a:avLst/>
                          </a:prstGeom>
                        </pic:spPr>
                      </pic:pic>
                    </a:graphicData>
                  </a:graphic>
                </wp:inline>
              </w:drawing>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corporate governance has been enhanced based on shareholder feedback over the last decade, including by the changes to governance policies and practices shown below. See “Compensation-Related Matters—Compensation Discussion and Analysis—Compensation Processes—Shareholder Input and Outreach and the 2024 Say-on-Pay Vote Result” for more information regarding recent changes to Regeneron’s compensation program adopted in response to shareholder input.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6048375" cy="2907665"/>
            <wp:effectExtent l="0" t="0" r="0" b="0"/>
            <wp:docPr id="204"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87" descr=""/>
                    <pic:cNvPicPr>
                      <a:picLocks noChangeAspect="1" noChangeArrowheads="1"/>
                    </pic:cNvPicPr>
                  </pic:nvPicPr>
                  <pic:blipFill>
                    <a:blip r:embed="rId199"/>
                    <a:stretch>
                      <a:fillRect/>
                    </a:stretch>
                  </pic:blipFill>
                  <pic:spPr bwMode="auto">
                    <a:xfrm>
                      <a:off x="0" y="0"/>
                      <a:ext cx="6048375" cy="2907665"/>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05"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88" descr=""/>
                          <pic:cNvPicPr>
                            <a:picLocks noChangeAspect="1" noChangeArrowheads="1"/>
                          </pic:cNvPicPr>
                        </pic:nvPicPr>
                        <pic:blipFill>
                          <a:blip r:embed="rId20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regn013211-def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27" w:name="regn013211-def14aa018"/>
      <w:bookmarkEnd w:id="27"/>
      <w:r>
        <w:rPr>
          <w:rFonts w:ascii="Arial;Helvetica;Sans-Serif" w:hAnsi="Arial;Helvetica;Sans-Serif"/>
          <w:b/>
          <w:i w:val="false"/>
          <w:caps w:val="false"/>
          <w:smallCaps w:val="false"/>
          <w:color w:val="C60C45"/>
          <w:sz w:val="40"/>
        </w:rPr>
        <w:t>Board Governance</w:t>
      </w:r>
    </w:p>
    <w:p>
      <w:pPr>
        <w:pStyle w:val="TextBody"/>
        <w:bidi w:val="0"/>
        <w:spacing w:before="0" w:after="0"/>
        <w:ind w:left="0" w:right="0" w:hanging="0"/>
        <w:jc w:val="left"/>
        <w:rPr>
          <w:caps w:val="false"/>
          <w:smallCaps w:val="false"/>
          <w:color w:val="DB0A67"/>
        </w:rPr>
      </w:pPr>
      <w:r>
        <w:rPr>
          <w:caps w:val="false"/>
          <w:smallCaps w:val="false"/>
          <w:color w:val="DB0A67"/>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28" w:name="regn013211-def14aa019"/>
      <w:bookmarkEnd w:id="28"/>
      <w:r>
        <w:rPr>
          <w:rFonts w:ascii="Arial;Helvetica;Sans-Serif" w:hAnsi="Arial;Helvetica;Sans-Serif"/>
          <w:b/>
          <w:i w:val="false"/>
          <w:caps w:val="false"/>
          <w:smallCaps w:val="false"/>
          <w:color w:val="3B5AA4"/>
          <w:sz w:val="32"/>
        </w:rPr>
        <w:t>Board Structure and Proposed Board Declassification</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Currently, pursuant to the Company’s Certificate of Incorporation, the board of directors is divided into three classes, denominated Class I, Class II, and Class III, with members of each class holding office for staggered three-year terms. There are currently four members in each of Class I and Class III and five members in Class II. The respective terms of the directors expire (in all cases, subject to the election and qualification of their successors and to their earlier death, resignation, or removal) as follows: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6265" w:type="dxa"/>
        <w:jc w:val="left"/>
        <w:tblInd w:w="0" w:type="dxa"/>
        <w:tblLayout w:type="fixed"/>
        <w:tblCellMar>
          <w:top w:w="0" w:type="dxa"/>
          <w:left w:w="0" w:type="dxa"/>
          <w:bottom w:w="0" w:type="dxa"/>
          <w:right w:w="0" w:type="dxa"/>
        </w:tblCellMar>
      </w:tblPr>
      <w:tblGrid>
        <w:gridCol w:w="245"/>
        <w:gridCol w:w="6020"/>
      </w:tblGrid>
      <w:tr>
        <w:trPr/>
        <w:tc>
          <w:tcPr>
            <w:tcW w:w="245" w:type="dxa"/>
            <w:tcBorders/>
            <w:vAlign w:val="center"/>
          </w:tcPr>
          <w:p>
            <w:pPr>
              <w:pStyle w:val="TableContents"/>
              <w:bidi w:val="0"/>
              <w:spacing w:before="0" w:after="283"/>
              <w:jc w:val="left"/>
              <w:rPr>
                <w:caps w:val="false"/>
                <w:smallCaps w:val="false"/>
                <w:color w:val="3B5AA4"/>
              </w:rPr>
            </w:pPr>
            <w:r>
              <w:rPr>
                <w:caps w:val="false"/>
                <w:smallCaps w:val="false"/>
                <w:color w:val="3B5AA4"/>
              </w:rPr>
              <w:t>•  </w:t>
            </w:r>
          </w:p>
        </w:tc>
        <w:tc>
          <w:tcPr>
            <w:tcW w:w="602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terms of the Class I Directors expire at the 2025 Annual Meeting;</w:t>
            </w:r>
          </w:p>
        </w:tc>
      </w:tr>
      <w:tr>
        <w:trPr/>
        <w:tc>
          <w:tcPr>
            <w:tcW w:w="245" w:type="dxa"/>
            <w:tcBorders/>
            <w:vAlign w:val="center"/>
          </w:tcPr>
          <w:p>
            <w:pPr>
              <w:pStyle w:val="TableContents"/>
              <w:bidi w:val="0"/>
              <w:spacing w:before="0" w:after="283"/>
              <w:jc w:val="left"/>
              <w:rPr>
                <w:caps w:val="false"/>
                <w:smallCaps w:val="false"/>
                <w:color w:val="3B5AA4"/>
              </w:rPr>
            </w:pPr>
            <w:r>
              <w:rPr>
                <w:caps w:val="false"/>
                <w:smallCaps w:val="false"/>
                <w:color w:val="3B5AA4"/>
              </w:rPr>
              <w:t>•  </w:t>
            </w:r>
          </w:p>
        </w:tc>
        <w:tc>
          <w:tcPr>
            <w:tcW w:w="602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terms of the Class II Directors expire at the 2026 Annual Meeting; and</w:t>
            </w:r>
          </w:p>
        </w:tc>
      </w:tr>
      <w:tr>
        <w:trPr/>
        <w:tc>
          <w:tcPr>
            <w:tcW w:w="245" w:type="dxa"/>
            <w:tcBorders/>
            <w:vAlign w:val="center"/>
          </w:tcPr>
          <w:p>
            <w:pPr>
              <w:pStyle w:val="TableContents"/>
              <w:bidi w:val="0"/>
              <w:spacing w:before="0" w:after="283"/>
              <w:jc w:val="left"/>
              <w:rPr>
                <w:caps w:val="false"/>
                <w:smallCaps w:val="false"/>
                <w:color w:val="3B5AA4"/>
              </w:rPr>
            </w:pPr>
            <w:r>
              <w:rPr>
                <w:caps w:val="false"/>
                <w:smallCaps w:val="false"/>
                <w:color w:val="3B5AA4"/>
              </w:rPr>
              <w:t>•  </w:t>
            </w:r>
          </w:p>
        </w:tc>
        <w:tc>
          <w:tcPr>
            <w:tcW w:w="602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terms of the Class III Directors expire at the 2027 Annual Meeting.</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While our classified board structure has helped support the continuity and stability of directors, enabling the board to provide appropriate and expert oversight of management over the course of the development cycle of our products, we also recognize based on our extensive shareholder engagement that many investors prefer electing all directors on an annual basis as they believe annual elections are a fundamental shareholder right that enhances director accountability.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has carefully considered the advantages and disadvantages of maintaining the classified board structure. After weighing these considerations, including the views of the Company’s shareholders, and in order to reinforce our commitment to accountability and responsiveness to shareholders and to strong corporate governance practices, the board has approved an amendment to the Company’s Certificate of Incorporation to declassify the board (the “Declassification Amendment”), which we are submitting for a shareholder vote at the 2025 Annual Meeting and recommending for approval.</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If the Declassification Amendment is approved by the requisite vote of the Company’s shareholders, the declassification of the board will occur on a phased-in basis beginning in 2026. Each director elected prior to the 2026 Annual Meeting of Shareholders will continue to serve for the remainder of the original term for which he or she was elected. Beginning at the 2026 Annual Meeting of Shareholders, directors will be elected for a term of one year, expiring at the next annual meeting of shareholders.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See “Proposal No. 4: Amendment to the Company’s Certificate of Incorporation to Declassify the Board of Directors” beginning on page 102 for more information.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29" w:name="regn013211-def14aa020"/>
      <w:bookmarkEnd w:id="29"/>
      <w:r>
        <w:rPr>
          <w:rFonts w:ascii="Arial;Helvetica;Sans-Serif" w:hAnsi="Arial;Helvetica;Sans-Serif"/>
          <w:b/>
          <w:i w:val="false"/>
          <w:caps w:val="false"/>
          <w:smallCaps w:val="false"/>
          <w:color w:val="3B5AA4"/>
          <w:sz w:val="32"/>
        </w:rPr>
        <w:t>Board Meetings and Attendance of Directors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r>
        <w:rPr>
          <w:rFonts w:ascii="Arial;Helvetica;Sans-Serif" w:hAnsi="Arial;Helvetica;Sans-Serif"/>
          <w:b/>
          <w:i w:val="false"/>
          <w:caps w:val="false"/>
          <w:smallCaps w:val="false"/>
          <w:color w:val="C60C45"/>
          <w:sz w:val="28"/>
        </w:rPr>
        <w:t>Board Meetings</w:t>
      </w:r>
    </w:p>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held 7 meetings in 2024, of which five were regular meetings and two were special meetings. Our Corporate Governance Guidelines provide that directors are expected to attend all or substantially all meetings of the board and the committees on which they serve. All directors attended at least 75% of the total number of meetings of the board and committees of the board on which they served in 2024. </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4560" w:type="dxa"/>
        <w:jc w:val="left"/>
        <w:tblInd w:w="0" w:type="dxa"/>
        <w:tblLayout w:type="fixed"/>
        <w:tblCellMar>
          <w:top w:w="0" w:type="dxa"/>
          <w:left w:w="0" w:type="dxa"/>
          <w:bottom w:w="0" w:type="dxa"/>
          <w:right w:w="0" w:type="dxa"/>
        </w:tblCellMar>
      </w:tblPr>
      <w:tblGrid>
        <w:gridCol w:w="905"/>
        <w:gridCol w:w="60"/>
        <w:gridCol w:w="1055"/>
        <w:gridCol w:w="60"/>
        <w:gridCol w:w="2480"/>
      </w:tblGrid>
      <w:tr>
        <w:trPr/>
        <w:tc>
          <w:tcPr>
            <w:tcW w:w="905" w:type="dxa"/>
            <w:tcBorders/>
            <w:vAlign w:val="center"/>
          </w:tcPr>
          <w:p>
            <w:pPr>
              <w:pStyle w:val="TableContents"/>
              <w:bidi w:val="0"/>
              <w:spacing w:before="0" w:after="0"/>
              <w:ind w:left="0" w:right="0" w:hanging="0"/>
              <w:jc w:val="center"/>
              <w:rPr>
                <w:b/>
                <w:color w:val="3B5AA4"/>
                <w:sz w:val="48"/>
                <w:shd w:fill="F9E7E9" w:val="clear"/>
              </w:rPr>
            </w:pPr>
            <w:r>
              <w:rPr>
                <w:b/>
                <w:color w:val="3B5AA4"/>
                <w:sz w:val="48"/>
                <w:shd w:fill="F9E7E9" w:val="clear"/>
              </w:rPr>
              <w:t>7</w:t>
            </w:r>
          </w:p>
          <w:p>
            <w:pPr>
              <w:pStyle w:val="TableContents"/>
              <w:bidi w:val="0"/>
              <w:spacing w:before="0" w:after="0"/>
              <w:ind w:left="0" w:right="0" w:hanging="0"/>
              <w:jc w:val="center"/>
              <w:rPr>
                <w:color w:val="231F20"/>
                <w:shd w:fill="F9E7E9" w:val="clear"/>
              </w:rPr>
            </w:pPr>
            <w:r>
              <w:rPr>
                <w:color w:val="231F20"/>
                <w:shd w:fill="F9E7E9" w:val="clear"/>
              </w:rPr>
              <w:t>Board</w:t>
              <w:br/>
              <w:t>Meetings</w:t>
            </w:r>
          </w:p>
        </w:tc>
        <w:tc>
          <w:tcPr>
            <w:tcW w:w="60" w:type="dxa"/>
            <w:tcBorders/>
            <w:vAlign w:val="center"/>
          </w:tcPr>
          <w:p>
            <w:pPr>
              <w:pStyle w:val="TableContents"/>
              <w:bidi w:val="0"/>
              <w:spacing w:before="0" w:after="283"/>
              <w:jc w:val="center"/>
              <w:rPr/>
            </w:pPr>
            <w:r>
              <w:rPr/>
              <w:t> </w:t>
            </w:r>
          </w:p>
        </w:tc>
        <w:tc>
          <w:tcPr>
            <w:tcW w:w="1055" w:type="dxa"/>
            <w:tcBorders/>
            <w:vAlign w:val="center"/>
          </w:tcPr>
          <w:p>
            <w:pPr>
              <w:pStyle w:val="TableContents"/>
              <w:bidi w:val="0"/>
              <w:spacing w:before="0" w:after="0"/>
              <w:ind w:left="0" w:right="0" w:hanging="0"/>
              <w:jc w:val="center"/>
              <w:rPr>
                <w:b/>
                <w:color w:val="3B5AA4"/>
                <w:sz w:val="48"/>
                <w:shd w:fill="F9E7E9" w:val="clear"/>
              </w:rPr>
            </w:pPr>
            <w:r>
              <w:rPr>
                <w:b/>
                <w:color w:val="3B5AA4"/>
                <w:sz w:val="48"/>
                <w:shd w:fill="F9E7E9" w:val="clear"/>
              </w:rPr>
              <w:t>26</w:t>
            </w:r>
          </w:p>
          <w:p>
            <w:pPr>
              <w:pStyle w:val="TableContents"/>
              <w:bidi w:val="0"/>
              <w:spacing w:before="0" w:after="0"/>
              <w:ind w:left="0" w:right="0" w:hanging="0"/>
              <w:jc w:val="center"/>
              <w:rPr>
                <w:color w:val="231F20"/>
                <w:shd w:fill="F9E7E9" w:val="clear"/>
              </w:rPr>
            </w:pPr>
            <w:r>
              <w:rPr>
                <w:color w:val="231F20"/>
                <w:shd w:fill="F9E7E9" w:val="clear"/>
              </w:rPr>
              <w:t>Committee</w:t>
              <w:br/>
              <w:t>Meetings</w:t>
            </w:r>
          </w:p>
        </w:tc>
        <w:tc>
          <w:tcPr>
            <w:tcW w:w="60" w:type="dxa"/>
            <w:tcBorders/>
            <w:vAlign w:val="center"/>
          </w:tcPr>
          <w:p>
            <w:pPr>
              <w:pStyle w:val="TableContents"/>
              <w:bidi w:val="0"/>
              <w:spacing w:before="0" w:after="283"/>
              <w:jc w:val="center"/>
              <w:rPr/>
            </w:pPr>
            <w:r>
              <w:rPr/>
              <w:t> </w:t>
            </w:r>
          </w:p>
        </w:tc>
        <w:tc>
          <w:tcPr>
            <w:tcW w:w="2480" w:type="dxa"/>
            <w:tcBorders/>
            <w:vAlign w:val="center"/>
          </w:tcPr>
          <w:p>
            <w:pPr>
              <w:pStyle w:val="TableContents"/>
              <w:bidi w:val="0"/>
              <w:spacing w:before="0" w:after="0"/>
              <w:ind w:left="0" w:right="0" w:hanging="0"/>
              <w:jc w:val="center"/>
              <w:rPr>
                <w:b/>
                <w:color w:val="3B5AA4"/>
                <w:sz w:val="48"/>
                <w:shd w:fill="F9E7E9" w:val="clear"/>
              </w:rPr>
            </w:pPr>
            <w:r>
              <w:rPr>
                <w:b/>
                <w:color w:val="3B5AA4"/>
                <w:sz w:val="48"/>
                <w:shd w:fill="F9E7E9" w:val="clear"/>
              </w:rPr>
              <w:t>99%</w:t>
            </w:r>
          </w:p>
          <w:p>
            <w:pPr>
              <w:pStyle w:val="TableContents"/>
              <w:bidi w:val="0"/>
              <w:spacing w:before="0" w:after="0"/>
              <w:ind w:left="0" w:right="0" w:hanging="0"/>
              <w:jc w:val="center"/>
              <w:rPr>
                <w:color w:val="231F20"/>
                <w:shd w:fill="F9E7E9" w:val="clear"/>
              </w:rPr>
            </w:pPr>
            <w:r>
              <w:rPr>
                <w:color w:val="231F20"/>
                <w:shd w:fill="F9E7E9" w:val="clear"/>
              </w:rPr>
              <w:t>Average Attendance Rate</w:t>
              <w:br/>
              <w:t>for All Directors</w:t>
            </w:r>
          </w:p>
        </w:tc>
      </w:tr>
    </w:tbl>
    <w:p>
      <w:pPr>
        <w:pStyle w:val="TextBody"/>
        <w:bidi w:val="0"/>
        <w:spacing w:before="0" w:after="0"/>
        <w:ind w:left="0" w:right="0" w:hanging="0"/>
        <w:jc w:val="left"/>
        <w:rPr>
          <w:caps w:val="false"/>
          <w:smallCaps w:val="false"/>
          <w:color w:val="DB0A67"/>
        </w:rPr>
      </w:pPr>
      <w:r>
        <w:rPr>
          <w:caps w:val="false"/>
          <w:smallCaps w:val="false"/>
          <w:color w:val="DB0A67"/>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r>
        <w:rPr>
          <w:rFonts w:ascii="Arial;Helvetica;Sans-Serif" w:hAnsi="Arial;Helvetica;Sans-Serif"/>
          <w:b/>
          <w:i w:val="false"/>
          <w:caps w:val="false"/>
          <w:smallCaps w:val="false"/>
          <w:color w:val="C60C45"/>
          <w:sz w:val="28"/>
        </w:rPr>
        <w:t>Annual Shareholder Meetings</w:t>
      </w:r>
    </w:p>
    <w:p>
      <w:pPr>
        <w:pStyle w:val="TextBody"/>
        <w:bidi w:val="0"/>
        <w:spacing w:before="0" w:after="0"/>
        <w:ind w:left="0" w:right="0" w:hanging="0"/>
        <w:jc w:val="left"/>
        <w:rPr>
          <w:caps w:val="false"/>
          <w:smallCaps w:val="false"/>
          <w:color w:val="DB0A67"/>
        </w:rPr>
      </w:pPr>
      <w:r>
        <w:rPr>
          <w:caps w:val="false"/>
          <w:smallCaps w:val="false"/>
          <w:color w:val="DB0A67"/>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According to our Corporate Governance Guidelines, board members are expected to attend the Company’s Annual Meeting of Shareholders. All directors attended our 2024 Annual Meeting of Shareholders.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06"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89" descr=""/>
                          <pic:cNvPicPr>
                            <a:picLocks noChangeAspect="1" noChangeArrowheads="1"/>
                          </pic:cNvPicPr>
                        </pic:nvPicPr>
                        <pic:blipFill>
                          <a:blip r:embed="rId20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regn013211-def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30" w:name="regn013211-def14aa021"/>
      <w:bookmarkEnd w:id="30"/>
      <w:r>
        <w:rPr>
          <w:rFonts w:ascii="Arial;Helvetica;Sans-Serif" w:hAnsi="Arial;Helvetica;Sans-Serif"/>
          <w:b/>
          <w:i w:val="false"/>
          <w:caps w:val="false"/>
          <w:smallCaps w:val="false"/>
          <w:color w:val="3B5AA4"/>
          <w:sz w:val="32"/>
        </w:rPr>
        <w:t>Director Refreshment Philosophy</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and the Corporate Governance and Compliance Committee strive to ensure that our board is comprised of highly qualified directors with a range of skillsets and backgrounds who will serve as stewards of investor capital and drive the Company’s scientific focus to ensure the continued creation of long-term shareholder value. The objective of the Committee’s continued assessment of the composition of our board is to have a board that as a whole possesses the mix of skills and experiences to provide effective oversight and guidance to management to execute on the Company’s long-term strategy. The Committee’s refreshment philosophy prioritizes skills that it considers important and desirable based on the Company’s current needs and business priorities, while recognizing that our board members must have predominantly science-based backgrounds to effectively provide robust, independent oversight of management. The Committee also works to ensure that various members of the board bring substantial governance, financial, policy, and management expertise gained from their professional backgrounds and their service on other boards.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Committee believes it is desirable to maintain a mix of longer-tenured, experienced directors who have developed enhanced knowledge and understanding of, and valuable insight into, the Company and its operations and newer directors with fresh perspectives. As a result, we do not impose director tenure limits or a mandatory retirement age. The Committee has considered the perspectives of some shareholders regarding longer-tenured directors but believes that longer-serving directors with experience and institutional knowledge bring critical skills to the boardroom. In particular, the Committee believes that continuity on the board allows for longer-tenured directors to make meaningful contributions and provide effective oversight of management during the complete drug discovery and development cycle. Accordingly, while director tenure is taken into consideration when evaluating the board’s composition, the Committee believes that imposing arbitrary limits on director tenure would deprive the board of the valuable contributions of its most experienced members.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6991350" cy="1943100"/>
            <wp:effectExtent l="0" t="0" r="0" b="0"/>
            <wp:docPr id="207"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90" descr=""/>
                    <pic:cNvPicPr>
                      <a:picLocks noChangeAspect="1" noChangeArrowheads="1"/>
                    </pic:cNvPicPr>
                  </pic:nvPicPr>
                  <pic:blipFill>
                    <a:blip r:embed="rId202"/>
                    <a:stretch>
                      <a:fillRect/>
                    </a:stretch>
                  </pic:blipFill>
                  <pic:spPr bwMode="auto">
                    <a:xfrm>
                      <a:off x="0" y="0"/>
                      <a:ext cx="6991350" cy="1943100"/>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To ensure a robust approach to director suitability, evaluation, and refreshment, the Committee has adopted refreshment mechanisms that include the following:</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color w:val="3B5AA4"/>
              </w:rPr>
            </w:pPr>
            <w:r>
              <w:rPr>
                <w:caps w:val="false"/>
                <w:smallCaps w:val="false"/>
                <w:color w:val="3B5AA4"/>
              </w:rPr>
              <w:t>•  </w:t>
            </w:r>
          </w:p>
        </w:tc>
        <w:tc>
          <w:tcPr>
            <w:tcW w:w="996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 formal annual board and committee self-evaluation, as discussed further below;</w:t>
            </w:r>
          </w:p>
        </w:tc>
      </w:tr>
      <w:tr>
        <w:trPr/>
        <w:tc>
          <w:tcPr>
            <w:tcW w:w="245" w:type="dxa"/>
            <w:tcBorders/>
            <w:vAlign w:val="center"/>
          </w:tcPr>
          <w:p>
            <w:pPr>
              <w:pStyle w:val="TableContents"/>
              <w:bidi w:val="0"/>
              <w:spacing w:before="0" w:after="283"/>
              <w:jc w:val="left"/>
              <w:rPr>
                <w:caps w:val="false"/>
                <w:smallCaps w:val="false"/>
                <w:color w:val="3B5AA4"/>
              </w:rPr>
            </w:pPr>
            <w:r>
              <w:rPr>
                <w:caps w:val="false"/>
                <w:smallCaps w:val="false"/>
                <w:color w:val="3B5AA4"/>
              </w:rPr>
              <w:t>•  </w:t>
            </w:r>
          </w:p>
        </w:tc>
        <w:tc>
          <w:tcPr>
            <w:tcW w:w="996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 requirement to offer resignation upon a material change in principal employment; and</w:t>
            </w:r>
          </w:p>
        </w:tc>
      </w:tr>
      <w:tr>
        <w:trPr/>
        <w:tc>
          <w:tcPr>
            <w:tcW w:w="245" w:type="dxa"/>
            <w:tcBorders/>
            <w:vAlign w:val="center"/>
          </w:tcPr>
          <w:p>
            <w:pPr>
              <w:pStyle w:val="TableContents"/>
              <w:bidi w:val="0"/>
              <w:spacing w:before="0" w:after="283"/>
              <w:jc w:val="left"/>
              <w:rPr>
                <w:caps w:val="false"/>
                <w:smallCaps w:val="false"/>
                <w:color w:val="3B5AA4"/>
              </w:rPr>
            </w:pPr>
            <w:r>
              <w:rPr>
                <w:caps w:val="false"/>
                <w:smallCaps w:val="false"/>
                <w:color w:val="3B5AA4"/>
              </w:rPr>
              <w:t>•  </w:t>
            </w:r>
          </w:p>
        </w:tc>
        <w:tc>
          <w:tcPr>
            <w:tcW w:w="996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 policy formalized in our Corporate Governance Guidelines (reviewed annually) that limits director service to no more than four public boards (including Regeneron) and requires notification prior to appointment to another public or for-profit company board (the “director time commitment policy”).</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Since October 2022, three new directors, Drs. Thompson, Guarini, and Schenkein, have joined Regeneron’s board of directors and two directors have retired, resulting in significant board refreshment in the last few years.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08"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91" descr=""/>
                          <pic:cNvPicPr>
                            <a:picLocks noChangeAspect="1" noChangeArrowheads="1"/>
                          </pic:cNvPicPr>
                        </pic:nvPicPr>
                        <pic:blipFill>
                          <a:blip r:embed="rId203"/>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regn013211-def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31" w:name="regn013211-def14aa022"/>
      <w:bookmarkEnd w:id="31"/>
      <w:r>
        <w:rPr>
          <w:rFonts w:ascii="Arial;Helvetica;Sans-Serif" w:hAnsi="Arial;Helvetica;Sans-Serif"/>
          <w:b/>
          <w:i w:val="false"/>
          <w:caps w:val="false"/>
          <w:smallCaps w:val="false"/>
          <w:color w:val="3B5AA4"/>
          <w:sz w:val="32"/>
        </w:rPr>
        <w:t>Procedures Relating to Nominees; Board Succession Planning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considering potential candidates for the board of directors, the Corporate Governance and Compliance Committee considers all relevant factors, such as whether or not a potential candidate: (1) possesses relevant expertise; (2) brings skills and experience complementary to those of the other members of the board; (3) has sufficient time to devote to the affairs of the Company (including whether such candidate complies with the director time commitment policy); (4) has demonstrated excellence in his or her field; (5) has the ability to exercise sound business judgment; (6) has the commitment to rigorously represent the long-term interests of the Company’s shareholders; (7) would contribute to the mix of backgrounds and experiences represented on the board; (8) would be eligible to be considered independent (as discussed further below); and (9) should be recommended in light of such other factors as the Corporate Governance and Compliance Committee may determine from time to time.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Candidates for director are reviewed in the context of the current composition of the board of directors, the operating requirements of the Company, and the long-term interests of shareholders. In conducting the assessment, the Committee considers the factors outlined above in light of the current needs of the board and the Company. When recommending a slate of director nominees each year, the Corporate Governance and Compliance Committee reviews the current composition of the board of directors in order to recommend a slate of directors who, with the continuing directors, will provide the board with the requisite mix of skills, expertise, experience, and viewpoints necessary to effectively fulfill its duties and responsibilities.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the case of an incumbent director whose term of office is set to expire, the Corporate Governance and Compliance Committee reviews such director’s overall service to the Company during the director’s term and also considers the director’s interest in continuing as a member of the board. In the case of a new director candidate, the Corporate Governance and Compliance Committee also reviews whether the nominee is eligible to be considered “independent,” based on our Corporate Governance Guidelines, applicable listing standards of the Nasdaq Stock Market LLC, and applicable SEC and other relevant rules and regulations, if necessary.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The Corporate Governance and Compliance Committee may employ a variety of methods for identifying and evaluating nominees for the board of directors. Candidates recommended by other directors, management, search firms, or other sources may also be considered. With respect to director candidates recommended by shareholders, the Corporate Governance and Compliance Committee will consider the candidate if the shareholder submits the recommendation in compliance with the requirements of our Guidelines Regarding Director Nominations, which are available on our website at </w:t>
      </w:r>
      <w:r>
        <w:rPr>
          <w:rFonts w:ascii="Arial;Helvetica;Sans-Serif" w:hAnsi="Arial;Helvetica;Sans-Serif"/>
          <w:b/>
          <w:i w:val="false"/>
          <w:caps w:val="false"/>
          <w:smallCaps w:val="false"/>
          <w:color w:val="3B5AA4"/>
          <w:sz w:val="18"/>
        </w:rPr>
        <w:t xml:space="preserve">www.regeneron.com </w:t>
      </w:r>
      <w:r>
        <w:rPr>
          <w:rFonts w:ascii="Arial;Helvetica;Sans-Serif" w:hAnsi="Arial;Helvetica;Sans-Serif"/>
          <w:b w:val="false"/>
          <w:i w:val="false"/>
          <w:caps w:val="false"/>
          <w:smallCaps w:val="false"/>
          <w:color w:val="231F20"/>
          <w:sz w:val="18"/>
        </w:rPr>
        <w:t>under the “Governance” heading on the “Investors &amp; Media” page. Candidates recommended by shareholders will be evaluated on the same basis as candidates recommended by our directors or management or by third-party search firms or other 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Candidates may be evaluated at regular or special meetings of the Corporate Governance and Compliance Committee. The Committee also considers succession planning for board and committee chairs for purposes of continuity and to maintain relevant expertise and depth of experience.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7000875" cy="2105025"/>
            <wp:effectExtent l="0" t="0" r="0" b="0"/>
            <wp:docPr id="209"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92" descr=""/>
                    <pic:cNvPicPr>
                      <a:picLocks noChangeAspect="1" noChangeArrowheads="1"/>
                    </pic:cNvPicPr>
                  </pic:nvPicPr>
                  <pic:blipFill>
                    <a:blip r:embed="rId204"/>
                    <a:stretch>
                      <a:fillRect/>
                    </a:stretch>
                  </pic:blipFill>
                  <pic:spPr bwMode="auto">
                    <a:xfrm>
                      <a:off x="0" y="0"/>
                      <a:ext cx="7000875" cy="2105025"/>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10"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93" descr=""/>
                          <pic:cNvPicPr>
                            <a:picLocks noChangeAspect="1" noChangeArrowheads="1"/>
                          </pic:cNvPicPr>
                        </pic:nvPicPr>
                        <pic:blipFill>
                          <a:blip r:embed="rId205"/>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regn013211-def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32" w:name="regn013211-def14aa023"/>
      <w:bookmarkEnd w:id="32"/>
      <w:r>
        <w:rPr>
          <w:rFonts w:ascii="Arial;Helvetica;Sans-Serif" w:hAnsi="Arial;Helvetica;Sans-Serif"/>
          <w:b/>
          <w:i w:val="false"/>
          <w:caps w:val="false"/>
          <w:smallCaps w:val="false"/>
          <w:color w:val="3B5AA4"/>
          <w:sz w:val="32"/>
        </w:rPr>
        <w:t>Director Onboarding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All new directors participate in a robust director orientation and onboarding process to ensure a strong working knowledge of our industry, business, strategies, and policies and a successful integration into boardroom discussions as soon as possible. The initial, typically multi-day orientation program includes in-person meetings at our corporate headquarters with senior executives across our key corporate functions. New directors also meet with the executives and staff supporting the board committees on which they serve. The onboarding process continues after the initial orientation and includes meetings with each committee chair and the Lead Independent Director.</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33" w:name="regn013211-def14aa024"/>
      <w:bookmarkEnd w:id="33"/>
      <w:r>
        <w:rPr>
          <w:rFonts w:ascii="Arial;Helvetica;Sans-Serif" w:hAnsi="Arial;Helvetica;Sans-Serif"/>
          <w:b/>
          <w:i w:val="false"/>
          <w:caps w:val="false"/>
          <w:smallCaps w:val="false"/>
          <w:color w:val="3B5AA4"/>
          <w:sz w:val="32"/>
        </w:rPr>
        <w:t>Board and Committee Self-Assessments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On an annual basis, the board of directors, the Audit Committee, the Compensation Committee, and the Corporate Governance and Compliance Committee conduct self-assessments to ensure effective performance and to identify opportunities for improvement. As the first step in the self-assessment process, for the board as a whole and each committee on which they serve, the directors complete a comprehensive questionnaire, which asks them to consider various topics related to board and committee composition, structure, effectiveness, and responsibilities, as well as satisfaction with the schedule, materials, and discussion topics. Each committee, as well as the board as a whole, then reviews and assesses the responses and presents the findings and recommendations to such committee or the board of directors (as applicable) in executive session. The Lead Independent Director, in consultation with the Corporate Governance and Compliance Committee or the Committee’s Chair, reviews and reports on the results of the board and, if applicable, committee assessments, which are discussed by the board of directors in executive session with a view toward taking action to address any issues presented. Results requiring additional consideration are addressed at subsequent board and committee meetings, where appropriate.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Annual Self-Assessment Process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jc w:val="center"/>
        <w:rPr>
          <w:caps w:val="false"/>
          <w:smallCaps w:val="false"/>
          <w:color w:val="3B5AA4"/>
        </w:rPr>
      </w:pPr>
      <w:r>
        <w:rPr>
          <w:caps w:val="false"/>
          <w:smallCaps w:val="false"/>
          <w:color w:val="3B5AA4"/>
        </w:rPr>
        <w:drawing>
          <wp:inline distT="0" distB="0" distL="0" distR="0">
            <wp:extent cx="6991350" cy="1162050"/>
            <wp:effectExtent l="0" t="0" r="0" b="0"/>
            <wp:docPr id="211"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94" descr=""/>
                    <pic:cNvPicPr>
                      <a:picLocks noChangeAspect="1" noChangeArrowheads="1"/>
                    </pic:cNvPicPr>
                  </pic:nvPicPr>
                  <pic:blipFill>
                    <a:blip r:embed="rId206"/>
                    <a:stretch>
                      <a:fillRect/>
                    </a:stretch>
                  </pic:blipFill>
                  <pic:spPr bwMode="auto">
                    <a:xfrm>
                      <a:off x="0" y="0"/>
                      <a:ext cx="6991350" cy="1162050"/>
                    </a:xfrm>
                    <a:prstGeom prst="rect">
                      <a:avLst/>
                    </a:prstGeom>
                  </pic:spPr>
                </pic:pic>
              </a:graphicData>
            </a:graphic>
          </wp:inline>
        </w:drawing>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While this formal self-assessment is conducted on an annual basis, directors share perspectives, feedback, and suggestions year round, both inside and outside the boardroom.</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12"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95" descr=""/>
                          <pic:cNvPicPr>
                            <a:picLocks noChangeAspect="1" noChangeArrowheads="1"/>
                          </pic:cNvPicPr>
                        </pic:nvPicPr>
                        <pic:blipFill>
                          <a:blip r:embed="rId207"/>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regn013211-def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34" w:name="regn013211-def14aa025"/>
      <w:bookmarkEnd w:id="34"/>
      <w:r>
        <w:rPr>
          <w:rFonts w:ascii="Arial;Helvetica;Sans-Serif" w:hAnsi="Arial;Helvetica;Sans-Serif"/>
          <w:b/>
          <w:i w:val="false"/>
          <w:caps w:val="false"/>
          <w:smallCaps w:val="false"/>
          <w:color w:val="3B5AA4"/>
          <w:sz w:val="32"/>
        </w:rPr>
        <w:t>Board Leadership</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recognizes that one of its key responsibilities is to establish and evaluate an appropriate leadership structure for the board so as to provide effective oversight of management. The board of directors believes that a company’s board leadership structure should take into account relevant corporate governance and strategic considerations (such as board size and composition, director tenure, and experience of the management team) and that the board should maintain flexibility and adjust the leadership structure as appropriate.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r>
        <w:rPr>
          <w:rFonts w:ascii="Arial;Helvetica;Sans-Serif" w:hAnsi="Arial;Helvetica;Sans-Serif"/>
          <w:b/>
          <w:i w:val="false"/>
          <w:caps w:val="false"/>
          <w:smallCaps w:val="false"/>
          <w:color w:val="C60C45"/>
          <w:sz w:val="28"/>
        </w:rPr>
        <w:t>Board Leadership Structure</w:t>
      </w:r>
    </w:p>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Regeneron’s current board leadership structure has been in effect since June 2023, when the board elected Drs. Schleifer and Yancopoulos as co-Chairs of the Board and the independent directors designated Ms. Poon as the board’s Lead Independent Director. Under our Corporate Governance Guidelines, if the Chair of the Board is not an independent director (or, in the case of co-Chairs, neither is an independent director), the Company’s independent directors shall designate one of the independent directors to serve as a Lead Independent Director. The Lead Independent Director coordinates the activities of the independent directors and has the duties and responsibilities described in Regeneron’s Lead Independent Director Charter, which are summarized below under the subsection “Responsibilities of Lead Independent Director.”</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electing Drs. Schleifer and Yancopoulos as co-Chairs, the board of directors considered their incomparable knowledge and demonstrated leadership of the Company for nearly four decades. The board’s decision also took into account Dr. Schleifer’s previous service as Chair of the Board from 1990 through 1994 and the importance, both from an external and internal perspective, of Dr. Yancopoulos’s scientific leadership. The board further believes that the ability of Drs. Schleifer and Yancopoulos to speak as co-Chairs of the Board as well as Presidents of the Company provides strong unified leadership for the Company. In the board’s view, electing Drs. Schleifer and Yancopoulos as co-Chairs, combined with a strong Lead Independent Director appointed by the independent directors, provides balanced leadership and effective oversight of management and is in the best interest of the Company and its shareholders.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designating Ms. Poon as the board’s Lead Independent Director, the independent directors of the board considered her deep strategic and operational knowledge of the Company’s business and industry; broad experience serving as a public company director, including in the role of lead independent director of another S&amp;P 500 company; productive working relationship with Drs. Schleifer and Yancopoulos; history of demonstrating independent judgment to support management when appropriate and fortitude to challenge management when deemed in the best interest of the Company and its shareholders; strong interpersonal skills and ability to build consensus; and demonstrated influence on the board’s culture and insistence on a high standard of ethics, candor, and transparency.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continues to periodically evaluate and determine, with input from the independent directors, an appropriate leadership structure for the board so as to provide effective oversight of management.</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13"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96" descr=""/>
                          <pic:cNvPicPr>
                            <a:picLocks noChangeAspect="1" noChangeArrowheads="1"/>
                          </pic:cNvPicPr>
                        </pic:nvPicPr>
                        <pic:blipFill>
                          <a:blip r:embed="rId208"/>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regn013211-def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r>
        <w:rPr>
          <w:rFonts w:ascii="Arial;Helvetica;Sans-Serif" w:hAnsi="Arial;Helvetica;Sans-Serif"/>
          <w:b/>
          <w:i w:val="false"/>
          <w:caps w:val="false"/>
          <w:smallCaps w:val="false"/>
          <w:color w:val="C60C45"/>
          <w:sz w:val="28"/>
        </w:rPr>
        <w:t>Responsibilities of Lead Independent Director</w:t>
      </w:r>
    </w:p>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Under Regeneron’s Lead Independent Director Charter, the Lead Independent Director is appointed annually by the independent directors of the board. Although appointed annually, the Lead Independent Director is generally expected to serve for more than one year. The Lead Independent Director Charter sets forth a robust set of specific duties and responsibilities of the Lead Independent Director, which are summarized below.</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Key Duties and Responsibilities of Lead Independent Director</w:t>
      </w:r>
    </w:p>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10205" w:type="dxa"/>
        <w:jc w:val="left"/>
        <w:tblInd w:w="0" w:type="dxa"/>
        <w:tblLayout w:type="fixed"/>
        <w:tblCellMar>
          <w:top w:w="0" w:type="dxa"/>
          <w:left w:w="0" w:type="dxa"/>
          <w:bottom w:w="0" w:type="dxa"/>
          <w:right w:w="0" w:type="dxa"/>
        </w:tblCellMar>
      </w:tblPr>
      <w:tblGrid>
        <w:gridCol w:w="5210"/>
        <w:gridCol w:w="60"/>
        <w:gridCol w:w="60"/>
        <w:gridCol w:w="4875"/>
      </w:tblGrid>
      <w:tr>
        <w:trPr/>
        <w:tc>
          <w:tcPr>
            <w:tcW w:w="5210" w:type="dxa"/>
            <w:tcBorders/>
            <w:vAlign w:val="center"/>
          </w:tcPr>
          <w:p>
            <w:pPr>
              <w:pStyle w:val="TableContents"/>
              <w:bidi w:val="0"/>
              <w:spacing w:before="0" w:after="100"/>
              <w:ind w:left="0" w:right="0" w:hanging="0"/>
              <w:jc w:val="left"/>
              <w:rPr>
                <w:b/>
                <w:color w:val="3B5AA4"/>
                <w:sz w:val="24"/>
              </w:rPr>
            </w:pPr>
            <w:r>
              <w:rPr>
                <w:b/>
                <w:color w:val="3B5AA4"/>
                <w:sz w:val="24"/>
              </w:rPr>
              <w:t>Meetings and Executive Sessions</w:t>
            </w:r>
          </w:p>
          <w:p>
            <w:pPr>
              <w:pStyle w:val="TableContents"/>
              <w:bidi w:val="0"/>
              <w:spacing w:before="0" w:after="100"/>
              <w:ind w:left="160" w:right="0" w:hanging="160"/>
              <w:jc w:val="left"/>
              <w:rPr/>
            </w:pPr>
            <w:r>
              <w:rPr>
                <w:color w:val="3B5AA4"/>
              </w:rPr>
              <w:t>•  </w:t>
            </w:r>
            <w:r>
              <w:rPr>
                <w:color w:val="231F20"/>
              </w:rPr>
              <w:t>Presides at all meetings of the board at which the</w:t>
            </w:r>
            <w:r>
              <w:rPr/>
              <w:t xml:space="preserve"> </w:t>
            </w:r>
            <w:r>
              <w:rPr>
                <w:color w:val="231F20"/>
              </w:rPr>
              <w:t>Chair* is not present, including executive sessions of</w:t>
            </w:r>
            <w:r>
              <w:rPr/>
              <w:t xml:space="preserve"> </w:t>
            </w:r>
            <w:r>
              <w:rPr>
                <w:color w:val="231F20"/>
              </w:rPr>
              <w:t>the independent directors</w:t>
            </w:r>
          </w:p>
          <w:p>
            <w:pPr>
              <w:pStyle w:val="TableContents"/>
              <w:bidi w:val="0"/>
              <w:spacing w:before="0" w:after="100"/>
              <w:ind w:left="160" w:right="0" w:hanging="160"/>
              <w:jc w:val="left"/>
              <w:rPr/>
            </w:pPr>
            <w:r>
              <w:rPr>
                <w:color w:val="3B5AA4"/>
              </w:rPr>
              <w:t>•  </w:t>
            </w:r>
            <w:r>
              <w:rPr>
                <w:color w:val="231F20"/>
              </w:rPr>
              <w:t>Has discretion to call meetings of the</w:t>
            </w:r>
            <w:r>
              <w:rPr/>
              <w:t xml:space="preserve"> </w:t>
            </w:r>
            <w:r>
              <w:rPr>
                <w:color w:val="231F20"/>
              </w:rPr>
              <w:t>independent directors</w:t>
            </w:r>
          </w:p>
          <w:p>
            <w:pPr>
              <w:pStyle w:val="TableContents"/>
              <w:bidi w:val="0"/>
              <w:spacing w:before="0" w:after="100"/>
              <w:ind w:left="160" w:right="0" w:hanging="160"/>
              <w:jc w:val="left"/>
              <w:rPr/>
            </w:pPr>
            <w:r>
              <w:rPr>
                <w:color w:val="3B5AA4"/>
              </w:rPr>
              <w:t>•  </w:t>
            </w:r>
            <w:r>
              <w:rPr>
                <w:color w:val="231F20"/>
              </w:rPr>
              <w:t>Facilitates discussion and open dialogue among the</w:t>
            </w:r>
            <w:r>
              <w:rPr/>
              <w:t xml:space="preserve"> </w:t>
            </w:r>
            <w:r>
              <w:rPr>
                <w:color w:val="231F20"/>
              </w:rPr>
              <w:t>independent directors during board meetings,</w:t>
            </w:r>
            <w:r>
              <w:rPr/>
              <w:t xml:space="preserve"> </w:t>
            </w:r>
            <w:r>
              <w:rPr>
                <w:color w:val="231F20"/>
              </w:rPr>
              <w:t>executive sessions, and outside board meetings</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4875" w:type="dxa"/>
            <w:tcBorders/>
            <w:vAlign w:val="center"/>
          </w:tcPr>
          <w:p>
            <w:pPr>
              <w:pStyle w:val="TableContents"/>
              <w:bidi w:val="0"/>
              <w:spacing w:before="0" w:after="100"/>
              <w:ind w:left="0" w:right="0" w:hanging="0"/>
              <w:jc w:val="left"/>
              <w:rPr>
                <w:b/>
                <w:color w:val="3B5AA4"/>
                <w:sz w:val="24"/>
              </w:rPr>
            </w:pPr>
            <w:r>
              <w:rPr>
                <w:b/>
                <w:color w:val="3B5AA4"/>
                <w:sz w:val="24"/>
              </w:rPr>
              <w:t>Oversight of Information Provided to the Board</w:t>
            </w:r>
          </w:p>
          <w:p>
            <w:pPr>
              <w:pStyle w:val="TableContents"/>
              <w:bidi w:val="0"/>
              <w:spacing w:before="0" w:after="100"/>
              <w:ind w:left="160" w:right="0" w:hanging="160"/>
              <w:jc w:val="left"/>
              <w:rPr/>
            </w:pPr>
            <w:r>
              <w:rPr>
                <w:color w:val="3B5AA4"/>
              </w:rPr>
              <w:t>•  </w:t>
            </w:r>
            <w:r>
              <w:rPr>
                <w:color w:val="231F20"/>
              </w:rPr>
              <w:t>Works with the Chair to develop and approve board</w:t>
            </w:r>
            <w:r>
              <w:rPr/>
              <w:t xml:space="preserve"> </w:t>
            </w:r>
            <w:r>
              <w:rPr>
                <w:color w:val="231F20"/>
              </w:rPr>
              <w:t>meeting agendas and meeting schedules, including to</w:t>
            </w:r>
            <w:r>
              <w:rPr/>
              <w:t xml:space="preserve"> </w:t>
            </w:r>
            <w:r>
              <w:rPr>
                <w:color w:val="231F20"/>
              </w:rPr>
              <w:t>ensure that there is sufficient time for discussion of</w:t>
            </w:r>
            <w:r>
              <w:rPr/>
              <w:t xml:space="preserve"> </w:t>
            </w:r>
            <w:r>
              <w:rPr>
                <w:color w:val="231F20"/>
              </w:rPr>
              <w:t>all agenda items</w:t>
            </w:r>
          </w:p>
          <w:p>
            <w:pPr>
              <w:pStyle w:val="TableContents"/>
              <w:bidi w:val="0"/>
              <w:spacing w:before="0" w:after="100"/>
              <w:ind w:left="160" w:right="0" w:hanging="160"/>
              <w:jc w:val="left"/>
              <w:rPr/>
            </w:pPr>
            <w:r>
              <w:rPr>
                <w:color w:val="3B5AA4"/>
              </w:rPr>
              <w:t>•  </w:t>
            </w:r>
            <w:r>
              <w:rPr>
                <w:color w:val="231F20"/>
              </w:rPr>
              <w:t>Works with the Chair on the appropriateness</w:t>
            </w:r>
            <w:r>
              <w:rPr/>
              <w:t xml:space="preserve"> </w:t>
            </w:r>
            <w:r>
              <w:rPr>
                <w:color w:val="231F20"/>
              </w:rPr>
              <w:t>(including quality and quantity) and timeliness of the</w:t>
            </w:r>
            <w:r>
              <w:rPr/>
              <w:t xml:space="preserve"> </w:t>
            </w:r>
            <w:r>
              <w:rPr>
                <w:color w:val="231F20"/>
              </w:rPr>
              <w:t>information provided to the board</w:t>
            </w:r>
          </w:p>
          <w:p>
            <w:pPr>
              <w:pStyle w:val="TableContents"/>
              <w:bidi w:val="0"/>
              <w:spacing w:before="0" w:after="0"/>
              <w:ind w:left="160" w:right="0" w:hanging="160"/>
              <w:jc w:val="left"/>
              <w:rPr/>
            </w:pPr>
            <w:r>
              <w:rPr>
                <w:color w:val="3B5AA4"/>
              </w:rPr>
              <w:t>•  </w:t>
            </w:r>
            <w:r>
              <w:rPr>
                <w:color w:val="231F20"/>
              </w:rPr>
              <w:t>Authorizes the retention of advisors and consultants</w:t>
            </w:r>
            <w:r>
              <w:rPr/>
              <w:t xml:space="preserve"> </w:t>
            </w:r>
            <w:r>
              <w:rPr>
                <w:color w:val="231F20"/>
              </w:rPr>
              <w:t>who report directly to the board or the independent</w:t>
            </w:r>
            <w:r>
              <w:rPr/>
              <w:t xml:space="preserve"> </w:t>
            </w:r>
            <w:r>
              <w:rPr>
                <w:color w:val="231F20"/>
              </w:rPr>
              <w:t>directors when appropriate</w:t>
            </w:r>
          </w:p>
        </w:tc>
      </w:tr>
      <w:tr>
        <w:trPr/>
        <w:tc>
          <w:tcPr>
            <w:tcW w:w="5210" w:type="dxa"/>
            <w:tcBorders>
              <w:bottom w:val="single" w:sz="2" w:space="0" w:color="C60C44"/>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4875" w:type="dxa"/>
            <w:tcBorders>
              <w:bottom w:val="single" w:sz="2" w:space="0" w:color="C60C44"/>
            </w:tcBorders>
            <w:tcMar>
              <w:bottom w:w="28" w:type="dxa"/>
            </w:tcM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48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100"/>
              <w:ind w:left="0" w:right="0" w:hanging="0"/>
              <w:jc w:val="left"/>
              <w:rPr>
                <w:b/>
                <w:color w:val="3B5AA4"/>
                <w:sz w:val="24"/>
              </w:rPr>
            </w:pPr>
            <w:r>
              <w:rPr>
                <w:b/>
                <w:color w:val="3B5AA4"/>
                <w:sz w:val="24"/>
              </w:rPr>
              <w:t>Liaison with the Chair and Management</w:t>
            </w:r>
          </w:p>
          <w:p>
            <w:pPr>
              <w:pStyle w:val="TableContents"/>
              <w:bidi w:val="0"/>
              <w:spacing w:before="0" w:after="100"/>
              <w:ind w:left="160" w:right="0" w:hanging="160"/>
              <w:jc w:val="left"/>
              <w:rPr/>
            </w:pPr>
            <w:r>
              <w:rPr>
                <w:color w:val="3B5AA4"/>
              </w:rPr>
              <w:t>•  </w:t>
            </w:r>
            <w:r>
              <w:rPr>
                <w:color w:val="231F20"/>
              </w:rPr>
              <w:t>Serves as the principal liaison between the</w:t>
            </w:r>
            <w:r>
              <w:rPr/>
              <w:t xml:space="preserve"> </w:t>
            </w:r>
            <w:r>
              <w:rPr>
                <w:color w:val="231F20"/>
              </w:rPr>
              <w:t>independent directors and the Chair, without inhibiting</w:t>
            </w:r>
            <w:r>
              <w:rPr/>
              <w:t xml:space="preserve"> </w:t>
            </w:r>
            <w:r>
              <w:rPr>
                <w:color w:val="231F20"/>
              </w:rPr>
              <w:t>direct communication between them</w:t>
            </w:r>
          </w:p>
          <w:p>
            <w:pPr>
              <w:pStyle w:val="TableContents"/>
              <w:bidi w:val="0"/>
              <w:spacing w:before="0" w:after="100"/>
              <w:ind w:left="160" w:right="0" w:hanging="160"/>
              <w:jc w:val="left"/>
              <w:rPr/>
            </w:pPr>
            <w:r>
              <w:rPr>
                <w:color w:val="3B5AA4"/>
              </w:rPr>
              <w:t>•  </w:t>
            </w:r>
            <w:r>
              <w:rPr>
                <w:color w:val="231F20"/>
              </w:rPr>
              <w:t>Communicates to the Chair and management, as</w:t>
            </w:r>
            <w:r>
              <w:rPr/>
              <w:t xml:space="preserve"> </w:t>
            </w:r>
            <w:r>
              <w:rPr>
                <w:color w:val="231F20"/>
              </w:rPr>
              <w:t>appropriate, any decisions reached, suggestions</w:t>
            </w:r>
            <w:r>
              <w:rPr/>
              <w:t xml:space="preserve"> </w:t>
            </w:r>
            <w:r>
              <w:rPr>
                <w:color w:val="231F20"/>
              </w:rPr>
              <w:t>made, or views or concerns expressed by independent</w:t>
            </w:r>
            <w:r>
              <w:rPr/>
              <w:t xml:space="preserve"> </w:t>
            </w:r>
            <w:r>
              <w:rPr>
                <w:color w:val="231F20"/>
              </w:rPr>
              <w:t>directors in executive sessions or outside of</w:t>
            </w:r>
            <w:r>
              <w:rPr/>
              <w:t xml:space="preserve"> </w:t>
            </w:r>
            <w:r>
              <w:rPr>
                <w:color w:val="231F20"/>
              </w:rPr>
              <w:t>board meetings</w:t>
            </w:r>
          </w:p>
          <w:p>
            <w:pPr>
              <w:pStyle w:val="TableContents"/>
              <w:bidi w:val="0"/>
              <w:spacing w:before="0" w:after="100"/>
              <w:ind w:left="160" w:right="0" w:hanging="160"/>
              <w:jc w:val="left"/>
              <w:rPr/>
            </w:pPr>
            <w:r>
              <w:rPr>
                <w:color w:val="3B5AA4"/>
              </w:rPr>
              <w:t>•  </w:t>
            </w:r>
            <w:r>
              <w:rPr>
                <w:color w:val="231F20"/>
              </w:rPr>
              <w:t>Provides the Chair with feedback and counsel</w:t>
            </w:r>
            <w:r>
              <w:rPr/>
              <w:t xml:space="preserve"> </w:t>
            </w:r>
            <w:r>
              <w:rPr>
                <w:color w:val="231F20"/>
              </w:rPr>
              <w:t>concerning the Chair’s interactions with the board</w:t>
            </w:r>
          </w:p>
          <w:p>
            <w:pPr>
              <w:pStyle w:val="TableContents"/>
              <w:bidi w:val="0"/>
              <w:spacing w:before="0" w:after="0"/>
              <w:ind w:left="160" w:right="0" w:hanging="160"/>
              <w:jc w:val="left"/>
              <w:rPr/>
            </w:pPr>
            <w:r>
              <w:rPr>
                <w:color w:val="3B5AA4"/>
              </w:rPr>
              <w:t>•  </w:t>
            </w:r>
            <w:r>
              <w:rPr>
                <w:color w:val="231F20"/>
              </w:rPr>
              <w:t>In the case of co-Chairs, resolves any disagreement</w:t>
            </w:r>
            <w:r>
              <w:rPr/>
              <w:t xml:space="preserve"> </w:t>
            </w:r>
            <w:r>
              <w:rPr>
                <w:color w:val="231F20"/>
              </w:rPr>
              <w:t>between the co-Chairs in their performance of the</w:t>
            </w:r>
            <w:r>
              <w:rPr/>
              <w:t xml:space="preserve"> </w:t>
            </w:r>
            <w:r>
              <w:rPr>
                <w:color w:val="231F20"/>
              </w:rPr>
              <w:t>duties and responsibilities of the Chair</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4875" w:type="dxa"/>
            <w:tcBorders/>
            <w:vAlign w:val="center"/>
          </w:tcPr>
          <w:p>
            <w:pPr>
              <w:pStyle w:val="TableContents"/>
              <w:bidi w:val="0"/>
              <w:spacing w:before="0" w:after="100"/>
              <w:ind w:left="0" w:right="0" w:hanging="0"/>
              <w:jc w:val="left"/>
              <w:rPr>
                <w:b/>
                <w:color w:val="3B5AA4"/>
                <w:sz w:val="24"/>
              </w:rPr>
            </w:pPr>
            <w:r>
              <w:rPr>
                <w:b/>
                <w:color w:val="3B5AA4"/>
                <w:sz w:val="24"/>
              </w:rPr>
              <w:t>Board and Leadership Evaluation</w:t>
            </w:r>
          </w:p>
          <w:p>
            <w:pPr>
              <w:pStyle w:val="TableContents"/>
              <w:bidi w:val="0"/>
              <w:spacing w:before="0" w:after="100"/>
              <w:ind w:left="160" w:right="0" w:hanging="160"/>
              <w:jc w:val="left"/>
              <w:rPr/>
            </w:pPr>
            <w:r>
              <w:rPr>
                <w:color w:val="3B5AA4"/>
              </w:rPr>
              <w:t>•  </w:t>
            </w:r>
            <w:r>
              <w:rPr>
                <w:color w:val="231F20"/>
              </w:rPr>
              <w:t>In consultation with the Corporate Governance and</w:t>
            </w:r>
            <w:r>
              <w:rPr/>
              <w:t xml:space="preserve"> </w:t>
            </w:r>
            <w:r>
              <w:rPr>
                <w:color w:val="231F20"/>
              </w:rPr>
              <w:t>Compliance Committee of the board (or the Chair</w:t>
            </w:r>
            <w:r>
              <w:rPr/>
              <w:t xml:space="preserve"> </w:t>
            </w:r>
            <w:r>
              <w:rPr>
                <w:color w:val="231F20"/>
              </w:rPr>
              <w:t>thereof), reviews and reports on the results of the</w:t>
            </w:r>
            <w:r>
              <w:rPr/>
              <w:t xml:space="preserve"> </w:t>
            </w:r>
            <w:r>
              <w:rPr>
                <w:color w:val="231F20"/>
              </w:rPr>
              <w:t>board and committee performance self-evaluations</w:t>
            </w:r>
          </w:p>
          <w:p>
            <w:pPr>
              <w:pStyle w:val="TableContents"/>
              <w:bidi w:val="0"/>
              <w:spacing w:before="0" w:after="100"/>
              <w:ind w:left="160" w:right="0" w:hanging="160"/>
              <w:jc w:val="left"/>
              <w:rPr/>
            </w:pPr>
            <w:r>
              <w:rPr>
                <w:color w:val="3B5AA4"/>
              </w:rPr>
              <w:t>•  </w:t>
            </w:r>
            <w:r>
              <w:rPr>
                <w:color w:val="231F20"/>
              </w:rPr>
              <w:t>Periodically meets on an individual basis with the</w:t>
            </w:r>
            <w:r>
              <w:rPr/>
              <w:t xml:space="preserve"> </w:t>
            </w:r>
            <w:r>
              <w:rPr>
                <w:color w:val="231F20"/>
              </w:rPr>
              <w:t>independent directors to discuss performance,</w:t>
            </w:r>
            <w:r>
              <w:rPr/>
              <w:t xml:space="preserve"> </w:t>
            </w:r>
            <w:r>
              <w:rPr>
                <w:color w:val="231F20"/>
              </w:rPr>
              <w:t>effectiveness, and composition of the board and any</w:t>
            </w:r>
            <w:r>
              <w:rPr/>
              <w:t xml:space="preserve"> </w:t>
            </w:r>
            <w:r>
              <w:rPr>
                <w:color w:val="231F20"/>
              </w:rPr>
              <w:t>committees thereof</w:t>
            </w:r>
          </w:p>
          <w:p>
            <w:pPr>
              <w:pStyle w:val="TableContents"/>
              <w:bidi w:val="0"/>
              <w:spacing w:before="0" w:after="100"/>
              <w:ind w:left="160" w:right="0" w:hanging="160"/>
              <w:jc w:val="left"/>
              <w:rPr/>
            </w:pPr>
            <w:r>
              <w:rPr>
                <w:color w:val="3B5AA4"/>
              </w:rPr>
              <w:t>•  </w:t>
            </w:r>
            <w:r>
              <w:rPr>
                <w:color w:val="231F20"/>
              </w:rPr>
              <w:t>Leads the independent directors’ evaluation of the</w:t>
            </w:r>
            <w:r>
              <w:rPr/>
              <w:t xml:space="preserve"> </w:t>
            </w:r>
            <w:r>
              <w:rPr>
                <w:color w:val="231F20"/>
              </w:rPr>
              <w:t>effectiveness of the Chair, including his or her</w:t>
            </w:r>
            <w:r>
              <w:rPr/>
              <w:t xml:space="preserve"> </w:t>
            </w:r>
            <w:r>
              <w:rPr>
                <w:color w:val="231F20"/>
              </w:rPr>
              <w:t>interactions with directors and ability to provide</w:t>
            </w:r>
            <w:r>
              <w:rPr/>
              <w:t xml:space="preserve"> </w:t>
            </w:r>
            <w:r>
              <w:rPr>
                <w:color w:val="231F20"/>
              </w:rPr>
              <w:t>leadership and direction to the board</w:t>
            </w:r>
          </w:p>
        </w:tc>
      </w:tr>
      <w:tr>
        <w:trPr/>
        <w:tc>
          <w:tcPr>
            <w:tcW w:w="5210" w:type="dxa"/>
            <w:tcBorders>
              <w:bottom w:val="single" w:sz="2" w:space="0" w:color="C60C44"/>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4875" w:type="dxa"/>
            <w:tcBorders>
              <w:bottom w:val="single" w:sz="2" w:space="0" w:color="C60C44"/>
            </w:tcBorders>
            <w:tcMar>
              <w:bottom w:w="28" w:type="dxa"/>
            </w:tcM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48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100"/>
              <w:ind w:left="0" w:right="0" w:hanging="0"/>
              <w:jc w:val="left"/>
              <w:rPr>
                <w:b/>
                <w:color w:val="3B5AA4"/>
                <w:sz w:val="24"/>
              </w:rPr>
            </w:pPr>
            <w:r>
              <w:rPr>
                <w:b/>
                <w:color w:val="3B5AA4"/>
                <w:sz w:val="24"/>
              </w:rPr>
              <w:t>CEO Succession</w:t>
            </w:r>
          </w:p>
          <w:p>
            <w:pPr>
              <w:pStyle w:val="TableContents"/>
              <w:bidi w:val="0"/>
              <w:spacing w:before="0" w:after="100"/>
              <w:ind w:left="160" w:right="0" w:hanging="160"/>
              <w:jc w:val="left"/>
              <w:rPr/>
            </w:pPr>
            <w:r>
              <w:rPr>
                <w:color w:val="3B5AA4"/>
              </w:rPr>
              <w:t>•  </w:t>
            </w:r>
            <w:r>
              <w:rPr>
                <w:color w:val="231F20"/>
              </w:rPr>
              <w:t>Coordinates the board’s CEO succession</w:t>
            </w:r>
            <w:r>
              <w:rPr/>
              <w:t xml:space="preserve"> </w:t>
            </w:r>
            <w:r>
              <w:rPr>
                <w:color w:val="231F20"/>
              </w:rPr>
              <w:t>planning process</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4875" w:type="dxa"/>
            <w:tcBorders/>
            <w:vAlign w:val="center"/>
          </w:tcPr>
          <w:p>
            <w:pPr>
              <w:pStyle w:val="TableContents"/>
              <w:bidi w:val="0"/>
              <w:spacing w:before="0" w:after="100"/>
              <w:ind w:left="0" w:right="0" w:hanging="0"/>
              <w:jc w:val="left"/>
              <w:rPr>
                <w:b/>
                <w:color w:val="3B5AA4"/>
                <w:sz w:val="24"/>
              </w:rPr>
            </w:pPr>
            <w:r>
              <w:rPr>
                <w:b/>
                <w:color w:val="3B5AA4"/>
                <w:sz w:val="24"/>
              </w:rPr>
              <w:t>Shareholder Communication</w:t>
            </w:r>
          </w:p>
          <w:p>
            <w:pPr>
              <w:pStyle w:val="TableContents"/>
              <w:bidi w:val="0"/>
              <w:spacing w:before="0" w:after="0"/>
              <w:ind w:left="160" w:right="0" w:hanging="160"/>
              <w:jc w:val="left"/>
              <w:rPr/>
            </w:pPr>
            <w:r>
              <w:rPr>
                <w:color w:val="3B5AA4"/>
              </w:rPr>
              <w:t>•  </w:t>
            </w:r>
            <w:r>
              <w:rPr>
                <w:color w:val="231F20"/>
              </w:rPr>
              <w:t>If requested, and in coordination with executive</w:t>
            </w:r>
            <w:r>
              <w:rPr/>
              <w:t xml:space="preserve"> </w:t>
            </w:r>
            <w:r>
              <w:rPr>
                <w:color w:val="231F20"/>
              </w:rPr>
              <w:t>management, is available for consultation and direct</w:t>
            </w:r>
            <w:r>
              <w:rPr/>
              <w:t xml:space="preserve"> </w:t>
            </w:r>
            <w:r>
              <w:rPr>
                <w:color w:val="231F20"/>
              </w:rPr>
              <w:t>communication with shareholders</w:t>
            </w:r>
          </w:p>
        </w:tc>
      </w:tr>
    </w:tbl>
    <w:tbl>
      <w:tblPr>
        <w:tblW w:w="8530" w:type="dxa"/>
        <w:jc w:val="left"/>
        <w:tblInd w:w="0" w:type="dxa"/>
        <w:tblLayout w:type="fixed"/>
        <w:tblCellMar>
          <w:top w:w="0" w:type="dxa"/>
          <w:left w:w="0" w:type="dxa"/>
          <w:bottom w:w="0" w:type="dxa"/>
          <w:right w:w="0" w:type="dxa"/>
        </w:tblCellMar>
      </w:tblPr>
      <w:tblGrid>
        <w:gridCol w:w="125"/>
        <w:gridCol w:w="840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10101"/>
                <w:sz w:val="18"/>
              </w:rPr>
            </w:pPr>
            <w:r>
              <w:rPr>
                <w:rFonts w:ascii="Times New Roman;Times;Serif" w:hAnsi="Times New Roman;Times;Serif"/>
                <w:b w:val="false"/>
                <w:i w:val="false"/>
                <w:caps w:val="false"/>
                <w:smallCaps w:val="false"/>
                <w:color w:val="010101"/>
                <w:sz w:val="18"/>
              </w:rPr>
              <w:t>*</w:t>
            </w:r>
          </w:p>
        </w:tc>
        <w:tc>
          <w:tcPr>
            <w:tcW w:w="8405" w:type="dxa"/>
            <w:tcBorders/>
            <w:vAlign w:val="center"/>
          </w:tcPr>
          <w:p>
            <w:pPr>
              <w:pStyle w:val="TableContents"/>
              <w:bidi w:val="0"/>
              <w:spacing w:before="0" w:after="283"/>
              <w:jc w:val="left"/>
              <w:rPr>
                <w:color w:val="231F20"/>
              </w:rPr>
            </w:pPr>
            <w:r>
              <w:rPr>
                <w:color w:val="231F20"/>
              </w:rPr>
              <w:t>All references to the Chair are, in the case of co-Chairs, deemed to mean either co-Chair.</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On an annual basis, the Lead Independent Director, in consultation with the Corporate Governance and Compliance Committee or the Chair thereof, reviews the adequacy of the Lead Independent Director Charter and recommends to the board any modifications or changes for approval by the board.</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14"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97" descr=""/>
                          <pic:cNvPicPr>
                            <a:picLocks noChangeAspect="1" noChangeArrowheads="1"/>
                          </pic:cNvPicPr>
                        </pic:nvPicPr>
                        <pic:blipFill>
                          <a:blip r:embed="rId20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regn013211-def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35" w:name="regn013211-def14aa026"/>
      <w:bookmarkEnd w:id="35"/>
      <w:r>
        <w:rPr>
          <w:rFonts w:ascii="Arial;Helvetica;Sans-Serif" w:hAnsi="Arial;Helvetica;Sans-Serif"/>
          <w:b/>
          <w:i w:val="false"/>
          <w:caps w:val="false"/>
          <w:smallCaps w:val="false"/>
          <w:color w:val="3B5AA4"/>
          <w:sz w:val="32"/>
        </w:rPr>
        <w:t>Management Succession Planning and Talent Development Process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Under our Corporate Governance Guidelines, the board of directors is required to periodically review with our CEO Regeneron’s plan for succession to the offices of the CEO and other senior executive positions. In recent years, the board and its committees conducted a multi-year formal succession planning and talent review, which included succession planning for the CEO and other senior management positions. The applicable committees of the board of directors advanced this formal review by focusing on certain assigned functions and roles within the Company. As part of this process, the Audit Committee reviewed functions and roles within the Company’s finance, information technology, and real estate &amp; facilities management organizations, while the Compensation Committee and the Technology Committee reviewed functions and roles within the Company’s commercial and certain other general and administrative organizations and the Company’s research &amp; development and global development organizations, respectively. Succession planning and talent review efforts overseen by the board and/or its committees continued in 2024 and 2025 to date.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An example of our succession planning and talent review program in action was the Chief Financial Officer transition in 2024. Effective February 2024, the board appointed Christopher Fenimore to succeed Robert E. Landry as the Company’s Chief Financial Officer upon Mr. Landry’s retirement. Mr. Fenimore, who joined the Company in 2003 and had been the Company’s Controller since March 2017, was identified and developed over several years as an internal candidate for the office of the CFO, which enabled his seamless transition into this role.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addition to formal succession planning, directors also have exposure to Regeneron leaders through board and committee presentations and discussions and informal events and interactions with key talent throughout the year, both in small-group and one-on-one settings.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15"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98" descr=""/>
                          <pic:cNvPicPr>
                            <a:picLocks noChangeAspect="1" noChangeArrowheads="1"/>
                          </pic:cNvPicPr>
                        </pic:nvPicPr>
                        <pic:blipFill>
                          <a:blip r:embed="rId21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regn013211-def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36" w:name="regn013211-def14aa027"/>
      <w:bookmarkStart w:id="37" w:name="regn013211-def14aa099"/>
      <w:bookmarkEnd w:id="36"/>
      <w:bookmarkEnd w:id="37"/>
      <w:r>
        <w:rPr>
          <w:rFonts w:ascii="Arial;Helvetica;Sans-Serif" w:hAnsi="Arial;Helvetica;Sans-Serif"/>
          <w:b/>
          <w:i w:val="false"/>
          <w:caps w:val="false"/>
          <w:smallCaps w:val="false"/>
          <w:color w:val="3B5AA4"/>
          <w:sz w:val="32"/>
        </w:rPr>
        <w:t>Board Oversight of Risk</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executes its oversight responsibility for risk management directly and through its committees, as shown below.</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7058025" cy="7915275"/>
            <wp:effectExtent l="0" t="0" r="0" b="0"/>
            <wp:docPr id="216"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99" descr=""/>
                    <pic:cNvPicPr>
                      <a:picLocks noChangeAspect="1" noChangeArrowheads="1"/>
                    </pic:cNvPicPr>
                  </pic:nvPicPr>
                  <pic:blipFill>
                    <a:blip r:embed="rId211"/>
                    <a:stretch>
                      <a:fillRect/>
                    </a:stretch>
                  </pic:blipFill>
                  <pic:spPr bwMode="auto">
                    <a:xfrm>
                      <a:off x="0" y="0"/>
                      <a:ext cx="7058025" cy="7915275"/>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17"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00" descr=""/>
                          <pic:cNvPicPr>
                            <a:picLocks noChangeAspect="1" noChangeArrowheads="1"/>
                          </pic:cNvPicPr>
                        </pic:nvPicPr>
                        <pic:blipFill>
                          <a:blip r:embed="rId212"/>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regn013211-def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38" w:name="regn013211-def14aa028"/>
      <w:bookmarkEnd w:id="38"/>
      <w:r>
        <w:rPr>
          <w:rFonts w:ascii="Arial;Helvetica;Sans-Serif" w:hAnsi="Arial;Helvetica;Sans-Serif"/>
          <w:b/>
          <w:i w:val="false"/>
          <w:caps w:val="false"/>
          <w:smallCaps w:val="false"/>
          <w:color w:val="3B5AA4"/>
          <w:sz w:val="32"/>
        </w:rPr>
        <w:t>Communicating with the Board</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Company has established a process for shareholders to send communications to the members of the board of directors. Shareholders may send such communications by mail addressed to the full board, a specific member or members of the board, or a particular committee of the board, at 777 Old Saw Mill River Road, Tarrytown, New York 10591-6707, Attention: Corporate Secretary. All such communications will be opened by our Corporate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communication is addressed.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2"/>
        <w:bidi w:val="0"/>
        <w:spacing w:before="0" w:after="0"/>
        <w:ind w:left="0" w:right="0" w:hanging="0"/>
        <w:jc w:val="left"/>
        <w:rPr>
          <w:rFonts w:ascii="Arial;Helvetica;Sans-Serif" w:hAnsi="Arial;Helvetica;Sans-Serif"/>
          <w:b/>
          <w:i w:val="false"/>
          <w:caps w:val="false"/>
          <w:smallCaps w:val="false"/>
          <w:color w:val="C60C44"/>
          <w:sz w:val="40"/>
        </w:rPr>
      </w:pPr>
      <w:bookmarkStart w:id="39" w:name="regn013211-def14aa029"/>
      <w:bookmarkEnd w:id="39"/>
      <w:r>
        <w:rPr>
          <w:rFonts w:ascii="Arial;Helvetica;Sans-Serif" w:hAnsi="Arial;Helvetica;Sans-Serif"/>
          <w:b/>
          <w:i w:val="false"/>
          <w:caps w:val="false"/>
          <w:smallCaps w:val="false"/>
          <w:color w:val="C60C44"/>
          <w:sz w:val="40"/>
        </w:rPr>
        <w:t>Longstanding Commitment to Shareholder Engagement</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r>
        <w:rPr>
          <w:rFonts w:ascii="Arial;Helvetica;Sans-Serif" w:hAnsi="Arial;Helvetica;Sans-Serif"/>
          <w:b/>
          <w:i w:val="false"/>
          <w:caps w:val="false"/>
          <w:smallCaps w:val="false"/>
          <w:color w:val="3B5AA4"/>
          <w:sz w:val="32"/>
        </w:rPr>
        <w:t>Overview of Our Engagement Program</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Fostering long-term relationships and maintaining trust with our shareholders is a key priority for us. For over a decade, the board and management have conducted regular and extensive investor outreach. We seek shareholder feedback through our annual say-on-pay votes as well as through discussions with our shareholders in connection with our annual shareholder meetings and in the “off-season.” This outreach complements the many touchpoints our investor relations team has with shareholders throughout the year. In addition, on a more informal basis, we engage with our shareholders through industry and corporate governance conferences and informal exchanges in other settings.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Annually, we seek to engage in direct one-on-one discussions with shareholders collectively representing in excess of 50% of the shares of common stock outstanding (excluding shares held by our directors and executive officers), which we refer to as “public shares.” We encourage director participation in our outreach, and our Lead Independent Director (who is also the Chair of our Compensation Committee) has led many of these discussions as a representative of the board in recent years.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active investor outreach program solicits and gathers feedback on a broad range of matters, including board structure and composition, executive compensation, shareholder rights, and corporate responsibility topics. The feedback received is a key input in board, relevant committee, and management discussions, and has consistently been a significant driver of actions taken over the last several years.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7000875" cy="3648075"/>
            <wp:effectExtent l="0" t="0" r="0" b="0"/>
            <wp:docPr id="218"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01" descr=""/>
                    <pic:cNvPicPr>
                      <a:picLocks noChangeAspect="1" noChangeArrowheads="1"/>
                    </pic:cNvPicPr>
                  </pic:nvPicPr>
                  <pic:blipFill>
                    <a:blip r:embed="rId213"/>
                    <a:stretch>
                      <a:fillRect/>
                    </a:stretch>
                  </pic:blipFill>
                  <pic:spPr bwMode="auto">
                    <a:xfrm>
                      <a:off x="0" y="0"/>
                      <a:ext cx="7000875" cy="3648075"/>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19"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02" descr=""/>
                          <pic:cNvPicPr>
                            <a:picLocks noChangeAspect="1" noChangeArrowheads="1"/>
                          </pic:cNvPicPr>
                        </pic:nvPicPr>
                        <pic:blipFill>
                          <a:blip r:embed="rId214"/>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regn013211-def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9A4"/>
          <w:sz w:val="32"/>
        </w:rPr>
      </w:pPr>
      <w:bookmarkStart w:id="40" w:name="regn013211-def14aa100"/>
      <w:bookmarkEnd w:id="40"/>
      <w:r>
        <w:rPr>
          <w:rFonts w:ascii="Arial;Helvetica;Sans-Serif" w:hAnsi="Arial;Helvetica;Sans-Serif"/>
          <w:b/>
          <w:i w:val="false"/>
          <w:caps w:val="false"/>
          <w:smallCaps w:val="false"/>
          <w:color w:val="3B59A4"/>
          <w:sz w:val="32"/>
        </w:rPr>
        <w:t>2024 Shareholder Engagement</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2024, we reached out to shareholders collectively representing nearly 60% of the public shares. This outreach resulted in one-on-one discussions with shareholders representing approximately 55% of our public shares. As in prior years, we pursued engagement opportunities throughout the year, which allowed us to engage with several shareholders multiple times in 2024.</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3028950" cy="1314450"/>
            <wp:effectExtent l="0" t="0" r="0" b="0"/>
            <wp:docPr id="220"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03" descr=""/>
                    <pic:cNvPicPr>
                      <a:picLocks noChangeAspect="1" noChangeArrowheads="1"/>
                    </pic:cNvPicPr>
                  </pic:nvPicPr>
                  <pic:blipFill>
                    <a:blip r:embed="rId215"/>
                    <a:stretch>
                      <a:fillRect/>
                    </a:stretch>
                  </pic:blipFill>
                  <pic:spPr bwMode="auto">
                    <a:xfrm>
                      <a:off x="0" y="0"/>
                      <a:ext cx="3028950" cy="1314450"/>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Among other matters, our 2024 engagement focused on the topics listed below. We had meaningful and candid discussions about these and other corporate governance topics in 2024, and the feedback received from shareholders was discussed in detail at the board level, including by way of regular updates on specific shareholder comments provided to the applicable committee (such as the Corporate Governance and Compliance Committee and the Compensation Committee). As in prior years, 2024 shareholder feedback shaped subsequent meeting agendas and boardroom discussions. Specific actions that we implemented in response to feedback in 2024 are outlined in the table below. We remain committed to continued engagement with shareholders.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28" w:type="dxa"/>
          <w:right w:w="0" w:type="dxa"/>
        </w:tblCellMar>
      </w:tblPr>
      <w:tblGrid>
        <w:gridCol w:w="6159"/>
        <w:gridCol w:w="60"/>
        <w:gridCol w:w="240"/>
        <w:gridCol w:w="3746"/>
      </w:tblGrid>
      <w:tr>
        <w:trPr/>
        <w:tc>
          <w:tcPr>
            <w:tcW w:w="6159" w:type="dxa"/>
            <w:tcBorders>
              <w:bottom w:val="single" w:sz="12" w:space="0" w:color="3B5AA4"/>
            </w:tcBorders>
            <w:vAlign w:val="center"/>
          </w:tcPr>
          <w:p>
            <w:pPr>
              <w:pStyle w:val="TableContents"/>
              <w:bidi w:val="0"/>
              <w:spacing w:before="0" w:after="283"/>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Shareholder Engagement Topic</w:t>
            </w:r>
          </w:p>
        </w:tc>
        <w:tc>
          <w:tcPr>
            <w:tcW w:w="60" w:type="dxa"/>
            <w:tcBorders>
              <w:bottom w:val="single" w:sz="12" w:space="0" w:color="3B5AA4"/>
            </w:tcBorders>
            <w:vAlign w:val="center"/>
          </w:tcPr>
          <w:p>
            <w:pPr>
              <w:pStyle w:val="TableContents"/>
              <w:bidi w:val="0"/>
              <w:spacing w:before="0" w:after="283"/>
              <w:jc w:val="left"/>
              <w:rPr>
                <w:color w:val="3B5AA4"/>
              </w:rPr>
            </w:pPr>
            <w:r>
              <w:rPr>
                <w:color w:val="3B5AA4"/>
              </w:rPr>
              <w:t> </w:t>
            </w:r>
          </w:p>
        </w:tc>
        <w:tc>
          <w:tcPr>
            <w:tcW w:w="240" w:type="dxa"/>
            <w:tcBorders>
              <w:bottom w:val="single" w:sz="12" w:space="0" w:color="3B5AA4"/>
            </w:tcBorders>
            <w:vAlign w:val="center"/>
          </w:tcPr>
          <w:p>
            <w:pPr>
              <w:pStyle w:val="TableContents"/>
              <w:bidi w:val="0"/>
              <w:spacing w:before="0" w:after="283"/>
              <w:jc w:val="left"/>
              <w:rPr>
                <w:color w:val="3B5AA4"/>
              </w:rPr>
            </w:pPr>
            <w:r>
              <w:rPr>
                <w:color w:val="3B5AA4"/>
              </w:rPr>
              <w:t> </w:t>
            </w:r>
          </w:p>
        </w:tc>
        <w:tc>
          <w:tcPr>
            <w:tcW w:w="3746" w:type="dxa"/>
            <w:tcBorders>
              <w:bottom w:val="single" w:sz="12" w:space="0" w:color="3B5AA4"/>
            </w:tcBorders>
            <w:vAlign w:val="center"/>
          </w:tcPr>
          <w:p>
            <w:pPr>
              <w:pStyle w:val="TableContents"/>
              <w:bidi w:val="0"/>
              <w:spacing w:before="0" w:after="283"/>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Action in Response</w:t>
            </w:r>
          </w:p>
        </w:tc>
      </w:tr>
      <w:tr>
        <w:trPr/>
        <w:tc>
          <w:tcPr>
            <w:tcW w:w="6159" w:type="dxa"/>
            <w:tcBorders>
              <w:bottom w:val="single" w:sz="2" w:space="0" w:color="939598"/>
            </w:tcBorders>
            <w:tcMar>
              <w:bottom w:w="100" w:type="dxa"/>
            </w:tcMar>
            <w:vAlign w:val="center"/>
          </w:tcPr>
          <w:p>
            <w:pPr>
              <w:pStyle w:val="TableContents"/>
              <w:bidi w:val="0"/>
              <w:spacing w:before="0" w:after="283"/>
              <w:jc w:val="left"/>
              <w:rPr>
                <w:rFonts w:ascii="Arial;Helvetica;Sans-Serif" w:hAnsi="Arial;Helvetica;Sans-Serif"/>
                <w:color w:val="231F20"/>
                <w:sz w:val="18"/>
              </w:rPr>
            </w:pPr>
            <w:r>
              <w:rPr>
                <w:rFonts w:ascii="Arial;Helvetica;Sans-Serif" w:hAnsi="Arial;Helvetica;Sans-Serif"/>
                <w:color w:val="231F20"/>
                <w:sz w:val="18"/>
              </w:rPr>
              <w:t xml:space="preserve">We discussed the Company’s </w:t>
            </w:r>
            <w:r>
              <w:rPr>
                <w:rFonts w:ascii="Arial;Helvetica;Sans-Serif" w:hAnsi="Arial;Helvetica;Sans-Serif"/>
                <w:b/>
                <w:color w:val="231F20"/>
                <w:sz w:val="18"/>
              </w:rPr>
              <w:t>classified board structure</w:t>
            </w:r>
            <w:r>
              <w:rPr>
                <w:rFonts w:ascii="Arial;Helvetica;Sans-Serif" w:hAnsi="Arial;Helvetica;Sans-Serif"/>
                <w:color w:val="231F20"/>
                <w:sz w:val="18"/>
              </w:rPr>
              <w:t>, including relevant considerations unique to the Company and its long-term orientation (discussed further in the subsection “Board Governance—Board Structure and Proposed Board Declassification”).</w:t>
            </w:r>
          </w:p>
        </w:tc>
        <w:tc>
          <w:tcPr>
            <w:tcW w:w="60" w:type="dxa"/>
            <w:tcBorders>
              <w:bottom w:val="single" w:sz="2" w:space="0" w:color="939598"/>
            </w:tcBorders>
            <w:tcMar>
              <w:bottom w:w="100" w:type="dxa"/>
            </w:tcMar>
            <w:vAlign w:val="center"/>
          </w:tcPr>
          <w:p>
            <w:pPr>
              <w:pStyle w:val="TableContents"/>
              <w:bidi w:val="0"/>
              <w:spacing w:before="0" w:after="283"/>
              <w:jc w:val="left"/>
              <w:rPr/>
            </w:pPr>
            <w:r>
              <w:rPr/>
              <w:t> </w:t>
            </w:r>
          </w:p>
        </w:tc>
        <w:tc>
          <w:tcPr>
            <w:tcW w:w="240" w:type="dxa"/>
            <w:tcBorders>
              <w:bottom w:val="single" w:sz="2" w:space="0" w:color="939598"/>
            </w:tcBorders>
            <w:tcMar>
              <w:bottom w:w="100" w:type="dxa"/>
            </w:tcMar>
            <w:vAlign w:val="center"/>
          </w:tcPr>
          <w:p>
            <w:pPr>
              <w:pStyle w:val="TableContents"/>
              <w:bidi w:val="0"/>
              <w:spacing w:before="0" w:after="283"/>
              <w:jc w:val="left"/>
              <w:rPr/>
            </w:pPr>
            <w:r>
              <w:rPr/>
              <w:drawing>
                <wp:inline distT="0" distB="0" distL="0" distR="0">
                  <wp:extent cx="142875" cy="190500"/>
                  <wp:effectExtent l="0" t="0" r="0" b="0"/>
                  <wp:docPr id="221"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04" descr=""/>
                          <pic:cNvPicPr>
                            <a:picLocks noChangeAspect="1" noChangeArrowheads="1"/>
                          </pic:cNvPicPr>
                        </pic:nvPicPr>
                        <pic:blipFill>
                          <a:blip r:embed="rId216"/>
                          <a:stretch>
                            <a:fillRect/>
                          </a:stretch>
                        </pic:blipFill>
                        <pic:spPr bwMode="auto">
                          <a:xfrm>
                            <a:off x="0" y="0"/>
                            <a:ext cx="142875" cy="190500"/>
                          </a:xfrm>
                          <a:prstGeom prst="rect">
                            <a:avLst/>
                          </a:prstGeom>
                        </pic:spPr>
                      </pic:pic>
                    </a:graphicData>
                  </a:graphic>
                </wp:inline>
              </w:drawing>
            </w:r>
          </w:p>
        </w:tc>
        <w:tc>
          <w:tcPr>
            <w:tcW w:w="3746" w:type="dxa"/>
            <w:tcBorders>
              <w:bottom w:val="single" w:sz="2" w:space="0" w:color="939598"/>
            </w:tcBorders>
            <w:tcMar>
              <w:bottom w:w="10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18"/>
              </w:rPr>
              <w:t>We are submitting for a shareholder vote at the 2025</w:t>
            </w:r>
            <w:r>
              <w:rPr>
                <w:caps w:val="false"/>
                <w:smallCaps w:val="false"/>
              </w:rPr>
              <w:t xml:space="preserve"> </w:t>
            </w:r>
            <w:r>
              <w:rPr>
                <w:rFonts w:ascii="Arial;Helvetica;Sans-Serif" w:hAnsi="Arial;Helvetica;Sans-Serif"/>
                <w:b w:val="false"/>
                <w:i w:val="false"/>
                <w:caps w:val="false"/>
                <w:smallCaps w:val="false"/>
                <w:color w:val="231F20"/>
                <w:sz w:val="18"/>
              </w:rPr>
              <w:t>Annual Meeting and recommending for approval an</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amendment to our Certificate of Incorporation to</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declassify our board of directors on a phased-in basis.</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See Proposal No. 4.</w:t>
            </w:r>
          </w:p>
        </w:tc>
      </w:tr>
      <w:tr>
        <w:trPr/>
        <w:tc>
          <w:tcPr>
            <w:tcW w:w="6159" w:type="dxa"/>
            <w:tcBorders>
              <w:bottom w:val="single" w:sz="2" w:space="0" w:color="939598"/>
            </w:tcBorders>
            <w:shd w:fill="F1F1F1" w:val="clear"/>
            <w:tcMar>
              <w:bottom w:w="10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18"/>
              </w:rPr>
              <w:t>We discussed shareholder views on the results of the</w:t>
            </w:r>
            <w:r>
              <w:rPr>
                <w:caps w:val="false"/>
                <w:smallCaps w:val="false"/>
              </w:rPr>
              <w:t xml:space="preserve"> </w:t>
            </w:r>
            <w:r>
              <w:rPr>
                <w:rFonts w:ascii="Arial;Helvetica;Sans-Serif" w:hAnsi="Arial;Helvetica;Sans-Serif"/>
                <w:b w:val="false"/>
                <w:i w:val="false"/>
                <w:caps w:val="false"/>
                <w:smallCaps w:val="false"/>
                <w:color w:val="231F20"/>
                <w:sz w:val="18"/>
              </w:rPr>
              <w:t>shareholder proposal included in our 2024 proxy statement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 xml:space="preserve">requesting the elimination of </w:t>
            </w:r>
            <w:r>
              <w:rPr>
                <w:rFonts w:ascii="Arial;Helvetica;Sans-Serif" w:hAnsi="Arial;Helvetica;Sans-Serif"/>
                <w:b/>
                <w:i w:val="false"/>
                <w:caps w:val="false"/>
                <w:smallCaps w:val="false"/>
                <w:color w:val="231F20"/>
                <w:sz w:val="18"/>
              </w:rPr>
              <w:t xml:space="preserve">supermajority vote requirements </w:t>
            </w:r>
            <w:r>
              <w:rPr>
                <w:rFonts w:ascii="Arial;Helvetica;Sans-Serif" w:hAnsi="Arial;Helvetica;Sans-Serif"/>
                <w:b w:val="false"/>
                <w:i w:val="false"/>
                <w:caps w:val="false"/>
                <w:smallCaps w:val="false"/>
                <w:color w:val="231F20"/>
                <w:sz w:val="18"/>
              </w:rPr>
              <w:t>in</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our Certificate of Incorporation, as well as investor expectations</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for the Company’s responsiveness to these results.</w:t>
            </w:r>
          </w:p>
        </w:tc>
        <w:tc>
          <w:tcPr>
            <w:tcW w:w="60" w:type="dxa"/>
            <w:tcBorders>
              <w:bottom w:val="single" w:sz="2" w:space="0" w:color="939598"/>
            </w:tcBorders>
            <w:shd w:fill="F1F1F1" w:val="clear"/>
            <w:tcMar>
              <w:bottom w:w="100" w:type="dxa"/>
            </w:tcMar>
            <w:vAlign w:val="center"/>
          </w:tcPr>
          <w:p>
            <w:pPr>
              <w:pStyle w:val="TableContents"/>
              <w:bidi w:val="0"/>
              <w:spacing w:before="0" w:after="283"/>
              <w:jc w:val="left"/>
              <w:rPr/>
            </w:pPr>
            <w:r>
              <w:rPr/>
              <w:t> </w:t>
            </w:r>
          </w:p>
        </w:tc>
        <w:tc>
          <w:tcPr>
            <w:tcW w:w="240" w:type="dxa"/>
            <w:tcBorders>
              <w:bottom w:val="single" w:sz="2" w:space="0" w:color="939598"/>
            </w:tcBorders>
            <w:shd w:fill="F1F1F1" w:val="clear"/>
            <w:tcMar>
              <w:bottom w:w="100" w:type="dxa"/>
            </w:tcMar>
            <w:vAlign w:val="center"/>
          </w:tcPr>
          <w:p>
            <w:pPr>
              <w:pStyle w:val="TableContents"/>
              <w:bidi w:val="0"/>
              <w:spacing w:before="0" w:after="283"/>
              <w:jc w:val="left"/>
              <w:rPr/>
            </w:pPr>
            <w:r>
              <w:rPr/>
              <w:drawing>
                <wp:inline distT="0" distB="0" distL="0" distR="0">
                  <wp:extent cx="152400" cy="180975"/>
                  <wp:effectExtent l="0" t="0" r="0" b="0"/>
                  <wp:docPr id="222"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05" descr=""/>
                          <pic:cNvPicPr>
                            <a:picLocks noChangeAspect="1" noChangeArrowheads="1"/>
                          </pic:cNvPicPr>
                        </pic:nvPicPr>
                        <pic:blipFill>
                          <a:blip r:embed="rId217"/>
                          <a:stretch>
                            <a:fillRect/>
                          </a:stretch>
                        </pic:blipFill>
                        <pic:spPr bwMode="auto">
                          <a:xfrm>
                            <a:off x="0" y="0"/>
                            <a:ext cx="152400" cy="180975"/>
                          </a:xfrm>
                          <a:prstGeom prst="rect">
                            <a:avLst/>
                          </a:prstGeom>
                        </pic:spPr>
                      </pic:pic>
                    </a:graphicData>
                  </a:graphic>
                </wp:inline>
              </w:drawing>
            </w:r>
          </w:p>
        </w:tc>
        <w:tc>
          <w:tcPr>
            <w:tcW w:w="3746" w:type="dxa"/>
            <w:tcBorders>
              <w:bottom w:val="single" w:sz="2" w:space="0" w:color="939598"/>
            </w:tcBorders>
            <w:shd w:fill="F1F1F1" w:val="clear"/>
            <w:tcMar>
              <w:bottom w:w="10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18"/>
              </w:rPr>
              <w:t>We are submitting for a shareholder vote at the 2025</w:t>
            </w:r>
            <w:r>
              <w:rPr>
                <w:caps w:val="false"/>
                <w:smallCaps w:val="false"/>
              </w:rPr>
              <w:t xml:space="preserve"> </w:t>
            </w:r>
            <w:r>
              <w:rPr>
                <w:rFonts w:ascii="Arial;Helvetica;Sans-Serif" w:hAnsi="Arial;Helvetica;Sans-Serif"/>
                <w:b w:val="false"/>
                <w:i w:val="false"/>
                <w:caps w:val="false"/>
                <w:smallCaps w:val="false"/>
                <w:color w:val="231F20"/>
                <w:sz w:val="18"/>
              </w:rPr>
              <w:t>Annual Meeting and recommending for approval</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amendments to our Certificate of Incorporation to</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eliminate the supermajority vote requirements. See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Proposal Nos. 5(a) and 5(b).</w:t>
            </w:r>
          </w:p>
        </w:tc>
      </w:tr>
      <w:tr>
        <w:trPr/>
        <w:tc>
          <w:tcPr>
            <w:tcW w:w="6159" w:type="dxa"/>
            <w:tcBorders>
              <w:bottom w:val="single" w:sz="2" w:space="0" w:color="939598"/>
            </w:tcBorders>
            <w:tcMar>
              <w:bottom w:w="100" w:type="dxa"/>
            </w:tcMar>
            <w:vAlign w:val="center"/>
          </w:tcPr>
          <w:p>
            <w:pPr>
              <w:pStyle w:val="TableContents"/>
              <w:bidi w:val="0"/>
              <w:spacing w:before="0" w:after="283"/>
              <w:jc w:val="left"/>
              <w:rPr>
                <w:rFonts w:ascii="Arial;Helvetica;Sans-Serif" w:hAnsi="Arial;Helvetica;Sans-Serif"/>
                <w:color w:val="231F20"/>
                <w:sz w:val="18"/>
              </w:rPr>
            </w:pPr>
            <w:r>
              <w:rPr>
                <w:rFonts w:ascii="Arial;Helvetica;Sans-Serif" w:hAnsi="Arial;Helvetica;Sans-Serif"/>
                <w:color w:val="231F20"/>
                <w:sz w:val="18"/>
              </w:rPr>
              <w:t xml:space="preserve">We discussed the Company’s </w:t>
            </w:r>
            <w:r>
              <w:rPr>
                <w:rFonts w:ascii="Arial;Helvetica;Sans-Serif" w:hAnsi="Arial;Helvetica;Sans-Serif"/>
                <w:b/>
                <w:color w:val="231F20"/>
                <w:sz w:val="18"/>
              </w:rPr>
              <w:t>dual-class capital structure</w:t>
            </w:r>
            <w:r>
              <w:rPr>
                <w:rFonts w:ascii="Arial;Helvetica;Sans-Serif" w:hAnsi="Arial;Helvetica;Sans-Serif"/>
                <w:color w:val="231F20"/>
                <w:sz w:val="18"/>
              </w:rPr>
              <w:t>, including relevant mitigating factors such as the steady decline in the number of shares of Class A stock outstanding since the Company’s initial public offering (“IPO”) and the relatively low percentage of overall votes controlled by the Class A shareholders, particularly when compared to other founder-led companies (discussed further in the subsection “Capital Structure”).</w:t>
            </w:r>
          </w:p>
        </w:tc>
        <w:tc>
          <w:tcPr>
            <w:tcW w:w="6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drawing>
                <wp:inline distT="0" distB="0" distL="0" distR="0">
                  <wp:extent cx="142875" cy="190500"/>
                  <wp:effectExtent l="0" t="0" r="0" b="0"/>
                  <wp:docPr id="223"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06" descr=""/>
                          <pic:cNvPicPr>
                            <a:picLocks noChangeAspect="1" noChangeArrowheads="1"/>
                          </pic:cNvPicPr>
                        </pic:nvPicPr>
                        <pic:blipFill>
                          <a:blip r:embed="rId218"/>
                          <a:stretch>
                            <a:fillRect/>
                          </a:stretch>
                        </pic:blipFill>
                        <pic:spPr bwMode="auto">
                          <a:xfrm>
                            <a:off x="0" y="0"/>
                            <a:ext cx="142875" cy="190500"/>
                          </a:xfrm>
                          <a:prstGeom prst="rect">
                            <a:avLst/>
                          </a:prstGeom>
                        </pic:spPr>
                      </pic:pic>
                    </a:graphicData>
                  </a:graphic>
                </wp:inline>
              </w:drawing>
            </w:r>
          </w:p>
        </w:tc>
        <w:tc>
          <w:tcPr>
            <w:tcW w:w="3746" w:type="dxa"/>
            <w:tcBorders/>
            <w:tcMar>
              <w:bottom w:w="0" w:type="dxa"/>
            </w:tcMar>
            <w:vAlign w:val="center"/>
          </w:tcPr>
          <w:p>
            <w:pPr>
              <w:pStyle w:val="TableContents"/>
              <w:bidi w:val="0"/>
              <w:spacing w:before="0" w:after="283"/>
              <w:jc w:val="left"/>
              <w:rPr>
                <w:rFonts w:ascii="Arial;Helvetica;Sans-Serif" w:hAnsi="Arial;Helvetica;Sans-Serif"/>
                <w:color w:val="231F20"/>
                <w:sz w:val="18"/>
              </w:rPr>
            </w:pPr>
            <w:r>
              <w:rPr>
                <w:rFonts w:ascii="Arial;Helvetica;Sans-Serif" w:hAnsi="Arial;Helvetica;Sans-Serif"/>
                <w:color w:val="231F20"/>
                <w:sz w:val="18"/>
              </w:rPr>
              <w:t>We are enhancing disclosure concerning the Company’s dual-class share structure in this proxy statement. See “Capital Structure” beginning on page 40.</w:t>
            </w:r>
          </w:p>
        </w:tc>
      </w:tr>
      <w:tr>
        <w:trPr/>
        <w:tc>
          <w:tcPr>
            <w:tcW w:w="6159" w:type="dxa"/>
            <w:tcBorders>
              <w:bottom w:val="single" w:sz="12" w:space="0" w:color="3B5AA4"/>
            </w:tcBorders>
            <w:shd w:fill="F1F1F1" w:val="clear"/>
            <w:tcMar>
              <w:bottom w:w="10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18"/>
              </w:rPr>
              <w:t xml:space="preserve">We discussed general investor views on </w:t>
            </w:r>
            <w:r>
              <w:rPr>
                <w:rFonts w:ascii="Arial;Helvetica;Sans-Serif" w:hAnsi="Arial;Helvetica;Sans-Serif"/>
                <w:b/>
                <w:i w:val="false"/>
                <w:caps w:val="false"/>
                <w:smallCaps w:val="false"/>
                <w:color w:val="231F20"/>
                <w:sz w:val="18"/>
              </w:rPr>
              <w:t>executive</w:t>
            </w:r>
            <w:r>
              <w:rPr>
                <w:caps w:val="false"/>
                <w:smallCaps w:val="false"/>
              </w:rPr>
              <w:t xml:space="preserve"> </w:t>
            </w:r>
            <w:r>
              <w:rPr>
                <w:rFonts w:ascii="Arial;Helvetica;Sans-Serif" w:hAnsi="Arial;Helvetica;Sans-Serif"/>
                <w:b/>
                <w:i w:val="false"/>
                <w:caps w:val="false"/>
                <w:smallCaps w:val="false"/>
                <w:color w:val="231F20"/>
                <w:sz w:val="18"/>
              </w:rPr>
              <w:t xml:space="preserve">compensation </w:t>
            </w:r>
            <w:r>
              <w:rPr>
                <w:rFonts w:ascii="Arial;Helvetica;Sans-Serif" w:hAnsi="Arial;Helvetica;Sans-Serif"/>
                <w:b w:val="false"/>
                <w:i w:val="false"/>
                <w:caps w:val="false"/>
                <w:smallCaps w:val="false"/>
                <w:color w:val="231F20"/>
                <w:sz w:val="18"/>
              </w:rPr>
              <w:t>matters, including the Company’s broad use of</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equity compensation, investor preference for performance-based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equity awards, and investor preference for a simple,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well-explained compensation plan design (see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“Compensation-Related Matters—Compensation Discussion and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Analysis—Compensation Processes—Shareholder Input and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Outreach and the 2024 Say-on-Pay Vote Result” for additional</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information about shareholder feedback and responsive actions</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concerning compensation matters).</w:t>
            </w:r>
          </w:p>
        </w:tc>
        <w:tc>
          <w:tcPr>
            <w:tcW w:w="60" w:type="dxa"/>
            <w:tcBorders>
              <w:top w:val="single" w:sz="2" w:space="0" w:color="939598"/>
              <w:bottom w:val="single" w:sz="12" w:space="0" w:color="3B5AA4"/>
            </w:tcBorders>
            <w:shd w:fill="F1F1F1" w:val="clear"/>
            <w:tcMar>
              <w:top w:w="60" w:type="dxa"/>
              <w:bottom w:w="100" w:type="dxa"/>
            </w:tcMar>
            <w:vAlign w:val="center"/>
          </w:tcPr>
          <w:p>
            <w:pPr>
              <w:pStyle w:val="TableContents"/>
              <w:bidi w:val="0"/>
              <w:spacing w:before="0" w:after="283"/>
              <w:jc w:val="left"/>
              <w:rPr/>
            </w:pPr>
            <w:r>
              <w:rPr/>
              <w:t> </w:t>
            </w:r>
          </w:p>
        </w:tc>
        <w:tc>
          <w:tcPr>
            <w:tcW w:w="240" w:type="dxa"/>
            <w:tcBorders>
              <w:top w:val="single" w:sz="2" w:space="0" w:color="939598"/>
              <w:bottom w:val="single" w:sz="12" w:space="0" w:color="3B5AA4"/>
            </w:tcBorders>
            <w:shd w:fill="F1F1F1" w:val="clear"/>
            <w:tcMar>
              <w:top w:w="60" w:type="dxa"/>
              <w:bottom w:w="100" w:type="dxa"/>
            </w:tcMar>
            <w:vAlign w:val="center"/>
          </w:tcPr>
          <w:p>
            <w:pPr>
              <w:pStyle w:val="TableContents"/>
              <w:bidi w:val="0"/>
              <w:spacing w:before="0" w:after="283"/>
              <w:jc w:val="left"/>
              <w:rPr/>
            </w:pPr>
            <w:r>
              <w:rPr/>
              <w:drawing>
                <wp:inline distT="0" distB="0" distL="0" distR="0">
                  <wp:extent cx="152400" cy="180975"/>
                  <wp:effectExtent l="0" t="0" r="0" b="0"/>
                  <wp:docPr id="224"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07" descr=""/>
                          <pic:cNvPicPr>
                            <a:picLocks noChangeAspect="1" noChangeArrowheads="1"/>
                          </pic:cNvPicPr>
                        </pic:nvPicPr>
                        <pic:blipFill>
                          <a:blip r:embed="rId219"/>
                          <a:stretch>
                            <a:fillRect/>
                          </a:stretch>
                        </pic:blipFill>
                        <pic:spPr bwMode="auto">
                          <a:xfrm>
                            <a:off x="0" y="0"/>
                            <a:ext cx="152400" cy="180975"/>
                          </a:xfrm>
                          <a:prstGeom prst="rect">
                            <a:avLst/>
                          </a:prstGeom>
                        </pic:spPr>
                      </pic:pic>
                    </a:graphicData>
                  </a:graphic>
                </wp:inline>
              </w:drawing>
            </w:r>
          </w:p>
        </w:tc>
        <w:tc>
          <w:tcPr>
            <w:tcW w:w="3746" w:type="dxa"/>
            <w:tcBorders>
              <w:top w:val="single" w:sz="2" w:space="0" w:color="939598"/>
              <w:bottom w:val="single" w:sz="12" w:space="0" w:color="3B5AA4"/>
            </w:tcBorders>
            <w:shd w:fill="F1F1F1" w:val="clear"/>
            <w:tcMar>
              <w:top w:w="60" w:type="dxa"/>
              <w:bottom w:w="10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color w:val="231F20"/>
                <w:sz w:val="18"/>
              </w:rPr>
              <w:t>We shortened and streamlined the CD&amp;A in this proxy</w:t>
            </w:r>
            <w:r>
              <w:rPr>
                <w:caps w:val="false"/>
                <w:smallCaps w:val="false"/>
              </w:rPr>
              <w:t xml:space="preserve"> </w:t>
            </w:r>
            <w:r>
              <w:rPr>
                <w:rFonts w:ascii="Arial;Helvetica;Sans-Serif" w:hAnsi="Arial;Helvetica;Sans-Serif"/>
                <w:b w:val="false"/>
                <w:i w:val="false"/>
                <w:caps w:val="false"/>
                <w:smallCaps w:val="false"/>
                <w:color w:val="231F20"/>
                <w:sz w:val="18"/>
              </w:rPr>
              <w:t>statement to respond to demand for simpler, more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straightforward disclosure.</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25"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08" descr=""/>
                          <pic:cNvPicPr>
                            <a:picLocks noChangeAspect="1" noChangeArrowheads="1"/>
                          </pic:cNvPicPr>
                        </pic:nvPicPr>
                        <pic:blipFill>
                          <a:blip r:embed="rId22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regn013211-def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9A4"/>
          <w:sz w:val="32"/>
        </w:rPr>
      </w:pPr>
      <w:r>
        <w:rPr>
          <w:rFonts w:ascii="Arial;Helvetica;Sans-Serif" w:hAnsi="Arial;Helvetica;Sans-Serif"/>
          <w:b/>
          <w:i w:val="false"/>
          <w:caps w:val="false"/>
          <w:smallCaps w:val="false"/>
          <w:color w:val="3B59A4"/>
          <w:sz w:val="32"/>
        </w:rPr>
        <w:t>Additional Actions Responsive to Shareholder Feedback</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board of directors has always viewed shareholder feedback as critical for its decision-making and has taken several actions after careful consideration of the feedback received. Set forth below are select changes to governance practices and other actions taken by the board and/or the relevant board committee in recent years that were informed by shareholder feedback.</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28" w:type="dxa"/>
          <w:left w:w="0" w:type="dxa"/>
          <w:bottom w:w="0" w:type="dxa"/>
          <w:right w:w="0" w:type="dxa"/>
        </w:tblCellMar>
      </w:tblPr>
      <w:tblGrid>
        <w:gridCol w:w="5785"/>
        <w:gridCol w:w="60"/>
        <w:gridCol w:w="4360"/>
      </w:tblGrid>
      <w:tr>
        <w:trPr/>
        <w:tc>
          <w:tcPr>
            <w:tcW w:w="5785" w:type="dxa"/>
            <w:tcBorders>
              <w:top w:val="single" w:sz="12" w:space="0" w:color="3B5AA4"/>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12" w:space="0" w:color="3B5AA4"/>
            </w:tcBorders>
            <w:vAlign w:val="center"/>
          </w:tcPr>
          <w:p>
            <w:pPr>
              <w:pStyle w:val="TableContents"/>
              <w:bidi w:val="0"/>
              <w:spacing w:before="0" w:after="283"/>
              <w:jc w:val="left"/>
              <w:rPr>
                <w:caps w:val="false"/>
                <w:smallCaps w:val="false"/>
              </w:rPr>
            </w:pPr>
            <w:r>
              <w:rPr>
                <w:caps w:val="false"/>
                <w:smallCaps w:val="false"/>
              </w:rPr>
              <w:t> </w:t>
            </w:r>
          </w:p>
        </w:tc>
        <w:tc>
          <w:tcPr>
            <w:tcW w:w="4360" w:type="dxa"/>
            <w:tcBorders>
              <w:top w:val="single" w:sz="12" w:space="0" w:color="3B5AA4"/>
            </w:tcBorders>
            <w:vAlign w:val="center"/>
          </w:tcPr>
          <w:p>
            <w:pPr>
              <w:pStyle w:val="TableContents"/>
              <w:bidi w:val="0"/>
              <w:spacing w:before="0" w:after="283"/>
              <w:jc w:val="left"/>
              <w:rPr>
                <w:caps w:val="false"/>
                <w:smallCaps w:val="false"/>
              </w:rPr>
            </w:pPr>
            <w:r>
              <w:rPr>
                <w:caps w:val="false"/>
                <w:smallCaps w:val="false"/>
              </w:rPr>
              <w:t> </w:t>
            </w:r>
          </w:p>
        </w:tc>
      </w:tr>
      <w:tr>
        <w:trPr/>
        <w:tc>
          <w:tcPr>
            <w:tcW w:w="5785" w:type="dxa"/>
            <w:tcBorders/>
            <w:tcMar>
              <w:top w:w="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Board Leadership Structure</w:t>
            </w:r>
          </w:p>
          <w:p>
            <w:pPr>
              <w:pStyle w:val="TableContents"/>
              <w:bidi w:val="0"/>
              <w:spacing w:before="0" w:after="0"/>
              <w:ind w:left="200" w:right="0" w:hanging="200"/>
              <w:jc w:val="left"/>
              <w:rPr>
                <w:caps w:val="false"/>
                <w:smallCaps w:val="false"/>
              </w:rPr>
            </w:pPr>
            <w:r>
              <w:rPr>
                <w:caps w:val="false"/>
                <w:smallCaps w:val="false"/>
                <w:color w:val="231F20"/>
              </w:rPr>
              <w:drawing>
                <wp:inline distT="0" distB="0" distL="0" distR="0">
                  <wp:extent cx="66675" cy="76200"/>
                  <wp:effectExtent l="0" t="0" r="0" b="0"/>
                  <wp:docPr id="226"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09" descr=""/>
                          <pic:cNvPicPr>
                            <a:picLocks noChangeAspect="1" noChangeArrowheads="1"/>
                          </pic:cNvPicPr>
                        </pic:nvPicPr>
                        <pic:blipFill>
                          <a:blip r:embed="rId221"/>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Established robust Lead Independent Director</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role (2023).</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Board Refreshment</w:t>
            </w:r>
          </w:p>
          <w:p>
            <w:pPr>
              <w:pStyle w:val="TableContents"/>
              <w:bidi w:val="0"/>
              <w:spacing w:before="0" w:after="0"/>
              <w:ind w:left="200" w:right="0" w:hanging="200"/>
              <w:jc w:val="left"/>
              <w:rPr>
                <w:caps w:val="false"/>
                <w:smallCaps w:val="false"/>
              </w:rPr>
            </w:pPr>
            <w:r>
              <w:rPr>
                <w:caps w:val="false"/>
                <w:smallCaps w:val="false"/>
                <w:color w:val="231F20"/>
              </w:rPr>
              <w:drawing>
                <wp:inline distT="0" distB="0" distL="0" distR="0">
                  <wp:extent cx="66675" cy="76200"/>
                  <wp:effectExtent l="0" t="0" r="0" b="0"/>
                  <wp:docPr id="227"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10" descr=""/>
                          <pic:cNvPicPr>
                            <a:picLocks noChangeAspect="1" noChangeArrowheads="1"/>
                          </pic:cNvPicPr>
                        </pic:nvPicPr>
                        <pic:blipFill>
                          <a:blip r:embed="rId222"/>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Appointed Dr. Guarini, former Chief Information Officer</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at IBM, and Dr. Schenkein, General Partner and Co-lead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of the Life Sciences team at GV (formerly Google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Ventures), to the Board (2023), and elected Dr. Craig B.</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Thompson, former President and Chief Executive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Officer of Memorial Sloan Kettering Cancer Center, to</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the Board (2022). Two former directors (including the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former Board Chair) retired from the board in 2023.</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Say-on-Pay</w:t>
            </w:r>
          </w:p>
          <w:p>
            <w:pPr>
              <w:pStyle w:val="TableContents"/>
              <w:bidi w:val="0"/>
              <w:spacing w:before="0" w:after="0"/>
              <w:ind w:left="200" w:right="0" w:hanging="200"/>
              <w:jc w:val="left"/>
              <w:rPr>
                <w:caps w:val="false"/>
                <w:smallCaps w:val="false"/>
                <w:color w:val="231F20"/>
              </w:rPr>
            </w:pPr>
            <w:r>
              <w:rPr>
                <w:caps w:val="false"/>
                <w:smallCaps w:val="false"/>
                <w:color w:val="231F20"/>
              </w:rPr>
              <w:drawing>
                <wp:inline distT="0" distB="0" distL="0" distR="0">
                  <wp:extent cx="66675" cy="76200"/>
                  <wp:effectExtent l="0" t="0" r="0" b="0"/>
                  <wp:docPr id="228"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11" descr=""/>
                          <pic:cNvPicPr>
                            <a:picLocks noChangeAspect="1" noChangeArrowheads="1"/>
                          </pic:cNvPicPr>
                        </pic:nvPicPr>
                        <pic:blipFill>
                          <a:blip r:embed="rId223"/>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Voluntarily adopted an annual say-on-pay vote (2022).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Enhanced Disclosure</w:t>
            </w:r>
          </w:p>
          <w:p>
            <w:pPr>
              <w:pStyle w:val="TableContents"/>
              <w:bidi w:val="0"/>
              <w:spacing w:before="0" w:after="0"/>
              <w:ind w:left="200" w:right="0" w:hanging="200"/>
              <w:jc w:val="left"/>
              <w:rPr>
                <w:caps w:val="false"/>
                <w:smallCaps w:val="false"/>
              </w:rPr>
            </w:pPr>
            <w:r>
              <w:rPr>
                <w:caps w:val="false"/>
                <w:smallCaps w:val="false"/>
              </w:rPr>
              <w:drawing>
                <wp:inline distT="0" distB="0" distL="0" distR="0">
                  <wp:extent cx="66675" cy="76200"/>
                  <wp:effectExtent l="0" t="0" r="0" b="0"/>
                  <wp:docPr id="229"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12" descr=""/>
                          <pic:cNvPicPr>
                            <a:picLocks noChangeAspect="1" noChangeArrowheads="1"/>
                          </pic:cNvPicPr>
                        </pic:nvPicPr>
                        <pic:blipFill>
                          <a:blip r:embed="rId224"/>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Enhanced proxy statement disclosure surrounding board structure and leadership (including with respect to the duties and responsibilities of our Lead Independent Director), board composition and refreshment, board oversight of pricing decisions/access to medicine, dual-class capital structure, annual cash incentive and annual equity determinations, 2020 PSUs, and certain other corporate governance matters (2022-2025).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Pay-for-Performance Alignment</w:t>
            </w:r>
          </w:p>
          <w:p>
            <w:pPr>
              <w:pStyle w:val="TableContents"/>
              <w:bidi w:val="0"/>
              <w:spacing w:before="0" w:after="0"/>
              <w:ind w:left="200" w:right="0" w:hanging="200"/>
              <w:jc w:val="left"/>
              <w:rPr>
                <w:caps w:val="false"/>
                <w:smallCaps w:val="false"/>
              </w:rPr>
            </w:pPr>
            <w:r>
              <w:rPr>
                <w:caps w:val="false"/>
                <w:smallCaps w:val="false"/>
                <w:color w:val="231F20"/>
              </w:rPr>
              <w:drawing>
                <wp:inline distT="0" distB="0" distL="0" distR="0">
                  <wp:extent cx="66675" cy="76200"/>
                  <wp:effectExtent l="0" t="0" r="0" b="0"/>
                  <wp:docPr id="230"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13" descr=""/>
                          <pic:cNvPicPr>
                            <a:picLocks noChangeAspect="1" noChangeArrowheads="1"/>
                          </pic:cNvPicPr>
                        </pic:nvPicPr>
                        <pic:blipFill>
                          <a:blip r:embed="rId225"/>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Introduced PSUs as a component of CEO and CSO</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equity awards (2019) and granted 100% of CEO and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CSO equity awards in the form of PSUs (2020).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200" w:right="0" w:hanging="200"/>
              <w:jc w:val="left"/>
              <w:rPr>
                <w:caps w:val="false"/>
                <w:smallCaps w:val="false"/>
              </w:rPr>
            </w:pPr>
            <w:r>
              <w:rPr>
                <w:caps w:val="false"/>
                <w:smallCaps w:val="false"/>
                <w:color w:val="231F20"/>
              </w:rPr>
              <w:drawing>
                <wp:inline distT="0" distB="0" distL="0" distR="0">
                  <wp:extent cx="66675" cy="76200"/>
                  <wp:effectExtent l="0" t="0" r="0" b="0"/>
                  <wp:docPr id="231"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14" descr=""/>
                          <pic:cNvPicPr>
                            <a:picLocks noChangeAspect="1" noChangeArrowheads="1"/>
                          </pic:cNvPicPr>
                        </pic:nvPicPr>
                        <pic:blipFill>
                          <a:blip r:embed="rId226"/>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Reaffirmed, and delivered on, commitment to issue no</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additional equity awards for CEO and CSO before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December 2025 (2021-2025).</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left w:val="single" w:sz="12" w:space="0" w:color="C60C44"/>
            </w:tcBorders>
            <w:tcMar>
              <w:top w:w="0" w:type="dxa"/>
              <w:left w:w="28" w:type="dxa"/>
            </w:tcMar>
            <w:vAlign w:val="center"/>
          </w:tcPr>
          <w:p>
            <w:pPr>
              <w:pStyle w:val="TableContents"/>
              <w:bidi w:val="0"/>
              <w:spacing w:before="0" w:after="283"/>
              <w:jc w:val="left"/>
              <w:rPr/>
            </w:pPr>
            <w:r>
              <w:rPr/>
              <w:t> </w:t>
            </w:r>
          </w:p>
        </w:tc>
        <w:tc>
          <w:tcPr>
            <w:tcW w:w="4360" w:type="dxa"/>
            <w:tcBorders/>
            <w:tcMar>
              <w:top w:w="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Management Stability</w:t>
            </w:r>
          </w:p>
          <w:p>
            <w:pPr>
              <w:pStyle w:val="TableContents"/>
              <w:bidi w:val="0"/>
              <w:spacing w:before="0" w:after="0"/>
              <w:ind w:left="200" w:right="0" w:hanging="200"/>
              <w:jc w:val="left"/>
              <w:rPr>
                <w:caps w:val="false"/>
                <w:smallCaps w:val="false"/>
              </w:rPr>
            </w:pPr>
            <w:r>
              <w:rPr>
                <w:caps w:val="false"/>
                <w:smallCaps w:val="false"/>
                <w:color w:val="231F20"/>
              </w:rPr>
              <w:drawing>
                <wp:inline distT="0" distB="0" distL="0" distR="0">
                  <wp:extent cx="66675" cy="76200"/>
                  <wp:effectExtent l="0" t="0" r="0" b="0"/>
                  <wp:docPr id="232"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15" descr=""/>
                          <pic:cNvPicPr>
                            <a:picLocks noChangeAspect="1" noChangeArrowheads="1"/>
                          </pic:cNvPicPr>
                        </pic:nvPicPr>
                        <pic:blipFill>
                          <a:blip r:embed="rId227"/>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Increased holding/vesting requirements for CEO and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CSO by incorporating a five-year performance period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and a subsequent three-year holding period in most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recent equity awards (2020).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Dilution/Burn Rate Concerns</w:t>
            </w:r>
          </w:p>
          <w:p>
            <w:pPr>
              <w:pStyle w:val="TableContents"/>
              <w:bidi w:val="0"/>
              <w:spacing w:before="0" w:after="0"/>
              <w:ind w:left="200" w:right="0" w:hanging="200"/>
              <w:jc w:val="left"/>
              <w:rPr>
                <w:caps w:val="false"/>
                <w:smallCaps w:val="false"/>
              </w:rPr>
            </w:pPr>
            <w:r>
              <w:rPr>
                <w:caps w:val="false"/>
                <w:smallCaps w:val="false"/>
                <w:color w:val="231F20"/>
              </w:rPr>
              <w:drawing>
                <wp:inline distT="0" distB="0" distL="0" distR="0">
                  <wp:extent cx="66675" cy="76200"/>
                  <wp:effectExtent l="0" t="0" r="0" b="0"/>
                  <wp:docPr id="233"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16" descr=""/>
                          <pic:cNvPicPr>
                            <a:picLocks noChangeAspect="1" noChangeArrowheads="1"/>
                          </pic:cNvPicPr>
                        </pic:nvPicPr>
                        <pic:blipFill>
                          <a:blip r:embed="rId228"/>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Introduced and maintained the use of full-value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awards as a component of annual equity awards;</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recalibrated equity award size (stock options and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RSAs/RSUs) for NEOs below the CEO/CSO level and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other employees (2019-2024).</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Annual Cash Incentives</w:t>
            </w:r>
          </w:p>
          <w:p>
            <w:pPr>
              <w:pStyle w:val="TableContents"/>
              <w:bidi w:val="0"/>
              <w:spacing w:before="0" w:after="0"/>
              <w:ind w:left="200" w:right="0" w:hanging="200"/>
              <w:jc w:val="left"/>
              <w:rPr>
                <w:caps w:val="false"/>
                <w:smallCaps w:val="false"/>
              </w:rPr>
            </w:pPr>
            <w:r>
              <w:rPr>
                <w:caps w:val="false"/>
                <w:smallCaps w:val="false"/>
                <w:color w:val="231F20"/>
              </w:rPr>
              <w:drawing>
                <wp:inline distT="0" distB="0" distL="0" distR="0">
                  <wp:extent cx="66675" cy="76200"/>
                  <wp:effectExtent l="0" t="0" r="0" b="0"/>
                  <wp:docPr id="234"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17" descr=""/>
                          <pic:cNvPicPr>
                            <a:picLocks noChangeAspect="1" noChangeArrowheads="1"/>
                          </pic:cNvPicPr>
                        </pic:nvPicPr>
                        <pic:blipFill>
                          <a:blip r:embed="rId229"/>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Enhanced the process by which the Compensation</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Committee determines the Company performance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multiplier for annual cash incentives (2023); provided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more detailed disclosure regarding this process</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(2019-2025).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Corporate Responsibility and Sustainability</w:t>
            </w:r>
          </w:p>
          <w:p>
            <w:pPr>
              <w:pStyle w:val="TableContents"/>
              <w:bidi w:val="0"/>
              <w:spacing w:before="0" w:after="0"/>
              <w:ind w:left="200" w:right="0" w:hanging="200"/>
              <w:jc w:val="left"/>
              <w:rPr>
                <w:caps w:val="false"/>
                <w:smallCaps w:val="false"/>
              </w:rPr>
            </w:pPr>
            <w:r>
              <w:rPr>
                <w:caps w:val="false"/>
                <w:smallCaps w:val="false"/>
                <w:color w:val="231F20"/>
              </w:rPr>
              <w:drawing>
                <wp:inline distT="0" distB="0" distL="0" distR="0">
                  <wp:extent cx="66675" cy="76200"/>
                  <wp:effectExtent l="0" t="0" r="0" b="0"/>
                  <wp:docPr id="235"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18" descr=""/>
                          <pic:cNvPicPr>
                            <a:picLocks noChangeAspect="1" noChangeArrowheads="1"/>
                          </pic:cNvPicPr>
                        </pic:nvPicPr>
                        <pic:blipFill>
                          <a:blip r:embed="rId230"/>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Increased the breadth and depth of sustainability data</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collection and reporting; aligned annual Responsibility</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Report with the SASB framework; and, since 2021,</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published a separate annual report on climate-related</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risks and opportunities aligned with the</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recommendations developed by the TCFD (2017-2025).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C60C44"/>
                <w:sz w:val="20"/>
              </w:rPr>
            </w:pPr>
            <w:r>
              <w:rPr>
                <w:rFonts w:ascii="Arial;Helvetica;Sans-Serif" w:hAnsi="Arial;Helvetica;Sans-Serif"/>
                <w:b/>
                <w:i w:val="false"/>
                <w:caps w:val="false"/>
                <w:smallCaps w:val="false"/>
                <w:color w:val="C60C44"/>
                <w:sz w:val="20"/>
              </w:rPr>
              <w:t>Perquisites Policy</w:t>
            </w:r>
          </w:p>
          <w:p>
            <w:pPr>
              <w:pStyle w:val="TableContents"/>
              <w:bidi w:val="0"/>
              <w:spacing w:before="0" w:after="0"/>
              <w:ind w:left="200" w:right="0" w:hanging="200"/>
              <w:jc w:val="left"/>
              <w:rPr>
                <w:caps w:val="false"/>
                <w:smallCaps w:val="false"/>
              </w:rPr>
            </w:pPr>
            <w:r>
              <w:rPr>
                <w:caps w:val="false"/>
                <w:smallCaps w:val="false"/>
                <w:color w:val="231F20"/>
              </w:rPr>
              <w:drawing>
                <wp:inline distT="0" distB="0" distL="0" distR="0">
                  <wp:extent cx="66675" cy="76200"/>
                  <wp:effectExtent l="0" t="0" r="0" b="0"/>
                  <wp:docPr id="236"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19" descr=""/>
                          <pic:cNvPicPr>
                            <a:picLocks noChangeAspect="1" noChangeArrowheads="1"/>
                          </pic:cNvPicPr>
                        </pic:nvPicPr>
                        <pic:blipFill>
                          <a:blip r:embed="rId231"/>
                          <a:stretch>
                            <a:fillRect/>
                          </a:stretch>
                        </pic:blipFill>
                        <pic:spPr bwMode="auto">
                          <a:xfrm>
                            <a:off x="0" y="0"/>
                            <a:ext cx="66675" cy="76200"/>
                          </a:xfrm>
                          <a:prstGeom prst="rect">
                            <a:avLst/>
                          </a:prstGeom>
                        </pic:spPr>
                      </pic:pic>
                    </a:graphicData>
                  </a:graphic>
                </wp:inline>
              </w:drawing>
            </w:r>
            <w:r>
              <w:rPr>
                <w:caps w:val="false"/>
                <w:smallCaps w:val="false"/>
                <w:color w:val="231F20"/>
              </w:rPr>
              <w:t>  </w:t>
            </w:r>
            <w:r>
              <w:rPr>
                <w:rFonts w:ascii="Arial;Helvetica;Sans-Serif" w:hAnsi="Arial;Helvetica;Sans-Serif"/>
                <w:b w:val="false"/>
                <w:i w:val="false"/>
                <w:caps w:val="false"/>
                <w:smallCaps w:val="false"/>
                <w:color w:val="231F20"/>
                <w:sz w:val="18"/>
              </w:rPr>
              <w:t>Adopted a Compensation Committee-approved policy</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covering perquisites of our NEOs and other senior</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color w:val="231F20"/>
                <w:sz w:val="18"/>
              </w:rPr>
              <w:t>officers (2024).</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C60C44"/>
        </w:rPr>
      </w:pPr>
      <w:r>
        <w:rPr>
          <w:caps w:val="false"/>
          <w:smallCaps w:val="false"/>
          <w:color w:val="C60C44"/>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37"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20" descr=""/>
                          <pic:cNvPicPr>
                            <a:picLocks noChangeAspect="1" noChangeArrowheads="1"/>
                          </pic:cNvPicPr>
                        </pic:nvPicPr>
                        <pic:blipFill>
                          <a:blip r:embed="rId232"/>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regn013211-def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2"/>
        <w:bidi w:val="0"/>
        <w:spacing w:before="0" w:after="0"/>
        <w:ind w:left="0" w:right="0" w:hanging="0"/>
        <w:jc w:val="left"/>
        <w:rPr>
          <w:rFonts w:ascii="Arial;Helvetica;Sans-Serif" w:hAnsi="Arial;Helvetica;Sans-Serif"/>
          <w:b/>
          <w:i w:val="false"/>
          <w:caps w:val="false"/>
          <w:smallCaps w:val="false"/>
          <w:color w:val="C60C44"/>
          <w:sz w:val="40"/>
        </w:rPr>
      </w:pPr>
      <w:bookmarkStart w:id="41" w:name="regn013211-def14aa030"/>
      <w:bookmarkEnd w:id="41"/>
      <w:r>
        <w:rPr>
          <w:rFonts w:ascii="Arial;Helvetica;Sans-Serif" w:hAnsi="Arial;Helvetica;Sans-Serif"/>
          <w:b/>
          <w:i w:val="false"/>
          <w:caps w:val="false"/>
          <w:smallCaps w:val="false"/>
          <w:color w:val="C60C44"/>
          <w:sz w:val="40"/>
        </w:rPr>
        <w:t>Capital Structure</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Regeneron currently has two classes of stock outstanding – common stock, par value $0.001 per share (“common stock”), which is entitled to one vote per share; and Class A stock, par value $0.001 per share (“Class A stock”), which is entitled to ten votes per share. As of the record date of the 2025 Annual Meeting, there were 106,148,351 and 1,817,146 shares of common stock and Class A stock outstanding, respectively.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While the concerns regularly cited with respect to dual-class capital structures merit consideration and have regularly received the board’s attention, the board believes that there is no “one size fits all” model of governance. Even though dual-class capital structures may not benefit shareholders in some companies, they may promote long-term shareholder interests in others. As further discussed below, we currently believe that, as it pertains to Regeneron, the benefits of a dual-class capital structure outweigh the burdens. However, in light of the considerations discussed in this section (including investor feedback), we will continue to evaluate the Company’s capital structure and will further engage with the holders of our common stock and Class A stock on this topic.</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Discussed below are key factors you should keep in mind when assessing Regeneron’s capital structure and considering whether your voting decision on Regeneron’s directors should be driven by the existence of this structure.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Regeneron’s dual-class capital structure is consistent with the Company’s long-term focus and facilitates the creation of shareholder value over time</w:t>
      </w:r>
      <w:r>
        <w:rPr>
          <w:rFonts w:ascii="Arial;Helvetica;Sans-Serif" w:hAnsi="Arial;Helvetica;Sans-Serif"/>
          <w:b w:val="false"/>
          <w:i w:val="false"/>
          <w:caps w:val="false"/>
          <w:smallCaps w:val="false"/>
          <w:color w:val="231F20"/>
          <w:sz w:val="18"/>
        </w:rPr>
        <w:t>. We believe our capital structure is aligned with the Company’s long-term focus in an industry in which the development of a single product can take more than a decade and requires significant investments.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dual-class capital structure fosters stability by helping to lessen the impact on the Company resulting from business cycles and short-term market pressures. It alleviates some pressure to achieve short-term results, allowing the board and management to dedicate their time to the pursuit of strategies and opportunities to enhance the long-term profitability of the Company and deliver value to shareholders. This is particularly important given the considerable investments and long-term time horizons involved in the development of our products.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also believe that modestly amplifying the voting input of the Class A holders – primarily our co-founders, who still lead the Company – helps protect long-term, sustainable value creation. The interests of our co-founders are strongly aligned with those of our long-term shareholders. Through their leadership and vision, the Company’s co-founders have been, and will continue to be, important to guiding the Company’s strategy and success. Our co-founders have demonstrated a legacy of stewardship at the Company and are highly incentivized to create long-term value for the Company thanks in part to the long-term focus facilitated by the dual-class capital structure.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Our capital structure has given greater weight to the voting rights of the holders of common stock as the Company has matured</w:t>
      </w:r>
      <w:r>
        <w:rPr>
          <w:rFonts w:ascii="Arial;Helvetica;Sans-Serif" w:hAnsi="Arial;Helvetica;Sans-Serif"/>
          <w:b w:val="false"/>
          <w:i w:val="false"/>
          <w:caps w:val="false"/>
          <w:smallCaps w:val="false"/>
          <w:color w:val="231F20"/>
          <w:sz w:val="18"/>
        </w:rPr>
        <w:t>. While multi-class capital structures of some companies enable the holders of the high-vote shares to outvote all other shareholders, this is not the case for Regeneron’s dual-class voting structure.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number of shares of Class A stock outstanding, which comprised ~95% of total shareholder votes at the time of our 1991 IPO, has been steadily decreasing ever since, effectively giving greater weight to the voting rights of the holders of common stock as the Company has matured. As of the record date of the 2025 Annual Meeting, the Class A stock comprised only ~15% of total shareholder votes. No new Class A stock has been issued since the IPO. In addition, Regeneron has the lowest percentage of votes held by the high-voting class out of all of the S&amp;P 500 companies with multi-class voting structures.</w:t>
      </w:r>
      <w:r>
        <w:rPr>
          <w:rFonts w:ascii="Arial;Helvetica;Sans-Serif" w:hAnsi="Arial;Helvetica;Sans-Serif"/>
          <w:b w:val="false"/>
          <w:i w:val="false"/>
          <w:caps w:val="false"/>
          <w:smallCaps w:val="false"/>
          <w:color w:val="231F20"/>
          <w:position w:val="6"/>
          <w:sz w:val="14"/>
          <w:sz w:val="18"/>
        </w:rPr>
        <w:t>4</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6343650" cy="1390650"/>
            <wp:effectExtent l="0" t="0" r="0" b="0"/>
            <wp:docPr id="238"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21" descr=""/>
                    <pic:cNvPicPr>
                      <a:picLocks noChangeAspect="1" noChangeArrowheads="1"/>
                    </pic:cNvPicPr>
                  </pic:nvPicPr>
                  <pic:blipFill>
                    <a:blip r:embed="rId233"/>
                    <a:stretch>
                      <a:fillRect/>
                    </a:stretch>
                  </pic:blipFill>
                  <pic:spPr bwMode="auto">
                    <a:xfrm>
                      <a:off x="0" y="0"/>
                      <a:ext cx="6343650" cy="1390650"/>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6145" w:type="dxa"/>
        <w:jc w:val="left"/>
        <w:tblInd w:w="0" w:type="dxa"/>
        <w:tblLayout w:type="fixed"/>
        <w:tblCellMar>
          <w:top w:w="100" w:type="dxa"/>
          <w:left w:w="0" w:type="dxa"/>
          <w:bottom w:w="0" w:type="dxa"/>
          <w:right w:w="0" w:type="dxa"/>
        </w:tblCellMar>
      </w:tblPr>
      <w:tblGrid>
        <w:gridCol w:w="140"/>
        <w:gridCol w:w="6005"/>
      </w:tblGrid>
      <w:tr>
        <w:trPr/>
        <w:tc>
          <w:tcPr>
            <w:tcW w:w="140" w:type="dxa"/>
            <w:tcBorders>
              <w:top w:val="single" w:sz="2" w:space="0" w:color="939598"/>
            </w:tcBorders>
            <w:vAlign w:val="center"/>
          </w:tcPr>
          <w:p>
            <w:pPr>
              <w:pStyle w:val="TableContents"/>
              <w:bidi w:val="0"/>
              <w:spacing w:before="0" w:after="283"/>
              <w:jc w:val="left"/>
              <w:rPr>
                <w:color w:val="010101"/>
                <w:position w:val="8"/>
                <w:sz w:val="19"/>
              </w:rPr>
            </w:pPr>
            <w:r>
              <w:rPr>
                <w:color w:val="010101"/>
                <w:position w:val="8"/>
                <w:sz w:val="19"/>
              </w:rPr>
              <w:t>4</w:t>
            </w:r>
          </w:p>
        </w:tc>
        <w:tc>
          <w:tcPr>
            <w:tcW w:w="6005" w:type="dxa"/>
            <w:tcBorders>
              <w:top w:val="single" w:sz="2" w:space="0" w:color="939598"/>
            </w:tcBorders>
            <w:tcMar>
              <w:top w:w="140" w:type="dxa"/>
            </w:tcMar>
            <w:vAlign w:val="center"/>
          </w:tcPr>
          <w:p>
            <w:pPr>
              <w:pStyle w:val="TableContents"/>
              <w:bidi w:val="0"/>
              <w:spacing w:before="0" w:after="283"/>
              <w:jc w:val="left"/>
              <w:rPr>
                <w:color w:val="231F20"/>
              </w:rPr>
            </w:pPr>
            <w:r>
              <w:rPr>
                <w:color w:val="231F20"/>
              </w:rPr>
              <w:t>Based on Company analysis of available data reported in 2024.</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39"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22" descr=""/>
                          <pic:cNvPicPr>
                            <a:picLocks noChangeAspect="1" noChangeArrowheads="1"/>
                          </pic:cNvPicPr>
                        </pic:nvPicPr>
                        <pic:blipFill>
                          <a:blip r:embed="rId234"/>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regn013211-def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The Company’s corporate governance practices and principles provide for effective, independent board oversight and reinforce the Company’s strong commitment to the creation of sustainable value for long-term shareholders</w:t>
      </w:r>
      <w:r>
        <w:rPr>
          <w:rFonts w:ascii="Arial;Helvetica;Sans-Serif" w:hAnsi="Arial;Helvetica;Sans-Serif"/>
          <w:b w:val="false"/>
          <w:i w:val="false"/>
          <w:caps w:val="false"/>
          <w:smallCaps w:val="false"/>
          <w:color w:val="231F20"/>
          <w:sz w:val="18"/>
        </w:rPr>
        <w:t>. The rights of the holders of common stock are protected not only by their collective voting power of approximately 85%, but also by other features of Regeneron’s corporate governance, including the further enhancements adopted by Regeneron based on shareholder input over the last decade. Such protective governance features include: majority voting and a director resignation policy in uncontested director elections; shareholders’ right to call a special shareholder meeting upon the written request of at least 25% of the total number of votes entitled to be cast; executive sessions of the independent directors held at every regularly scheduled board meeting; annual board and committee self-evaluations; and our active, extensive shareholder engagement efforts. If the board’s proposal to eliminate the classified board included in this proxy statement is approved by shareholders, it will also include annual election of all of Regeneron’s directors starting with the 2028 annual shareholder meeting. See Proposal No. 4.</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addition, the Board is committed to ensuring that the Lead Independent Director, who is appointed annually by the independent directors, has an empowered role and provides effective balance to management. Our Lead Independent Director, Ms. Poon, was elected by the independent directors in recognition of her strong leadership and skills. The robust responsibilities of the Lead Independent Director are set forth in our Lead Independent Director Charter and are further discussed above under “Board Governance—Board Leadership—Responsibilities of Lead Independent Director.”</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The board’s decision to propose board declassification, as discussed in this proxy statement, is evidence of the board’s responsiveness to shareholder feedback on matters within the board’s control and should alleviate shareholder concerns with the dual-class capital structure</w:t>
      </w:r>
      <w:r>
        <w:rPr>
          <w:rFonts w:ascii="Arial;Helvetica;Sans-Serif" w:hAnsi="Arial;Helvetica;Sans-Serif"/>
          <w:b w:val="false"/>
          <w:i w:val="false"/>
          <w:caps w:val="false"/>
          <w:smallCaps w:val="false"/>
          <w:color w:val="231F20"/>
          <w:sz w:val="18"/>
        </w:rPr>
        <w:t>. As discussed above, the board has approved an amendment to Regeneron’s Certificate of Incorporation to implement phased-in declassification of the board and annual elections for all of Regeneron’s directors, and has recommended that shareholders approve this amendment at the 2025 Annual Meeting. In reaching the decision to recommend the declassification, the board considered shareholder feedback provided in recent engagement cycles – in particular the view that annual director elections enhance director accountability. The board also took into account that while it does not have the sole power to change the dual-class capital structure (as discussed further below), it is within its control to address another key shareholder concern by taking steps toward board declassification.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The dual-class capital structure has been in place since the Company’s IPO</w:t>
      </w:r>
      <w:r>
        <w:rPr>
          <w:rFonts w:ascii="Arial;Helvetica;Sans-Serif" w:hAnsi="Arial;Helvetica;Sans-Serif"/>
          <w:b w:val="false"/>
          <w:i w:val="false"/>
          <w:caps w:val="false"/>
          <w:smallCaps w:val="false"/>
          <w:color w:val="231F20"/>
          <w:sz w:val="18"/>
        </w:rPr>
        <w:t>. The Company’s current capital structure, with both Class A stock and common stock outstanding, has been in place since before the Company became a publicly traded company in 1991. No new Class A stock has been issued since the IPO. Accordingly, each holder of shares of common stock has had notice of this capital structure before making an investment in the company.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We have enhanced transparency concerning our capital structure</w:t>
      </w:r>
      <w:r>
        <w:rPr>
          <w:rFonts w:ascii="Arial;Helvetica;Sans-Serif" w:hAnsi="Arial;Helvetica;Sans-Serif"/>
          <w:b w:val="false"/>
          <w:i w:val="false"/>
          <w:caps w:val="false"/>
          <w:smallCaps w:val="false"/>
          <w:color w:val="231F20"/>
          <w:sz w:val="18"/>
        </w:rPr>
        <w:t>. As discussed above, we have been very transparent with our shareholders about Regeneron’s capital structure and the limits on the board’s ability to change this structure in a unilateral manner, and have consistently engaged on this topic in recent years. Thanks in part to such engagement, at the 2024 Annual Meeting, eight of our 10 largest institutional shareholders at the time of the meeting voted FOR all director nominees on the ballot despite adverse voting recommendations from the leading proxy advisory firms on account of Regeneron’s capital structure.</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231F20"/>
          <w:sz w:val="18"/>
        </w:rPr>
        <w:t>Multi-class capital structures are not uncommon among public companies</w:t>
      </w:r>
      <w:r>
        <w:rPr>
          <w:rFonts w:ascii="Arial;Helvetica;Sans-Serif" w:hAnsi="Arial;Helvetica;Sans-Serif"/>
          <w:b w:val="false"/>
          <w:i w:val="false"/>
          <w:caps w:val="false"/>
          <w:smallCaps w:val="false"/>
          <w:color w:val="231F20"/>
          <w:sz w:val="18"/>
        </w:rPr>
        <w:t>. Dual-class capital structures are recognized and valid under applicable federal and corporate law and stock exchange regulations and are not uncommon among public companies. Multi-class capital structures also do not appear to adversely impact company performance – in fact, a study conducted at the Yale School of Management Chief Executive Leadership Institute found that companies in the Russell 3000 with dual- and multi-class shares, on average, outperformed companies with single class shares across both the short- and long-term through October 3, 2024.</w:t>
      </w:r>
      <w:r>
        <w:rPr>
          <w:rFonts w:ascii="Arial;Helvetica;Sans-Serif" w:hAnsi="Arial;Helvetica;Sans-Serif"/>
          <w:b w:val="false"/>
          <w:i w:val="false"/>
          <w:caps w:val="false"/>
          <w:smallCaps w:val="false"/>
          <w:color w:val="010101"/>
          <w:position w:val="6"/>
          <w:sz w:val="14"/>
          <w:sz w:val="18"/>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The board does not have the sole power to change the dual-class capital structure – separate approval by the Class A stock would be required</w:t>
      </w:r>
      <w:r>
        <w:rPr>
          <w:rFonts w:ascii="Arial;Helvetica;Sans-Serif" w:hAnsi="Arial;Helvetica;Sans-Serif"/>
          <w:b w:val="false"/>
          <w:i w:val="false"/>
          <w:caps w:val="false"/>
          <w:smallCaps w:val="false"/>
          <w:color w:val="231F20"/>
          <w:sz w:val="18"/>
        </w:rPr>
        <w:t>. As a matter of corporate law and Regeneron’s Certificate of Incorporation, the voting rights granted to holders of Class A stock cannot be unilaterally changed by Regeneron’s board or a vote of the holders of common stock. Such rights may be amended only with the approval of the majority of the shares of Class A stock. The Corporate Governance and Compliance Committee of the board has carefully considered shareholder feedback on the dual-class capital structure as well as other relevant factors, including corporate governance practices and the benefits and potential burdens of maintaining this capital structure. The Committee also actively discussed this structure with the majority holder of our Class A stock. The board and/or the Corporate Governance and Compliance Committee will continue to engage the Class A holders on this topic and evaluate Regeneron’s corporate governance structure, policies, and practices.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100" w:type="dxa"/>
          <w:left w:w="0" w:type="dxa"/>
          <w:bottom w:w="0" w:type="dxa"/>
          <w:right w:w="0" w:type="dxa"/>
        </w:tblCellMar>
      </w:tblPr>
      <w:tblGrid>
        <w:gridCol w:w="140"/>
        <w:gridCol w:w="10065"/>
      </w:tblGrid>
      <w:tr>
        <w:trPr/>
        <w:tc>
          <w:tcPr>
            <w:tcW w:w="140" w:type="dxa"/>
            <w:tcBorders>
              <w:top w:val="single" w:sz="2" w:space="0" w:color="939598"/>
            </w:tcBorders>
            <w:vAlign w:val="center"/>
          </w:tcPr>
          <w:p>
            <w:pPr>
              <w:pStyle w:val="TableContents"/>
              <w:bidi w:val="0"/>
              <w:spacing w:before="0" w:after="283"/>
              <w:jc w:val="left"/>
              <w:rPr>
                <w:color w:val="010101"/>
                <w:position w:val="8"/>
                <w:sz w:val="19"/>
              </w:rPr>
            </w:pPr>
            <w:r>
              <w:rPr>
                <w:color w:val="010101"/>
                <w:position w:val="8"/>
                <w:sz w:val="19"/>
              </w:rPr>
              <w:t>5</w:t>
            </w:r>
          </w:p>
        </w:tc>
        <w:tc>
          <w:tcPr>
            <w:tcW w:w="10065" w:type="dxa"/>
            <w:tcBorders>
              <w:top w:val="single" w:sz="2" w:space="0" w:color="939598"/>
            </w:tcBorders>
            <w:vAlign w:val="center"/>
          </w:tcPr>
          <w:p>
            <w:pPr>
              <w:pStyle w:val="TableContents"/>
              <w:bidi w:val="0"/>
              <w:spacing w:before="0" w:after="283"/>
              <w:jc w:val="left"/>
              <w:rPr>
                <w:color w:val="231F20"/>
              </w:rPr>
            </w:pPr>
            <w:r>
              <w:rPr>
                <w:color w:val="231F20"/>
              </w:rPr>
              <w:t>Sonnenfeld, Jeffrey and Tian, Steven. “Re-Thinking the Hostility Towards Dual-Class Share Structures: When Dual-Class Shares Work Better.” Harvard Law School Forum on Corporate Governance, October 16, 2024 (referencing Yale Chief Executive Leadership Institute Study).</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40"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23" descr=""/>
                          <pic:cNvPicPr>
                            <a:picLocks noChangeAspect="1" noChangeArrowheads="1"/>
                          </pic:cNvPicPr>
                        </pic:nvPicPr>
                        <pic:blipFill>
                          <a:blip r:embed="rId235"/>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885" w:type="dxa"/>
        <w:jc w:val="left"/>
        <w:tblInd w:w="0" w:type="dxa"/>
        <w:tblLayout w:type="fixed"/>
        <w:tblCellMar>
          <w:top w:w="0" w:type="dxa"/>
          <w:left w:w="0" w:type="dxa"/>
          <w:bottom w:w="0" w:type="dxa"/>
          <w:right w:w="0" w:type="dxa"/>
        </w:tblCellMar>
      </w:tblPr>
      <w:tblGrid>
        <w:gridCol w:w="1190"/>
        <w:gridCol w:w="60"/>
        <w:gridCol w:w="1790"/>
        <w:gridCol w:w="60"/>
        <w:gridCol w:w="2375"/>
        <w:gridCol w:w="60"/>
        <w:gridCol w:w="1385"/>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375" w:type="dxa"/>
            <w:tcBorders>
              <w:bottom w:val="single" w:sz="18" w:space="0" w:color="C60C44"/>
            </w:tcBorders>
            <w:tcMar>
              <w:bottom w:w="45" w:type="dxa"/>
            </w:tcMar>
            <w:vAlign w:val="center"/>
          </w:tcPr>
          <w:p>
            <w:pPr>
              <w:pStyle w:val="TableContents"/>
              <w:bidi w:val="0"/>
              <w:spacing w:before="0" w:after="283"/>
              <w:jc w:val="left"/>
              <w:rPr/>
            </w:pPr>
            <w:hyperlink w:anchor="regn013211-def14ac003">
              <w:r>
                <w:rPr>
                  <w:rStyle w:val="InternetLink"/>
                  <w:b/>
                  <w:strike w:val="false"/>
                  <w:dstrike w:val="false"/>
                  <w:color w:val="3B5AA4"/>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hyperlink w:anchor="regn013211-def14ac004">
              <w:r>
                <w:rPr>
                  <w:rStyle w:val="InternetLink"/>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2"/>
        <w:bidi w:val="0"/>
        <w:spacing w:before="0" w:after="0"/>
        <w:ind w:left="0" w:right="0" w:hanging="0"/>
        <w:jc w:val="left"/>
        <w:rPr>
          <w:rFonts w:ascii="Arial;Helvetica;Sans-Serif" w:hAnsi="Arial;Helvetica;Sans-Serif"/>
          <w:b/>
          <w:i w:val="false"/>
          <w:caps w:val="false"/>
          <w:smallCaps w:val="false"/>
          <w:color w:val="C60C44"/>
          <w:sz w:val="40"/>
        </w:rPr>
      </w:pPr>
      <w:bookmarkStart w:id="42" w:name="regn013211-def14aa031"/>
      <w:bookmarkEnd w:id="42"/>
      <w:r>
        <w:rPr>
          <w:rFonts w:ascii="Arial;Helvetica;Sans-Serif" w:hAnsi="Arial;Helvetica;Sans-Serif"/>
          <w:b/>
          <w:i w:val="false"/>
          <w:caps w:val="false"/>
          <w:smallCaps w:val="false"/>
          <w:color w:val="C60C44"/>
          <w:sz w:val="40"/>
        </w:rPr>
        <w:t>Other Governance Policies</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3"/>
        <w:bidi w:val="0"/>
        <w:spacing w:before="0" w:after="0"/>
        <w:ind w:left="0" w:right="0" w:hanging="0"/>
        <w:jc w:val="left"/>
        <w:rPr>
          <w:rFonts w:ascii="Arial;Helvetica;Sans-Serif" w:hAnsi="Arial;Helvetica;Sans-Serif"/>
          <w:b/>
          <w:i w:val="false"/>
          <w:caps w:val="false"/>
          <w:smallCaps w:val="false"/>
          <w:color w:val="3B59A4"/>
          <w:sz w:val="32"/>
        </w:rPr>
      </w:pPr>
      <w:bookmarkStart w:id="43" w:name="regn013211-def14aa032"/>
      <w:bookmarkEnd w:id="43"/>
      <w:r>
        <w:rPr>
          <w:rFonts w:ascii="Arial;Helvetica;Sans-Serif" w:hAnsi="Arial;Helvetica;Sans-Serif"/>
          <w:b/>
          <w:i w:val="false"/>
          <w:caps w:val="false"/>
          <w:smallCaps w:val="false"/>
          <w:color w:val="3B59A4"/>
          <w:sz w:val="32"/>
        </w:rPr>
        <w:t>Code of Ethics</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The board of directors has adopted a code of business conduct and ethics that applies to all of our employees, officers, and directors. You can find this code on our website at </w:t>
      </w:r>
      <w:r>
        <w:rPr>
          <w:rFonts w:ascii="Arial;Helvetica;Sans-Serif" w:hAnsi="Arial;Helvetica;Sans-Serif"/>
          <w:b/>
          <w:i w:val="false"/>
          <w:caps w:val="false"/>
          <w:smallCaps w:val="false"/>
          <w:color w:val="3B59A4"/>
          <w:sz w:val="18"/>
        </w:rPr>
        <w:t xml:space="preserve">www.regeneron.com </w:t>
      </w:r>
      <w:r>
        <w:rPr>
          <w:rFonts w:ascii="Arial;Helvetica;Sans-Serif" w:hAnsi="Arial;Helvetica;Sans-Serif"/>
          <w:b w:val="false"/>
          <w:i w:val="false"/>
          <w:caps w:val="false"/>
          <w:smallCaps w:val="false"/>
          <w:color w:val="231F20"/>
          <w:sz w:val="18"/>
        </w:rPr>
        <w:t>under the “Governance” heading on the “Investors &amp; Media” page. We may satisfy the disclosure requirement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pStyle w:val="TextBody"/>
        <w:bidi w:val="0"/>
        <w:spacing w:before="0" w:after="0"/>
        <w:ind w:left="0" w:right="0" w:hanging="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9A4"/>
          <w:sz w:val="32"/>
        </w:rPr>
      </w:pPr>
      <w:bookmarkStart w:id="44" w:name="regn013211-def14aa033"/>
      <w:bookmarkEnd w:id="44"/>
      <w:r>
        <w:rPr>
          <w:rFonts w:ascii="Arial;Helvetica;Sans-Serif" w:hAnsi="Arial;Helvetica;Sans-Serif"/>
          <w:b/>
          <w:i w:val="false"/>
          <w:caps w:val="false"/>
          <w:smallCaps w:val="false"/>
          <w:color w:val="3B59A4"/>
          <w:sz w:val="32"/>
        </w:rPr>
        <w:t>Public Policy Engagement</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We are committed to adhering to the highest ethical standards when engaging in any political activities. Reflecting this commitment, the board of directors (upon the recommendation of the Corporate Governance and Compliance Committee) has adopted the Company’s Corporate Political Contributions Policy, a formal written policy that, together with our code of business conduct and ethics, sets forth our policies and procedures on political contributions and political activity. The policy is available on our website at </w:t>
      </w:r>
      <w:r>
        <w:rPr>
          <w:rFonts w:ascii="Arial;Helvetica;Sans-Serif" w:hAnsi="Arial;Helvetica;Sans-Serif"/>
          <w:b/>
          <w:i w:val="false"/>
          <w:caps w:val="false"/>
          <w:smallCaps w:val="false"/>
          <w:color w:val="3B59A4"/>
          <w:sz w:val="18"/>
        </w:rPr>
        <w:t xml:space="preserve">www.regeneron.com </w:t>
      </w:r>
      <w:r>
        <w:rPr>
          <w:rFonts w:ascii="Arial;Helvetica;Sans-Serif" w:hAnsi="Arial;Helvetica;Sans-Serif"/>
          <w:b w:val="false"/>
          <w:i w:val="false"/>
          <w:caps w:val="false"/>
          <w:smallCaps w:val="false"/>
          <w:color w:val="231F20"/>
          <w:sz w:val="18"/>
        </w:rPr>
        <w:t>under the “Transparency &amp; Policies” heading on the “Responsibility” page.</w:t>
      </w:r>
    </w:p>
    <w:p>
      <w:pPr>
        <w:pStyle w:val="TextBody"/>
        <w:bidi w:val="0"/>
        <w:spacing w:before="0" w:after="0"/>
        <w:ind w:left="0" w:right="0" w:hanging="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45" w:name="regn013211-def14aa034"/>
      <w:bookmarkEnd w:id="45"/>
      <w:r>
        <w:rPr>
          <w:rFonts w:ascii="Arial;Helvetica;Sans-Serif" w:hAnsi="Arial;Helvetica;Sans-Serif"/>
          <w:b/>
          <w:i w:val="false"/>
          <w:caps w:val="false"/>
          <w:smallCaps w:val="false"/>
          <w:color w:val="3B5AA4"/>
          <w:sz w:val="32"/>
        </w:rPr>
        <w:t>Stock Ownership Guidelines</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maintain robust stock ownership guidelines for our directors and senior executives, as shown below.</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jc w:val="center"/>
        <w:rPr>
          <w:caps w:val="false"/>
          <w:smallCaps w:val="false"/>
          <w:color w:val="3B59A4"/>
        </w:rPr>
      </w:pPr>
      <w:r>
        <w:rPr>
          <w:caps w:val="false"/>
          <w:smallCaps w:val="false"/>
          <w:color w:val="3B59A4"/>
        </w:rPr>
        <w:drawing>
          <wp:inline distT="0" distB="0" distL="0" distR="0">
            <wp:extent cx="7010400" cy="990600"/>
            <wp:effectExtent l="0" t="0" r="0" b="0"/>
            <wp:docPr id="241"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24" descr=""/>
                    <pic:cNvPicPr>
                      <a:picLocks noChangeAspect="1" noChangeArrowheads="1"/>
                    </pic:cNvPicPr>
                  </pic:nvPicPr>
                  <pic:blipFill>
                    <a:blip r:embed="rId236"/>
                    <a:stretch>
                      <a:fillRect/>
                    </a:stretch>
                  </pic:blipFill>
                  <pic:spPr bwMode="auto">
                    <a:xfrm>
                      <a:off x="0" y="0"/>
                      <a:ext cx="7010400" cy="990600"/>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231F20"/>
              </w:rPr>
            </w:pPr>
            <w:r>
              <w:rPr>
                <w:color w:val="231F20"/>
              </w:rPr>
              <w:t>*</w:t>
            </w:r>
          </w:p>
        </w:tc>
        <w:tc>
          <w:tcPr>
            <w:tcW w:w="10050" w:type="dxa"/>
            <w:tcBorders/>
            <w:vAlign w:val="center"/>
          </w:tcPr>
          <w:p>
            <w:pPr>
              <w:pStyle w:val="TableContents"/>
              <w:bidi w:val="0"/>
              <w:spacing w:before="0" w:after="283"/>
              <w:jc w:val="left"/>
              <w:rPr>
                <w:color w:val="231F20"/>
              </w:rPr>
            </w:pPr>
            <w:r>
              <w:rPr>
                <w:color w:val="231F20"/>
              </w:rPr>
              <w:t>For purposes of our stock ownership guidelines, “owned” shares include shares of the Company’s Class A stock and common stock as well as shares subject to outstanding time-based restricted stock and time-based restricted stock unit awards. Shares subject to unexercised stock options or unvested performance-based restricted stock unit awards are not considered “owned” for purposes of these guidelines.</w:t>
            </w:r>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9A4"/>
          <w:sz w:val="32"/>
        </w:rPr>
      </w:pPr>
      <w:bookmarkStart w:id="46" w:name="regn013211-def14aa035"/>
      <w:bookmarkEnd w:id="46"/>
      <w:r>
        <w:rPr>
          <w:rFonts w:ascii="Arial;Helvetica;Sans-Serif" w:hAnsi="Arial;Helvetica;Sans-Serif"/>
          <w:b/>
          <w:i w:val="false"/>
          <w:caps w:val="false"/>
          <w:smallCaps w:val="false"/>
          <w:color w:val="3B59A4"/>
          <w:sz w:val="32"/>
        </w:rPr>
        <w:t>Insider Trading Policy</w:t>
      </w:r>
    </w:p>
    <w:p>
      <w:pPr>
        <w:pStyle w:val="TextBody"/>
        <w:bidi w:val="0"/>
        <w:spacing w:before="0" w:after="0"/>
        <w:ind w:left="0" w:right="0" w:hanging="0"/>
        <w:jc w:val="left"/>
        <w:rPr>
          <w:caps w:val="false"/>
          <w:smallCaps w:val="false"/>
          <w:color w:val="3B59A4"/>
        </w:rPr>
      </w:pPr>
      <w:r>
        <w:rPr>
          <w:caps w:val="false"/>
          <w:smallCaps w:val="false"/>
          <w:color w:val="3B59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bookmarkStart w:id="47" w:name="xdx_908_eecd--InsiderTrdPoliciesProcAdop"/>
      <w:bookmarkEnd w:id="47"/>
      <w:r>
        <w:rPr>
          <w:rFonts w:ascii="Arial;Helvetica;Sans-Serif" w:hAnsi="Arial;Helvetica;Sans-Serif"/>
          <w:b w:val="false"/>
          <w:i w:val="false"/>
          <w:caps w:val="false"/>
          <w:smallCaps w:val="false"/>
          <w:color w:val="231F20"/>
          <w:sz w:val="18"/>
        </w:rPr>
        <w:t>We maintain an insider trading policy that governs the purchase, sale, and/or other dispositions of our securities by Regeneron as well as our directors, officers, employees, and certain other persons and entities as specified in the policy. The insider trading policy is designed to promote compliance with applicable insider trading laws, rules, and regulations, and the listing standards of the Nasdaq Stock Market LLC.</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insider trading policy can be found as an exhibit to our 2024 Annual Report.</w:t>
      </w:r>
    </w:p>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42"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25" descr=""/>
                          <pic:cNvPicPr>
                            <a:picLocks noChangeAspect="1" noChangeArrowheads="1"/>
                          </pic:cNvPicPr>
                        </pic:nvPicPr>
                        <pic:blipFill>
                          <a:blip r:embed="rId237"/>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1"/>
        <w:bidi w:val="0"/>
        <w:spacing w:before="0" w:after="0"/>
        <w:ind w:left="0" w:right="0" w:hanging="0"/>
        <w:jc w:val="left"/>
        <w:rPr>
          <w:rFonts w:ascii="Arial;Helvetica;Sans-Serif" w:hAnsi="Arial;Helvetica;Sans-Serif"/>
          <w:b/>
          <w:i w:val="false"/>
          <w:caps w:val="false"/>
          <w:smallCaps w:val="false"/>
          <w:color w:val="3B5AA4"/>
          <w:sz w:val="56"/>
        </w:rPr>
      </w:pPr>
      <w:bookmarkStart w:id="48" w:name="regn013211-def14aa036"/>
      <w:bookmarkStart w:id="49" w:name="regn013211-def14ac004"/>
      <w:bookmarkEnd w:id="48"/>
      <w:bookmarkEnd w:id="49"/>
      <w:r>
        <w:rPr>
          <w:rFonts w:ascii="Arial;Helvetica;Sans-Serif" w:hAnsi="Arial;Helvetica;Sans-Serif"/>
          <w:b/>
          <w:i w:val="false"/>
          <w:caps w:val="false"/>
          <w:smallCaps w:val="false"/>
          <w:color w:val="3B5AA4"/>
          <w:sz w:val="56"/>
        </w:rPr>
        <w:t>The Company</w:t>
      </w:r>
    </w:p>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50" w:name="regn013211-def14aa037"/>
      <w:bookmarkEnd w:id="50"/>
      <w:r>
        <w:rPr>
          <w:rFonts w:ascii="Arial;Helvetica;Sans-Serif" w:hAnsi="Arial;Helvetica;Sans-Serif"/>
          <w:b/>
          <w:i w:val="false"/>
          <w:caps w:val="false"/>
          <w:smallCaps w:val="false"/>
          <w:color w:val="C60C45"/>
          <w:sz w:val="40"/>
        </w:rPr>
        <w:t>Executive Officers of the Company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leadership team possesses deep and diverse industry knowledge, a passion for science, and a shared commitment to help transform lives. All officers of the Company are appointed annually and serve at the pleasure of the board of directors. The names, positions, ages, and background of the Company’s executive officers as of April 15, 2025 are set forth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28" w:type="dxa"/>
          <w:left w:w="0" w:type="dxa"/>
          <w:bottom w:w="0" w:type="dxa"/>
          <w:right w:w="0" w:type="dxa"/>
        </w:tblCellMar>
      </w:tblPr>
      <w:tblGrid>
        <w:gridCol w:w="1860"/>
        <w:gridCol w:w="360"/>
        <w:gridCol w:w="7985"/>
      </w:tblGrid>
      <w:tr>
        <w:trPr/>
        <w:tc>
          <w:tcPr>
            <w:tcW w:w="1860" w:type="dxa"/>
            <w:tcBorders>
              <w:top w:val="single" w:sz="2" w:space="0" w:color="3B59A4"/>
            </w:tcBorders>
            <w:vAlign w:val="center"/>
          </w:tcPr>
          <w:p>
            <w:pPr>
              <w:pStyle w:val="TableContents"/>
              <w:bidi w:val="0"/>
              <w:spacing w:before="0" w:after="283"/>
              <w:jc w:val="center"/>
              <w:rPr/>
            </w:pPr>
            <w:r>
              <w:rPr/>
              <w:t> </w:t>
            </w:r>
          </w:p>
        </w:tc>
        <w:tc>
          <w:tcPr>
            <w:tcW w:w="360" w:type="dxa"/>
            <w:tcBorders>
              <w:top w:val="single" w:sz="2" w:space="0" w:color="3B59A4"/>
            </w:tcBorders>
            <w:vAlign w:val="center"/>
          </w:tcPr>
          <w:p>
            <w:pPr>
              <w:pStyle w:val="TableContents"/>
              <w:bidi w:val="0"/>
              <w:spacing w:before="0" w:after="283"/>
              <w:jc w:val="left"/>
              <w:rPr/>
            </w:pPr>
            <w:r>
              <w:rPr/>
              <w:t>      </w:t>
            </w:r>
          </w:p>
        </w:tc>
        <w:tc>
          <w:tcPr>
            <w:tcW w:w="7985" w:type="dxa"/>
            <w:tcBorders>
              <w:top w:val="single" w:sz="2" w:space="0" w:color="3B59A4"/>
            </w:tcBorders>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drawing>
                <wp:inline distT="0" distB="0" distL="0" distR="0">
                  <wp:extent cx="1171575" cy="1181100"/>
                  <wp:effectExtent l="0" t="0" r="0" b="0"/>
                  <wp:docPr id="243"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26" descr=""/>
                          <pic:cNvPicPr>
                            <a:picLocks noChangeAspect="1" noChangeArrowheads="1"/>
                          </pic:cNvPicPr>
                        </pic:nvPicPr>
                        <pic:blipFill>
                          <a:blip r:embed="rId238"/>
                          <a:stretch>
                            <a:fillRect/>
                          </a:stretch>
                        </pic:blipFill>
                        <pic:spPr bwMode="auto">
                          <a:xfrm>
                            <a:off x="0" y="0"/>
                            <a:ext cx="1171575" cy="1181100"/>
                          </a:xfrm>
                          <a:prstGeom prst="rect">
                            <a:avLst/>
                          </a:prstGeom>
                        </pic:spPr>
                      </pic:pic>
                    </a:graphicData>
                  </a:graphic>
                </wp:inline>
              </w:drawing>
            </w:r>
          </w:p>
        </w:tc>
        <w:tc>
          <w:tcPr>
            <w:tcW w:w="360" w:type="dxa"/>
            <w:tcBorders/>
            <w:tcMar>
              <w:top w:w="0" w:type="dxa"/>
            </w:tcMar>
            <w:vAlign w:val="center"/>
          </w:tcPr>
          <w:p>
            <w:pPr>
              <w:pStyle w:val="TableContents"/>
              <w:bidi w:val="0"/>
              <w:spacing w:before="0" w:after="283"/>
              <w:jc w:val="left"/>
              <w:rPr/>
            </w:pPr>
            <w:r>
              <w:rPr/>
              <w:t> </w:t>
            </w:r>
          </w:p>
        </w:tc>
        <w:tc>
          <w:tcPr>
            <w:tcW w:w="7985" w:type="dxa"/>
            <w:tcBorders/>
            <w:tcMar>
              <w:top w:w="0" w:type="dxa"/>
            </w:tcMar>
            <w:vAlign w:val="center"/>
          </w:tcPr>
          <w:p>
            <w:pPr>
              <w:pStyle w:val="TableContents"/>
              <w:bidi w:val="0"/>
              <w:spacing w:before="0" w:after="283"/>
              <w:jc w:val="left"/>
              <w:rPr/>
            </w:pPr>
            <w:r>
              <w:rPr>
                <w:b/>
                <w:color w:val="C60C45"/>
              </w:rPr>
              <w:t xml:space="preserve">Leonard S. Schleifer, M.D., Ph.D., </w:t>
            </w:r>
            <w:r>
              <w:rPr>
                <w:color w:val="231F20"/>
              </w:rPr>
              <w:t>72, founded the Company in 1988 and has been a director</w:t>
            </w:r>
            <w:r>
              <w:rPr/>
              <w:t xml:space="preserve"> </w:t>
            </w:r>
            <w:r>
              <w:rPr>
                <w:color w:val="231F20"/>
              </w:rPr>
              <w:t>and its President and Chief Executive Officer since its inception. Dr. Schleifer has served as</w:t>
            </w:r>
            <w:r>
              <w:rPr/>
              <w:t xml:space="preserve"> </w:t>
            </w:r>
            <w:r>
              <w:rPr>
                <w:color w:val="231F20"/>
              </w:rPr>
              <w:t>co-Chair of the Board since 2023 and previously served as Chair of the Board from 1990</w:t>
            </w:r>
            <w:r>
              <w:rPr/>
              <w:t xml:space="preserve"> </w:t>
            </w:r>
            <w:r>
              <w:rPr>
                <w:color w:val="231F20"/>
              </w:rPr>
              <w:t>through 1994. Dr. Schleifer, together with Regeneron’s founding scientist, Dr. Yancopoulos, built</w:t>
            </w:r>
            <w:r>
              <w:rPr/>
              <w:t xml:space="preserve"> </w:t>
            </w:r>
            <w:r>
              <w:rPr>
                <w:color w:val="231F20"/>
              </w:rPr>
              <w:t>and has managed the Company over the past 37 years. Dr. Schleifer received his M.D. and Ph.D.</w:t>
            </w:r>
            <w:r>
              <w:rPr/>
              <w:t xml:space="preserve"> </w:t>
            </w:r>
            <w:r>
              <w:rPr>
                <w:color w:val="231F20"/>
              </w:rPr>
              <w:t>in Pharmacology from the University of Virginia. Dr. Schleifer is a licensed physician and is</w:t>
            </w:r>
            <w:r>
              <w:rPr/>
              <w:t xml:space="preserve"> </w:t>
            </w:r>
            <w:r>
              <w:rPr>
                <w:color w:val="231F20"/>
              </w:rPr>
              <w:t>certified in Neurology by the American Board of Psychiatry and Neurology.</w:t>
            </w:r>
          </w:p>
        </w:tc>
      </w:tr>
      <w:tr>
        <w:trPr/>
        <w:tc>
          <w:tcPr>
            <w:tcW w:w="1860" w:type="dxa"/>
            <w:tcBorders>
              <w:bottom w:val="single" w:sz="2" w:space="0" w:color="3B59A4"/>
            </w:tcBorders>
            <w:tcMar>
              <w:top w:w="0" w:type="dxa"/>
              <w:bottom w:w="28" w:type="dxa"/>
            </w:tcMar>
            <w:vAlign w:val="center"/>
          </w:tcPr>
          <w:p>
            <w:pPr>
              <w:pStyle w:val="TableContents"/>
              <w:bidi w:val="0"/>
              <w:spacing w:before="0" w:after="283"/>
              <w:jc w:val="center"/>
              <w:rPr/>
            </w:pPr>
            <w:r>
              <w:rPr/>
              <w:t> </w:t>
            </w:r>
          </w:p>
        </w:tc>
        <w:tc>
          <w:tcPr>
            <w:tcW w:w="360" w:type="dxa"/>
            <w:tcBorders>
              <w:bottom w:val="single" w:sz="2" w:space="0" w:color="3B59A4"/>
            </w:tcBorders>
            <w:tcMar>
              <w:top w:w="0" w:type="dxa"/>
              <w:bottom w:w="28" w:type="dxa"/>
            </w:tcMar>
            <w:vAlign w:val="center"/>
          </w:tcPr>
          <w:p>
            <w:pPr>
              <w:pStyle w:val="TableContents"/>
              <w:bidi w:val="0"/>
              <w:spacing w:before="0" w:after="283"/>
              <w:jc w:val="left"/>
              <w:rPr/>
            </w:pPr>
            <w:r>
              <w:rPr/>
              <w:t> </w:t>
            </w:r>
          </w:p>
        </w:tc>
        <w:tc>
          <w:tcPr>
            <w:tcW w:w="7985" w:type="dxa"/>
            <w:tcBorders>
              <w:bottom w:val="single" w:sz="2" w:space="0" w:color="3B59A4"/>
            </w:tcBorders>
            <w:tcMar>
              <w:top w:w="0" w:type="dxa"/>
              <w:bottom w:w="28"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t> </w:t>
            </w:r>
          </w:p>
        </w:tc>
        <w:tc>
          <w:tcPr>
            <w:tcW w:w="360" w:type="dxa"/>
            <w:tcBorders/>
            <w:tcMar>
              <w:top w:w="0" w:type="dxa"/>
            </w:tcMar>
            <w:vAlign w:val="center"/>
          </w:tcPr>
          <w:p>
            <w:pPr>
              <w:pStyle w:val="TableContents"/>
              <w:bidi w:val="0"/>
              <w:spacing w:before="0" w:after="283"/>
              <w:jc w:val="left"/>
              <w:rPr/>
            </w:pPr>
            <w:r>
              <w:rPr/>
              <w:t> </w:t>
            </w:r>
          </w:p>
        </w:tc>
        <w:tc>
          <w:tcPr>
            <w:tcW w:w="7985" w:type="dxa"/>
            <w:tcBorders/>
            <w:tcMar>
              <w:top w:w="0"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drawing>
                <wp:inline distT="0" distB="0" distL="0" distR="0">
                  <wp:extent cx="1171575" cy="1181100"/>
                  <wp:effectExtent l="0" t="0" r="0" b="0"/>
                  <wp:docPr id="244"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27" descr=""/>
                          <pic:cNvPicPr>
                            <a:picLocks noChangeAspect="1" noChangeArrowheads="1"/>
                          </pic:cNvPicPr>
                        </pic:nvPicPr>
                        <pic:blipFill>
                          <a:blip r:embed="rId239"/>
                          <a:stretch>
                            <a:fillRect/>
                          </a:stretch>
                        </pic:blipFill>
                        <pic:spPr bwMode="auto">
                          <a:xfrm>
                            <a:off x="0" y="0"/>
                            <a:ext cx="1171575" cy="1181100"/>
                          </a:xfrm>
                          <a:prstGeom prst="rect">
                            <a:avLst/>
                          </a:prstGeom>
                        </pic:spPr>
                      </pic:pic>
                    </a:graphicData>
                  </a:graphic>
                </wp:inline>
              </w:drawing>
            </w:r>
          </w:p>
        </w:tc>
        <w:tc>
          <w:tcPr>
            <w:tcW w:w="360" w:type="dxa"/>
            <w:tcBorders/>
            <w:tcMar>
              <w:top w:w="0" w:type="dxa"/>
            </w:tcMar>
            <w:vAlign w:val="center"/>
          </w:tcPr>
          <w:p>
            <w:pPr>
              <w:pStyle w:val="TableContents"/>
              <w:bidi w:val="0"/>
              <w:spacing w:before="0" w:after="283"/>
              <w:jc w:val="left"/>
              <w:rPr/>
            </w:pPr>
            <w:r>
              <w:rPr/>
              <w:t> </w:t>
            </w:r>
          </w:p>
        </w:tc>
        <w:tc>
          <w:tcPr>
            <w:tcW w:w="7985" w:type="dxa"/>
            <w:tcBorders/>
            <w:tcMar>
              <w:top w:w="0" w:type="dxa"/>
            </w:tcMar>
            <w:vAlign w:val="center"/>
          </w:tcPr>
          <w:p>
            <w:pPr>
              <w:pStyle w:val="TableContents"/>
              <w:bidi w:val="0"/>
              <w:spacing w:before="0" w:after="283"/>
              <w:jc w:val="left"/>
              <w:rPr/>
            </w:pPr>
            <w:r>
              <w:rPr>
                <w:b/>
                <w:color w:val="C60C45"/>
              </w:rPr>
              <w:t xml:space="preserve">George D. Yancopoulos, M.D., Ph.D., </w:t>
            </w:r>
            <w:r>
              <w:rPr>
                <w:color w:val="231F20"/>
              </w:rPr>
              <w:t>65, joined Dr. Schleifer in 1989 as founding scientist of the</w:t>
            </w:r>
            <w:r>
              <w:rPr/>
              <w:t xml:space="preserve"> </w:t>
            </w:r>
            <w:r>
              <w:rPr>
                <w:color w:val="231F20"/>
              </w:rPr>
              <w:t>Company, and together they built and have managed the Company since then. Dr. Yancopoulos</w:t>
            </w:r>
            <w:r>
              <w:rPr/>
              <w:t xml:space="preserve"> </w:t>
            </w:r>
            <w:r>
              <w:rPr>
                <w:color w:val="231F20"/>
              </w:rPr>
              <w:t>is currently President and Chief Scientific Officer, and has served as a director since 2001 and</w:t>
            </w:r>
            <w:r>
              <w:rPr/>
              <w:t xml:space="preserve"> </w:t>
            </w:r>
            <w:r>
              <w:rPr>
                <w:color w:val="231F20"/>
              </w:rPr>
              <w:t>as co-Chair of the Board since 2023. He received his M.D. and Ph.D. from Columbia University.</w:t>
            </w:r>
            <w:r>
              <w:rPr/>
              <w:t xml:space="preserve"> </w:t>
            </w:r>
            <w:r>
              <w:rPr>
                <w:color w:val="231F20"/>
              </w:rPr>
              <w:t>Dr. Yancopoulos was the 11</w:t>
            </w:r>
            <w:r>
              <w:rPr>
                <w:color w:val="231F20"/>
                <w:position w:val="8"/>
                <w:sz w:val="19"/>
              </w:rPr>
              <w:t>th</w:t>
            </w:r>
            <w:r>
              <w:rPr>
                <w:color w:val="231F20"/>
              </w:rPr>
              <w:t xml:space="preserve"> most highly cited scientist in the world in the 1990s, and in 2004</w:t>
            </w:r>
            <w:r>
              <w:rPr/>
              <w:t xml:space="preserve"> </w:t>
            </w:r>
            <w:r>
              <w:rPr>
                <w:color w:val="231F20"/>
              </w:rPr>
              <w:t>he was elected to be a member of the National Academy of Sciences. Dr. Yancopoulos,</w:t>
            </w:r>
            <w:r>
              <w:rPr/>
              <w:t xml:space="preserve"> </w:t>
            </w:r>
            <w:r>
              <w:rPr>
                <w:color w:val="231F20"/>
              </w:rPr>
              <w:t>together with key members of his team, is a principal inventor and/or developer of the</w:t>
            </w:r>
            <w:r>
              <w:rPr/>
              <w:t xml:space="preserve"> </w:t>
            </w:r>
            <w:r>
              <w:rPr>
                <w:color w:val="231F20"/>
              </w:rPr>
              <w:t>11 FDA-approved drugs the Company has developed, EYLEA, EYLEA HD, Praluent, Dupixent,</w:t>
            </w:r>
            <w:r>
              <w:rPr/>
              <w:t xml:space="preserve"> </w:t>
            </w:r>
            <w:r>
              <w:rPr>
                <w:color w:val="231F20"/>
              </w:rPr>
              <w:t>Kevzara, Libtayo, Evkeeza, Inmazeb, Veopoz, ZALTRAP, and ARCALYST, as well as of its</w:t>
            </w:r>
            <w:r>
              <w:rPr/>
              <w:t xml:space="preserve"> </w:t>
            </w:r>
            <w:r>
              <w:rPr>
                <w:color w:val="231F20"/>
              </w:rPr>
              <w:t xml:space="preserve">foundation technologies, including the TRAP technology, </w:t>
            </w:r>
            <w:r>
              <w:rPr>
                <w:i/>
                <w:color w:val="231F20"/>
              </w:rPr>
              <w:t>VelociGene</w:t>
            </w:r>
            <w:r>
              <w:rPr>
                <w:color w:val="010101"/>
                <w:position w:val="8"/>
                <w:sz w:val="19"/>
              </w:rPr>
              <w:t>®</w:t>
            </w:r>
            <w:r>
              <w:rPr>
                <w:color w:val="231F20"/>
              </w:rPr>
              <w:t xml:space="preserve">, and </w:t>
            </w:r>
            <w:r>
              <w:rPr>
                <w:i/>
                <w:color w:val="231F20"/>
              </w:rPr>
              <w:t>VelocImmune</w:t>
            </w:r>
            <w:r>
              <w:rPr>
                <w:color w:val="010101"/>
                <w:position w:val="8"/>
                <w:sz w:val="19"/>
              </w:rPr>
              <w:t>®</w:t>
            </w:r>
            <w:r>
              <w:rPr>
                <w:color w:val="231F20"/>
              </w:rPr>
              <w:t>.</w:t>
            </w:r>
          </w:p>
        </w:tc>
      </w:tr>
      <w:tr>
        <w:trPr/>
        <w:tc>
          <w:tcPr>
            <w:tcW w:w="1860" w:type="dxa"/>
            <w:tcBorders>
              <w:bottom w:val="single" w:sz="2" w:space="0" w:color="3B59A4"/>
            </w:tcBorders>
            <w:tcMar>
              <w:top w:w="0" w:type="dxa"/>
              <w:bottom w:w="28" w:type="dxa"/>
            </w:tcMar>
            <w:vAlign w:val="center"/>
          </w:tcPr>
          <w:p>
            <w:pPr>
              <w:pStyle w:val="TableContents"/>
              <w:bidi w:val="0"/>
              <w:spacing w:before="0" w:after="283"/>
              <w:jc w:val="center"/>
              <w:rPr/>
            </w:pPr>
            <w:r>
              <w:rPr/>
              <w:t> </w:t>
            </w:r>
          </w:p>
        </w:tc>
        <w:tc>
          <w:tcPr>
            <w:tcW w:w="360" w:type="dxa"/>
            <w:tcBorders>
              <w:bottom w:val="single" w:sz="2" w:space="0" w:color="3B59A4"/>
            </w:tcBorders>
            <w:tcMar>
              <w:top w:w="0" w:type="dxa"/>
              <w:bottom w:w="28" w:type="dxa"/>
            </w:tcMar>
            <w:vAlign w:val="center"/>
          </w:tcPr>
          <w:p>
            <w:pPr>
              <w:pStyle w:val="TableContents"/>
              <w:bidi w:val="0"/>
              <w:spacing w:before="0" w:after="283"/>
              <w:jc w:val="left"/>
              <w:rPr/>
            </w:pPr>
            <w:r>
              <w:rPr/>
              <w:t> </w:t>
            </w:r>
          </w:p>
        </w:tc>
        <w:tc>
          <w:tcPr>
            <w:tcW w:w="7985" w:type="dxa"/>
            <w:tcBorders>
              <w:bottom w:val="single" w:sz="2" w:space="0" w:color="3B59A4"/>
            </w:tcBorders>
            <w:tcMar>
              <w:top w:w="0" w:type="dxa"/>
              <w:bottom w:w="28"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t> </w:t>
            </w:r>
          </w:p>
        </w:tc>
        <w:tc>
          <w:tcPr>
            <w:tcW w:w="360" w:type="dxa"/>
            <w:tcBorders/>
            <w:tcMar>
              <w:top w:w="0" w:type="dxa"/>
            </w:tcMar>
            <w:vAlign w:val="center"/>
          </w:tcPr>
          <w:p>
            <w:pPr>
              <w:pStyle w:val="TableContents"/>
              <w:bidi w:val="0"/>
              <w:spacing w:before="0" w:after="283"/>
              <w:jc w:val="left"/>
              <w:rPr/>
            </w:pPr>
            <w:r>
              <w:rPr/>
              <w:t> </w:t>
            </w:r>
          </w:p>
        </w:tc>
        <w:tc>
          <w:tcPr>
            <w:tcW w:w="7985" w:type="dxa"/>
            <w:tcBorders/>
            <w:tcMar>
              <w:top w:w="0"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drawing>
                <wp:inline distT="0" distB="0" distL="0" distR="0">
                  <wp:extent cx="1171575" cy="1181100"/>
                  <wp:effectExtent l="0" t="0" r="0" b="0"/>
                  <wp:docPr id="245"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28" descr=""/>
                          <pic:cNvPicPr>
                            <a:picLocks noChangeAspect="1" noChangeArrowheads="1"/>
                          </pic:cNvPicPr>
                        </pic:nvPicPr>
                        <pic:blipFill>
                          <a:blip r:embed="rId240"/>
                          <a:stretch>
                            <a:fillRect/>
                          </a:stretch>
                        </pic:blipFill>
                        <pic:spPr bwMode="auto">
                          <a:xfrm>
                            <a:off x="0" y="0"/>
                            <a:ext cx="1171575" cy="1181100"/>
                          </a:xfrm>
                          <a:prstGeom prst="rect">
                            <a:avLst/>
                          </a:prstGeom>
                        </pic:spPr>
                      </pic:pic>
                    </a:graphicData>
                  </a:graphic>
                </wp:inline>
              </w:drawing>
            </w:r>
          </w:p>
        </w:tc>
        <w:tc>
          <w:tcPr>
            <w:tcW w:w="360" w:type="dxa"/>
            <w:tcBorders/>
            <w:tcMar>
              <w:top w:w="0" w:type="dxa"/>
            </w:tcMar>
            <w:vAlign w:val="center"/>
          </w:tcPr>
          <w:p>
            <w:pPr>
              <w:pStyle w:val="TableContents"/>
              <w:bidi w:val="0"/>
              <w:spacing w:before="0" w:after="283"/>
              <w:jc w:val="left"/>
              <w:rPr/>
            </w:pPr>
            <w:r>
              <w:rPr/>
              <w:t> </w:t>
            </w:r>
          </w:p>
        </w:tc>
        <w:tc>
          <w:tcPr>
            <w:tcW w:w="7985" w:type="dxa"/>
            <w:tcBorders/>
            <w:tcMar>
              <w:top w:w="0" w:type="dxa"/>
            </w:tcMar>
            <w:vAlign w:val="center"/>
          </w:tcPr>
          <w:p>
            <w:pPr>
              <w:pStyle w:val="TableContents"/>
              <w:bidi w:val="0"/>
              <w:spacing w:before="0" w:after="283"/>
              <w:jc w:val="left"/>
              <w:rPr/>
            </w:pPr>
            <w:r>
              <w:rPr>
                <w:b/>
                <w:color w:val="C60C45"/>
              </w:rPr>
              <w:t xml:space="preserve">Christopher Fenimore, </w:t>
            </w:r>
            <w:r>
              <w:rPr>
                <w:color w:val="231F20"/>
              </w:rPr>
              <w:t>54, has been Executive Vice President, Finance and Chief Financial</w:t>
            </w:r>
            <w:r>
              <w:rPr/>
              <w:t xml:space="preserve"> </w:t>
            </w:r>
            <w:r>
              <w:rPr>
                <w:color w:val="231F20"/>
              </w:rPr>
              <w:t>Officer since January 2025. He previously served as Senior Vice President, Finance and Chief</w:t>
            </w:r>
            <w:r>
              <w:rPr/>
              <w:t xml:space="preserve"> </w:t>
            </w:r>
            <w:r>
              <w:rPr>
                <w:color w:val="231F20"/>
              </w:rPr>
              <w:t>Financial Officer from February 2024 to December 2024; Senior Vice President, Controller from</w:t>
            </w:r>
            <w:r>
              <w:rPr/>
              <w:t xml:space="preserve"> </w:t>
            </w:r>
            <w:r>
              <w:rPr>
                <w:color w:val="231F20"/>
              </w:rPr>
              <w:t>January 2021 to February 2024; Vice President, Controller from March 2017 to December 2020;</w:t>
            </w:r>
            <w:r>
              <w:rPr/>
              <w:t xml:space="preserve"> </w:t>
            </w:r>
            <w:r>
              <w:rPr>
                <w:color w:val="231F20"/>
              </w:rPr>
              <w:t>Vice President, Deputy Controller from January 2017 to March 2017; and Vice President,</w:t>
            </w:r>
            <w:r>
              <w:rPr/>
              <w:t xml:space="preserve"> </w:t>
            </w:r>
            <w:r>
              <w:rPr>
                <w:color w:val="231F20"/>
              </w:rPr>
              <w:t>Financial Planning from January 2012 to December 2016. Prior to joining the Company in 2003,</w:t>
            </w:r>
            <w:r>
              <w:rPr/>
              <w:t xml:space="preserve"> </w:t>
            </w:r>
            <w:r>
              <w:rPr>
                <w:color w:val="231F20"/>
              </w:rPr>
              <w:t>he was Vice President, Finance for a biotechnology start-up and worked in other healthcare</w:t>
            </w:r>
            <w:r>
              <w:rPr/>
              <w:t xml:space="preserve"> </w:t>
            </w:r>
            <w:r>
              <w:rPr>
                <w:color w:val="231F20"/>
              </w:rPr>
              <w:t>industry-focused venture capital and investment banking roles. Mr. Fenimore started his career</w:t>
            </w:r>
            <w:r>
              <w:rPr/>
              <w:t xml:space="preserve"> </w:t>
            </w:r>
            <w:r>
              <w:rPr>
                <w:color w:val="231F20"/>
              </w:rPr>
              <w:t>as an auditor at KPMG and is a Certified Public Accountant in the State of New York.</w:t>
            </w:r>
            <w:r>
              <w:rPr/>
              <w:t xml:space="preserve"> </w:t>
            </w:r>
            <w:r>
              <w:rPr>
                <w:color w:val="231F20"/>
              </w:rPr>
              <w:t>Mr. Fenimore holds an M.A. in Biotechnology from Columbia University, an M.B.A. in</w:t>
            </w:r>
            <w:r>
              <w:rPr/>
              <w:t xml:space="preserve"> </w:t>
            </w:r>
            <w:r>
              <w:rPr>
                <w:color w:val="231F20"/>
              </w:rPr>
              <w:t>Professional Accounting from Rutgers Business School, and a B.A. in Economics from</w:t>
            </w:r>
            <w:r>
              <w:rPr/>
              <w:t xml:space="preserve"> </w:t>
            </w:r>
            <w:r>
              <w:rPr>
                <w:color w:val="231F20"/>
              </w:rPr>
              <w:t>Rutgers University.</w:t>
            </w:r>
          </w:p>
        </w:tc>
      </w:tr>
      <w:tr>
        <w:trPr/>
        <w:tc>
          <w:tcPr>
            <w:tcW w:w="1860" w:type="dxa"/>
            <w:tcBorders>
              <w:bottom w:val="single" w:sz="2" w:space="0" w:color="3B59A4"/>
            </w:tcBorders>
            <w:tcMar>
              <w:top w:w="0" w:type="dxa"/>
              <w:bottom w:w="28" w:type="dxa"/>
            </w:tcMar>
            <w:vAlign w:val="center"/>
          </w:tcPr>
          <w:p>
            <w:pPr>
              <w:pStyle w:val="TableContents"/>
              <w:bidi w:val="0"/>
              <w:spacing w:before="0" w:after="283"/>
              <w:jc w:val="center"/>
              <w:rPr/>
            </w:pPr>
            <w:r>
              <w:rPr/>
              <w:t> </w:t>
            </w:r>
          </w:p>
        </w:tc>
        <w:tc>
          <w:tcPr>
            <w:tcW w:w="360" w:type="dxa"/>
            <w:tcBorders>
              <w:bottom w:val="single" w:sz="2" w:space="0" w:color="3B59A4"/>
            </w:tcBorders>
            <w:tcMar>
              <w:top w:w="0" w:type="dxa"/>
              <w:bottom w:w="28" w:type="dxa"/>
            </w:tcMar>
            <w:vAlign w:val="center"/>
          </w:tcPr>
          <w:p>
            <w:pPr>
              <w:pStyle w:val="TableContents"/>
              <w:bidi w:val="0"/>
              <w:spacing w:before="0" w:after="283"/>
              <w:jc w:val="left"/>
              <w:rPr/>
            </w:pPr>
            <w:r>
              <w:rPr/>
              <w:t> </w:t>
            </w:r>
          </w:p>
        </w:tc>
        <w:tc>
          <w:tcPr>
            <w:tcW w:w="7985" w:type="dxa"/>
            <w:tcBorders>
              <w:bottom w:val="single" w:sz="2" w:space="0" w:color="3B59A4"/>
            </w:tcBorders>
            <w:tcMar>
              <w:top w:w="0" w:type="dxa"/>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46"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29" descr=""/>
                          <pic:cNvPicPr>
                            <a:picLocks noChangeAspect="1" noChangeArrowheads="1"/>
                          </pic:cNvPicPr>
                        </pic:nvPicPr>
                        <pic:blipFill>
                          <a:blip r:embed="rId24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860"/>
        <w:gridCol w:w="300"/>
        <w:gridCol w:w="8045"/>
      </w:tblGrid>
      <w:tr>
        <w:trPr/>
        <w:tc>
          <w:tcPr>
            <w:tcW w:w="1860" w:type="dxa"/>
            <w:tcBorders>
              <w:top w:val="single" w:sz="2" w:space="0" w:color="3B59A4"/>
            </w:tcBorders>
            <w:vAlign w:val="center"/>
          </w:tcPr>
          <w:p>
            <w:pPr>
              <w:pStyle w:val="TableContents"/>
              <w:bidi w:val="0"/>
              <w:spacing w:before="0" w:after="283"/>
              <w:jc w:val="center"/>
              <w:rPr/>
            </w:pPr>
            <w:r>
              <w:rPr/>
              <w:t> </w:t>
            </w:r>
          </w:p>
        </w:tc>
        <w:tc>
          <w:tcPr>
            <w:tcW w:w="300" w:type="dxa"/>
            <w:tcBorders>
              <w:top w:val="single" w:sz="2" w:space="0" w:color="3B59A4"/>
            </w:tcBorders>
            <w:vAlign w:val="center"/>
          </w:tcPr>
          <w:p>
            <w:pPr>
              <w:pStyle w:val="TableContents"/>
              <w:bidi w:val="0"/>
              <w:spacing w:before="0" w:after="283"/>
              <w:jc w:val="left"/>
              <w:rPr/>
            </w:pPr>
            <w:r>
              <w:rPr/>
              <w:t>     </w:t>
            </w:r>
          </w:p>
        </w:tc>
        <w:tc>
          <w:tcPr>
            <w:tcW w:w="8045" w:type="dxa"/>
            <w:tcBorders>
              <w:top w:val="single" w:sz="2" w:space="0" w:color="3B59A4"/>
            </w:tcBorders>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drawing>
                <wp:inline distT="0" distB="0" distL="0" distR="0">
                  <wp:extent cx="1171575" cy="1171575"/>
                  <wp:effectExtent l="0" t="0" r="0" b="0"/>
                  <wp:docPr id="247"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30" descr=""/>
                          <pic:cNvPicPr>
                            <a:picLocks noChangeAspect="1" noChangeArrowheads="1"/>
                          </pic:cNvPicPr>
                        </pic:nvPicPr>
                        <pic:blipFill>
                          <a:blip r:embed="rId242"/>
                          <a:stretch>
                            <a:fillRect/>
                          </a:stretch>
                        </pic:blipFill>
                        <pic:spPr bwMode="auto">
                          <a:xfrm>
                            <a:off x="0" y="0"/>
                            <a:ext cx="1171575" cy="1171575"/>
                          </a:xfrm>
                          <a:prstGeom prst="rect">
                            <a:avLst/>
                          </a:prstGeom>
                        </pic:spPr>
                      </pic:pic>
                    </a:graphicData>
                  </a:graphic>
                </wp:inline>
              </w:drawing>
            </w:r>
          </w:p>
        </w:tc>
        <w:tc>
          <w:tcPr>
            <w:tcW w:w="300" w:type="dxa"/>
            <w:tcBorders/>
            <w:tcMar>
              <w:top w:w="0" w:type="dxa"/>
            </w:tcMar>
            <w:vAlign w:val="center"/>
          </w:tcPr>
          <w:p>
            <w:pPr>
              <w:pStyle w:val="TableContents"/>
              <w:bidi w:val="0"/>
              <w:spacing w:before="0" w:after="283"/>
              <w:jc w:val="left"/>
              <w:rPr/>
            </w:pPr>
            <w:r>
              <w:rPr/>
              <w:t> </w:t>
            </w:r>
          </w:p>
        </w:tc>
        <w:tc>
          <w:tcPr>
            <w:tcW w:w="8045" w:type="dxa"/>
            <w:tcBorders/>
            <w:tcMar>
              <w:top w:w="0" w:type="dxa"/>
            </w:tcMar>
            <w:vAlign w:val="center"/>
          </w:tcPr>
          <w:p>
            <w:pPr>
              <w:pStyle w:val="TableContents"/>
              <w:bidi w:val="0"/>
              <w:spacing w:before="0" w:after="283"/>
              <w:jc w:val="left"/>
              <w:rPr>
                <w:sz w:val="18"/>
              </w:rPr>
            </w:pPr>
            <w:r>
              <w:rPr>
                <w:rFonts w:ascii="Arial;Helvetica;Sans-Serif" w:hAnsi="Arial;Helvetica;Sans-Serif"/>
                <w:b/>
                <w:i w:val="false"/>
                <w:caps w:val="false"/>
                <w:smallCaps w:val="false"/>
                <w:color w:val="C60C45"/>
                <w:sz w:val="18"/>
              </w:rPr>
              <w:t xml:space="preserve">Joseph J. LaRosa, </w:t>
            </w:r>
            <w:r>
              <w:rPr>
                <w:rFonts w:ascii="Arial;Helvetica;Sans-Serif" w:hAnsi="Arial;Helvetica;Sans-Serif"/>
                <w:b w:val="false"/>
                <w:i w:val="false"/>
                <w:caps w:val="false"/>
                <w:smallCaps w:val="false"/>
                <w:color w:val="231F20"/>
                <w:sz w:val="18"/>
              </w:rPr>
              <w:t>66, has been Executive Vice President, General Counsel and Secretary since</w:t>
            </w:r>
            <w:r>
              <w:rPr>
                <w:sz w:val="18"/>
              </w:rPr>
              <w:t xml:space="preserve"> </w:t>
            </w:r>
            <w:r>
              <w:rPr>
                <w:rFonts w:ascii="Arial;Helvetica;Sans-Serif" w:hAnsi="Arial;Helvetica;Sans-Serif"/>
                <w:b w:val="false"/>
                <w:i w:val="false"/>
                <w:caps w:val="false"/>
                <w:smallCaps w:val="false"/>
                <w:color w:val="231F20"/>
                <w:sz w:val="18"/>
              </w:rPr>
              <w:t>January 2019. From September 2011 to December 2018, he served as Senior Vice President,</w:t>
            </w:r>
            <w:r>
              <w:rPr>
                <w:sz w:val="18"/>
              </w:rPr>
              <w:t xml:space="preserve"> </w:t>
            </w:r>
            <w:r>
              <w:rPr>
                <w:rFonts w:ascii="Arial;Helvetica;Sans-Serif" w:hAnsi="Arial;Helvetica;Sans-Serif"/>
                <w:b w:val="false"/>
                <w:i w:val="false"/>
                <w:caps w:val="false"/>
                <w:smallCaps w:val="false"/>
                <w:color w:val="231F20"/>
                <w:sz w:val="18"/>
              </w:rPr>
              <w:t>General Counsel and Secretary. Before joining Regeneron, Mr. LaRosa was Senior Vice</w:t>
            </w:r>
            <w:r>
              <w:rPr>
                <w:sz w:val="18"/>
              </w:rPr>
              <w:t xml:space="preserve"> </w:t>
            </w:r>
            <w:r>
              <w:rPr>
                <w:rFonts w:ascii="Arial;Helvetica;Sans-Serif" w:hAnsi="Arial;Helvetica;Sans-Serif"/>
                <w:b w:val="false"/>
                <w:i w:val="false"/>
                <w:caps w:val="false"/>
                <w:smallCaps w:val="false"/>
                <w:color w:val="231F20"/>
                <w:sz w:val="18"/>
              </w:rPr>
              <w:t>President, General Counsel, and Secretary at Nycomed US Inc. Mr. LaRosa’s prior experience</w:t>
            </w:r>
            <w:r>
              <w:rPr>
                <w:sz w:val="18"/>
              </w:rPr>
              <w:t xml:space="preserve"> </w:t>
            </w:r>
            <w:r>
              <w:rPr>
                <w:rFonts w:ascii="Arial;Helvetica;Sans-Serif" w:hAnsi="Arial;Helvetica;Sans-Serif"/>
                <w:b w:val="false"/>
                <w:i w:val="false"/>
                <w:caps w:val="false"/>
                <w:smallCaps w:val="false"/>
                <w:color w:val="231F20"/>
                <w:sz w:val="18"/>
              </w:rPr>
              <w:t>includes working in a number of senior legal positions at Schering-Plough Corporation from</w:t>
            </w:r>
            <w:r>
              <w:rPr>
                <w:sz w:val="18"/>
              </w:rPr>
              <w:t xml:space="preserve"> </w:t>
            </w:r>
            <w:r>
              <w:rPr>
                <w:rFonts w:ascii="Arial;Helvetica;Sans-Serif" w:hAnsi="Arial;Helvetica;Sans-Serif"/>
                <w:b w:val="false"/>
                <w:i w:val="false"/>
                <w:caps w:val="false"/>
                <w:smallCaps w:val="false"/>
                <w:color w:val="231F20"/>
                <w:sz w:val="18"/>
              </w:rPr>
              <w:t>1993 to 2009, where he was a corporate officer and served most recently as Vice President,</w:t>
            </w:r>
            <w:r>
              <w:rPr>
                <w:sz w:val="18"/>
              </w:rPr>
              <w:t xml:space="preserve"> </w:t>
            </w:r>
            <w:r>
              <w:rPr>
                <w:rFonts w:ascii="Arial;Helvetica;Sans-Serif" w:hAnsi="Arial;Helvetica;Sans-Serif"/>
                <w:b w:val="false"/>
                <w:i w:val="false"/>
                <w:caps w:val="false"/>
                <w:smallCaps w:val="false"/>
                <w:color w:val="231F20"/>
                <w:sz w:val="18"/>
              </w:rPr>
              <w:t>Legal Affairs, and a member of the Operations Management Team. Mr. LaRosa received his J.D.</w:t>
            </w:r>
            <w:r>
              <w:rPr>
                <w:sz w:val="18"/>
              </w:rPr>
              <w:t xml:space="preserve"> </w:t>
            </w:r>
            <w:r>
              <w:rPr>
                <w:rFonts w:ascii="Arial;Helvetica;Sans-Serif" w:hAnsi="Arial;Helvetica;Sans-Serif"/>
                <w:b w:val="false"/>
                <w:i w:val="false"/>
                <w:caps w:val="false"/>
                <w:smallCaps w:val="false"/>
                <w:color w:val="231F20"/>
                <w:sz w:val="18"/>
              </w:rPr>
              <w:t>from New York University School of Law.</w:t>
            </w:r>
          </w:p>
        </w:tc>
      </w:tr>
      <w:tr>
        <w:trPr/>
        <w:tc>
          <w:tcPr>
            <w:tcW w:w="1860" w:type="dxa"/>
            <w:tcBorders>
              <w:bottom w:val="single" w:sz="2" w:space="0" w:color="3B59A4"/>
            </w:tcBorders>
            <w:tcMar>
              <w:top w:w="0" w:type="dxa"/>
              <w:bottom w:w="28" w:type="dxa"/>
            </w:tcMar>
            <w:vAlign w:val="center"/>
          </w:tcPr>
          <w:p>
            <w:pPr>
              <w:pStyle w:val="TableContents"/>
              <w:bidi w:val="0"/>
              <w:spacing w:before="0" w:after="283"/>
              <w:jc w:val="center"/>
              <w:rPr/>
            </w:pPr>
            <w:r>
              <w:rPr/>
              <w:t> </w:t>
            </w:r>
          </w:p>
        </w:tc>
        <w:tc>
          <w:tcPr>
            <w:tcW w:w="300" w:type="dxa"/>
            <w:tcBorders>
              <w:bottom w:val="single" w:sz="2" w:space="0" w:color="3B59A4"/>
            </w:tcBorders>
            <w:tcMar>
              <w:top w:w="0" w:type="dxa"/>
              <w:bottom w:w="28" w:type="dxa"/>
            </w:tcMar>
            <w:vAlign w:val="center"/>
          </w:tcPr>
          <w:p>
            <w:pPr>
              <w:pStyle w:val="TableContents"/>
              <w:bidi w:val="0"/>
              <w:spacing w:before="0" w:after="283"/>
              <w:jc w:val="left"/>
              <w:rPr/>
            </w:pPr>
            <w:r>
              <w:rPr/>
              <w:t> </w:t>
            </w:r>
          </w:p>
        </w:tc>
        <w:tc>
          <w:tcPr>
            <w:tcW w:w="8045" w:type="dxa"/>
            <w:tcBorders>
              <w:bottom w:val="single" w:sz="2" w:space="0" w:color="3B59A4"/>
            </w:tcBorders>
            <w:tcMar>
              <w:top w:w="0" w:type="dxa"/>
              <w:bottom w:w="28"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t> </w:t>
            </w:r>
          </w:p>
        </w:tc>
        <w:tc>
          <w:tcPr>
            <w:tcW w:w="300" w:type="dxa"/>
            <w:tcBorders/>
            <w:tcMar>
              <w:top w:w="0" w:type="dxa"/>
            </w:tcMar>
            <w:vAlign w:val="center"/>
          </w:tcPr>
          <w:p>
            <w:pPr>
              <w:pStyle w:val="TableContents"/>
              <w:bidi w:val="0"/>
              <w:spacing w:before="0" w:after="283"/>
              <w:jc w:val="left"/>
              <w:rPr/>
            </w:pPr>
            <w:r>
              <w:rPr/>
              <w:t> </w:t>
            </w:r>
          </w:p>
        </w:tc>
        <w:tc>
          <w:tcPr>
            <w:tcW w:w="8045" w:type="dxa"/>
            <w:tcBorders/>
            <w:tcMar>
              <w:top w:w="0"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drawing>
                <wp:inline distT="0" distB="0" distL="0" distR="0">
                  <wp:extent cx="1171575" cy="1171575"/>
                  <wp:effectExtent l="0" t="0" r="0" b="0"/>
                  <wp:docPr id="248"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31" descr=""/>
                          <pic:cNvPicPr>
                            <a:picLocks noChangeAspect="1" noChangeArrowheads="1"/>
                          </pic:cNvPicPr>
                        </pic:nvPicPr>
                        <pic:blipFill>
                          <a:blip r:embed="rId243"/>
                          <a:stretch>
                            <a:fillRect/>
                          </a:stretch>
                        </pic:blipFill>
                        <pic:spPr bwMode="auto">
                          <a:xfrm>
                            <a:off x="0" y="0"/>
                            <a:ext cx="1171575" cy="1171575"/>
                          </a:xfrm>
                          <a:prstGeom prst="rect">
                            <a:avLst/>
                          </a:prstGeom>
                        </pic:spPr>
                      </pic:pic>
                    </a:graphicData>
                  </a:graphic>
                </wp:inline>
              </w:drawing>
            </w:r>
          </w:p>
        </w:tc>
        <w:tc>
          <w:tcPr>
            <w:tcW w:w="300" w:type="dxa"/>
            <w:tcBorders/>
            <w:tcMar>
              <w:top w:w="0" w:type="dxa"/>
            </w:tcMar>
            <w:vAlign w:val="center"/>
          </w:tcPr>
          <w:p>
            <w:pPr>
              <w:pStyle w:val="TableContents"/>
              <w:bidi w:val="0"/>
              <w:spacing w:before="0" w:after="283"/>
              <w:jc w:val="left"/>
              <w:rPr/>
            </w:pPr>
            <w:r>
              <w:rPr/>
              <w:t> </w:t>
            </w:r>
          </w:p>
        </w:tc>
        <w:tc>
          <w:tcPr>
            <w:tcW w:w="8045" w:type="dxa"/>
            <w:tcBorders/>
            <w:tcMar>
              <w:top w:w="0" w:type="dxa"/>
            </w:tcMar>
            <w:vAlign w:val="center"/>
          </w:tcPr>
          <w:p>
            <w:pPr>
              <w:pStyle w:val="TableContents"/>
              <w:bidi w:val="0"/>
              <w:spacing w:before="0" w:after="283"/>
              <w:jc w:val="left"/>
              <w:rPr>
                <w:sz w:val="18"/>
              </w:rPr>
            </w:pPr>
            <w:r>
              <w:rPr>
                <w:rFonts w:ascii="Arial;Helvetica;Sans-Serif" w:hAnsi="Arial;Helvetica;Sans-Serif"/>
                <w:b/>
                <w:i w:val="false"/>
                <w:caps w:val="false"/>
                <w:smallCaps w:val="false"/>
                <w:color w:val="C60C45"/>
                <w:sz w:val="18"/>
              </w:rPr>
              <w:t xml:space="preserve">Marion McCourt, </w:t>
            </w:r>
            <w:r>
              <w:rPr>
                <w:rFonts w:ascii="Arial;Helvetica;Sans-Serif" w:hAnsi="Arial;Helvetica;Sans-Serif"/>
                <w:b w:val="false"/>
                <w:i w:val="false"/>
                <w:caps w:val="false"/>
                <w:smallCaps w:val="false"/>
                <w:color w:val="231F20"/>
                <w:sz w:val="18"/>
              </w:rPr>
              <w:t>65, has been Executive Vice President, Commercial since January 2021. She</w:t>
            </w:r>
            <w:r>
              <w:rPr>
                <w:sz w:val="18"/>
              </w:rPr>
              <w:t xml:space="preserve"> </w:t>
            </w:r>
            <w:r>
              <w:rPr>
                <w:rFonts w:ascii="Arial;Helvetica;Sans-Serif" w:hAnsi="Arial;Helvetica;Sans-Serif"/>
                <w:b w:val="false"/>
                <w:i w:val="false"/>
                <w:caps w:val="false"/>
                <w:smallCaps w:val="false"/>
                <w:color w:val="231F20"/>
                <w:sz w:val="18"/>
              </w:rPr>
              <w:t>previously served as Senior Vice President, Commercial from February 2018 to December 2020.</w:t>
            </w:r>
            <w:r>
              <w:rPr>
                <w:sz w:val="18"/>
              </w:rPr>
              <w:t xml:space="preserve"> </w:t>
            </w:r>
            <w:r>
              <w:rPr>
                <w:rFonts w:ascii="Arial;Helvetica;Sans-Serif" w:hAnsi="Arial;Helvetica;Sans-Serif"/>
                <w:b w:val="false"/>
                <w:i w:val="false"/>
                <w:caps w:val="false"/>
                <w:smallCaps w:val="false"/>
                <w:color w:val="231F20"/>
                <w:sz w:val="18"/>
              </w:rPr>
              <w:t>From April 2017 until joining the Company, Ms. McCourt served as the Principal Operating</w:t>
            </w:r>
            <w:r>
              <w:rPr>
                <w:sz w:val="18"/>
              </w:rPr>
              <w:t xml:space="preserve"> </w:t>
            </w:r>
            <w:r>
              <w:rPr>
                <w:rFonts w:ascii="Arial;Helvetica;Sans-Serif" w:hAnsi="Arial;Helvetica;Sans-Serif"/>
                <w:b w:val="false"/>
                <w:i w:val="false"/>
                <w:caps w:val="false"/>
                <w:smallCaps w:val="false"/>
                <w:color w:val="231F20"/>
                <w:sz w:val="18"/>
              </w:rPr>
              <w:t>Officer and the Chief Operating Officer and President of Axovant Sciences, Inc. Ms. McCourt</w:t>
            </w:r>
            <w:r>
              <w:rPr>
                <w:sz w:val="18"/>
              </w:rPr>
              <w:t xml:space="preserve"> </w:t>
            </w:r>
            <w:r>
              <w:rPr>
                <w:rFonts w:ascii="Arial;Helvetica;Sans-Serif" w:hAnsi="Arial;Helvetica;Sans-Serif"/>
                <w:b w:val="false"/>
                <w:i w:val="false"/>
                <w:caps w:val="false"/>
                <w:smallCaps w:val="false"/>
                <w:color w:val="231F20"/>
                <w:sz w:val="18"/>
              </w:rPr>
              <w:t>previously served as chief operating officer of Medivation, Inc. from February 2016 until its</w:t>
            </w:r>
            <w:r>
              <w:rPr>
                <w:sz w:val="18"/>
              </w:rPr>
              <w:t xml:space="preserve"> </w:t>
            </w:r>
            <w:r>
              <w:rPr>
                <w:rFonts w:ascii="Arial;Helvetica;Sans-Serif" w:hAnsi="Arial;Helvetica;Sans-Serif"/>
                <w:b w:val="false"/>
                <w:i w:val="false"/>
                <w:caps w:val="false"/>
                <w:smallCaps w:val="false"/>
                <w:color w:val="231F20"/>
                <w:sz w:val="18"/>
              </w:rPr>
              <w:t>acquisition by Pfizer Inc. in September 2016. Previously, Ms. McCourt worked at Amgen Inc.,</w:t>
            </w:r>
            <w:r>
              <w:rPr>
                <w:sz w:val="18"/>
              </w:rPr>
              <w:t xml:space="preserve"> </w:t>
            </w:r>
            <w:r>
              <w:rPr>
                <w:rFonts w:ascii="Arial;Helvetica;Sans-Serif" w:hAnsi="Arial;Helvetica;Sans-Serif"/>
                <w:b w:val="false"/>
                <w:i w:val="false"/>
                <w:caps w:val="false"/>
                <w:smallCaps w:val="false"/>
                <w:color w:val="231F20"/>
                <w:sz w:val="18"/>
              </w:rPr>
              <w:t>where she most recently served as a Vice President in U.S. Commercial Operations from</w:t>
            </w:r>
            <w:r>
              <w:rPr>
                <w:sz w:val="18"/>
              </w:rPr>
              <w:t xml:space="preserve"> </w:t>
            </w:r>
            <w:r>
              <w:rPr>
                <w:rFonts w:ascii="Arial;Helvetica;Sans-Serif" w:hAnsi="Arial;Helvetica;Sans-Serif"/>
                <w:b w:val="false"/>
                <w:i w:val="false"/>
                <w:caps w:val="false"/>
                <w:smallCaps w:val="false"/>
                <w:color w:val="231F20"/>
                <w:sz w:val="18"/>
              </w:rPr>
              <w:t>February 2014 to January 2016. From May 2013 to January 2014, Ms. McCourt served as Vice</w:t>
            </w:r>
            <w:r>
              <w:rPr>
                <w:sz w:val="18"/>
              </w:rPr>
              <w:t xml:space="preserve"> </w:t>
            </w:r>
            <w:r>
              <w:rPr>
                <w:rFonts w:ascii="Arial;Helvetica;Sans-Serif" w:hAnsi="Arial;Helvetica;Sans-Serif"/>
                <w:b w:val="false"/>
                <w:i w:val="false"/>
                <w:caps w:val="false"/>
                <w:smallCaps w:val="false"/>
                <w:color w:val="231F20"/>
                <w:sz w:val="18"/>
              </w:rPr>
              <w:t>President and General Manager at Amgen where she was responsible for the bone health and</w:t>
            </w:r>
            <w:r>
              <w:rPr>
                <w:sz w:val="18"/>
              </w:rPr>
              <w:t xml:space="preserve"> </w:t>
            </w:r>
            <w:r>
              <w:rPr>
                <w:rFonts w:ascii="Arial;Helvetica;Sans-Serif" w:hAnsi="Arial;Helvetica;Sans-Serif"/>
                <w:b w:val="false"/>
                <w:i w:val="false"/>
                <w:caps w:val="false"/>
                <w:smallCaps w:val="false"/>
                <w:color w:val="231F20"/>
                <w:sz w:val="18"/>
              </w:rPr>
              <w:t>primary care business unit. From 2012 to 2013, she was Chief Operating Officer for</w:t>
            </w:r>
            <w:r>
              <w:rPr>
                <w:sz w:val="18"/>
              </w:rPr>
              <w:t xml:space="preserve"> </w:t>
            </w:r>
            <w:r>
              <w:rPr>
                <w:rFonts w:ascii="Arial;Helvetica;Sans-Serif" w:hAnsi="Arial;Helvetica;Sans-Serif"/>
                <w:b w:val="false"/>
                <w:i w:val="false"/>
                <w:caps w:val="false"/>
                <w:smallCaps w:val="false"/>
                <w:color w:val="231F20"/>
                <w:sz w:val="18"/>
              </w:rPr>
              <w:t>AstraZeneca U.S., a division of AstraZeneca plc. Her responsibilities included oversight and</w:t>
            </w:r>
            <w:r>
              <w:rPr>
                <w:sz w:val="18"/>
              </w:rPr>
              <w:t xml:space="preserve"> </w:t>
            </w:r>
            <w:r>
              <w:rPr>
                <w:rFonts w:ascii="Arial;Helvetica;Sans-Serif" w:hAnsi="Arial;Helvetica;Sans-Serif"/>
                <w:b w:val="false"/>
                <w:i w:val="false"/>
                <w:caps w:val="false"/>
                <w:smallCaps w:val="false"/>
                <w:color w:val="231F20"/>
                <w:sz w:val="18"/>
              </w:rPr>
              <w:t>leadership of all U.S. commercial functions, including medical affairs, business development,</w:t>
            </w:r>
            <w:r>
              <w:rPr>
                <w:sz w:val="18"/>
              </w:rPr>
              <w:t xml:space="preserve"> </w:t>
            </w:r>
            <w:r>
              <w:rPr>
                <w:rFonts w:ascii="Arial;Helvetica;Sans-Serif" w:hAnsi="Arial;Helvetica;Sans-Serif"/>
                <w:b w:val="false"/>
                <w:i w:val="false"/>
                <w:caps w:val="false"/>
                <w:smallCaps w:val="false"/>
                <w:color w:val="231F20"/>
                <w:sz w:val="18"/>
              </w:rPr>
              <w:t>finance, human resources, legal, operations, and corporate affairs. During her 12-year tenure at</w:t>
            </w:r>
            <w:r>
              <w:rPr>
                <w:sz w:val="18"/>
              </w:rPr>
              <w:t xml:space="preserve"> </w:t>
            </w:r>
            <w:r>
              <w:rPr>
                <w:rFonts w:ascii="Arial;Helvetica;Sans-Serif" w:hAnsi="Arial;Helvetica;Sans-Serif"/>
                <w:b w:val="false"/>
                <w:i w:val="false"/>
                <w:caps w:val="false"/>
                <w:smallCaps w:val="false"/>
                <w:color w:val="231F20"/>
                <w:sz w:val="18"/>
              </w:rPr>
              <w:t>AstraZeneca, Ms. McCourt was President and Chief Executive Officer of AstraZeneca Canada</w:t>
            </w:r>
            <w:r>
              <w:rPr>
                <w:sz w:val="18"/>
              </w:rPr>
              <w:t xml:space="preserve"> </w:t>
            </w:r>
            <w:r>
              <w:rPr>
                <w:rFonts w:ascii="Arial;Helvetica;Sans-Serif" w:hAnsi="Arial;Helvetica;Sans-Serif"/>
                <w:b w:val="false"/>
                <w:i w:val="false"/>
                <w:caps w:val="false"/>
                <w:smallCaps w:val="false"/>
                <w:color w:val="231F20"/>
                <w:sz w:val="18"/>
              </w:rPr>
              <w:t>Inc. from 2011 to 2012 and also held various other roles at AstraZeneca Pharmaceuticals LP, a</w:t>
            </w:r>
            <w:r>
              <w:rPr>
                <w:sz w:val="18"/>
              </w:rPr>
              <w:t xml:space="preserve"> </w:t>
            </w:r>
            <w:r>
              <w:rPr>
                <w:rFonts w:ascii="Arial;Helvetica;Sans-Serif" w:hAnsi="Arial;Helvetica;Sans-Serif"/>
                <w:b w:val="false"/>
                <w:i w:val="false"/>
                <w:caps w:val="false"/>
                <w:smallCaps w:val="false"/>
                <w:color w:val="231F20"/>
                <w:sz w:val="18"/>
              </w:rPr>
              <w:t>subsidiary of AstraZeneca plc. Ms. McCourt received her B.S. in Biology from Lafayette College.</w:t>
            </w:r>
          </w:p>
        </w:tc>
      </w:tr>
      <w:tr>
        <w:trPr/>
        <w:tc>
          <w:tcPr>
            <w:tcW w:w="1860" w:type="dxa"/>
            <w:tcBorders>
              <w:bottom w:val="single" w:sz="2" w:space="0" w:color="3B59A4"/>
            </w:tcBorders>
            <w:tcMar>
              <w:top w:w="0" w:type="dxa"/>
              <w:bottom w:w="28" w:type="dxa"/>
            </w:tcMar>
            <w:vAlign w:val="center"/>
          </w:tcPr>
          <w:p>
            <w:pPr>
              <w:pStyle w:val="TableContents"/>
              <w:bidi w:val="0"/>
              <w:spacing w:before="0" w:after="283"/>
              <w:jc w:val="center"/>
              <w:rPr/>
            </w:pPr>
            <w:r>
              <w:rPr/>
              <w:t> </w:t>
            </w:r>
          </w:p>
        </w:tc>
        <w:tc>
          <w:tcPr>
            <w:tcW w:w="300" w:type="dxa"/>
            <w:tcBorders>
              <w:bottom w:val="single" w:sz="2" w:space="0" w:color="3B59A4"/>
            </w:tcBorders>
            <w:tcMar>
              <w:top w:w="0" w:type="dxa"/>
              <w:bottom w:w="28" w:type="dxa"/>
            </w:tcMar>
            <w:vAlign w:val="center"/>
          </w:tcPr>
          <w:p>
            <w:pPr>
              <w:pStyle w:val="TableContents"/>
              <w:bidi w:val="0"/>
              <w:spacing w:before="0" w:after="283"/>
              <w:jc w:val="left"/>
              <w:rPr/>
            </w:pPr>
            <w:r>
              <w:rPr/>
              <w:t> </w:t>
            </w:r>
          </w:p>
        </w:tc>
        <w:tc>
          <w:tcPr>
            <w:tcW w:w="8045" w:type="dxa"/>
            <w:tcBorders>
              <w:bottom w:val="single" w:sz="2" w:space="0" w:color="3B59A4"/>
            </w:tcBorders>
            <w:tcMar>
              <w:top w:w="0" w:type="dxa"/>
              <w:bottom w:w="28"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t> </w:t>
            </w:r>
          </w:p>
        </w:tc>
        <w:tc>
          <w:tcPr>
            <w:tcW w:w="300" w:type="dxa"/>
            <w:tcBorders/>
            <w:tcMar>
              <w:top w:w="0" w:type="dxa"/>
            </w:tcMar>
            <w:vAlign w:val="center"/>
          </w:tcPr>
          <w:p>
            <w:pPr>
              <w:pStyle w:val="TableContents"/>
              <w:bidi w:val="0"/>
              <w:spacing w:before="0" w:after="283"/>
              <w:jc w:val="left"/>
              <w:rPr/>
            </w:pPr>
            <w:r>
              <w:rPr/>
              <w:t> </w:t>
            </w:r>
          </w:p>
        </w:tc>
        <w:tc>
          <w:tcPr>
            <w:tcW w:w="8045" w:type="dxa"/>
            <w:tcBorders/>
            <w:tcMar>
              <w:top w:w="0"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drawing>
                <wp:inline distT="0" distB="0" distL="0" distR="0">
                  <wp:extent cx="1171575" cy="1171575"/>
                  <wp:effectExtent l="0" t="0" r="0" b="0"/>
                  <wp:docPr id="249"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32" descr=""/>
                          <pic:cNvPicPr>
                            <a:picLocks noChangeAspect="1" noChangeArrowheads="1"/>
                          </pic:cNvPicPr>
                        </pic:nvPicPr>
                        <pic:blipFill>
                          <a:blip r:embed="rId244"/>
                          <a:stretch>
                            <a:fillRect/>
                          </a:stretch>
                        </pic:blipFill>
                        <pic:spPr bwMode="auto">
                          <a:xfrm>
                            <a:off x="0" y="0"/>
                            <a:ext cx="1171575" cy="1171575"/>
                          </a:xfrm>
                          <a:prstGeom prst="rect">
                            <a:avLst/>
                          </a:prstGeom>
                        </pic:spPr>
                      </pic:pic>
                    </a:graphicData>
                  </a:graphic>
                </wp:inline>
              </w:drawing>
            </w:r>
          </w:p>
        </w:tc>
        <w:tc>
          <w:tcPr>
            <w:tcW w:w="300" w:type="dxa"/>
            <w:tcBorders/>
            <w:tcMar>
              <w:top w:w="0" w:type="dxa"/>
            </w:tcMar>
            <w:vAlign w:val="center"/>
          </w:tcPr>
          <w:p>
            <w:pPr>
              <w:pStyle w:val="TableContents"/>
              <w:bidi w:val="0"/>
              <w:spacing w:before="0" w:after="283"/>
              <w:jc w:val="left"/>
              <w:rPr/>
            </w:pPr>
            <w:r>
              <w:rPr/>
              <w:t> </w:t>
            </w:r>
          </w:p>
        </w:tc>
        <w:tc>
          <w:tcPr>
            <w:tcW w:w="8045" w:type="dxa"/>
            <w:tcBorders/>
            <w:tcMar>
              <w:top w:w="0" w:type="dxa"/>
            </w:tcMar>
            <w:vAlign w:val="center"/>
          </w:tcPr>
          <w:p>
            <w:pPr>
              <w:pStyle w:val="TableContents"/>
              <w:bidi w:val="0"/>
              <w:spacing w:before="0" w:after="283"/>
              <w:jc w:val="left"/>
              <w:rPr>
                <w:sz w:val="18"/>
              </w:rPr>
            </w:pPr>
            <w:r>
              <w:rPr>
                <w:rFonts w:ascii="Arial;Helvetica;Sans-Serif" w:hAnsi="Arial;Helvetica;Sans-Serif"/>
                <w:b/>
                <w:i w:val="false"/>
                <w:caps w:val="false"/>
                <w:smallCaps w:val="false"/>
                <w:color w:val="C60C45"/>
                <w:sz w:val="18"/>
              </w:rPr>
              <w:t xml:space="preserve">Andrew J. Murphy, Ph.D., </w:t>
            </w:r>
            <w:r>
              <w:rPr>
                <w:rFonts w:ascii="Arial;Helvetica;Sans-Serif" w:hAnsi="Arial;Helvetica;Sans-Serif"/>
                <w:b w:val="false"/>
                <w:i w:val="false"/>
                <w:caps w:val="false"/>
                <w:smallCaps w:val="false"/>
                <w:color w:val="231F20"/>
                <w:sz w:val="18"/>
              </w:rPr>
              <w:t>67, has been Executive Vice President, Research since January 2019.</w:t>
            </w:r>
            <w:r>
              <w:rPr>
                <w:sz w:val="18"/>
              </w:rPr>
              <w:t xml:space="preserve"> </w:t>
            </w:r>
            <w:r>
              <w:rPr>
                <w:rFonts w:ascii="Arial;Helvetica;Sans-Serif" w:hAnsi="Arial;Helvetica;Sans-Serif"/>
                <w:b w:val="false"/>
                <w:i w:val="false"/>
                <w:caps w:val="false"/>
                <w:smallCaps w:val="false"/>
                <w:color w:val="231F20"/>
                <w:sz w:val="18"/>
              </w:rPr>
              <w:t>He previously served as Senior Vice President, Research, Regeneron Laboratories from January</w:t>
            </w:r>
            <w:r>
              <w:rPr>
                <w:sz w:val="18"/>
              </w:rPr>
              <w:t xml:space="preserve"> </w:t>
            </w:r>
            <w:r>
              <w:rPr>
                <w:rFonts w:ascii="Arial;Helvetica;Sans-Serif" w:hAnsi="Arial;Helvetica;Sans-Serif"/>
                <w:b w:val="false"/>
                <w:i w:val="false"/>
                <w:caps w:val="false"/>
                <w:smallCaps w:val="false"/>
                <w:color w:val="231F20"/>
                <w:sz w:val="18"/>
              </w:rPr>
              <w:t>2013 to December 2018; Vice President, Target Discovery from May 2005 to December 2012;</w:t>
            </w:r>
            <w:r>
              <w:rPr>
                <w:sz w:val="18"/>
              </w:rPr>
              <w:t xml:space="preserve"> </w:t>
            </w:r>
            <w:r>
              <w:rPr>
                <w:rFonts w:ascii="Arial;Helvetica;Sans-Serif" w:hAnsi="Arial;Helvetica;Sans-Serif"/>
                <w:b w:val="false"/>
                <w:i w:val="false"/>
                <w:caps w:val="false"/>
                <w:smallCaps w:val="false"/>
                <w:color w:val="231F20"/>
                <w:sz w:val="18"/>
              </w:rPr>
              <w:t>Vice President, Gene Discovery and Bioinformatics from January 2001 to May 2005; and</w:t>
            </w:r>
            <w:r>
              <w:rPr>
                <w:sz w:val="18"/>
              </w:rPr>
              <w:t xml:space="preserve"> </w:t>
            </w:r>
            <w:r>
              <w:rPr>
                <w:rFonts w:ascii="Arial;Helvetica;Sans-Serif" w:hAnsi="Arial;Helvetica;Sans-Serif"/>
                <w:b w:val="false"/>
                <w:i w:val="false"/>
                <w:caps w:val="false"/>
                <w:smallCaps w:val="false"/>
                <w:color w:val="231F20"/>
                <w:sz w:val="18"/>
              </w:rPr>
              <w:t>Director of Genomics and Bioinformatics from May 1999 to December 2000. Dr. Murphy is a</w:t>
            </w:r>
            <w:r>
              <w:rPr>
                <w:sz w:val="18"/>
              </w:rPr>
              <w:t xml:space="preserve"> </w:t>
            </w:r>
            <w:r>
              <w:rPr>
                <w:rFonts w:ascii="Arial;Helvetica;Sans-Serif" w:hAnsi="Arial;Helvetica;Sans-Serif"/>
                <w:b w:val="false"/>
                <w:i w:val="false"/>
                <w:caps w:val="false"/>
                <w:smallCaps w:val="false"/>
                <w:color w:val="231F20"/>
                <w:sz w:val="18"/>
              </w:rPr>
              <w:t xml:space="preserve">co-inventor of several of the Company’s key technologies, including </w:t>
            </w:r>
            <w:r>
              <w:rPr>
                <w:rFonts w:ascii="Arial;Helvetica;Sans-Serif" w:hAnsi="Arial;Helvetica;Sans-Serif"/>
                <w:b w:val="false"/>
                <w:i/>
                <w:caps w:val="false"/>
                <w:smallCaps w:val="false"/>
                <w:color w:val="231F20"/>
                <w:sz w:val="18"/>
              </w:rPr>
              <w:t>VelociGene</w:t>
            </w:r>
            <w:r>
              <w:rPr>
                <w:rFonts w:ascii="Arial;Helvetica;Sans-Serif" w:hAnsi="Arial;Helvetica;Sans-Serif"/>
                <w:b w:val="false"/>
                <w:i w:val="false"/>
                <w:caps w:val="false"/>
                <w:smallCaps w:val="false"/>
                <w:color w:val="010101"/>
                <w:position w:val="6"/>
                <w:sz w:val="14"/>
                <w:sz w:val="18"/>
              </w:rPr>
              <w:t xml:space="preserve">® </w:t>
            </w:r>
            <w:r>
              <w:rPr>
                <w:rFonts w:ascii="Arial;Helvetica;Sans-Serif" w:hAnsi="Arial;Helvetica;Sans-Serif"/>
                <w:b w:val="false"/>
                <w:i w:val="false"/>
                <w:caps w:val="false"/>
                <w:smallCaps w:val="false"/>
                <w:color w:val="231F20"/>
                <w:sz w:val="18"/>
              </w:rPr>
              <w:t>and</w:t>
            </w:r>
            <w:r>
              <w:rPr>
                <w:sz w:val="18"/>
              </w:rPr>
              <w:t xml:space="preserve"> </w:t>
            </w:r>
            <w:r>
              <w:rPr>
                <w:rFonts w:ascii="Arial;Helvetica;Sans-Serif" w:hAnsi="Arial;Helvetica;Sans-Serif"/>
                <w:b w:val="false"/>
                <w:i/>
                <w:caps w:val="false"/>
                <w:smallCaps w:val="false"/>
                <w:color w:val="231F20"/>
                <w:sz w:val="18"/>
              </w:rPr>
              <w:t>VelocImmune</w:t>
            </w:r>
            <w:r>
              <w:rPr>
                <w:rFonts w:ascii="Arial;Helvetica;Sans-Serif" w:hAnsi="Arial;Helvetica;Sans-Serif"/>
                <w:b w:val="false"/>
                <w:i w:val="false"/>
                <w:caps w:val="false"/>
                <w:smallCaps w:val="false"/>
                <w:color w:val="010101"/>
                <w:position w:val="6"/>
                <w:sz w:val="14"/>
                <w:sz w:val="18"/>
              </w:rPr>
              <w:t>®</w:t>
            </w:r>
            <w:r>
              <w:rPr>
                <w:rFonts w:ascii="Arial;Helvetica;Sans-Serif" w:hAnsi="Arial;Helvetica;Sans-Serif"/>
                <w:b w:val="false"/>
                <w:i w:val="false"/>
                <w:caps w:val="false"/>
                <w:smallCaps w:val="false"/>
                <w:color w:val="231F20"/>
                <w:sz w:val="18"/>
              </w:rPr>
              <w:t>, and continues to lead several technology centers and therapeutic focus areas.</w:t>
            </w:r>
            <w:r>
              <w:rPr>
                <w:sz w:val="18"/>
              </w:rPr>
              <w:t xml:space="preserve"> </w:t>
            </w:r>
            <w:r>
              <w:rPr>
                <w:rFonts w:ascii="Arial;Helvetica;Sans-Serif" w:hAnsi="Arial;Helvetica;Sans-Serif"/>
                <w:b w:val="false"/>
                <w:i w:val="false"/>
                <w:caps w:val="false"/>
                <w:smallCaps w:val="false"/>
                <w:color w:val="231F20"/>
                <w:sz w:val="18"/>
              </w:rPr>
              <w:t>He received his B.S. in Molecular Biology at the University of Wisconsin, and his Ph.D. in Human</w:t>
            </w:r>
            <w:r>
              <w:rPr>
                <w:sz w:val="18"/>
              </w:rPr>
              <w:t xml:space="preserve"> </w:t>
            </w:r>
            <w:r>
              <w:rPr>
                <w:rFonts w:ascii="Arial;Helvetica;Sans-Serif" w:hAnsi="Arial;Helvetica;Sans-Serif"/>
                <w:b w:val="false"/>
                <w:i w:val="false"/>
                <w:caps w:val="false"/>
                <w:smallCaps w:val="false"/>
                <w:color w:val="231F20"/>
                <w:sz w:val="18"/>
              </w:rPr>
              <w:t>Genetics from Columbia University, College of Physicians and Surgeons.</w:t>
            </w:r>
          </w:p>
        </w:tc>
      </w:tr>
      <w:tr>
        <w:trPr/>
        <w:tc>
          <w:tcPr>
            <w:tcW w:w="1860" w:type="dxa"/>
            <w:tcBorders>
              <w:bottom w:val="single" w:sz="2" w:space="0" w:color="3B59A4"/>
            </w:tcBorders>
            <w:tcMar>
              <w:top w:w="0" w:type="dxa"/>
              <w:bottom w:w="28" w:type="dxa"/>
            </w:tcMar>
            <w:vAlign w:val="center"/>
          </w:tcPr>
          <w:p>
            <w:pPr>
              <w:pStyle w:val="TableContents"/>
              <w:bidi w:val="0"/>
              <w:spacing w:before="0" w:after="283"/>
              <w:jc w:val="center"/>
              <w:rPr/>
            </w:pPr>
            <w:r>
              <w:rPr/>
              <w:t> </w:t>
            </w:r>
          </w:p>
        </w:tc>
        <w:tc>
          <w:tcPr>
            <w:tcW w:w="300" w:type="dxa"/>
            <w:tcBorders>
              <w:bottom w:val="single" w:sz="2" w:space="0" w:color="3B59A4"/>
            </w:tcBorders>
            <w:tcMar>
              <w:top w:w="0" w:type="dxa"/>
              <w:bottom w:w="28" w:type="dxa"/>
            </w:tcMar>
            <w:vAlign w:val="center"/>
          </w:tcPr>
          <w:p>
            <w:pPr>
              <w:pStyle w:val="TableContents"/>
              <w:bidi w:val="0"/>
              <w:spacing w:before="0" w:after="283"/>
              <w:jc w:val="left"/>
              <w:rPr/>
            </w:pPr>
            <w:r>
              <w:rPr/>
              <w:t> </w:t>
            </w:r>
          </w:p>
        </w:tc>
        <w:tc>
          <w:tcPr>
            <w:tcW w:w="8045" w:type="dxa"/>
            <w:tcBorders>
              <w:bottom w:val="single" w:sz="2" w:space="0" w:color="3B59A4"/>
            </w:tcBorders>
            <w:tcMar>
              <w:top w:w="0" w:type="dxa"/>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50"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33" descr=""/>
                          <pic:cNvPicPr>
                            <a:picLocks noChangeAspect="1" noChangeArrowheads="1"/>
                          </pic:cNvPicPr>
                        </pic:nvPicPr>
                        <pic:blipFill>
                          <a:blip r:embed="rId245"/>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860"/>
        <w:gridCol w:w="300"/>
        <w:gridCol w:w="8045"/>
      </w:tblGrid>
      <w:tr>
        <w:trPr/>
        <w:tc>
          <w:tcPr>
            <w:tcW w:w="1860" w:type="dxa"/>
            <w:tcBorders>
              <w:top w:val="single" w:sz="2" w:space="0" w:color="3B59A4"/>
            </w:tcBorders>
            <w:vAlign w:val="center"/>
          </w:tcPr>
          <w:p>
            <w:pPr>
              <w:pStyle w:val="TableContents"/>
              <w:bidi w:val="0"/>
              <w:spacing w:before="0" w:after="283"/>
              <w:jc w:val="center"/>
              <w:rPr/>
            </w:pPr>
            <w:r>
              <w:rPr/>
              <w:t> </w:t>
            </w:r>
          </w:p>
        </w:tc>
        <w:tc>
          <w:tcPr>
            <w:tcW w:w="300" w:type="dxa"/>
            <w:tcBorders>
              <w:top w:val="single" w:sz="2" w:space="0" w:color="3B59A4"/>
            </w:tcBorders>
            <w:vAlign w:val="center"/>
          </w:tcPr>
          <w:p>
            <w:pPr>
              <w:pStyle w:val="TableContents"/>
              <w:bidi w:val="0"/>
              <w:spacing w:before="0" w:after="283"/>
              <w:jc w:val="left"/>
              <w:rPr/>
            </w:pPr>
            <w:r>
              <w:rPr/>
              <w:t>     </w:t>
            </w:r>
          </w:p>
        </w:tc>
        <w:tc>
          <w:tcPr>
            <w:tcW w:w="8045" w:type="dxa"/>
            <w:tcBorders>
              <w:top w:val="single" w:sz="2" w:space="0" w:color="3B59A4"/>
            </w:tcBorders>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drawing>
                <wp:inline distT="0" distB="0" distL="0" distR="0">
                  <wp:extent cx="1171575" cy="1171575"/>
                  <wp:effectExtent l="0" t="0" r="0" b="0"/>
                  <wp:docPr id="251"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34" descr=""/>
                          <pic:cNvPicPr>
                            <a:picLocks noChangeAspect="1" noChangeArrowheads="1"/>
                          </pic:cNvPicPr>
                        </pic:nvPicPr>
                        <pic:blipFill>
                          <a:blip r:embed="rId246"/>
                          <a:stretch>
                            <a:fillRect/>
                          </a:stretch>
                        </pic:blipFill>
                        <pic:spPr bwMode="auto">
                          <a:xfrm>
                            <a:off x="0" y="0"/>
                            <a:ext cx="1171575" cy="1171575"/>
                          </a:xfrm>
                          <a:prstGeom prst="rect">
                            <a:avLst/>
                          </a:prstGeom>
                        </pic:spPr>
                      </pic:pic>
                    </a:graphicData>
                  </a:graphic>
                </wp:inline>
              </w:drawing>
            </w:r>
          </w:p>
        </w:tc>
        <w:tc>
          <w:tcPr>
            <w:tcW w:w="300" w:type="dxa"/>
            <w:tcBorders/>
            <w:tcMar>
              <w:top w:w="0" w:type="dxa"/>
            </w:tcMar>
            <w:vAlign w:val="center"/>
          </w:tcPr>
          <w:p>
            <w:pPr>
              <w:pStyle w:val="TableContents"/>
              <w:bidi w:val="0"/>
              <w:spacing w:before="0" w:after="283"/>
              <w:jc w:val="left"/>
              <w:rPr/>
            </w:pPr>
            <w:r>
              <w:rPr/>
              <w:t> </w:t>
            </w:r>
          </w:p>
        </w:tc>
        <w:tc>
          <w:tcPr>
            <w:tcW w:w="8045" w:type="dxa"/>
            <w:tcBorders/>
            <w:tcMar>
              <w:top w:w="0" w:type="dxa"/>
            </w:tcMar>
            <w:vAlign w:val="center"/>
          </w:tcPr>
          <w:p>
            <w:pPr>
              <w:pStyle w:val="TableContents"/>
              <w:bidi w:val="0"/>
              <w:spacing w:before="0" w:after="283"/>
              <w:jc w:val="left"/>
              <w:rPr>
                <w:sz w:val="18"/>
              </w:rPr>
            </w:pPr>
            <w:r>
              <w:rPr>
                <w:rFonts w:ascii="Arial;Helvetica;Sans-Serif" w:hAnsi="Arial;Helvetica;Sans-Serif"/>
                <w:b/>
                <w:i w:val="false"/>
                <w:caps w:val="false"/>
                <w:smallCaps w:val="false"/>
                <w:color w:val="C60C45"/>
                <w:sz w:val="18"/>
              </w:rPr>
              <w:t xml:space="preserve">Jason Pitofsky, </w:t>
            </w:r>
            <w:r>
              <w:rPr>
                <w:rFonts w:ascii="Arial;Helvetica;Sans-Serif" w:hAnsi="Arial;Helvetica;Sans-Serif"/>
                <w:b w:val="false"/>
                <w:i w:val="false"/>
                <w:caps w:val="false"/>
                <w:smallCaps w:val="false"/>
                <w:color w:val="231F20"/>
                <w:sz w:val="18"/>
              </w:rPr>
              <w:t>48, has been Vice President, Controller since February 2024. He previously</w:t>
            </w:r>
            <w:r>
              <w:rPr>
                <w:sz w:val="18"/>
              </w:rPr>
              <w:t xml:space="preserve"> </w:t>
            </w:r>
            <w:r>
              <w:rPr>
                <w:rFonts w:ascii="Arial;Helvetica;Sans-Serif" w:hAnsi="Arial;Helvetica;Sans-Serif"/>
                <w:b w:val="false"/>
                <w:i w:val="false"/>
                <w:caps w:val="false"/>
                <w:smallCaps w:val="false"/>
                <w:color w:val="231F20"/>
                <w:sz w:val="18"/>
              </w:rPr>
              <w:t>served as Vice President, Accounting and Financial Reporting from January 2021 to February</w:t>
            </w:r>
            <w:r>
              <w:rPr>
                <w:sz w:val="18"/>
              </w:rPr>
              <w:t xml:space="preserve"> </w:t>
            </w:r>
            <w:r>
              <w:rPr>
                <w:rFonts w:ascii="Arial;Helvetica;Sans-Serif" w:hAnsi="Arial;Helvetica;Sans-Serif"/>
                <w:b w:val="false"/>
                <w:i w:val="false"/>
                <w:caps w:val="false"/>
                <w:smallCaps w:val="false"/>
                <w:color w:val="231F20"/>
                <w:sz w:val="18"/>
              </w:rPr>
              <w:t>2024 and as Executive Director, Accounting and Financial Reporting from January 2017 to</w:t>
            </w:r>
            <w:r>
              <w:rPr>
                <w:sz w:val="18"/>
              </w:rPr>
              <w:t xml:space="preserve"> </w:t>
            </w:r>
            <w:r>
              <w:rPr>
                <w:rFonts w:ascii="Arial;Helvetica;Sans-Serif" w:hAnsi="Arial;Helvetica;Sans-Serif"/>
                <w:b w:val="false"/>
                <w:i w:val="false"/>
                <w:caps w:val="false"/>
                <w:smallCaps w:val="false"/>
                <w:color w:val="231F20"/>
                <w:sz w:val="18"/>
              </w:rPr>
              <w:t>December 2020. Between 2011 and 2017, Mr. Pitofsky held positions of increasing</w:t>
            </w:r>
            <w:r>
              <w:rPr>
                <w:sz w:val="18"/>
              </w:rPr>
              <w:t xml:space="preserve"> </w:t>
            </w:r>
            <w:r>
              <w:rPr>
                <w:rFonts w:ascii="Arial;Helvetica;Sans-Serif" w:hAnsi="Arial;Helvetica;Sans-Serif"/>
                <w:b w:val="false"/>
                <w:i w:val="false"/>
                <w:caps w:val="false"/>
                <w:smallCaps w:val="false"/>
                <w:color w:val="231F20"/>
                <w:sz w:val="18"/>
              </w:rPr>
              <w:t>responsibility in the Company’s accounting department. Prior to joining the Company in 2011,</w:t>
            </w:r>
            <w:r>
              <w:rPr>
                <w:sz w:val="18"/>
              </w:rPr>
              <w:t xml:space="preserve"> </w:t>
            </w:r>
            <w:r>
              <w:rPr>
                <w:rFonts w:ascii="Arial;Helvetica;Sans-Serif" w:hAnsi="Arial;Helvetica;Sans-Serif"/>
                <w:b w:val="false"/>
                <w:i w:val="false"/>
                <w:caps w:val="false"/>
                <w:smallCaps w:val="false"/>
                <w:color w:val="231F20"/>
                <w:sz w:val="18"/>
              </w:rPr>
              <w:t>he was a Senior Manager at PricewaterhouseCoopers. Mr. Pitofsky holds a B.S. in Accounting</w:t>
            </w:r>
            <w:r>
              <w:rPr>
                <w:sz w:val="18"/>
              </w:rPr>
              <w:t xml:space="preserve"> </w:t>
            </w:r>
            <w:r>
              <w:rPr>
                <w:rFonts w:ascii="Arial;Helvetica;Sans-Serif" w:hAnsi="Arial;Helvetica;Sans-Serif"/>
                <w:b w:val="false"/>
                <w:i w:val="false"/>
                <w:caps w:val="false"/>
                <w:smallCaps w:val="false"/>
                <w:color w:val="231F20"/>
                <w:sz w:val="18"/>
              </w:rPr>
              <w:t>from Binghamton University and is a Certified Public Accountant in the State of New York.</w:t>
            </w:r>
          </w:p>
        </w:tc>
      </w:tr>
      <w:tr>
        <w:trPr/>
        <w:tc>
          <w:tcPr>
            <w:tcW w:w="1860" w:type="dxa"/>
            <w:tcBorders>
              <w:bottom w:val="single" w:sz="2" w:space="0" w:color="3B59A4"/>
            </w:tcBorders>
            <w:tcMar>
              <w:top w:w="0" w:type="dxa"/>
              <w:bottom w:w="28" w:type="dxa"/>
            </w:tcMar>
            <w:vAlign w:val="center"/>
          </w:tcPr>
          <w:p>
            <w:pPr>
              <w:pStyle w:val="TableContents"/>
              <w:bidi w:val="0"/>
              <w:spacing w:before="0" w:after="283"/>
              <w:jc w:val="center"/>
              <w:rPr/>
            </w:pPr>
            <w:r>
              <w:rPr/>
              <w:t> </w:t>
            </w:r>
          </w:p>
        </w:tc>
        <w:tc>
          <w:tcPr>
            <w:tcW w:w="300" w:type="dxa"/>
            <w:tcBorders>
              <w:bottom w:val="single" w:sz="2" w:space="0" w:color="3B59A4"/>
            </w:tcBorders>
            <w:tcMar>
              <w:top w:w="0" w:type="dxa"/>
              <w:bottom w:w="28" w:type="dxa"/>
            </w:tcMar>
            <w:vAlign w:val="center"/>
          </w:tcPr>
          <w:p>
            <w:pPr>
              <w:pStyle w:val="TableContents"/>
              <w:bidi w:val="0"/>
              <w:spacing w:before="0" w:after="283"/>
              <w:jc w:val="left"/>
              <w:rPr/>
            </w:pPr>
            <w:r>
              <w:rPr/>
              <w:t> </w:t>
            </w:r>
          </w:p>
        </w:tc>
        <w:tc>
          <w:tcPr>
            <w:tcW w:w="8045" w:type="dxa"/>
            <w:tcBorders>
              <w:bottom w:val="single" w:sz="2" w:space="0" w:color="3B59A4"/>
            </w:tcBorders>
            <w:tcMar>
              <w:top w:w="0" w:type="dxa"/>
              <w:bottom w:w="28"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t> </w:t>
            </w:r>
          </w:p>
        </w:tc>
        <w:tc>
          <w:tcPr>
            <w:tcW w:w="300" w:type="dxa"/>
            <w:tcBorders/>
            <w:tcMar>
              <w:top w:w="0" w:type="dxa"/>
            </w:tcMar>
            <w:vAlign w:val="center"/>
          </w:tcPr>
          <w:p>
            <w:pPr>
              <w:pStyle w:val="TableContents"/>
              <w:bidi w:val="0"/>
              <w:spacing w:before="0" w:after="283"/>
              <w:jc w:val="left"/>
              <w:rPr/>
            </w:pPr>
            <w:r>
              <w:rPr/>
              <w:t> </w:t>
            </w:r>
          </w:p>
        </w:tc>
        <w:tc>
          <w:tcPr>
            <w:tcW w:w="8045" w:type="dxa"/>
            <w:tcBorders/>
            <w:tcMar>
              <w:top w:w="0" w:type="dxa"/>
            </w:tcMar>
            <w:vAlign w:val="center"/>
          </w:tcPr>
          <w:p>
            <w:pPr>
              <w:pStyle w:val="TableContents"/>
              <w:bidi w:val="0"/>
              <w:spacing w:before="0" w:after="283"/>
              <w:jc w:val="left"/>
              <w:rPr/>
            </w:pPr>
            <w:r>
              <w:rPr/>
              <w:t> </w:t>
            </w:r>
          </w:p>
        </w:tc>
      </w:tr>
      <w:tr>
        <w:trPr/>
        <w:tc>
          <w:tcPr>
            <w:tcW w:w="1860" w:type="dxa"/>
            <w:tcBorders/>
            <w:tcMar>
              <w:top w:w="0" w:type="dxa"/>
            </w:tcMar>
            <w:vAlign w:val="center"/>
          </w:tcPr>
          <w:p>
            <w:pPr>
              <w:pStyle w:val="TableContents"/>
              <w:bidi w:val="0"/>
              <w:spacing w:before="0" w:after="283"/>
              <w:jc w:val="center"/>
              <w:rPr/>
            </w:pPr>
            <w:r>
              <w:rPr/>
              <w:drawing>
                <wp:inline distT="0" distB="0" distL="0" distR="0">
                  <wp:extent cx="1171575" cy="1171575"/>
                  <wp:effectExtent l="0" t="0" r="0" b="0"/>
                  <wp:docPr id="252"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35" descr=""/>
                          <pic:cNvPicPr>
                            <a:picLocks noChangeAspect="1" noChangeArrowheads="1"/>
                          </pic:cNvPicPr>
                        </pic:nvPicPr>
                        <pic:blipFill>
                          <a:blip r:embed="rId247"/>
                          <a:stretch>
                            <a:fillRect/>
                          </a:stretch>
                        </pic:blipFill>
                        <pic:spPr bwMode="auto">
                          <a:xfrm>
                            <a:off x="0" y="0"/>
                            <a:ext cx="1171575" cy="1171575"/>
                          </a:xfrm>
                          <a:prstGeom prst="rect">
                            <a:avLst/>
                          </a:prstGeom>
                        </pic:spPr>
                      </pic:pic>
                    </a:graphicData>
                  </a:graphic>
                </wp:inline>
              </w:drawing>
            </w:r>
          </w:p>
        </w:tc>
        <w:tc>
          <w:tcPr>
            <w:tcW w:w="300" w:type="dxa"/>
            <w:tcBorders/>
            <w:tcMar>
              <w:top w:w="0" w:type="dxa"/>
            </w:tcMar>
            <w:vAlign w:val="center"/>
          </w:tcPr>
          <w:p>
            <w:pPr>
              <w:pStyle w:val="TableContents"/>
              <w:bidi w:val="0"/>
              <w:spacing w:before="0" w:after="283"/>
              <w:jc w:val="left"/>
              <w:rPr/>
            </w:pPr>
            <w:r>
              <w:rPr/>
              <w:t> </w:t>
            </w:r>
          </w:p>
        </w:tc>
        <w:tc>
          <w:tcPr>
            <w:tcW w:w="8045" w:type="dxa"/>
            <w:tcBorders/>
            <w:tcMar>
              <w:top w:w="0" w:type="dxa"/>
            </w:tcMar>
            <w:vAlign w:val="center"/>
          </w:tcPr>
          <w:p>
            <w:pPr>
              <w:pStyle w:val="TableContents"/>
              <w:bidi w:val="0"/>
              <w:spacing w:before="0" w:after="283"/>
              <w:jc w:val="left"/>
              <w:rPr>
                <w:sz w:val="18"/>
              </w:rPr>
            </w:pPr>
            <w:r>
              <w:rPr>
                <w:rFonts w:ascii="Arial;Helvetica;Sans-Serif" w:hAnsi="Arial;Helvetica;Sans-Serif"/>
                <w:b/>
                <w:i w:val="false"/>
                <w:caps w:val="false"/>
                <w:smallCaps w:val="false"/>
                <w:color w:val="C60C45"/>
                <w:sz w:val="18"/>
              </w:rPr>
              <w:t xml:space="preserve">Daniel P. Van Plew, </w:t>
            </w:r>
            <w:r>
              <w:rPr>
                <w:rFonts w:ascii="Arial;Helvetica;Sans-Serif" w:hAnsi="Arial;Helvetica;Sans-Serif"/>
                <w:b w:val="false"/>
                <w:i w:val="false"/>
                <w:caps w:val="false"/>
                <w:smallCaps w:val="false"/>
                <w:color w:val="231F20"/>
                <w:sz w:val="18"/>
              </w:rPr>
              <w:t>52, has been Executive Vice President and General Manager, Industrial</w:t>
            </w:r>
            <w:r>
              <w:rPr>
                <w:sz w:val="18"/>
              </w:rPr>
              <w:t xml:space="preserve"> </w:t>
            </w:r>
            <w:r>
              <w:rPr>
                <w:rFonts w:ascii="Arial;Helvetica;Sans-Serif" w:hAnsi="Arial;Helvetica;Sans-Serif"/>
                <w:b w:val="false"/>
                <w:i w:val="false"/>
                <w:caps w:val="false"/>
                <w:smallCaps w:val="false"/>
                <w:color w:val="231F20"/>
                <w:sz w:val="18"/>
              </w:rPr>
              <w:t>Operations and Product Supply since January 2016. From April 2008 to December 2015,</w:t>
            </w:r>
            <w:r>
              <w:rPr>
                <w:sz w:val="18"/>
              </w:rPr>
              <w:t xml:space="preserve"> </w:t>
            </w:r>
            <w:r>
              <w:rPr>
                <w:rFonts w:ascii="Arial;Helvetica;Sans-Serif" w:hAnsi="Arial;Helvetica;Sans-Serif"/>
                <w:b w:val="false"/>
                <w:i w:val="false"/>
                <w:caps w:val="false"/>
                <w:smallCaps w:val="false"/>
                <w:color w:val="231F20"/>
                <w:sz w:val="18"/>
              </w:rPr>
              <w:t>Mr. Van Plew served as Senior Vice President and General Manager, Industrial Operations and</w:t>
            </w:r>
            <w:r>
              <w:rPr>
                <w:sz w:val="18"/>
              </w:rPr>
              <w:t xml:space="preserve"> </w:t>
            </w:r>
            <w:r>
              <w:rPr>
                <w:rFonts w:ascii="Arial;Helvetica;Sans-Serif" w:hAnsi="Arial;Helvetica;Sans-Serif"/>
                <w:b w:val="false"/>
                <w:i w:val="false"/>
                <w:caps w:val="false"/>
                <w:smallCaps w:val="false"/>
                <w:color w:val="231F20"/>
                <w:sz w:val="18"/>
              </w:rPr>
              <w:t>Product Supply. Prior to that date, he served as Vice President and General Manager, Industrial</w:t>
            </w:r>
            <w:r>
              <w:rPr>
                <w:sz w:val="18"/>
              </w:rPr>
              <w:t xml:space="preserve"> </w:t>
            </w:r>
            <w:r>
              <w:rPr>
                <w:rFonts w:ascii="Arial;Helvetica;Sans-Serif" w:hAnsi="Arial;Helvetica;Sans-Serif"/>
                <w:b w:val="false"/>
                <w:i w:val="false"/>
                <w:caps w:val="false"/>
                <w:smallCaps w:val="false"/>
                <w:color w:val="231F20"/>
                <w:sz w:val="18"/>
              </w:rPr>
              <w:t>Operations and Product Supply since joining the Company in 2007. From 2006 until 2007,</w:t>
            </w:r>
            <w:r>
              <w:rPr>
                <w:sz w:val="18"/>
              </w:rPr>
              <w:t xml:space="preserve"> </w:t>
            </w:r>
            <w:r>
              <w:rPr>
                <w:rFonts w:ascii="Arial;Helvetica;Sans-Serif" w:hAnsi="Arial;Helvetica;Sans-Serif"/>
                <w:b w:val="false"/>
                <w:i w:val="false"/>
                <w:caps w:val="false"/>
                <w:smallCaps w:val="false"/>
                <w:color w:val="231F20"/>
                <w:sz w:val="18"/>
              </w:rPr>
              <w:t>Mr. Van Plew served as Executive Vice President, R&amp;D and Technical Operations of Crucell</w:t>
            </w:r>
            <w:r>
              <w:rPr>
                <w:sz w:val="18"/>
              </w:rPr>
              <w:t xml:space="preserve"> </w:t>
            </w:r>
            <w:r>
              <w:rPr>
                <w:rFonts w:ascii="Arial;Helvetica;Sans-Serif" w:hAnsi="Arial;Helvetica;Sans-Serif"/>
                <w:b w:val="false"/>
                <w:i w:val="false"/>
                <w:caps w:val="false"/>
                <w:smallCaps w:val="false"/>
                <w:color w:val="231F20"/>
                <w:sz w:val="18"/>
              </w:rPr>
              <w:t>Holland B.V., a global biopharmaceutical company. Between 2004 and 2006, Mr. Van Plew held</w:t>
            </w:r>
            <w:r>
              <w:rPr>
                <w:sz w:val="18"/>
              </w:rPr>
              <w:t xml:space="preserve"> </w:t>
            </w:r>
            <w:r>
              <w:rPr>
                <w:rFonts w:ascii="Arial;Helvetica;Sans-Serif" w:hAnsi="Arial;Helvetica;Sans-Serif"/>
                <w:b w:val="false"/>
                <w:i w:val="false"/>
                <w:caps w:val="false"/>
                <w:smallCaps w:val="false"/>
                <w:color w:val="231F20"/>
                <w:sz w:val="18"/>
              </w:rPr>
              <w:t>positions of increasing responsibility at Chiron Biopharmaceuticals, part of Chiron Corporation,</w:t>
            </w:r>
            <w:r>
              <w:rPr>
                <w:sz w:val="18"/>
              </w:rPr>
              <w:t xml:space="preserve"> </w:t>
            </w:r>
            <w:r>
              <w:rPr>
                <w:rFonts w:ascii="Arial;Helvetica;Sans-Serif" w:hAnsi="Arial;Helvetica;Sans-Serif"/>
                <w:b w:val="false"/>
                <w:i w:val="false"/>
                <w:caps w:val="false"/>
                <w:smallCaps w:val="false"/>
                <w:color w:val="231F20"/>
                <w:sz w:val="18"/>
              </w:rPr>
              <w:t>a biotechnology company, most recently as Senior Director, Vacaville Operations. From 1998</w:t>
            </w:r>
            <w:r>
              <w:rPr>
                <w:sz w:val="18"/>
              </w:rPr>
              <w:t xml:space="preserve"> </w:t>
            </w:r>
            <w:r>
              <w:rPr>
                <w:rFonts w:ascii="Arial;Helvetica;Sans-Serif" w:hAnsi="Arial;Helvetica;Sans-Serif"/>
                <w:b w:val="false"/>
                <w:i w:val="false"/>
                <w:caps w:val="false"/>
                <w:smallCaps w:val="false"/>
                <w:color w:val="231F20"/>
                <w:sz w:val="18"/>
              </w:rPr>
              <w:t>until 2004, Mr. Van Plew held various managerial positions in the health and life sciences</w:t>
            </w:r>
            <w:r>
              <w:rPr>
                <w:sz w:val="18"/>
              </w:rPr>
              <w:t xml:space="preserve"> </w:t>
            </w:r>
            <w:r>
              <w:rPr>
                <w:rFonts w:ascii="Arial;Helvetica;Sans-Serif" w:hAnsi="Arial;Helvetica;Sans-Serif"/>
                <w:b w:val="false"/>
                <w:i w:val="false"/>
                <w:caps w:val="false"/>
                <w:smallCaps w:val="false"/>
                <w:color w:val="231F20"/>
                <w:sz w:val="18"/>
              </w:rPr>
              <w:t>practice at Accenture, Ltd., a management consulting business. Mr. Van Plew received his</w:t>
            </w:r>
            <w:r>
              <w:rPr>
                <w:sz w:val="18"/>
              </w:rPr>
              <w:t xml:space="preserve"> </w:t>
            </w:r>
            <w:r>
              <w:rPr>
                <w:rFonts w:ascii="Arial;Helvetica;Sans-Serif" w:hAnsi="Arial;Helvetica;Sans-Serif"/>
                <w:b w:val="false"/>
                <w:i w:val="false"/>
                <w:caps w:val="false"/>
                <w:smallCaps w:val="false"/>
                <w:color w:val="231F20"/>
                <w:sz w:val="18"/>
              </w:rPr>
              <w:t>M.S. in Chemistry from The Pennsylvania State University and his M.B.A. from Michigan</w:t>
            </w:r>
            <w:r>
              <w:rPr>
                <w:sz w:val="18"/>
              </w:rPr>
              <w:t xml:space="preserve"> </w:t>
            </w:r>
            <w:r>
              <w:rPr>
                <w:rFonts w:ascii="Arial;Helvetica;Sans-Serif" w:hAnsi="Arial;Helvetica;Sans-Serif"/>
                <w:b w:val="false"/>
                <w:i w:val="false"/>
                <w:caps w:val="false"/>
                <w:smallCaps w:val="false"/>
                <w:color w:val="231F20"/>
                <w:sz w:val="18"/>
              </w:rPr>
              <w:t>State</w:t>
            </w:r>
            <w:r>
              <w:rPr>
                <w:color w:val="231F20"/>
                <w:sz w:val="18"/>
              </w:rPr>
              <w:t xml:space="preserve"> </w:t>
            </w:r>
            <w:r>
              <w:rPr>
                <w:rFonts w:ascii="Arial;Helvetica;Sans-Serif" w:hAnsi="Arial;Helvetica;Sans-Serif"/>
                <w:color w:val="231F20"/>
                <w:sz w:val="18"/>
              </w:rPr>
              <w:t>University.</w:t>
            </w:r>
          </w:p>
        </w:tc>
      </w:tr>
      <w:tr>
        <w:trPr/>
        <w:tc>
          <w:tcPr>
            <w:tcW w:w="1860" w:type="dxa"/>
            <w:tcBorders>
              <w:bottom w:val="single" w:sz="2" w:space="0" w:color="3B59A4"/>
            </w:tcBorders>
            <w:tcMar>
              <w:top w:w="0" w:type="dxa"/>
              <w:bottom w:w="28" w:type="dxa"/>
            </w:tcMar>
            <w:vAlign w:val="center"/>
          </w:tcPr>
          <w:p>
            <w:pPr>
              <w:pStyle w:val="TableContents"/>
              <w:bidi w:val="0"/>
              <w:spacing w:before="0" w:after="283"/>
              <w:jc w:val="center"/>
              <w:rPr/>
            </w:pPr>
            <w:r>
              <w:rPr/>
              <w:t> </w:t>
            </w:r>
          </w:p>
        </w:tc>
        <w:tc>
          <w:tcPr>
            <w:tcW w:w="300" w:type="dxa"/>
            <w:tcBorders>
              <w:bottom w:val="single" w:sz="2" w:space="0" w:color="3B59A4"/>
            </w:tcBorders>
            <w:tcMar>
              <w:top w:w="0" w:type="dxa"/>
              <w:bottom w:w="28" w:type="dxa"/>
            </w:tcMar>
            <w:vAlign w:val="center"/>
          </w:tcPr>
          <w:p>
            <w:pPr>
              <w:pStyle w:val="TableContents"/>
              <w:bidi w:val="0"/>
              <w:spacing w:before="0" w:after="283"/>
              <w:jc w:val="left"/>
              <w:rPr/>
            </w:pPr>
            <w:r>
              <w:rPr/>
              <w:t> </w:t>
            </w:r>
          </w:p>
        </w:tc>
        <w:tc>
          <w:tcPr>
            <w:tcW w:w="8045" w:type="dxa"/>
            <w:tcBorders>
              <w:bottom w:val="single" w:sz="2" w:space="0" w:color="3B59A4"/>
            </w:tcBorders>
            <w:tcMar>
              <w:top w:w="0" w:type="dxa"/>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53"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36" descr=""/>
                          <pic:cNvPicPr>
                            <a:picLocks noChangeAspect="1" noChangeArrowheads="1"/>
                          </pic:cNvPicPr>
                        </pic:nvPicPr>
                        <pic:blipFill>
                          <a:blip r:embed="rId248"/>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51" w:name="regn013211-def14aa038"/>
      <w:bookmarkStart w:id="52" w:name="regn013211-def14aa101"/>
      <w:bookmarkEnd w:id="51"/>
      <w:bookmarkEnd w:id="52"/>
      <w:r>
        <w:rPr>
          <w:rFonts w:ascii="Arial;Helvetica;Sans-Serif" w:hAnsi="Arial;Helvetica;Sans-Serif"/>
          <w:b/>
          <w:i w:val="false"/>
          <w:caps w:val="false"/>
          <w:smallCaps w:val="false"/>
          <w:color w:val="C60C45"/>
          <w:sz w:val="40"/>
        </w:rPr>
        <w:t>Corporate Responsibility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Regeneron’s mission is to use the power of science to repeatedly bring life-changing medicines to patients. We are committed to operating responsibly, communicating transparently about our impacts, and engaging stakeholders in our mission. We strive to “Do Well by Doing Good,” which guides our approach to corporate responsibility. We disclose detailed information about significant corporate responsibility matters in our annual responsibility reports.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board of directors and management team recognize the importance of corporate responsibility matters. The Company’s policy is to take into consideration the long-term interests of the Company, its shareholders, and other stakeholders, including patients, employees, the healthcare community, regulators, collaborators, suppliers, and local communities. While the full board has retained oversight of the Company’s strategies and policies related to the Company's culture, the board’s Corporate Governance and Compliance Committee has been tasked with oversight of corporate responsibility as set forth in its charter. Under our Corporate Governance Guidelines, the Corporate Governance and Compliance Committee is responsible for overseeing and conducting a periodic review of the Company's corporate responsibility matters and key initiatives, including those expected to have a significant impact on the Company’s ability to deliver sustained growth. Management, who is responsible for formulating and implementing such initiatives and matters, has established for these purposes a Responsibility Committee comprised of cross-functional business leaders that meets regularly to monitor performance against strategic objectives and discuss priority responsibility topics.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responsibility strategy centers on three focus areas: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4825" w:type="dxa"/>
        <w:jc w:val="left"/>
        <w:tblInd w:w="0" w:type="dxa"/>
        <w:tblLayout w:type="fixed"/>
        <w:tblCellMar>
          <w:top w:w="0" w:type="dxa"/>
          <w:left w:w="0" w:type="dxa"/>
          <w:bottom w:w="0" w:type="dxa"/>
          <w:right w:w="0" w:type="dxa"/>
        </w:tblCellMar>
      </w:tblPr>
      <w:tblGrid>
        <w:gridCol w:w="125"/>
        <w:gridCol w:w="4700"/>
      </w:tblGrid>
      <w:tr>
        <w:trPr/>
        <w:tc>
          <w:tcPr>
            <w:tcW w:w="125" w:type="dxa"/>
            <w:tcBorders/>
            <w:vAlign w:val="center"/>
          </w:tcPr>
          <w:p>
            <w:pPr>
              <w:pStyle w:val="TableContents"/>
              <w:bidi w:val="0"/>
              <w:spacing w:before="0" w:after="283"/>
              <w:jc w:val="left"/>
              <w:rPr>
                <w:color w:val="3B5AA4"/>
              </w:rPr>
            </w:pPr>
            <w:r>
              <w:rPr>
                <w:color w:val="3B5AA4"/>
              </w:rPr>
              <w:t>•</w:t>
            </w:r>
          </w:p>
        </w:tc>
        <w:tc>
          <w:tcPr>
            <w:tcW w:w="4700" w:type="dxa"/>
            <w:tcBorders/>
            <w:vAlign w:val="center"/>
          </w:tcPr>
          <w:p>
            <w:pPr>
              <w:pStyle w:val="TableContents"/>
              <w:bidi w:val="0"/>
              <w:spacing w:before="0" w:after="283"/>
              <w:jc w:val="left"/>
              <w:rPr>
                <w:color w:val="231F20"/>
              </w:rPr>
            </w:pPr>
            <w:r>
              <w:rPr>
                <w:color w:val="231F20"/>
              </w:rPr>
              <w:t>Improve the lives of people with serious diseases </w:t>
            </w:r>
          </w:p>
        </w:tc>
      </w:tr>
      <w:tr>
        <w:trPr/>
        <w:tc>
          <w:tcPr>
            <w:tcW w:w="125" w:type="dxa"/>
            <w:tcBorders/>
            <w:vAlign w:val="center"/>
          </w:tcPr>
          <w:p>
            <w:pPr>
              <w:pStyle w:val="TableContents"/>
              <w:bidi w:val="0"/>
              <w:spacing w:before="0" w:after="283"/>
              <w:jc w:val="left"/>
              <w:rPr>
                <w:color w:val="3B5AA4"/>
              </w:rPr>
            </w:pPr>
            <w:r>
              <w:rPr>
                <w:color w:val="3B5AA4"/>
              </w:rPr>
              <w:t>•</w:t>
            </w:r>
          </w:p>
        </w:tc>
        <w:tc>
          <w:tcPr>
            <w:tcW w:w="4700" w:type="dxa"/>
            <w:tcBorders/>
            <w:vAlign w:val="center"/>
          </w:tcPr>
          <w:p>
            <w:pPr>
              <w:pStyle w:val="TableContents"/>
              <w:bidi w:val="0"/>
              <w:spacing w:before="0" w:after="283"/>
              <w:jc w:val="left"/>
              <w:rPr>
                <w:color w:val="231F20"/>
              </w:rPr>
            </w:pPr>
            <w:r>
              <w:rPr>
                <w:color w:val="231F20"/>
              </w:rPr>
              <w:t>Foster a culture of integrity and excellence </w:t>
            </w:r>
          </w:p>
        </w:tc>
      </w:tr>
      <w:tr>
        <w:trPr/>
        <w:tc>
          <w:tcPr>
            <w:tcW w:w="125" w:type="dxa"/>
            <w:tcBorders/>
            <w:vAlign w:val="center"/>
          </w:tcPr>
          <w:p>
            <w:pPr>
              <w:pStyle w:val="TableContents"/>
              <w:bidi w:val="0"/>
              <w:spacing w:before="0" w:after="283"/>
              <w:jc w:val="left"/>
              <w:rPr>
                <w:color w:val="3B5AA4"/>
              </w:rPr>
            </w:pPr>
            <w:r>
              <w:rPr>
                <w:color w:val="3B5AA4"/>
              </w:rPr>
              <w:t>•</w:t>
            </w:r>
          </w:p>
        </w:tc>
        <w:tc>
          <w:tcPr>
            <w:tcW w:w="4700" w:type="dxa"/>
            <w:tcBorders/>
            <w:vAlign w:val="center"/>
          </w:tcPr>
          <w:p>
            <w:pPr>
              <w:pStyle w:val="TableContents"/>
              <w:bidi w:val="0"/>
              <w:spacing w:before="0" w:after="283"/>
              <w:jc w:val="left"/>
              <w:rPr>
                <w:color w:val="231F20"/>
              </w:rPr>
            </w:pPr>
            <w:r>
              <w:rPr>
                <w:color w:val="231F20"/>
              </w:rPr>
              <w:t>Build sustainable communities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shown below, our 2025 responsibility goals span across these three areas, focusing on the environmental and social issues that we believe are most significant to our business and stakeholders.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2025 Global Responsibility Goals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jc w:val="center"/>
        <w:rPr>
          <w:caps w:val="false"/>
          <w:smallCaps w:val="false"/>
          <w:color w:val="3B5AA4"/>
        </w:rPr>
      </w:pPr>
      <w:r>
        <w:rPr>
          <w:caps w:val="false"/>
          <w:smallCaps w:val="false"/>
          <w:color w:val="3B5AA4"/>
        </w:rPr>
        <w:drawing>
          <wp:inline distT="0" distB="0" distL="0" distR="0">
            <wp:extent cx="7029450" cy="4124325"/>
            <wp:effectExtent l="0" t="0" r="0" b="0"/>
            <wp:docPr id="254"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37" descr=""/>
                    <pic:cNvPicPr>
                      <a:picLocks noChangeAspect="1" noChangeArrowheads="1"/>
                    </pic:cNvPicPr>
                  </pic:nvPicPr>
                  <pic:blipFill>
                    <a:blip r:embed="rId249"/>
                    <a:stretch>
                      <a:fillRect/>
                    </a:stretch>
                  </pic:blipFill>
                  <pic:spPr bwMode="auto">
                    <a:xfrm>
                      <a:off x="0" y="0"/>
                      <a:ext cx="7029450" cy="4124325"/>
                    </a:xfrm>
                    <a:prstGeom prst="rect">
                      <a:avLst/>
                    </a:prstGeom>
                  </pic:spPr>
                </pic:pic>
              </a:graphicData>
            </a:graphic>
          </wp:inline>
        </w:drawing>
      </w:r>
    </w:p>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9970" w:type="dxa"/>
        <w:jc w:val="left"/>
        <w:tblInd w:w="0" w:type="dxa"/>
        <w:tblLayout w:type="fixed"/>
        <w:tblCellMar>
          <w:top w:w="0" w:type="dxa"/>
          <w:left w:w="0" w:type="dxa"/>
          <w:bottom w:w="0" w:type="dxa"/>
          <w:right w:w="0" w:type="dxa"/>
        </w:tblCellMar>
      </w:tblPr>
      <w:tblGrid>
        <w:gridCol w:w="155"/>
        <w:gridCol w:w="9815"/>
      </w:tblGrid>
      <w:tr>
        <w:trPr/>
        <w:tc>
          <w:tcPr>
            <w:tcW w:w="155" w:type="dxa"/>
            <w:tcBorders/>
            <w:vAlign w:val="center"/>
          </w:tcPr>
          <w:p>
            <w:pPr>
              <w:pStyle w:val="TableContents"/>
              <w:bidi w:val="0"/>
              <w:spacing w:before="0" w:after="283"/>
              <w:jc w:val="left"/>
              <w:rPr>
                <w:color w:val="231F20"/>
              </w:rPr>
            </w:pPr>
            <w:r>
              <w:rPr>
                <w:color w:val="231F20"/>
              </w:rPr>
              <w:t>*</w:t>
            </w:r>
          </w:p>
        </w:tc>
        <w:tc>
          <w:tcPr>
            <w:tcW w:w="9815" w:type="dxa"/>
            <w:tcBorders/>
            <w:vAlign w:val="center"/>
          </w:tcPr>
          <w:p>
            <w:pPr>
              <w:pStyle w:val="TableContents"/>
              <w:bidi w:val="0"/>
              <w:spacing w:before="0" w:after="283"/>
              <w:jc w:val="left"/>
              <w:rPr>
                <w:color w:val="231F20"/>
              </w:rPr>
            </w:pPr>
            <w:r>
              <w:rPr>
                <w:color w:val="231F20"/>
              </w:rPr>
              <w:t>Our accompanying set of environmental targets are outlined in detail in our 2024 Responsibility Report.</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55"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38" descr=""/>
                          <pic:cNvPicPr>
                            <a:picLocks noChangeAspect="1" noChangeArrowheads="1"/>
                          </pic:cNvPicPr>
                        </pic:nvPicPr>
                        <pic:blipFill>
                          <a:blip r:embed="rId25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2024, we made significant progress toward achieving many of these responsibility goals. Select highlights within each focus area are summarized below, and a detailed discussion of our progress is included in our 2024 Responsibility Report.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responsibility efforts and progress across these focus areas have garnered recognitions. For example, as of the end of 2024, we were ranked in the top 10% of our industry in three leading ESG ratings: S&amp;P Global, Sustainalytics, and ISS-ESG. Additionally, in 2024, we were included in the Dow Jones Sustainability World Index for the sixth year in a row and the Dow Jones Sustainability North America Index for the fifth year in a row. These global and regional indices are comprised of leaders in corporate responsibility.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have also continued to enhance our responsibility reporting. Our 2024 Responsibility Report continues to align with the Sustainability Accounting Standards Board (“SASB”) framework and with the Global Reporting Initiative Universal Standards. In 2025, we also published on our website our fifth annual Task Force for Climate-related Financial Disclosures (“TCFD”) report on Regeneron’s climate-related risks and opportunities.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Improve the lives of people with serious diseases. </w:t>
      </w:r>
      <w:r>
        <w:rPr>
          <w:rFonts w:ascii="Arial;Helvetica;Sans-Serif" w:hAnsi="Arial;Helvetica;Sans-Serif"/>
          <w:b w:val="false"/>
          <w:i w:val="false"/>
          <w:caps w:val="false"/>
          <w:smallCaps w:val="false"/>
          <w:color w:val="231F20"/>
          <w:sz w:val="18"/>
        </w:rPr>
        <w:t>As a science-focused company, we operate Regeneron with the long-term outlook required to turn rigorous scientific research into important new medicines. All 11 of our medicines approved by the U.S. Food and Drug Administration (“FDA”) and almost all of the product candidates in our clinical pipeline are homegrown – discovered in Regeneron’s labs using our industry-leading, proprietary technologies. Our support for patients extends beyond the labs to disease education and awareness efforts, patient assistance programs, and our commitment to access to medicine and responsible pricing. We strive to make thoughtful and well-informed pricing decisions with fairness and affordability in mind and are guided in this endeavor by our board of directors, which provides oversight of all key pricing determinations. We believe we have the appropriate governance mechanisms and internal processes in place to ensure that pricing decisions are thoroughly and appropriately vetted prior to implementation and are made in line with our values and commitments. This includes routine presentations to our board of directors and/or the appropriate committees thereof on drug pricing strategies, practices, and trends.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2024, our commitment to improving lives was highlighted by securing regulatory approvals for several new indications for existing products and making significant progress in our product pipeline of approximately 40 product candidates as of the date of our 2024 Annual Report, including potential new treatments for ultra-rare and rare diseases and numerous types of cancer. In addition, the Regeneron Genetics Center continued to grow its database of nearly 3 million sequenced exomes to date in furtherance of its objective to expand the use of human genetics for discovering and validating genetic factors that cause or influence a range of diseases where there are major unmet medical needs. We are proud of these scientific accomplishments and the potentially life-changing benefits they can deliver to patients.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are dedicated to making sure our medicines are available to everyone who needs them, including those in low- and middle-income countries (“LMICs”). For example, since 2018, we have worked with public health agencies and non-governmental organizations to offer Inmazeb, our treatment for the infection caused by Zaire ebolavirus, under a compassionate use protocol in response to Ebola outbreaks in affected African countries. We have an executive-sponsored Inmazeb access working group and we proactively engage public health agencies, non-governmental agencies, and others in our industry to ensure continued access to Inmazeb in LMICs.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Foster a culture of integrity and excellence. </w:t>
      </w:r>
      <w:r>
        <w:rPr>
          <w:rFonts w:ascii="Arial;Helvetica;Sans-Serif" w:hAnsi="Arial;Helvetica;Sans-Serif"/>
          <w:b w:val="false"/>
          <w:i w:val="false"/>
          <w:caps w:val="false"/>
          <w:smallCaps w:val="false"/>
          <w:color w:val="231F20"/>
          <w:sz w:val="18"/>
        </w:rPr>
        <w:t>Regeneron’s unique culture makes us who we are. Our culture includes our science-led mindset, our high ethical standards, and our unwavering focus on solving big, complex problems. We are equally committed to conducting our business responsibly and ethically. This is demonstrated through the range of policies, practices, and initiatives we have implemented, encompassing areas such as ethics and compliance, responsible sales and marketing, ethical clinical trials, responsible supply chain, occupational health and safety, and product quality and patient safety.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we grow, we remain committed to making significant investments to attract and retain top talent and advance our culture. Our strategy is rooted in the understanding that a better workplace drives better science and that better science drives a better world. We have also continued to share our progress in these areas and related metrics in our 2024 Responsibility Report and publish consolidated EEO-1 data (data from annual reports submitted to the U.S. Equal Employment Opportunity Commission) on our website.</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56"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39" descr=""/>
                          <pic:cNvPicPr>
                            <a:picLocks noChangeAspect="1" noChangeArrowheads="1"/>
                          </pic:cNvPicPr>
                        </pic:nvPicPr>
                        <pic:blipFill>
                          <a:blip r:embed="rId25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Build sustainable communities. </w:t>
      </w:r>
      <w:r>
        <w:rPr>
          <w:rFonts w:ascii="Arial;Helvetica;Sans-Serif" w:hAnsi="Arial;Helvetica;Sans-Serif"/>
          <w:b w:val="false"/>
          <w:i w:val="false"/>
          <w:caps w:val="false"/>
          <w:smallCaps w:val="false"/>
          <w:color w:val="231F20"/>
          <w:sz w:val="18"/>
        </w:rPr>
        <w:t>While we operate globally, we remain closely connected to our local communities. We want them to be environmentally, culturally, and economically resilient. We recognize the ways environmental stresses can impact human health and are committed to doing our part to protect and restore the health of the planet in line with our mission to improve lives. As part of our 2025 responsibility goals, we set ambitious medium- and longer-term environmental sustainability targets. We report on our continued progress toward these goals and targets in our responsibility reports.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also strengthen our communities through strategic philanthropic investments, in-kind donations, and the power of our colleagues’ talents and time. We are a longstanding supporter of science, technology, engineering, and math (“STEM”) education, and make major philanthropic investments to inspire and celebrate future scientific innovators, including our ten-year, $100-million commitment to the Regeneron Science Talent Search, the United States’ most prestigious pre-college science and mathematics competition. We have also been the title sponsor of the Regeneron International Science and Engineering Fair, the world’s largest pre-college science and engineering competition, since 2019 and made an additional $34 million, 5-year commitment to this program in 2023. Over the past five years, we have provided STEM experiences to approximately 3.2 million students, outperforming our goal of reaching 2.5 million STEM students by 2025.</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 xml:space="preserve">We continue our efforts to achieve our 2025 responsibility goal of driving employee volunteer levels above national standards. In 2024, over 7,800 employees volunteered approximately 45,400 hours, including approximately 49% of our employees who volunteered nearly 27,400 hours to approximately 220 nonprofits during our eighth annual company-wide service event, </w:t>
      </w:r>
      <w:r>
        <w:rPr>
          <w:rFonts w:ascii="Arial;Helvetica;Sans-Serif" w:hAnsi="Arial;Helvetica;Sans-Serif"/>
          <w:b w:val="false"/>
          <w:i/>
          <w:caps w:val="false"/>
          <w:smallCaps w:val="false"/>
          <w:color w:val="231F20"/>
          <w:sz w:val="18"/>
        </w:rPr>
        <w:t>Day for Doing Good</w:t>
      </w:r>
      <w:r>
        <w:rPr>
          <w:rFonts w:ascii="Arial;Helvetica;Sans-Serif" w:hAnsi="Arial;Helvetica;Sans-Serif"/>
          <w:b w:val="false"/>
          <w:i w:val="false"/>
          <w:caps w:val="false"/>
          <w:smallCaps w:val="false"/>
          <w:color w:val="231F20"/>
          <w:sz w:val="18"/>
        </w:rPr>
        <w: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are proud to have been named to the Civic 50 for the eighth consecutive year. The Civic 50 recognizes the most community-minded companies in the United States.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For more information about our responsibility efforts and results, please refer to the 2024 Responsibility Report available on our website.</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57"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40" descr=""/>
                          <pic:cNvPicPr>
                            <a:picLocks noChangeAspect="1" noChangeArrowheads="1"/>
                          </pic:cNvPicPr>
                        </pic:nvPicPr>
                        <pic:blipFill>
                          <a:blip r:embed="rId252"/>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53" w:name="regn013211-def14aa039"/>
      <w:bookmarkEnd w:id="53"/>
      <w:r>
        <w:rPr>
          <w:rFonts w:ascii="Arial;Helvetica;Sans-Serif" w:hAnsi="Arial;Helvetica;Sans-Serif"/>
          <w:b/>
          <w:i w:val="false"/>
          <w:caps w:val="false"/>
          <w:smallCaps w:val="false"/>
          <w:color w:val="C60C45"/>
          <w:sz w:val="40"/>
        </w:rPr>
        <w:t>Certain Relationships and Related Transactions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54" w:name="regn013211-def14aa040"/>
      <w:bookmarkEnd w:id="54"/>
      <w:r>
        <w:rPr>
          <w:rFonts w:ascii="Arial;Helvetica;Sans-Serif" w:hAnsi="Arial;Helvetica;Sans-Serif"/>
          <w:b/>
          <w:i w:val="false"/>
          <w:caps w:val="false"/>
          <w:smallCaps w:val="false"/>
          <w:color w:val="3B5AA4"/>
          <w:sz w:val="32"/>
        </w:rPr>
        <w:t>Review, Approval, or Ratification of Transactions with Related Persons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has adopted a written policy for the review, approval, or ratification of related person transactions. The Company considers transactions (or a series of related transactions) in which the Company is a participant, the amount involved exceeds $10,000 in any calendar year, and a director, officer, more than 5% holder of our voting securities, any immediate family member of any of the foregoing, or any related entity of any of the foregoing has a direct or indirect material interest to constitute related person transactions. The policy provides for a standing pre-approval of transactions with any passive institutional shareholder who holds more than 5% of our voting securities and transactions where all shareholders receive proportional benefits. With respect to any new transaction that is deemed pre-approved, the Audit Committee receives a summary of each such transaction and retains the ability to require that one or more of such transactions be subject to the standard approval procedures. The policy also requires that the arrangements relating to a permanent, full-time employment of an immediate family member of a director or executive officer hired by the Company be approved in accordance with the policy. In addition, in the event a person is or becomes a director or executive officer of the Company and an immediate family member of such person is a permanent, full-time employee of the Company, no material, outside-of-the-ordinary-course-of-business change in the terms of employment, including compensation, is permitted to be made without the prior approval of the Audit Committee (except, if the immediate family member is himself or herself an executive officer of the Company, any proposed change in the terms of employment is reviewed and approved in the same manner as compensatory arrangements of other executive officers).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has determined that the members of the Audit Committee are best suited to review and approve related person transactions. Accordingly, each related person transaction (other than a transaction that is deemed pre-approved as described above) must be reviewed and approved or ratified by the members of the Audit Committee, other than any member of the Audit Committee that has an interest in the transaction. Under the policy, the Chair of the Audit Committee is delegated the authority to approve certain related person transactions that require urgent review and approval.</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When reviewing, approving, or ratifying a related person transaction, the Audit Committee will consider several factors, including the benefits to the Company, the impact on a director’s independence in the event that a director or his/her immediate family is involved in the transaction, the terms of the transaction, and the terms available to unrelated third parties or to employees in general, if applicable. Related person transactions are approved only if the Audit Committee (or the Chair of the Audit Committee pursuant to delegated authority in the circumstances noted above) determines that they are in, or are not inconsistent with, the best interests of the Company and our shareholders.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55" w:name="regn013211-def14aa041"/>
      <w:bookmarkEnd w:id="55"/>
      <w:r>
        <w:rPr>
          <w:rFonts w:ascii="Arial;Helvetica;Sans-Serif" w:hAnsi="Arial;Helvetica;Sans-Serif"/>
          <w:b/>
          <w:i w:val="false"/>
          <w:caps w:val="false"/>
          <w:smallCaps w:val="false"/>
          <w:color w:val="3B5AA4"/>
          <w:sz w:val="32"/>
        </w:rPr>
        <w:t>Other</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r>
        <w:rPr>
          <w:rFonts w:ascii="Arial;Helvetica;Sans-Serif" w:hAnsi="Arial;Helvetica;Sans-Serif"/>
          <w:b/>
          <w:i w:val="false"/>
          <w:caps w:val="false"/>
          <w:smallCaps w:val="false"/>
          <w:color w:val="C60C45"/>
          <w:sz w:val="28"/>
        </w:rPr>
        <w:t>Indemnification of Directors and Officers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Certificate of Incorporation provides that, to the fullest extent permitted under the New York Business Corporation Law, no director or officer of our Company shall be personally liable to the Company or its shareholders for monetary damages for any breach of fiduciary duty in such capacity. In addition, our By-Laws provide that we shall indemnify our directors and certain of our other personnel against expenses (including attorneys’ fees) and certain other liabilities, including judgments, fines, and amounts paid in settlement, arising out of or incurred as a result of legal actions brought or threatened against them by reason of their position in our Company, subject to certain qualifications and provided that each such person acted in good faith, in a manner that they reasonably believed was in the Company’s best interest, and, where applicable, not unlawful. Subject to the provisions of our Certificate of Incorporation, our By-Laws, and the New York Business Corporation Law, we may also advance expenses of the individuals entitled to indemnification.</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58"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41" descr=""/>
                          <pic:cNvPicPr>
                            <a:picLocks noChangeAspect="1" noChangeArrowheads="1"/>
                          </pic:cNvPicPr>
                        </pic:nvPicPr>
                        <pic:blipFill>
                          <a:blip r:embed="rId253"/>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56" w:name="regn013211-def14aa042"/>
      <w:bookmarkEnd w:id="56"/>
      <w:r>
        <w:rPr>
          <w:rFonts w:ascii="Arial;Helvetica;Sans-Serif" w:hAnsi="Arial;Helvetica;Sans-Serif"/>
          <w:b/>
          <w:i w:val="false"/>
          <w:caps w:val="false"/>
          <w:smallCaps w:val="false"/>
          <w:color w:val="C60C45"/>
          <w:sz w:val="40"/>
        </w:rPr>
        <w:t>Security Ownership of Certain Beneficial Owners and Management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sets forth, as of April 15, 2025, the number of shares of the Company’s Class A stock and common stock beneficially owned by each of the Company’s directors, each of the NEOs referred to below under “Compensation-Related Matters—Compensation Discussion and Analysis,” all directors and current executive officers as a group, and each other person or group of persons known by the Company to beneficially own more than 5% of the outstanding shares of Class A stock or common stock, based upon (unless indicated otherwise) information obtained from such persons, and the percentage that such shares represent of the number of outstanding shares of Class A stock and common stock, respectively.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Class A stock is convertible on a share-for-share basis into common stock. The Class A stock is entitled to ten votes per share and the common stock is entitled to one vote per share. No new shares of Class A stock have been issued since our IPO in 1991. See “Corporate Governance—Capital Structure” for more information. We have determined beneficial ownership in accordance with the rules of the SEC.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1,817,146 shares of Class A stock and 106,148,351 shares of common stock outstanding as of April 15, 2025, except that for each person listed who beneficially owns Class A stock (and for directors and executive officers as a group), the number of shares of common stock beneficially owned by that person (and by directors and executive officers as a group) and the percentage ownership of common stock of such person assume the conversion on April 15, 2025 of all shares of Class A stock listed as beneficially owned by such person (or persons in the case of directors and executive officers as a group) into common stock and also that no other shares of Class A stock beneficially owned by others are so converted.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performance restricted stock units (“PSUs”), RSUs, or other convertible securities (if any) held by that person (and by directors and executive officers as a group) that are exercisable or releasable as of April 15, 2025 or are exercisable or releasable within sixty days after April 15, 2025 are deemed to be outstanding. Such shares are not deemed to be outstanding, however, for the purpose of computing the percentage ownership of common stock of any other person.</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59"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42" descr=""/>
                          <pic:cNvPicPr>
                            <a:picLocks noChangeAspect="1" noChangeArrowheads="1"/>
                          </pic:cNvPicPr>
                        </pic:nvPicPr>
                        <pic:blipFill>
                          <a:blip r:embed="rId254"/>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86"/>
        <w:gridCol w:w="60"/>
        <w:gridCol w:w="64"/>
        <w:gridCol w:w="1054"/>
        <w:gridCol w:w="312"/>
        <w:gridCol w:w="64"/>
        <w:gridCol w:w="89"/>
        <w:gridCol w:w="655"/>
        <w:gridCol w:w="215"/>
        <w:gridCol w:w="60"/>
        <w:gridCol w:w="63"/>
        <w:gridCol w:w="1042"/>
        <w:gridCol w:w="308"/>
        <w:gridCol w:w="63"/>
        <w:gridCol w:w="71"/>
        <w:gridCol w:w="369"/>
        <w:gridCol w:w="330"/>
      </w:tblGrid>
      <w:tr>
        <w:trPr/>
        <w:tc>
          <w:tcPr>
            <w:tcW w:w="53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B5AA4"/>
              </w:rPr>
            </w:pPr>
            <w:r>
              <w:rPr>
                <w:color w:val="3B5AA4"/>
              </w:rPr>
              <w:t> </w:t>
            </w:r>
          </w:p>
        </w:tc>
        <w:tc>
          <w:tcPr>
            <w:tcW w:w="2238" w:type="dxa"/>
            <w:gridSpan w:val="6"/>
            <w:tcBorders>
              <w:bottom w:val="single" w:sz="12" w:space="0" w:color="3B59A4"/>
            </w:tcBorders>
            <w:tcMar>
              <w:bottom w:w="28" w:type="dxa"/>
            </w:tcMar>
            <w:vAlign w:val="center"/>
          </w:tcPr>
          <w:p>
            <w:pPr>
              <w:pStyle w:val="TableContents"/>
              <w:bidi w:val="0"/>
              <w:spacing w:before="0" w:after="283"/>
              <w:jc w:val="center"/>
              <w:rPr>
                <w:color w:val="3B5AA4"/>
              </w:rPr>
            </w:pPr>
            <w:r>
              <w:rPr>
                <w:color w:val="3B5AA4"/>
              </w:rPr>
              <w:t>Shares of Class A Stock</w:t>
              <w:br/>
              <w:t>Beneficially Owned</w:t>
            </w:r>
            <w:r>
              <w:rPr>
                <w:color w:val="3B5AA4"/>
                <w:position w:val="8"/>
                <w:sz w:val="19"/>
              </w:rPr>
              <w:t>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B5AA4"/>
              </w:rPr>
            </w:pPr>
            <w:r>
              <w:rPr>
                <w:color w:val="3B5AA4"/>
              </w:rPr>
              <w:t> </w:t>
            </w:r>
          </w:p>
        </w:tc>
        <w:tc>
          <w:tcPr>
            <w:tcW w:w="2246" w:type="dxa"/>
            <w:gridSpan w:val="7"/>
            <w:tcBorders>
              <w:bottom w:val="single" w:sz="12" w:space="0" w:color="3B59A4"/>
            </w:tcBorders>
            <w:tcMar>
              <w:bottom w:w="28" w:type="dxa"/>
            </w:tcMar>
            <w:vAlign w:val="center"/>
          </w:tcPr>
          <w:p>
            <w:pPr>
              <w:pStyle w:val="TableContents"/>
              <w:bidi w:val="0"/>
              <w:spacing w:before="0" w:after="283"/>
              <w:jc w:val="center"/>
              <w:rPr>
                <w:color w:val="3B5AA4"/>
              </w:rPr>
            </w:pPr>
            <w:r>
              <w:rPr>
                <w:color w:val="3B5AA4"/>
              </w:rPr>
              <w:t>Shares of Common Stock</w:t>
              <w:br/>
              <w:t>Beneficially Owned</w:t>
            </w:r>
            <w:r>
              <w:rPr>
                <w:color w:val="3B5AA4"/>
                <w:position w:val="8"/>
                <w:sz w:val="19"/>
              </w:rPr>
              <w:t>1</w:t>
            </w:r>
          </w:p>
        </w:tc>
      </w:tr>
      <w:tr>
        <w:trPr/>
        <w:tc>
          <w:tcPr>
            <w:tcW w:w="5386" w:type="dxa"/>
            <w:tcBorders>
              <w:bottom w:val="single" w:sz="12" w:space="0" w:color="3B59A4"/>
            </w:tcBorders>
            <w:tcMar>
              <w:bottom w:w="28" w:type="dxa"/>
            </w:tcMar>
            <w:vAlign w:val="center"/>
          </w:tcPr>
          <w:p>
            <w:pPr>
              <w:pStyle w:val="TableContents"/>
              <w:bidi w:val="0"/>
              <w:spacing w:before="0" w:after="283"/>
              <w:jc w:val="left"/>
              <w:rPr>
                <w:color w:val="3B5AA4"/>
              </w:rPr>
            </w:pPr>
            <w:r>
              <w:rPr>
                <w:color w:val="3B5AA4"/>
              </w:rPr>
              <w:t>Name and Address of Beneficial Owner</w:t>
            </w:r>
          </w:p>
        </w:tc>
        <w:tc>
          <w:tcPr>
            <w:tcW w:w="60" w:type="dxa"/>
            <w:tcBorders>
              <w:bottom w:val="single" w:sz="12" w:space="0" w:color="3B59A4"/>
            </w:tcBorders>
            <w:tcMar>
              <w:bottom w:w="28" w:type="dxa"/>
            </w:tcMar>
            <w:vAlign w:val="center"/>
          </w:tcPr>
          <w:p>
            <w:pPr>
              <w:pStyle w:val="TableContents"/>
              <w:bidi w:val="0"/>
              <w:spacing w:before="0" w:after="283"/>
              <w:jc w:val="left"/>
              <w:rPr>
                <w:color w:val="3B5AA4"/>
              </w:rPr>
            </w:pPr>
            <w:r>
              <w:rPr>
                <w:color w:val="3B5AA4"/>
              </w:rPr>
              <w:t> </w:t>
            </w:r>
          </w:p>
        </w:tc>
        <w:tc>
          <w:tcPr>
            <w:tcW w:w="1118" w:type="dxa"/>
            <w:gridSpan w:val="2"/>
            <w:tcBorders>
              <w:bottom w:val="single" w:sz="12" w:space="0" w:color="3B59A4"/>
            </w:tcBorders>
            <w:tcMar>
              <w:bottom w:w="28" w:type="dxa"/>
            </w:tcMar>
            <w:vAlign w:val="center"/>
          </w:tcPr>
          <w:p>
            <w:pPr>
              <w:pStyle w:val="TableContents"/>
              <w:bidi w:val="0"/>
              <w:spacing w:before="0" w:after="283"/>
              <w:jc w:val="right"/>
              <w:rPr>
                <w:color w:val="3B5AA4"/>
              </w:rPr>
            </w:pPr>
            <w:r>
              <w:rPr>
                <w:color w:val="3B5AA4"/>
              </w:rPr>
              <w:t>Number</w:t>
            </w:r>
          </w:p>
        </w:tc>
        <w:tc>
          <w:tcPr>
            <w:tcW w:w="312" w:type="dxa"/>
            <w:tcBorders>
              <w:bottom w:val="single" w:sz="12" w:space="0" w:color="3B59A4"/>
            </w:tcBorders>
            <w:tcMar>
              <w:bottom w:w="28" w:type="dxa"/>
            </w:tcMar>
            <w:vAlign w:val="center"/>
          </w:tcPr>
          <w:p>
            <w:pPr>
              <w:pStyle w:val="TableContents"/>
              <w:bidi w:val="0"/>
              <w:spacing w:before="0" w:after="283"/>
              <w:jc w:val="left"/>
              <w:rPr>
                <w:color w:val="3B5AA4"/>
              </w:rPr>
            </w:pPr>
            <w:r>
              <w:rPr>
                <w:color w:val="3B5AA4"/>
              </w:rPr>
              <w:t> </w:t>
            </w:r>
          </w:p>
        </w:tc>
        <w:tc>
          <w:tcPr>
            <w:tcW w:w="64" w:type="dxa"/>
            <w:tcBorders>
              <w:bottom w:val="single" w:sz="12" w:space="0" w:color="3B59A4"/>
            </w:tcBorders>
            <w:tcMar>
              <w:bottom w:w="28" w:type="dxa"/>
            </w:tcMar>
            <w:vAlign w:val="center"/>
          </w:tcPr>
          <w:p>
            <w:pPr>
              <w:pStyle w:val="TableContents"/>
              <w:bidi w:val="0"/>
              <w:spacing w:before="0" w:after="283"/>
              <w:jc w:val="left"/>
              <w:rPr>
                <w:color w:val="3B5AA4"/>
              </w:rPr>
            </w:pPr>
            <w:r>
              <w:rPr>
                <w:color w:val="3B5AA4"/>
              </w:rPr>
              <w:t> </w:t>
            </w:r>
          </w:p>
        </w:tc>
        <w:tc>
          <w:tcPr>
            <w:tcW w:w="744" w:type="dxa"/>
            <w:gridSpan w:val="2"/>
            <w:tcBorders>
              <w:bottom w:val="single" w:sz="12" w:space="0" w:color="3B59A4"/>
            </w:tcBorders>
            <w:tcMar>
              <w:bottom w:w="28" w:type="dxa"/>
            </w:tcMar>
            <w:vAlign w:val="center"/>
          </w:tcPr>
          <w:p>
            <w:pPr>
              <w:pStyle w:val="TableContents"/>
              <w:bidi w:val="0"/>
              <w:spacing w:before="0" w:after="283"/>
              <w:jc w:val="right"/>
              <w:rPr>
                <w:color w:val="3B5AA4"/>
              </w:rPr>
            </w:pPr>
            <w:r>
              <w:rPr>
                <w:color w:val="3B5AA4"/>
              </w:rPr>
              <w:t xml:space="preserve">Percent </w:t>
              <w:br/>
              <w:t>of Class</w:t>
            </w:r>
          </w:p>
        </w:tc>
        <w:tc>
          <w:tcPr>
            <w:tcW w:w="215" w:type="dxa"/>
            <w:tcBorders>
              <w:bottom w:val="single" w:sz="12" w:space="0" w:color="3B59A4"/>
            </w:tcBorders>
            <w:tcMar>
              <w:bottom w:w="28" w:type="dxa"/>
            </w:tcMar>
            <w:vAlign w:val="center"/>
          </w:tcPr>
          <w:p>
            <w:pPr>
              <w:pStyle w:val="TableContents"/>
              <w:bidi w:val="0"/>
              <w:spacing w:before="0" w:after="283"/>
              <w:jc w:val="left"/>
              <w:rPr>
                <w:color w:val="3B5AA4"/>
              </w:rPr>
            </w:pPr>
            <w:r>
              <w:rPr>
                <w:color w:val="3B5AA4"/>
              </w:rPr>
              <w:t> </w:t>
            </w:r>
          </w:p>
        </w:tc>
        <w:tc>
          <w:tcPr>
            <w:tcW w:w="60" w:type="dxa"/>
            <w:tcBorders>
              <w:bottom w:val="single" w:sz="12" w:space="0" w:color="3B59A4"/>
            </w:tcBorders>
            <w:tcMar>
              <w:bottom w:w="28" w:type="dxa"/>
            </w:tcMar>
            <w:vAlign w:val="center"/>
          </w:tcPr>
          <w:p>
            <w:pPr>
              <w:pStyle w:val="TableContents"/>
              <w:bidi w:val="0"/>
              <w:spacing w:before="0" w:after="283"/>
              <w:jc w:val="left"/>
              <w:rPr/>
            </w:pPr>
            <w:r>
              <w:rPr/>
              <w:t> </w:t>
            </w:r>
          </w:p>
        </w:tc>
        <w:tc>
          <w:tcPr>
            <w:tcW w:w="1105" w:type="dxa"/>
            <w:gridSpan w:val="2"/>
            <w:tcBorders>
              <w:bottom w:val="single" w:sz="12" w:space="0" w:color="3B59A4"/>
            </w:tcBorders>
            <w:tcMar>
              <w:bottom w:w="28" w:type="dxa"/>
            </w:tcMar>
            <w:vAlign w:val="center"/>
          </w:tcPr>
          <w:p>
            <w:pPr>
              <w:pStyle w:val="TableContents"/>
              <w:bidi w:val="0"/>
              <w:spacing w:before="0" w:after="283"/>
              <w:jc w:val="right"/>
              <w:rPr/>
            </w:pPr>
            <w:r>
              <w:rPr>
                <w:color w:val="3B5AA4"/>
              </w:rPr>
              <w:t>Number</w:t>
            </w:r>
            <w:r>
              <w:rPr>
                <w:color w:val="365FA5"/>
                <w:position w:val="8"/>
                <w:sz w:val="19"/>
              </w:rPr>
              <w:t>2</w:t>
            </w:r>
          </w:p>
        </w:tc>
        <w:tc>
          <w:tcPr>
            <w:tcW w:w="308" w:type="dxa"/>
            <w:tcBorders>
              <w:bottom w:val="single" w:sz="12" w:space="0" w:color="3B59A4"/>
            </w:tcBorders>
            <w:tcMar>
              <w:bottom w:w="28" w:type="dxa"/>
            </w:tcMar>
            <w:vAlign w:val="center"/>
          </w:tcPr>
          <w:p>
            <w:pPr>
              <w:pStyle w:val="TableContents"/>
              <w:bidi w:val="0"/>
              <w:spacing w:before="0" w:after="283"/>
              <w:jc w:val="left"/>
              <w:rPr/>
            </w:pPr>
            <w:r>
              <w:rPr/>
              <w:t> </w:t>
            </w:r>
          </w:p>
        </w:tc>
        <w:tc>
          <w:tcPr>
            <w:tcW w:w="63" w:type="dxa"/>
            <w:tcBorders>
              <w:bottom w:val="single" w:sz="12" w:space="0" w:color="3B59A4"/>
            </w:tcBorders>
            <w:tcMar>
              <w:bottom w:w="28" w:type="dxa"/>
            </w:tcMar>
            <w:vAlign w:val="center"/>
          </w:tcPr>
          <w:p>
            <w:pPr>
              <w:pStyle w:val="TableContents"/>
              <w:bidi w:val="0"/>
              <w:spacing w:before="0" w:after="283"/>
              <w:jc w:val="left"/>
              <w:rPr>
                <w:color w:val="3B5AA4"/>
              </w:rPr>
            </w:pPr>
            <w:r>
              <w:rPr>
                <w:color w:val="3B5AA4"/>
              </w:rPr>
              <w:t> </w:t>
            </w:r>
          </w:p>
        </w:tc>
        <w:tc>
          <w:tcPr>
            <w:tcW w:w="770" w:type="dxa"/>
            <w:gridSpan w:val="3"/>
            <w:tcBorders>
              <w:bottom w:val="single" w:sz="12" w:space="0" w:color="3B59A4"/>
            </w:tcBorders>
            <w:tcMar>
              <w:bottom w:w="28" w:type="dxa"/>
            </w:tcMar>
            <w:vAlign w:val="center"/>
          </w:tcPr>
          <w:p>
            <w:pPr>
              <w:pStyle w:val="TableContents"/>
              <w:bidi w:val="0"/>
              <w:spacing w:before="0" w:after="283"/>
              <w:jc w:val="right"/>
              <w:rPr>
                <w:color w:val="3B5AA4"/>
              </w:rPr>
            </w:pPr>
            <w:r>
              <w:rPr>
                <w:color w:val="3B5AA4"/>
              </w:rPr>
              <w:t>Percent</w:t>
              <w:br/>
              <w:t>of Class</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231F20"/>
              </w:rPr>
            </w:pPr>
            <w:r>
              <w:rPr>
                <w:b/>
                <w:color w:val="231F20"/>
              </w:rPr>
              <w:t>Beneficial Owners of More than 5% of Class A Stock or Common Stock (Other than Directors and Executive Officers):</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2" w:space="0" w:color="939598"/>
            </w:tcBorders>
            <w:tcMar>
              <w:bottom w:w="28" w:type="dxa"/>
            </w:tcMar>
            <w:vAlign w:val="center"/>
          </w:tcPr>
          <w:p>
            <w:pPr>
              <w:pStyle w:val="TableContents"/>
              <w:bidi w:val="0"/>
              <w:spacing w:before="0" w:after="283"/>
              <w:jc w:val="right"/>
              <w:rPr/>
            </w:pPr>
            <w:r>
              <w:rPr/>
              <w:t> </w:t>
            </w:r>
          </w:p>
        </w:tc>
        <w:tc>
          <w:tcPr>
            <w:tcW w:w="312" w:type="dxa"/>
            <w:tcBorders>
              <w:bottom w:val="single" w:sz="2" w:space="0" w:color="939598"/>
            </w:tcBorders>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tcMar>
              <w:bottom w:w="28" w:type="dxa"/>
            </w:tcMar>
            <w:vAlign w:val="center"/>
          </w:tcPr>
          <w:p>
            <w:pPr>
              <w:pStyle w:val="TableContents"/>
              <w:bidi w:val="0"/>
              <w:spacing w:before="0" w:after="283"/>
              <w:jc w:val="right"/>
              <w:rPr/>
            </w:pPr>
            <w:r>
              <w:rPr/>
              <w:t> </w:t>
            </w:r>
          </w:p>
        </w:tc>
        <w:tc>
          <w:tcPr>
            <w:tcW w:w="89" w:type="dxa"/>
            <w:tcBorders>
              <w:bottom w:val="single" w:sz="2" w:space="0" w:color="939598"/>
            </w:tcBorders>
            <w:tcMar>
              <w:bottom w:w="28" w:type="dxa"/>
            </w:tcMar>
            <w:vAlign w:val="center"/>
          </w:tcPr>
          <w:p>
            <w:pPr>
              <w:pStyle w:val="TableContents"/>
              <w:bidi w:val="0"/>
              <w:spacing w:before="0" w:after="283"/>
              <w:jc w:val="right"/>
              <w:rPr/>
            </w:pPr>
            <w:r>
              <w:rPr/>
              <w:t> </w:t>
            </w:r>
          </w:p>
        </w:tc>
        <w:tc>
          <w:tcPr>
            <w:tcW w:w="655" w:type="dxa"/>
            <w:tcBorders>
              <w:bottom w:val="single" w:sz="2" w:space="0" w:color="939598"/>
            </w:tcBorders>
            <w:tcMar>
              <w:bottom w:w="28" w:type="dxa"/>
            </w:tcMar>
            <w:vAlign w:val="center"/>
          </w:tcPr>
          <w:p>
            <w:pPr>
              <w:pStyle w:val="TableContents"/>
              <w:bidi w:val="0"/>
              <w:spacing w:before="0" w:after="283"/>
              <w:jc w:val="right"/>
              <w:rPr/>
            </w:pPr>
            <w:r>
              <w:rPr/>
              <w:t> </w:t>
            </w:r>
          </w:p>
        </w:tc>
        <w:tc>
          <w:tcPr>
            <w:tcW w:w="215" w:type="dxa"/>
            <w:tcBorders>
              <w:bottom w:val="single" w:sz="2" w:space="0" w:color="939598"/>
            </w:tcBorders>
            <w:tcMar>
              <w:bottom w:w="28" w:type="dxa"/>
            </w:tcMar>
            <w:vAlign w:val="center"/>
          </w:tcPr>
          <w:p>
            <w:pPr>
              <w:pStyle w:val="TableContents"/>
              <w:bidi w:val="0"/>
              <w:spacing w:before="0" w:after="283"/>
              <w:jc w:val="left"/>
              <w:rPr/>
            </w:pPr>
            <w:r>
              <w:rPr/>
              <w:t> </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 </w:t>
            </w:r>
          </w:p>
        </w:tc>
        <w:tc>
          <w:tcPr>
            <w:tcW w:w="308" w:type="dxa"/>
            <w:tcBorders>
              <w:bottom w:val="single" w:sz="2" w:space="0" w:color="939598"/>
            </w:tcBorders>
            <w:tcMar>
              <w:bottom w:w="28" w:type="dxa"/>
            </w:tcMar>
            <w:vAlign w:val="center"/>
          </w:tcPr>
          <w:p>
            <w:pPr>
              <w:pStyle w:val="TableContents"/>
              <w:bidi w:val="0"/>
              <w:spacing w:before="0" w:after="283"/>
              <w:jc w:val="lef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71" w:type="dxa"/>
            <w:tcBorders>
              <w:bottom w:val="single" w:sz="2" w:space="0" w:color="939598"/>
            </w:tcBorders>
            <w:tcMar>
              <w:bottom w:w="28" w:type="dxa"/>
            </w:tcMar>
            <w:vAlign w:val="center"/>
          </w:tcPr>
          <w:p>
            <w:pPr>
              <w:pStyle w:val="TableContents"/>
              <w:bidi w:val="0"/>
              <w:spacing w:before="0" w:after="283"/>
              <w:jc w:val="right"/>
              <w:rPr/>
            </w:pPr>
            <w:r>
              <w:rPr/>
              <w:t> </w:t>
            </w:r>
          </w:p>
        </w:tc>
        <w:tc>
          <w:tcPr>
            <w:tcW w:w="369" w:type="dxa"/>
            <w:tcBorders>
              <w:bottom w:val="single" w:sz="2" w:space="0" w:color="939598"/>
            </w:tcBorders>
            <w:tcMar>
              <w:bottom w:w="28" w:type="dxa"/>
            </w:tcMar>
            <w:vAlign w:val="center"/>
          </w:tcPr>
          <w:p>
            <w:pPr>
              <w:pStyle w:val="TableContents"/>
              <w:bidi w:val="0"/>
              <w:spacing w:before="0" w:after="283"/>
              <w:jc w:val="right"/>
              <w:rPr/>
            </w:pPr>
            <w:r>
              <w:rPr/>
              <w:t> </w:t>
            </w:r>
          </w:p>
        </w:tc>
        <w:tc>
          <w:tcPr>
            <w:tcW w:w="330" w:type="dxa"/>
            <w:tcBorders>
              <w:bottom w:val="single" w:sz="2" w:space="0" w:color="939598"/>
            </w:tcBorders>
            <w:tcMar>
              <w:bottom w:w="28" w:type="dxa"/>
            </w:tcMar>
            <w:vAlign w:val="center"/>
          </w:tcPr>
          <w:p>
            <w:pPr>
              <w:pStyle w:val="TableContents"/>
              <w:bidi w:val="0"/>
              <w:spacing w:before="0" w:after="283"/>
              <w:jc w:val="left"/>
              <w:rPr/>
            </w:pPr>
            <w:r>
              <w:rPr/>
              <w:t> </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pPr>
            <w:r>
              <w:rPr>
                <w:color w:val="231F20"/>
              </w:rPr>
              <w:t>The Vanguard Group, Inc.</w:t>
            </w:r>
            <w:r>
              <w:rPr>
                <w:color w:val="010101"/>
                <w:position w:val="8"/>
                <w:sz w:val="19"/>
              </w:rPr>
              <w:t>3</w:t>
            </w:r>
            <w:r>
              <w:rPr/>
              <w:br/>
            </w:r>
            <w:r>
              <w:rPr>
                <w:color w:val="231F20"/>
              </w:rPr>
              <w:t>100 Vanguard Blvd.</w:t>
            </w:r>
            <w:r>
              <w:rPr/>
              <w:br/>
            </w:r>
            <w:r>
              <w:rPr>
                <w:color w:val="231F20"/>
              </w:rPr>
              <w:t>Malvern, PA 19355</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8,838,240</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8.3</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pPr>
            <w:r>
              <w:rPr>
                <w:color w:val="231F20"/>
              </w:rPr>
              <w:t>BlackRock, Inc.</w:t>
            </w:r>
            <w:r>
              <w:rPr>
                <w:color w:val="010101"/>
                <w:position w:val="8"/>
                <w:sz w:val="19"/>
              </w:rPr>
              <w:t>4</w:t>
            </w:r>
            <w:r>
              <w:rPr/>
              <w:br/>
            </w:r>
            <w:r>
              <w:rPr>
                <w:color w:val="231F20"/>
              </w:rPr>
              <w:t>55 East 52nd Street</w:t>
            </w:r>
            <w:r>
              <w:rPr/>
              <w:br/>
            </w:r>
            <w:r>
              <w:rPr>
                <w:color w:val="231F20"/>
              </w:rPr>
              <w:t>New York, New York 10055</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1042"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8,629,707</w:t>
            </w:r>
          </w:p>
        </w:tc>
        <w:tc>
          <w:tcPr>
            <w:tcW w:w="308"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8.1</w:t>
            </w:r>
          </w:p>
        </w:tc>
        <w:tc>
          <w:tcPr>
            <w:tcW w:w="330"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pPr>
            <w:r>
              <w:rPr>
                <w:color w:val="231F20"/>
              </w:rPr>
              <w:t>FMR LLC</w:t>
            </w:r>
            <w:r>
              <w:rPr>
                <w:color w:val="010101"/>
                <w:position w:val="8"/>
                <w:sz w:val="19"/>
              </w:rPr>
              <w:t>5</w:t>
            </w:r>
            <w:r>
              <w:rPr/>
              <w:br/>
            </w:r>
            <w:r>
              <w:rPr>
                <w:color w:val="231F20"/>
              </w:rPr>
              <w:t>245 Summer Street</w:t>
            </w:r>
            <w:r>
              <w:rPr/>
              <w:br/>
            </w:r>
            <w:r>
              <w:rPr>
                <w:color w:val="231F20"/>
              </w:rPr>
              <w:t>Boston, Massachusetts 02210</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8,188,770</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7.7</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pPr>
            <w:r>
              <w:rPr>
                <w:color w:val="231F20"/>
              </w:rPr>
              <w:t>JPMorgan Chase &amp; Co.</w:t>
            </w:r>
            <w:r>
              <w:rPr>
                <w:color w:val="010101"/>
                <w:position w:val="8"/>
                <w:sz w:val="19"/>
              </w:rPr>
              <w:t>6</w:t>
            </w:r>
            <w:r>
              <w:rPr/>
              <w:br/>
            </w:r>
            <w:r>
              <w:rPr>
                <w:color w:val="231F20"/>
              </w:rPr>
              <w:t>383 Madison Avenue</w:t>
            </w:r>
            <w:r>
              <w:rPr/>
              <w:br/>
            </w:r>
            <w:r>
              <w:rPr>
                <w:color w:val="231F20"/>
              </w:rPr>
              <w:t>New York, NY 10179</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1042"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7,219,436</w:t>
            </w:r>
          </w:p>
        </w:tc>
        <w:tc>
          <w:tcPr>
            <w:tcW w:w="308"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6.8</w:t>
            </w:r>
          </w:p>
        </w:tc>
        <w:tc>
          <w:tcPr>
            <w:tcW w:w="330"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b/>
                <w:color w:val="231F20"/>
              </w:rPr>
            </w:pPr>
            <w:r>
              <w:rPr>
                <w:b/>
                <w:color w:val="231F20"/>
              </w:rPr>
              <w:t>Directors and Executive Officers:</w:t>
            </w:r>
            <w:r>
              <w:rPr>
                <w:b/>
                <w:color w:val="231F20"/>
                <w:position w:val="8"/>
                <w:sz w:val="19"/>
              </w:rPr>
              <w:t>7</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3B5AA4"/>
              </w:rPr>
            </w:pPr>
            <w:r>
              <w:rPr>
                <w:b/>
                <w:color w:val="3B5AA4"/>
              </w:rPr>
              <w:t>Leonard S. Schleifer, M.D., Ph.D.</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2" w:space="0" w:color="939598"/>
            </w:tcBorders>
            <w:tcMar>
              <w:bottom w:w="28" w:type="dxa"/>
            </w:tcMar>
            <w:vAlign w:val="center"/>
          </w:tcPr>
          <w:p>
            <w:pPr>
              <w:pStyle w:val="TableContents"/>
              <w:bidi w:val="0"/>
              <w:spacing w:before="0" w:after="283"/>
              <w:jc w:val="right"/>
              <w:rPr/>
            </w:pPr>
            <w:r>
              <w:rPr/>
              <w:t>1,725,565</w:t>
            </w:r>
          </w:p>
        </w:tc>
        <w:tc>
          <w:tcPr>
            <w:tcW w:w="312" w:type="dxa"/>
            <w:tcBorders>
              <w:bottom w:val="single" w:sz="2" w:space="0" w:color="939598"/>
            </w:tcBorders>
            <w:tcMar>
              <w:bottom w:w="28" w:type="dxa"/>
            </w:tcMar>
            <w:vAlign w:val="center"/>
          </w:tcPr>
          <w:p>
            <w:pPr>
              <w:pStyle w:val="TableContents"/>
              <w:bidi w:val="0"/>
              <w:spacing w:before="0" w:after="283"/>
              <w:jc w:val="left"/>
              <w:rPr/>
            </w:pPr>
            <w:r>
              <w:rPr>
                <w:position w:val="8"/>
                <w:sz w:val="19"/>
              </w:rPr>
              <w:t>8</w:t>
            </w:r>
            <w:r>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95.0</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3,065,344</w:t>
            </w:r>
          </w:p>
        </w:tc>
        <w:tc>
          <w:tcPr>
            <w:tcW w:w="308" w:type="dxa"/>
            <w:tcBorders>
              <w:bottom w:val="single" w:sz="2" w:space="0" w:color="939598"/>
            </w:tcBorders>
            <w:tcMar>
              <w:bottom w:w="28" w:type="dxa"/>
            </w:tcMar>
            <w:vAlign w:val="center"/>
          </w:tcPr>
          <w:p>
            <w:pPr>
              <w:pStyle w:val="TableContents"/>
              <w:bidi w:val="0"/>
              <w:spacing w:before="0" w:after="283"/>
              <w:jc w:val="left"/>
              <w:rPr/>
            </w:pPr>
            <w:r>
              <w:rPr>
                <w:position w:val="8"/>
                <w:sz w:val="19"/>
              </w:rPr>
              <w:t>9</w:t>
            </w:r>
            <w:r>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2.8</w:t>
            </w:r>
          </w:p>
        </w:tc>
        <w:tc>
          <w:tcPr>
            <w:tcW w:w="330"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b/>
                <w:color w:val="3B5AA4"/>
              </w:rPr>
            </w:pPr>
            <w:r>
              <w:rPr>
                <w:b/>
                <w:color w:val="3B5AA4"/>
              </w:rPr>
              <w:t>George D. Yancopoulos, M.D., Ph.D.</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pPr>
            <w:r>
              <w:rPr/>
              <w:t>42,750</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pPr>
            <w:r>
              <w:rPr>
                <w:position w:val="8"/>
                <w:sz w:val="19"/>
              </w:rPr>
              <w:t>10</w:t>
            </w:r>
            <w:r>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2.4</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pPr>
            <w:r>
              <w:rPr/>
              <w:t>1,797,120</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pPr>
            <w:r>
              <w:rPr>
                <w:position w:val="8"/>
                <w:sz w:val="19"/>
              </w:rPr>
              <w:t>11</w:t>
            </w: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1.7</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3B5AA4"/>
              </w:rPr>
            </w:pPr>
            <w:r>
              <w:rPr>
                <w:b/>
                <w:color w:val="3B5AA4"/>
              </w:rPr>
              <w:t>Bonnie L. Bassler, Ph.D.</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18,058</w:t>
            </w:r>
          </w:p>
        </w:tc>
        <w:tc>
          <w:tcPr>
            <w:tcW w:w="308" w:type="dxa"/>
            <w:tcBorders>
              <w:bottom w:val="single" w:sz="2" w:space="0" w:color="939598"/>
            </w:tcBorders>
            <w:tcMar>
              <w:bottom w:w="28" w:type="dxa"/>
            </w:tcMar>
            <w:vAlign w:val="center"/>
          </w:tcPr>
          <w:p>
            <w:pPr>
              <w:pStyle w:val="TableContents"/>
              <w:bidi w:val="0"/>
              <w:spacing w:before="0" w:after="283"/>
              <w:jc w:val="left"/>
              <w:rPr/>
            </w:pPr>
            <w:r>
              <w:rPr>
                <w:position w:val="8"/>
                <w:sz w:val="19"/>
              </w:rPr>
              <w:t>12</w:t>
            </w:r>
            <w:r>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b/>
                <w:color w:val="3B5AA4"/>
              </w:rPr>
            </w:pPr>
            <w:r>
              <w:rPr>
                <w:b/>
                <w:color w:val="3B5AA4"/>
              </w:rPr>
              <w:t>Michael S. Brown, M.D.</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pPr>
            <w:r>
              <w:rPr/>
              <w:t>17,023</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pPr>
            <w:r>
              <w:rPr>
                <w:position w:val="8"/>
                <w:sz w:val="19"/>
              </w:rPr>
              <w:t>13</w:t>
            </w: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3B5AA4"/>
              </w:rPr>
            </w:pPr>
            <w:r>
              <w:rPr>
                <w:b/>
                <w:color w:val="3B5AA4"/>
              </w:rPr>
              <w:t>N. Anthony Coles, M.D.</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8,579</w:t>
            </w:r>
          </w:p>
        </w:tc>
        <w:tc>
          <w:tcPr>
            <w:tcW w:w="308" w:type="dxa"/>
            <w:tcBorders>
              <w:bottom w:val="single" w:sz="2" w:space="0" w:color="939598"/>
            </w:tcBorders>
            <w:tcMar>
              <w:bottom w:w="28" w:type="dxa"/>
            </w:tcMar>
            <w:vAlign w:val="center"/>
          </w:tcPr>
          <w:p>
            <w:pPr>
              <w:pStyle w:val="TableContents"/>
              <w:bidi w:val="0"/>
              <w:spacing w:before="0" w:after="283"/>
              <w:jc w:val="left"/>
              <w:rPr/>
            </w:pPr>
            <w:r>
              <w:rPr>
                <w:position w:val="8"/>
                <w:sz w:val="19"/>
              </w:rPr>
              <w:t>14</w:t>
            </w:r>
            <w:r>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b/>
                <w:color w:val="3B5AA4"/>
              </w:rPr>
            </w:pPr>
            <w:r>
              <w:rPr>
                <w:b/>
                <w:color w:val="3B5AA4"/>
              </w:rPr>
              <w:t>Christopher Fenimore</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pPr>
            <w:r>
              <w:rPr/>
              <w:t>83,487</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pPr>
            <w:r>
              <w:rPr>
                <w:position w:val="8"/>
                <w:sz w:val="19"/>
              </w:rPr>
              <w:t>15</w:t>
            </w: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3B5AA4"/>
              </w:rPr>
            </w:pPr>
            <w:r>
              <w:rPr>
                <w:b/>
                <w:color w:val="3B5AA4"/>
              </w:rPr>
              <w:t>Joseph L. Goldstein, M.D.</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10,861</w:t>
            </w:r>
          </w:p>
        </w:tc>
        <w:tc>
          <w:tcPr>
            <w:tcW w:w="308" w:type="dxa"/>
            <w:tcBorders>
              <w:bottom w:val="single" w:sz="2" w:space="0" w:color="939598"/>
            </w:tcBorders>
            <w:tcMar>
              <w:bottom w:w="28" w:type="dxa"/>
            </w:tcMar>
            <w:vAlign w:val="center"/>
          </w:tcPr>
          <w:p>
            <w:pPr>
              <w:pStyle w:val="TableContents"/>
              <w:bidi w:val="0"/>
              <w:spacing w:before="0" w:after="283"/>
              <w:jc w:val="left"/>
              <w:rPr/>
            </w:pPr>
            <w:r>
              <w:rPr>
                <w:position w:val="8"/>
                <w:sz w:val="19"/>
              </w:rPr>
              <w:t>16</w:t>
            </w:r>
            <w:r>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b/>
                <w:color w:val="3B5AA4"/>
              </w:rPr>
            </w:pPr>
            <w:r>
              <w:rPr>
                <w:b/>
                <w:color w:val="3B5AA4"/>
              </w:rPr>
              <w:t>Kathryn Guarini, Ph.D.</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pPr>
            <w:r>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pPr>
            <w:r>
              <w:rPr/>
              <w:t>4,472</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pPr>
            <w:r>
              <w:rPr>
                <w:position w:val="8"/>
                <w:sz w:val="19"/>
              </w:rPr>
              <w:t>17</w:t>
            </w: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3B5AA4"/>
              </w:rPr>
            </w:pPr>
            <w:r>
              <w:rPr>
                <w:b/>
                <w:color w:val="3B5AA4"/>
              </w:rPr>
              <w:t xml:space="preserve">Robert E. Landry </w:t>
            </w:r>
            <w:r>
              <w:rPr>
                <w:b/>
                <w:i/>
                <w:color w:val="3B5AA4"/>
              </w:rPr>
              <w:t>(retired)</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74,459</w:t>
            </w:r>
          </w:p>
        </w:tc>
        <w:tc>
          <w:tcPr>
            <w:tcW w:w="308" w:type="dxa"/>
            <w:tcBorders>
              <w:bottom w:val="single" w:sz="2" w:space="0" w:color="939598"/>
            </w:tcBorders>
            <w:tcMar>
              <w:bottom w:w="28" w:type="dxa"/>
            </w:tcMar>
            <w:vAlign w:val="center"/>
          </w:tcPr>
          <w:p>
            <w:pPr>
              <w:pStyle w:val="TableContents"/>
              <w:bidi w:val="0"/>
              <w:spacing w:before="0" w:after="283"/>
              <w:jc w:val="left"/>
              <w:rPr/>
            </w:pPr>
            <w:r>
              <w:rPr>
                <w:position w:val="8"/>
                <w:sz w:val="19"/>
              </w:rPr>
              <w:t>18</w:t>
            </w:r>
            <w:r>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b/>
                <w:color w:val="3B5AA4"/>
              </w:rPr>
            </w:pPr>
            <w:r>
              <w:rPr>
                <w:b/>
                <w:color w:val="3B5AA4"/>
              </w:rPr>
              <w:t>Andrew J. Murphy, Ph.D.</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pPr>
            <w:r>
              <w:rPr/>
              <w:t>268,499</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pPr>
            <w:r>
              <w:rPr>
                <w:position w:val="8"/>
                <w:sz w:val="19"/>
              </w:rPr>
              <w:t>19</w:t>
            </w: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3B5AA4"/>
              </w:rPr>
            </w:pPr>
            <w:r>
              <w:rPr>
                <w:b/>
                <w:color w:val="3B5AA4"/>
              </w:rPr>
              <w:t>Christine A. Poon</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45,611</w:t>
            </w:r>
          </w:p>
        </w:tc>
        <w:tc>
          <w:tcPr>
            <w:tcW w:w="308" w:type="dxa"/>
            <w:tcBorders>
              <w:bottom w:val="single" w:sz="2" w:space="0" w:color="939598"/>
            </w:tcBorders>
            <w:tcMar>
              <w:bottom w:w="28" w:type="dxa"/>
            </w:tcMar>
            <w:vAlign w:val="center"/>
          </w:tcPr>
          <w:p>
            <w:pPr>
              <w:pStyle w:val="TableContents"/>
              <w:bidi w:val="0"/>
              <w:spacing w:before="0" w:after="283"/>
              <w:jc w:val="left"/>
              <w:rPr/>
            </w:pPr>
            <w:r>
              <w:rPr>
                <w:position w:val="8"/>
                <w:sz w:val="19"/>
              </w:rPr>
              <w:t>20</w:t>
            </w:r>
            <w:r>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b/>
                <w:color w:val="3B5AA4"/>
              </w:rPr>
            </w:pPr>
            <w:r>
              <w:rPr>
                <w:b/>
                <w:color w:val="3B5AA4"/>
              </w:rPr>
              <w:t>Arthur F. Ryan</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pPr>
            <w:r>
              <w:rPr/>
              <w:t>24,768</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pPr>
            <w:r>
              <w:rPr>
                <w:position w:val="8"/>
                <w:sz w:val="19"/>
              </w:rPr>
              <w:t>21</w:t>
            </w: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3B5AA4"/>
              </w:rPr>
            </w:pPr>
            <w:r>
              <w:rPr>
                <w:b/>
                <w:color w:val="3B5AA4"/>
              </w:rPr>
              <w:t>David P. Schenkein, M.D.</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2" w:space="0" w:color="939598"/>
            </w:tcBorders>
            <w:tcMar>
              <w:bottom w:w="28" w:type="dxa"/>
            </w:tcMar>
            <w:vAlign w:val="center"/>
          </w:tcPr>
          <w:p>
            <w:pPr>
              <w:pStyle w:val="TableContents"/>
              <w:bidi w:val="0"/>
              <w:spacing w:before="0" w:after="283"/>
              <w:jc w:val="right"/>
              <w:rPr/>
            </w:pPr>
            <w:r>
              <w:rPr/>
              <w:t> </w:t>
            </w:r>
          </w:p>
        </w:tc>
        <w:tc>
          <w:tcPr>
            <w:tcW w:w="312" w:type="dxa"/>
            <w:tcBorders>
              <w:bottom w:val="single" w:sz="2" w:space="0" w:color="939598"/>
            </w:tcBorders>
            <w:tcMar>
              <w:bottom w:w="28" w:type="dxa"/>
            </w:tcMar>
            <w:vAlign w:val="center"/>
          </w:tcPr>
          <w:p>
            <w:pPr>
              <w:pStyle w:val="TableContents"/>
              <w:bidi w:val="0"/>
              <w:spacing w:before="0" w:after="283"/>
              <w:jc w:val="left"/>
              <w:rPr/>
            </w:pPr>
            <w:r>
              <w:rPr/>
              <w:t> </w:t>
            </w:r>
          </w:p>
        </w:tc>
        <w:tc>
          <w:tcPr>
            <w:tcW w:w="64" w:type="dxa"/>
            <w:tcBorders>
              <w:bottom w:val="single" w:sz="2" w:space="0" w:color="939598"/>
            </w:tcBorders>
            <w:tcMar>
              <w:bottom w:w="28" w:type="dxa"/>
            </w:tcMar>
            <w:vAlign w:val="center"/>
          </w:tcPr>
          <w:p>
            <w:pPr>
              <w:pStyle w:val="TableContents"/>
              <w:bidi w:val="0"/>
              <w:spacing w:before="0" w:after="283"/>
              <w:jc w:val="right"/>
              <w:rPr/>
            </w:pPr>
            <w:r>
              <w:rPr/>
              <w:t> </w:t>
            </w:r>
          </w:p>
        </w:tc>
        <w:tc>
          <w:tcPr>
            <w:tcW w:w="89" w:type="dxa"/>
            <w:tcBorders>
              <w:bottom w:val="single" w:sz="2" w:space="0" w:color="939598"/>
            </w:tcBorders>
            <w:tcMar>
              <w:bottom w:w="28" w:type="dxa"/>
            </w:tcMar>
            <w:vAlign w:val="center"/>
          </w:tcPr>
          <w:p>
            <w:pPr>
              <w:pStyle w:val="TableContents"/>
              <w:bidi w:val="0"/>
              <w:spacing w:before="0" w:after="283"/>
              <w:jc w:val="right"/>
              <w:rPr/>
            </w:pPr>
            <w:r>
              <w:rPr/>
              <w:t> </w:t>
            </w:r>
          </w:p>
        </w:tc>
        <w:tc>
          <w:tcPr>
            <w:tcW w:w="655" w:type="dxa"/>
            <w:tcBorders>
              <w:bottom w:val="single" w:sz="2" w:space="0" w:color="939598"/>
            </w:tcBorders>
            <w:tcMar>
              <w:bottom w:w="28" w:type="dxa"/>
            </w:tcMar>
            <w:vAlign w:val="center"/>
          </w:tcPr>
          <w:p>
            <w:pPr>
              <w:pStyle w:val="TableContents"/>
              <w:bidi w:val="0"/>
              <w:spacing w:before="0" w:after="283"/>
              <w:jc w:val="right"/>
              <w:rPr/>
            </w:pPr>
            <w:r>
              <w:rPr/>
              <w:t> </w:t>
            </w:r>
          </w:p>
        </w:tc>
        <w:tc>
          <w:tcPr>
            <w:tcW w:w="215" w:type="dxa"/>
            <w:tcBorders>
              <w:bottom w:val="single" w:sz="2" w:space="0" w:color="939598"/>
            </w:tcBorders>
            <w:tcMar>
              <w:bottom w:w="28" w:type="dxa"/>
            </w:tcMar>
            <w:vAlign w:val="center"/>
          </w:tcPr>
          <w:p>
            <w:pPr>
              <w:pStyle w:val="TableContents"/>
              <w:bidi w:val="0"/>
              <w:spacing w:before="0" w:after="283"/>
              <w:jc w:val="left"/>
              <w:rPr/>
            </w:pPr>
            <w:r>
              <w:rPr/>
              <w:t> </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4,472</w:t>
            </w:r>
          </w:p>
        </w:tc>
        <w:tc>
          <w:tcPr>
            <w:tcW w:w="308" w:type="dxa"/>
            <w:tcBorders>
              <w:bottom w:val="single" w:sz="2" w:space="0" w:color="939598"/>
            </w:tcBorders>
            <w:tcMar>
              <w:bottom w:w="28" w:type="dxa"/>
            </w:tcMar>
            <w:vAlign w:val="center"/>
          </w:tcPr>
          <w:p>
            <w:pPr>
              <w:pStyle w:val="TableContents"/>
              <w:bidi w:val="0"/>
              <w:spacing w:before="0" w:after="283"/>
              <w:jc w:val="left"/>
              <w:rPr/>
            </w:pPr>
            <w:r>
              <w:rPr>
                <w:position w:val="8"/>
                <w:sz w:val="19"/>
              </w:rPr>
              <w:t>22</w:t>
            </w:r>
            <w:r>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b/>
                <w:color w:val="3B5AA4"/>
              </w:rPr>
            </w:pPr>
            <w:r>
              <w:rPr>
                <w:b/>
                <w:color w:val="3B5AA4"/>
              </w:rPr>
              <w:t>George L. Sing</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pPr>
            <w:r>
              <w:rPr/>
              <w:t>73,237</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pPr>
            <w:r>
              <w:rPr>
                <w:position w:val="8"/>
                <w:sz w:val="19"/>
              </w:rPr>
              <w:t>23</w:t>
            </w: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3B5AA4"/>
              </w:rPr>
            </w:pPr>
            <w:r>
              <w:rPr>
                <w:b/>
                <w:color w:val="3B5AA4"/>
              </w:rPr>
              <w:t>Craig B. Thompson, M.D.</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6,697</w:t>
            </w:r>
          </w:p>
        </w:tc>
        <w:tc>
          <w:tcPr>
            <w:tcW w:w="308" w:type="dxa"/>
            <w:tcBorders>
              <w:bottom w:val="single" w:sz="2" w:space="0" w:color="939598"/>
            </w:tcBorders>
            <w:tcMar>
              <w:bottom w:w="28" w:type="dxa"/>
            </w:tcMar>
            <w:vAlign w:val="center"/>
          </w:tcPr>
          <w:p>
            <w:pPr>
              <w:pStyle w:val="TableContents"/>
              <w:bidi w:val="0"/>
              <w:spacing w:before="0" w:after="283"/>
              <w:jc w:val="left"/>
              <w:rPr/>
            </w:pPr>
            <w:r>
              <w:rPr>
                <w:position w:val="8"/>
                <w:sz w:val="19"/>
              </w:rPr>
              <w:t>24</w:t>
            </w:r>
            <w:r>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EBEBEC" w:val="clear"/>
            <w:tcMar>
              <w:bottom w:w="28" w:type="dxa"/>
            </w:tcMar>
            <w:vAlign w:val="center"/>
          </w:tcPr>
          <w:p>
            <w:pPr>
              <w:pStyle w:val="TableContents"/>
              <w:bidi w:val="0"/>
              <w:spacing w:before="0" w:after="283"/>
              <w:jc w:val="left"/>
              <w:rPr>
                <w:b/>
                <w:color w:val="3B5AA4"/>
              </w:rPr>
            </w:pPr>
            <w:r>
              <w:rPr>
                <w:b/>
                <w:color w:val="3B5AA4"/>
              </w:rPr>
              <w:t>Daniel P. Van Plew</w:t>
            </w:r>
          </w:p>
        </w:tc>
        <w:tc>
          <w:tcPr>
            <w:tcW w:w="60"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shd w:fill="EBEBEC" w:val="clear"/>
            <w:tcMar>
              <w:bottom w:w="28" w:type="dxa"/>
            </w:tcMar>
            <w:vAlign w:val="center"/>
          </w:tcPr>
          <w:p>
            <w:pPr>
              <w:pStyle w:val="TableContents"/>
              <w:bidi w:val="0"/>
              <w:spacing w:before="0" w:after="283"/>
              <w:jc w:val="right"/>
              <w:rPr/>
            </w:pPr>
            <w:r>
              <w:rPr/>
              <w:t>91,906</w:t>
            </w:r>
          </w:p>
        </w:tc>
        <w:tc>
          <w:tcPr>
            <w:tcW w:w="308" w:type="dxa"/>
            <w:tcBorders>
              <w:bottom w:val="single" w:sz="2" w:space="0" w:color="939598"/>
            </w:tcBorders>
            <w:shd w:fill="EBEBEC" w:val="clear"/>
            <w:tcMar>
              <w:bottom w:w="28" w:type="dxa"/>
            </w:tcMar>
            <w:vAlign w:val="center"/>
          </w:tcPr>
          <w:p>
            <w:pPr>
              <w:pStyle w:val="TableContents"/>
              <w:bidi w:val="0"/>
              <w:spacing w:before="0" w:after="283"/>
              <w:jc w:val="left"/>
              <w:rPr/>
            </w:pPr>
            <w:r>
              <w:rPr>
                <w:position w:val="8"/>
                <w:sz w:val="19"/>
              </w:rPr>
              <w:t>25</w:t>
            </w:r>
            <w:r>
              <w:rPr/>
              <w:t> </w:t>
            </w:r>
          </w:p>
        </w:tc>
        <w:tc>
          <w:tcPr>
            <w:tcW w:w="63"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shd w:fill="EBEBEC" w:val="clear"/>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shd w:fill="EBEBEC" w:val="clear"/>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939598"/>
            </w:tcBorders>
            <w:shd w:fill="FFFFFF" w:val="clear"/>
            <w:tcMar>
              <w:bottom w:w="28" w:type="dxa"/>
            </w:tcMar>
            <w:vAlign w:val="center"/>
          </w:tcPr>
          <w:p>
            <w:pPr>
              <w:pStyle w:val="TableContents"/>
              <w:bidi w:val="0"/>
              <w:spacing w:before="0" w:after="283"/>
              <w:jc w:val="left"/>
              <w:rPr>
                <w:b/>
                <w:color w:val="3B5AA4"/>
              </w:rPr>
            </w:pPr>
            <w:r>
              <w:rPr>
                <w:b/>
                <w:color w:val="3B5AA4"/>
              </w:rPr>
              <w:t>Huda Y. Zoghbi, M.D.</w:t>
            </w:r>
          </w:p>
        </w:tc>
        <w:tc>
          <w:tcPr>
            <w:tcW w:w="60"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312"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939598"/>
            </w:tcBorders>
            <w:tcMar>
              <w:bottom w:w="28" w:type="dxa"/>
            </w:tcMar>
            <w:vAlign w:val="center"/>
          </w:tcPr>
          <w:p>
            <w:pPr>
              <w:pStyle w:val="TableContents"/>
              <w:bidi w:val="0"/>
              <w:spacing w:before="0" w:after="283"/>
              <w:jc w:val="right"/>
              <w:rPr>
                <w:color w:val="231F20"/>
              </w:rPr>
            </w:pPr>
            <w:r>
              <w:rPr>
                <w:color w:val="231F20"/>
              </w:rPr>
              <w:t>—</w:t>
            </w:r>
          </w:p>
        </w:tc>
        <w:tc>
          <w:tcPr>
            <w:tcW w:w="215" w:type="dxa"/>
            <w:tcBorders>
              <w:bottom w:val="single" w:sz="2" w:space="0" w:color="939598"/>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939598"/>
            </w:tcBorders>
            <w:tcMar>
              <w:bottom w:w="28" w:type="dxa"/>
            </w:tcMar>
            <w:vAlign w:val="center"/>
          </w:tcPr>
          <w:p>
            <w:pPr>
              <w:pStyle w:val="TableContents"/>
              <w:bidi w:val="0"/>
              <w:spacing w:before="0" w:after="283"/>
              <w:jc w:val="right"/>
              <w:rPr/>
            </w:pPr>
            <w:r>
              <w:rPr/>
              <w:t> </w:t>
            </w:r>
          </w:p>
        </w:tc>
        <w:tc>
          <w:tcPr>
            <w:tcW w:w="63" w:type="dxa"/>
            <w:tcBorders>
              <w:bottom w:val="single" w:sz="2" w:space="0" w:color="939598"/>
            </w:tcBorders>
            <w:tcMar>
              <w:bottom w:w="28" w:type="dxa"/>
            </w:tcMar>
            <w:vAlign w:val="center"/>
          </w:tcPr>
          <w:p>
            <w:pPr>
              <w:pStyle w:val="TableContents"/>
              <w:bidi w:val="0"/>
              <w:spacing w:before="0" w:after="283"/>
              <w:jc w:val="right"/>
              <w:rPr/>
            </w:pPr>
            <w:r>
              <w:rPr/>
              <w:t> </w:t>
            </w:r>
          </w:p>
        </w:tc>
        <w:tc>
          <w:tcPr>
            <w:tcW w:w="1042" w:type="dxa"/>
            <w:tcBorders>
              <w:bottom w:val="single" w:sz="2" w:space="0" w:color="939598"/>
            </w:tcBorders>
            <w:tcMar>
              <w:bottom w:w="28" w:type="dxa"/>
            </w:tcMar>
            <w:vAlign w:val="center"/>
          </w:tcPr>
          <w:p>
            <w:pPr>
              <w:pStyle w:val="TableContents"/>
              <w:bidi w:val="0"/>
              <w:spacing w:before="0" w:after="283"/>
              <w:jc w:val="right"/>
              <w:rPr/>
            </w:pPr>
            <w:r>
              <w:rPr/>
              <w:t>30,203</w:t>
            </w:r>
          </w:p>
        </w:tc>
        <w:tc>
          <w:tcPr>
            <w:tcW w:w="308" w:type="dxa"/>
            <w:tcBorders>
              <w:bottom w:val="single" w:sz="2" w:space="0" w:color="939598"/>
            </w:tcBorders>
            <w:tcMar>
              <w:bottom w:w="28" w:type="dxa"/>
            </w:tcMar>
            <w:vAlign w:val="center"/>
          </w:tcPr>
          <w:p>
            <w:pPr>
              <w:pStyle w:val="TableContents"/>
              <w:bidi w:val="0"/>
              <w:spacing w:before="0" w:after="283"/>
              <w:jc w:val="left"/>
              <w:rPr/>
            </w:pPr>
            <w:r>
              <w:rPr>
                <w:position w:val="8"/>
                <w:sz w:val="19"/>
              </w:rPr>
              <w:t>26</w:t>
            </w:r>
            <w:r>
              <w:rPr/>
              <w:t> </w:t>
            </w:r>
          </w:p>
        </w:tc>
        <w:tc>
          <w:tcPr>
            <w:tcW w:w="63"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71"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69" w:type="dxa"/>
            <w:tcBorders>
              <w:bottom w:val="single" w:sz="2" w:space="0" w:color="939598"/>
            </w:tcBorders>
            <w:tcMar>
              <w:bottom w:w="28" w:type="dxa"/>
            </w:tcMar>
            <w:vAlign w:val="center"/>
          </w:tcPr>
          <w:p>
            <w:pPr>
              <w:pStyle w:val="TableContents"/>
              <w:bidi w:val="0"/>
              <w:spacing w:before="0" w:after="283"/>
              <w:jc w:val="right"/>
              <w:rPr>
                <w:color w:val="010101"/>
              </w:rPr>
            </w:pPr>
            <w:r>
              <w:rPr>
                <w:color w:val="010101"/>
              </w:rPr>
              <w:t> </w:t>
            </w:r>
          </w:p>
        </w:tc>
        <w:tc>
          <w:tcPr>
            <w:tcW w:w="330" w:type="dxa"/>
            <w:tcBorders>
              <w:bottom w:val="single" w:sz="2" w:space="0" w:color="939598"/>
            </w:tcBorders>
            <w:tcMar>
              <w:bottom w:w="28" w:type="dxa"/>
            </w:tcMar>
            <w:vAlign w:val="center"/>
          </w:tcPr>
          <w:p>
            <w:pPr>
              <w:pStyle w:val="TableContents"/>
              <w:bidi w:val="0"/>
              <w:spacing w:before="0" w:after="283"/>
              <w:jc w:val="left"/>
              <w:rPr>
                <w:color w:val="010101"/>
              </w:rPr>
            </w:pPr>
            <w:r>
              <w:rPr>
                <w:color w:val="010101"/>
                <w:position w:val="8"/>
                <w:sz w:val="19"/>
              </w:rPr>
              <w:t>28</w:t>
            </w:r>
            <w:r>
              <w:rPr>
                <w:color w:val="010101"/>
              </w:rPr>
              <w:t> </w:t>
            </w:r>
          </w:p>
        </w:tc>
      </w:tr>
      <w:tr>
        <w:trPr/>
        <w:tc>
          <w:tcPr>
            <w:tcW w:w="5386" w:type="dxa"/>
            <w:tcBorders>
              <w:bottom w:val="single" w:sz="2" w:space="0" w:color="3B59A4"/>
            </w:tcBorders>
            <w:shd w:fill="EBEBEC" w:val="clear"/>
            <w:tcMar>
              <w:bottom w:w="28" w:type="dxa"/>
            </w:tcMar>
            <w:vAlign w:val="center"/>
          </w:tcPr>
          <w:p>
            <w:pPr>
              <w:pStyle w:val="TableContents"/>
              <w:bidi w:val="0"/>
              <w:spacing w:before="0" w:after="283"/>
              <w:jc w:val="left"/>
              <w:rPr>
                <w:b/>
                <w:color w:val="231F20"/>
              </w:rPr>
            </w:pPr>
            <w:r>
              <w:rPr>
                <w:b/>
                <w:color w:val="231F20"/>
              </w:rPr>
              <w:t>All Directors and Current Executive Officers as a Group (19 persons)</w:t>
            </w:r>
          </w:p>
        </w:tc>
        <w:tc>
          <w:tcPr>
            <w:tcW w:w="60" w:type="dxa"/>
            <w:tcBorders>
              <w:bottom w:val="single" w:sz="2" w:space="0" w:color="3B59A4"/>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3B59A4"/>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054" w:type="dxa"/>
            <w:tcBorders>
              <w:bottom w:val="single" w:sz="2" w:space="0" w:color="3B59A4"/>
            </w:tcBorders>
            <w:shd w:fill="EBEBEC" w:val="clear"/>
            <w:tcMar>
              <w:bottom w:w="28" w:type="dxa"/>
            </w:tcMar>
            <w:vAlign w:val="center"/>
          </w:tcPr>
          <w:p>
            <w:pPr>
              <w:pStyle w:val="TableContents"/>
              <w:bidi w:val="0"/>
              <w:spacing w:before="0" w:after="283"/>
              <w:jc w:val="right"/>
              <w:rPr>
                <w:color w:val="231F20"/>
              </w:rPr>
            </w:pPr>
            <w:r>
              <w:rPr>
                <w:color w:val="231F20"/>
              </w:rPr>
              <w:t>1,768,315</w:t>
            </w:r>
          </w:p>
        </w:tc>
        <w:tc>
          <w:tcPr>
            <w:tcW w:w="312" w:type="dxa"/>
            <w:tcBorders>
              <w:bottom w:val="single" w:sz="2" w:space="0" w:color="3B59A4"/>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4" w:type="dxa"/>
            <w:tcBorders>
              <w:bottom w:val="single" w:sz="2" w:space="0" w:color="3B59A4"/>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89" w:type="dxa"/>
            <w:tcBorders>
              <w:bottom w:val="single" w:sz="2" w:space="0" w:color="3B59A4"/>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655" w:type="dxa"/>
            <w:tcBorders>
              <w:bottom w:val="single" w:sz="2" w:space="0" w:color="3B59A4"/>
            </w:tcBorders>
            <w:shd w:fill="EBEBEC" w:val="clear"/>
            <w:tcMar>
              <w:bottom w:w="28" w:type="dxa"/>
            </w:tcMar>
            <w:vAlign w:val="center"/>
          </w:tcPr>
          <w:p>
            <w:pPr>
              <w:pStyle w:val="TableContents"/>
              <w:bidi w:val="0"/>
              <w:spacing w:before="0" w:after="283"/>
              <w:jc w:val="right"/>
              <w:rPr>
                <w:color w:val="231F20"/>
              </w:rPr>
            </w:pPr>
            <w:r>
              <w:rPr>
                <w:color w:val="231F20"/>
              </w:rPr>
              <w:t>97.4</w:t>
            </w:r>
          </w:p>
        </w:tc>
        <w:tc>
          <w:tcPr>
            <w:tcW w:w="215" w:type="dxa"/>
            <w:tcBorders>
              <w:bottom w:val="single" w:sz="2" w:space="0" w:color="3B59A4"/>
            </w:tcBorders>
            <w:shd w:fill="EBEBEC" w:val="clear"/>
            <w:tcMar>
              <w:bottom w:w="28" w:type="dxa"/>
            </w:tcMar>
            <w:vAlign w:val="center"/>
          </w:tcPr>
          <w:p>
            <w:pPr>
              <w:pStyle w:val="TableContents"/>
              <w:bidi w:val="0"/>
              <w:spacing w:before="0" w:after="283"/>
              <w:jc w:val="left"/>
              <w:rPr>
                <w:color w:val="231F20"/>
              </w:rPr>
            </w:pPr>
            <w:r>
              <w:rPr>
                <w:color w:val="231F20"/>
              </w:rPr>
              <w:t>%</w:t>
            </w:r>
          </w:p>
        </w:tc>
        <w:tc>
          <w:tcPr>
            <w:tcW w:w="60" w:type="dxa"/>
            <w:tcBorders>
              <w:bottom w:val="single" w:sz="2" w:space="0" w:color="3B59A4"/>
            </w:tcBorders>
            <w:shd w:fill="EBEBEC" w:val="clear"/>
            <w:tcMar>
              <w:bottom w:w="28" w:type="dxa"/>
            </w:tcMar>
            <w:vAlign w:val="center"/>
          </w:tcPr>
          <w:p>
            <w:pPr>
              <w:pStyle w:val="TableContents"/>
              <w:bidi w:val="0"/>
              <w:spacing w:before="0" w:after="283"/>
              <w:jc w:val="right"/>
              <w:rPr/>
            </w:pPr>
            <w:r>
              <w:rPr/>
              <w:t> </w:t>
            </w:r>
          </w:p>
        </w:tc>
        <w:tc>
          <w:tcPr>
            <w:tcW w:w="63" w:type="dxa"/>
            <w:tcBorders>
              <w:bottom w:val="single" w:sz="2" w:space="0" w:color="3B59A4"/>
            </w:tcBorders>
            <w:shd w:fill="EBEBEC" w:val="clear"/>
            <w:tcMar>
              <w:bottom w:w="28" w:type="dxa"/>
            </w:tcMar>
            <w:vAlign w:val="center"/>
          </w:tcPr>
          <w:p>
            <w:pPr>
              <w:pStyle w:val="TableContents"/>
              <w:bidi w:val="0"/>
              <w:spacing w:before="0" w:after="283"/>
              <w:jc w:val="right"/>
              <w:rPr/>
            </w:pPr>
            <w:r>
              <w:rPr/>
              <w:t> </w:t>
            </w:r>
          </w:p>
        </w:tc>
        <w:tc>
          <w:tcPr>
            <w:tcW w:w="1042" w:type="dxa"/>
            <w:tcBorders>
              <w:bottom w:val="single" w:sz="2" w:space="0" w:color="3B59A4"/>
            </w:tcBorders>
            <w:shd w:fill="EBEBEC" w:val="clear"/>
            <w:tcMar>
              <w:bottom w:w="28" w:type="dxa"/>
            </w:tcMar>
            <w:vAlign w:val="center"/>
          </w:tcPr>
          <w:p>
            <w:pPr>
              <w:pStyle w:val="TableContents"/>
              <w:bidi w:val="0"/>
              <w:spacing w:before="0" w:after="283"/>
              <w:jc w:val="right"/>
              <w:rPr/>
            </w:pPr>
            <w:r>
              <w:rPr/>
              <w:t>5,808,697</w:t>
            </w:r>
          </w:p>
        </w:tc>
        <w:tc>
          <w:tcPr>
            <w:tcW w:w="308" w:type="dxa"/>
            <w:tcBorders>
              <w:bottom w:val="single" w:sz="2" w:space="0" w:color="3B59A4"/>
            </w:tcBorders>
            <w:shd w:fill="EBEBEC" w:val="clear"/>
            <w:tcMar>
              <w:bottom w:w="28" w:type="dxa"/>
            </w:tcMar>
            <w:vAlign w:val="center"/>
          </w:tcPr>
          <w:p>
            <w:pPr>
              <w:pStyle w:val="TableContents"/>
              <w:bidi w:val="0"/>
              <w:spacing w:before="0" w:after="283"/>
              <w:jc w:val="left"/>
              <w:rPr/>
            </w:pPr>
            <w:r>
              <w:rPr>
                <w:position w:val="8"/>
                <w:sz w:val="19"/>
              </w:rPr>
              <w:t>27</w:t>
            </w:r>
            <w:r>
              <w:rPr/>
              <w:t> </w:t>
            </w:r>
          </w:p>
        </w:tc>
        <w:tc>
          <w:tcPr>
            <w:tcW w:w="63" w:type="dxa"/>
            <w:tcBorders>
              <w:bottom w:val="single" w:sz="2" w:space="0" w:color="3B59A4"/>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71" w:type="dxa"/>
            <w:tcBorders>
              <w:bottom w:val="single" w:sz="2" w:space="0" w:color="3B59A4"/>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369" w:type="dxa"/>
            <w:tcBorders>
              <w:bottom w:val="single" w:sz="2" w:space="0" w:color="3B59A4"/>
            </w:tcBorders>
            <w:shd w:fill="EBEBEC" w:val="clear"/>
            <w:tcMar>
              <w:bottom w:w="28" w:type="dxa"/>
            </w:tcMar>
            <w:vAlign w:val="center"/>
          </w:tcPr>
          <w:p>
            <w:pPr>
              <w:pStyle w:val="TableContents"/>
              <w:bidi w:val="0"/>
              <w:spacing w:before="0" w:after="283"/>
              <w:jc w:val="right"/>
              <w:rPr>
                <w:color w:val="231F20"/>
              </w:rPr>
            </w:pPr>
            <w:r>
              <w:rPr>
                <w:color w:val="231F20"/>
              </w:rPr>
              <w:t>5.3</w:t>
            </w:r>
          </w:p>
        </w:tc>
        <w:tc>
          <w:tcPr>
            <w:tcW w:w="330" w:type="dxa"/>
            <w:tcBorders>
              <w:bottom w:val="single" w:sz="2" w:space="0" w:color="3B59A4"/>
            </w:tcBorders>
            <w:shd w:fill="EBEBEC" w:val="clear"/>
            <w:tcMar>
              <w:bottom w:w="28" w:type="dxa"/>
            </w:tcMar>
            <w:vAlign w:val="center"/>
          </w:tcPr>
          <w:p>
            <w:pPr>
              <w:pStyle w:val="TableContents"/>
              <w:bidi w:val="0"/>
              <w:spacing w:before="0" w:after="283"/>
              <w:jc w:val="left"/>
              <w:rPr>
                <w:color w:val="231F20"/>
              </w:rPr>
            </w:pPr>
            <w:r>
              <w:rPr>
                <w:color w:val="231F20"/>
              </w:rPr>
              <w:t>%</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The inclusion in this table of any Class A stock or common stock, as the case may be, deemed beneficially owned does not constitute an admission of beneficial ownership of those shares.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60"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43" descr=""/>
                          <pic:cNvPicPr>
                            <a:picLocks noChangeAspect="1" noChangeArrowheads="1"/>
                          </pic:cNvPicPr>
                        </pic:nvPicPr>
                        <pic:blipFill>
                          <a:blip r:embed="rId255"/>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9960" w:type="dxa"/>
            <w:tcBorders/>
            <w:vAlign w:val="center"/>
          </w:tcPr>
          <w:p>
            <w:pPr>
              <w:pStyle w:val="TableContents"/>
              <w:bidi w:val="0"/>
              <w:spacing w:before="0" w:after="283"/>
              <w:jc w:val="left"/>
              <w:rPr>
                <w:color w:val="231F20"/>
              </w:rPr>
            </w:pPr>
            <w:r>
              <w:rPr>
                <w:color w:val="231F20"/>
              </w:rPr>
              <w:t>Based solely on an amendment to a Schedule 13G filed by The Vanguard Group, Inc. on February 13, 2024. According to this amendment, The Vanguard Group, Inc. has shared voting power as to 132,744, sole dispositive power as to 8,390,875, and shared dispositive power as to 447,365 of the shares reported as beneficially owned.</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9960" w:type="dxa"/>
            <w:tcBorders/>
            <w:vAlign w:val="center"/>
          </w:tcPr>
          <w:p>
            <w:pPr>
              <w:pStyle w:val="TableContents"/>
              <w:bidi w:val="0"/>
              <w:spacing w:before="0" w:after="283"/>
              <w:jc w:val="left"/>
              <w:rPr>
                <w:color w:val="231F20"/>
              </w:rPr>
            </w:pPr>
            <w:r>
              <w:rPr>
                <w:color w:val="231F20"/>
              </w:rPr>
              <w:t>Based solely on an amendment to a Schedule 13G filed by BlackRock, Inc. on January 25, 2024. According to this amendment, BlackRock, Inc. has sole voting power as to 7,824,297 of the shares reported as beneficially owned and sole dispositive power as to all of the shares reported as beneficially owned.</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9960" w:type="dxa"/>
            <w:tcBorders/>
            <w:vAlign w:val="center"/>
          </w:tcPr>
          <w:p>
            <w:pPr>
              <w:pStyle w:val="TableContents"/>
              <w:bidi w:val="0"/>
              <w:spacing w:before="0" w:after="283"/>
              <w:jc w:val="left"/>
              <w:rPr>
                <w:color w:val="231F20"/>
              </w:rPr>
            </w:pPr>
            <w:r>
              <w:rPr>
                <w:color w:val="231F20"/>
              </w:rPr>
              <w:t>Based solely on an amendment to a Schedule 13G jointly filed by FMR LLC and Abigail P. Johnson on February 12, 2025. According to this amendment, FMR LLC has sole voting power as to 7,823,952 of the shares reported as beneficially owned and sole dispositive power as to all of the shares reported as beneficially owned.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as amended, to form a controlling group with respect to FMR LLC.</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6</w:t>
            </w:r>
          </w:p>
        </w:tc>
        <w:tc>
          <w:tcPr>
            <w:tcW w:w="9960" w:type="dxa"/>
            <w:tcBorders/>
            <w:vAlign w:val="center"/>
          </w:tcPr>
          <w:p>
            <w:pPr>
              <w:pStyle w:val="TableContents"/>
              <w:bidi w:val="0"/>
              <w:spacing w:before="0" w:after="283"/>
              <w:jc w:val="left"/>
              <w:rPr>
                <w:color w:val="231F20"/>
              </w:rPr>
            </w:pPr>
            <w:r>
              <w:rPr>
                <w:color w:val="231F20"/>
              </w:rPr>
              <w:t>Based solely on an amendment to a Schedule 13G filed by JPMorgan Chase &amp; Co. on January 25, 2024. According to this amendment, JPMorgan Chase &amp; Co. has sole voting power as to 6,521,043, shared voting power as to 25,308, sole dispositive power as to 7,180,482, and shared dispositive power as to 35,881 of the shares reported as beneficially owned.</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7</w:t>
            </w:r>
          </w:p>
        </w:tc>
        <w:tc>
          <w:tcPr>
            <w:tcW w:w="9960" w:type="dxa"/>
            <w:tcBorders/>
            <w:vAlign w:val="center"/>
          </w:tcPr>
          <w:p>
            <w:pPr>
              <w:pStyle w:val="TableContents"/>
              <w:bidi w:val="0"/>
              <w:spacing w:before="0" w:after="283"/>
              <w:jc w:val="left"/>
              <w:rPr>
                <w:color w:val="231F20"/>
              </w:rPr>
            </w:pPr>
            <w:r>
              <w:rPr>
                <w:color w:val="231F20"/>
              </w:rPr>
              <w:t>The address for each director and executive officer is c/o Regeneron Pharmaceuticals, Inc., 777 Old Saw Mill River Road, Tarrytown, New York 10591-6707.</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8</w:t>
            </w:r>
          </w:p>
        </w:tc>
        <w:tc>
          <w:tcPr>
            <w:tcW w:w="9960" w:type="dxa"/>
            <w:tcBorders/>
            <w:vAlign w:val="center"/>
          </w:tcPr>
          <w:p>
            <w:pPr>
              <w:pStyle w:val="TableContents"/>
              <w:bidi w:val="0"/>
              <w:spacing w:before="0" w:after="283"/>
              <w:jc w:val="left"/>
              <w:rPr>
                <w:color w:val="231F20"/>
              </w:rPr>
            </w:pPr>
            <w:r>
              <w:rPr>
                <w:color w:val="231F20"/>
              </w:rPr>
              <w:t>Includes 14,775 shares of Class A stock held in a trust for the benefit of Dr. Schleifer’s son, of which Dr. Schleifer is a trustee.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9</w:t>
            </w:r>
          </w:p>
        </w:tc>
        <w:tc>
          <w:tcPr>
            <w:tcW w:w="9960" w:type="dxa"/>
            <w:tcBorders/>
            <w:vAlign w:val="center"/>
          </w:tcPr>
          <w:p>
            <w:pPr>
              <w:pStyle w:val="TableContents"/>
              <w:bidi w:val="0"/>
              <w:spacing w:before="0" w:after="283"/>
              <w:jc w:val="left"/>
              <w:rPr>
                <w:color w:val="231F20"/>
              </w:rPr>
            </w:pPr>
            <w:r>
              <w:rPr>
                <w:color w:val="231F20"/>
              </w:rPr>
              <w:t>Includes (i) 669,303 shares of common stock purchasable upon the exercise of options granted pursuant to the Regeneron Pharmaceuticals, Inc. 2014 Long-Term Incentive Plan, the Amended and Restated Regeneron Pharmaceuticals, Inc. 2014 Long-Term Incentive Plan, or the Second Amended and Restated Regeneron Pharmaceuticals, Inc. 2014 Long-Term Incentive Plan (collectively, the “Long-Term Incentive Plans”) that are exercisable or become so within sixty days after April 15, 2025; (ii) 407,552 shares of common stock held in grantor retained annuity trusts of which Dr. Schleifer is the trustee; (iii) 39,985 shares of common stock held in a trust for the benefit of Dr. Schleifer’s family members, of which Dr. Schleifer’s spouse is a trustee; (iv) 100 shares of common stock held in a charitable foundation of which Dr. Schleifer is a director and officer; and (v) 5,962 shares of common stock held in an account under the Company’s 401(k) Savings Plan.</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10</w:t>
            </w:r>
          </w:p>
        </w:tc>
        <w:tc>
          <w:tcPr>
            <w:tcW w:w="9960" w:type="dxa"/>
            <w:tcBorders/>
            <w:vAlign w:val="center"/>
          </w:tcPr>
          <w:p>
            <w:pPr>
              <w:pStyle w:val="TableContents"/>
              <w:bidi w:val="0"/>
              <w:spacing w:before="0" w:after="283"/>
              <w:jc w:val="left"/>
              <w:rPr>
                <w:color w:val="231F20"/>
              </w:rPr>
            </w:pPr>
            <w:r>
              <w:rPr>
                <w:color w:val="231F20"/>
              </w:rPr>
              <w:t>Of these shares, 23,367 shares are held in trust for the benefit of Dr. Yancopoulos’s children and certain other family members; Dr. Yancopoulos is a trustee of the trust. The remaining 19,383 shares are held in trusts for the benefit of Dr. Yancopoulos’s children, of which Dr. Yancopoulos is the trustee.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11</w:t>
            </w:r>
          </w:p>
        </w:tc>
        <w:tc>
          <w:tcPr>
            <w:tcW w:w="9960" w:type="dxa"/>
            <w:tcBorders/>
            <w:vAlign w:val="center"/>
          </w:tcPr>
          <w:p>
            <w:pPr>
              <w:pStyle w:val="TableContents"/>
              <w:bidi w:val="0"/>
              <w:spacing w:before="0" w:after="283"/>
              <w:jc w:val="left"/>
              <w:rPr>
                <w:color w:val="231F20"/>
              </w:rPr>
            </w:pPr>
            <w:r>
              <w:rPr>
                <w:color w:val="231F20"/>
              </w:rPr>
              <w:t>Includes (i) 643,395 shares of common stock purchasable upon exercise of options granted pursuant to the Long-Term Incentive Plans that are exercisable or become so within sixty days after April 15, 2025; (ii) 5,933 shares of common stock held in an account under the Company’s 401(k) Savings Plan; (iii) 468,994 shares of common stock held in a trust for the benefit of Dr. Yancopoulos’s children and certain other family members, of which Dr. Yancopoulos is a trustee; (iv) 180,000 shares of common stock held in trusts for the benefit of Dr. Yancopoulos’s children; (v) 400,000 shares of common stock held in grantor retained annuity trusts of which Dr. Yancopoulos is the trustee; and (vi) 56,048 shares of common stock held by certain of Dr. Yancopoulos’s children.</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12</w:t>
            </w:r>
          </w:p>
        </w:tc>
        <w:tc>
          <w:tcPr>
            <w:tcW w:w="9960" w:type="dxa"/>
            <w:tcBorders/>
            <w:vAlign w:val="center"/>
          </w:tcPr>
          <w:p>
            <w:pPr>
              <w:pStyle w:val="TableContents"/>
              <w:bidi w:val="0"/>
              <w:spacing w:before="0" w:after="283"/>
              <w:jc w:val="left"/>
              <w:rPr>
                <w:color w:val="231F20"/>
              </w:rPr>
            </w:pPr>
            <w:r>
              <w:rPr>
                <w:color w:val="231F20"/>
              </w:rPr>
              <w:t>Consists of (i) 16,602 shares of common stock purchasable upon exercise of options granted pursuant to the Long-Term Incentive Plans that are exercisable or become so within sixty days after April 15, 2025; and (ii) 1,456 shares of common stock issuable upon settlement of RSUs that are releasable within sixty days after April 15, 2025 upon termination of service.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13</w:t>
            </w:r>
          </w:p>
        </w:tc>
        <w:tc>
          <w:tcPr>
            <w:tcW w:w="9960" w:type="dxa"/>
            <w:tcBorders/>
            <w:vAlign w:val="center"/>
          </w:tcPr>
          <w:p>
            <w:pPr>
              <w:pStyle w:val="TableContents"/>
              <w:bidi w:val="0"/>
              <w:spacing w:before="0" w:after="283"/>
              <w:jc w:val="left"/>
              <w:rPr>
                <w:color w:val="231F20"/>
              </w:rPr>
            </w:pPr>
            <w:r>
              <w:rPr>
                <w:color w:val="231F20"/>
              </w:rPr>
              <w:t>Consists of (i) 4,405 shares of common stock purchasable upon exercise of options granted pursuant to the Long-Term Incentive Plans that are exercisable or become so within sixty days after April 15, 2025; (ii) 6,162 shares of common stock held in a trust of which Dr. Brown and his spouse are trustees for the benefit of Dr. Brown’s immediate family members; (iii) 5,000 shares of common stock held in a trust of which Dr. Brown’s spouse is trustee for the benefit of Dr. Brown’s immediate family members; and (iv) 1,456 shares of common stock issuable upon settlement of RSUs that are releasable within sixty days after April 15, 2025 upon termination of service. Dr. Brown disclaims beneficial ownership of the shares referenced in (iii).</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14</w:t>
            </w:r>
          </w:p>
        </w:tc>
        <w:tc>
          <w:tcPr>
            <w:tcW w:w="9960" w:type="dxa"/>
            <w:tcBorders/>
            <w:vAlign w:val="center"/>
          </w:tcPr>
          <w:p>
            <w:pPr>
              <w:pStyle w:val="TableContents"/>
              <w:bidi w:val="0"/>
              <w:spacing w:before="0" w:after="283"/>
              <w:jc w:val="left"/>
              <w:rPr>
                <w:color w:val="231F20"/>
              </w:rPr>
            </w:pPr>
            <w:r>
              <w:rPr>
                <w:color w:val="231F20"/>
              </w:rPr>
              <w:t>Includes (i) 7,112 shares of common stock purchasable upon exercise of options granted pursuant to the Long-Term Incentive Plans that are exercisable or become so within sixty days after April 15, 2025; and (ii) 1,456 shares of common stock issuable upon settlement of RSUs that are releasable within sixty days after April 16, 2024 upon termination of service.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15</w:t>
            </w:r>
          </w:p>
        </w:tc>
        <w:tc>
          <w:tcPr>
            <w:tcW w:w="9960" w:type="dxa"/>
            <w:tcBorders/>
            <w:vAlign w:val="center"/>
          </w:tcPr>
          <w:p>
            <w:pPr>
              <w:pStyle w:val="TableContents"/>
              <w:bidi w:val="0"/>
              <w:spacing w:before="0" w:after="283"/>
              <w:jc w:val="left"/>
              <w:rPr>
                <w:color w:val="231F20"/>
              </w:rPr>
            </w:pPr>
            <w:r>
              <w:rPr>
                <w:color w:val="231F20"/>
              </w:rPr>
              <w:t>Includes (i) 63,740 shares of common stock purchasable upon exercise of options granted pursuant to the Long-Term Incentive Plans that are exercisable or become so within sixty days after April 15, 2025; (ii) 6,853 shares of restricted stock (“RSAs”); (iii) 1,535 shares of common stock held in an account under the Company’s 401(k) Savings Plan; (iv) 1,897 shares of common stock held in a trust of which Mr. Fenimore and his spouse are trustees for the benefit of Mr. Fenimore’s spouse; and (v) 50 shares of common stock held in trusts of which Mr. Fenimore’s spouse is the trustee for the benefit of Mr. Fenimore’s children.</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16</w:t>
            </w:r>
          </w:p>
        </w:tc>
        <w:tc>
          <w:tcPr>
            <w:tcW w:w="9960" w:type="dxa"/>
            <w:tcBorders/>
            <w:vAlign w:val="center"/>
          </w:tcPr>
          <w:p>
            <w:pPr>
              <w:pStyle w:val="TableContents"/>
              <w:bidi w:val="0"/>
              <w:spacing w:before="0" w:after="283"/>
              <w:jc w:val="left"/>
              <w:rPr>
                <w:color w:val="231F20"/>
              </w:rPr>
            </w:pPr>
            <w:r>
              <w:rPr>
                <w:color w:val="231F20"/>
              </w:rPr>
              <w:t>Includes (i) 4,405 shares of common stock purchasable upon exercise of options granted pursuant to the Long-Term Incentive Plans that are exercisable or become so within sixty days after April 15, 2025; and (ii) 1,456 shares of common stock issuable upon settlement of RSUs that are releasable within sixty days after April 15, 2025 upon termination of service.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17</w:t>
            </w:r>
          </w:p>
        </w:tc>
        <w:tc>
          <w:tcPr>
            <w:tcW w:w="9960" w:type="dxa"/>
            <w:tcBorders/>
            <w:vAlign w:val="center"/>
          </w:tcPr>
          <w:p>
            <w:pPr>
              <w:pStyle w:val="TableContents"/>
              <w:bidi w:val="0"/>
              <w:spacing w:before="0" w:after="283"/>
              <w:jc w:val="left"/>
              <w:rPr>
                <w:color w:val="231F20"/>
              </w:rPr>
            </w:pPr>
            <w:r>
              <w:rPr>
                <w:color w:val="231F20"/>
              </w:rPr>
              <w:t>Consists of (i) 4,116 shares of common stock purchasable upon exercise of options granted pursuant to the Long-Term Incentive Plans that are exercisable or become so within sixty days after April 15, 2025; and (ii) 356 shares of common stock issuable upon settlement of RSUs that are releasable within sixty days after April 15, 2025 upon termination of service.</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61"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44" descr=""/>
                          <pic:cNvPicPr>
                            <a:picLocks noChangeAspect="1" noChangeArrowheads="1"/>
                          </pic:cNvPicPr>
                        </pic:nvPicPr>
                        <pic:blipFill>
                          <a:blip r:embed="rId256"/>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18</w:t>
            </w:r>
          </w:p>
        </w:tc>
        <w:tc>
          <w:tcPr>
            <w:tcW w:w="9960" w:type="dxa"/>
            <w:tcBorders/>
            <w:vAlign w:val="center"/>
          </w:tcPr>
          <w:p>
            <w:pPr>
              <w:pStyle w:val="TableContents"/>
              <w:bidi w:val="0"/>
              <w:spacing w:before="0" w:after="283"/>
              <w:jc w:val="left"/>
              <w:rPr>
                <w:color w:val="231F20"/>
              </w:rPr>
            </w:pPr>
            <w:r>
              <w:rPr>
                <w:color w:val="231F20"/>
              </w:rPr>
              <w:t>Includes (i) 64,281 shares of common stock purchasable upon exercise of options granted pursuant to the Long-Term Incentive Plans that are exercisable or become so within sixty days after April 15, 2025; and (ii) 286 shares of common stock held in an account under the Company’s 401(k) Savings Plan.</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19</w:t>
            </w:r>
          </w:p>
        </w:tc>
        <w:tc>
          <w:tcPr>
            <w:tcW w:w="9960" w:type="dxa"/>
            <w:tcBorders/>
            <w:vAlign w:val="center"/>
          </w:tcPr>
          <w:p>
            <w:pPr>
              <w:pStyle w:val="TableContents"/>
              <w:bidi w:val="0"/>
              <w:spacing w:before="0" w:after="283"/>
              <w:jc w:val="left"/>
              <w:rPr>
                <w:color w:val="231F20"/>
              </w:rPr>
            </w:pPr>
            <w:r>
              <w:rPr>
                <w:color w:val="231F20"/>
              </w:rPr>
              <w:t>Includes (i) 215,077 shares of common stock purchasable upon exercise of options granted pursuant to the Long-Term Incentive Plans that are exercisable or become so within sixty days after April 15, 2025; (ii) 18,778 RSAs; and (iii) 4,348 shares of common stock held in an account under the Company’s 401(k) Savings Plan.</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20</w:t>
            </w:r>
          </w:p>
        </w:tc>
        <w:tc>
          <w:tcPr>
            <w:tcW w:w="9960" w:type="dxa"/>
            <w:tcBorders/>
            <w:vAlign w:val="center"/>
          </w:tcPr>
          <w:p>
            <w:pPr>
              <w:pStyle w:val="TableContents"/>
              <w:bidi w:val="0"/>
              <w:spacing w:before="0" w:after="283"/>
              <w:jc w:val="left"/>
              <w:rPr>
                <w:color w:val="231F20"/>
              </w:rPr>
            </w:pPr>
            <w:r>
              <w:rPr>
                <w:color w:val="231F20"/>
              </w:rPr>
              <w:t>Includes (i) 43,351 shares of common stock purchasable upon exercise of options granted pursuant to the Long-Term Incentive Plans that are exercisable or become so within sixty days after April 15, 2025; and (ii) 1,456 shares of common stock issuable upon settlement of RSUs that are releasable within sixty days after April 15, 2025 upon termination of service.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21</w:t>
            </w:r>
          </w:p>
        </w:tc>
        <w:tc>
          <w:tcPr>
            <w:tcW w:w="9960" w:type="dxa"/>
            <w:tcBorders/>
            <w:vAlign w:val="center"/>
          </w:tcPr>
          <w:p>
            <w:pPr>
              <w:pStyle w:val="TableContents"/>
              <w:bidi w:val="0"/>
              <w:spacing w:before="0" w:after="283"/>
              <w:jc w:val="left"/>
              <w:rPr>
                <w:color w:val="231F20"/>
              </w:rPr>
            </w:pPr>
            <w:r>
              <w:rPr>
                <w:color w:val="231F20"/>
              </w:rPr>
              <w:t>Includes (i) 7,112 shares of common stock purchasable upon exercise of options granted pursuant to the Long-Term Incentive Plans that are exercisable or become so within sixty days after April 15, 2025; and (ii) 1,456 shares of common stock issuable upon settlement of RSUs that are releasable within sixty days after April 15, 2025 upon termination of service.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22</w:t>
            </w:r>
          </w:p>
        </w:tc>
        <w:tc>
          <w:tcPr>
            <w:tcW w:w="9960" w:type="dxa"/>
            <w:tcBorders/>
            <w:vAlign w:val="center"/>
          </w:tcPr>
          <w:p>
            <w:pPr>
              <w:pStyle w:val="TableContents"/>
              <w:bidi w:val="0"/>
              <w:spacing w:before="0" w:after="283"/>
              <w:jc w:val="left"/>
              <w:rPr>
                <w:color w:val="231F20"/>
              </w:rPr>
            </w:pPr>
            <w:r>
              <w:rPr>
                <w:color w:val="231F20"/>
              </w:rPr>
              <w:t>Consists of (i) 4,116 shares of common stock purchasable upon exercise of options granted pursuant to the Long-Term Incentive Plans that are exercisable or become so within sixty days after April 15, 2025; and (ii) 356 shares of common stock issuable upon settlement of RSUs that are releasable within sixty days after April 15, 2025 upon termination of service.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23</w:t>
            </w:r>
          </w:p>
        </w:tc>
        <w:tc>
          <w:tcPr>
            <w:tcW w:w="9960" w:type="dxa"/>
            <w:tcBorders/>
            <w:vAlign w:val="center"/>
          </w:tcPr>
          <w:p>
            <w:pPr>
              <w:pStyle w:val="TableContents"/>
              <w:bidi w:val="0"/>
              <w:spacing w:before="0" w:after="283"/>
              <w:jc w:val="left"/>
              <w:rPr>
                <w:color w:val="231F20"/>
              </w:rPr>
            </w:pPr>
            <w:r>
              <w:rPr>
                <w:color w:val="231F20"/>
              </w:rPr>
              <w:t>Includes (i) 43,351 shares of common stock purchasable upon exercise of options granted pursuant to the Long-Term Incentive Plans that are exercisable or become so within sixty days after April 15, 2025; (ii) 750 shares of common stock held by Mr. Sing’s spouse; (iii) 400 shares of common stock held by Mr. Sing’s spouse as custodian for the benefit of their son; (iv) 1,000 shares of common stock held in a trust for benefit of Mr. Sing’s son; and (v) 1,456 shares of common stock issuable upon settlement of RSUs that are releasable within sixty days after April 15, 2025 upon termination of service.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24</w:t>
            </w:r>
          </w:p>
        </w:tc>
        <w:tc>
          <w:tcPr>
            <w:tcW w:w="9960" w:type="dxa"/>
            <w:tcBorders/>
            <w:vAlign w:val="center"/>
          </w:tcPr>
          <w:p>
            <w:pPr>
              <w:pStyle w:val="TableContents"/>
              <w:bidi w:val="0"/>
              <w:spacing w:before="0" w:after="283"/>
              <w:jc w:val="left"/>
              <w:rPr>
                <w:color w:val="231F20"/>
              </w:rPr>
            </w:pPr>
            <w:r>
              <w:rPr>
                <w:color w:val="231F20"/>
              </w:rPr>
              <w:t>Consists of (i) 6,169 shares of common stock purchasable upon exercise of options granted pursuant to the Long-Term Incentive Plans that are exercisable or become so within sixty days after April 15, 2025; and (ii) 528 shares of common stock issuable upon settlement of RSUs that are releasable within sixty days after April 15, 2025 upon termination of service.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25</w:t>
            </w:r>
          </w:p>
        </w:tc>
        <w:tc>
          <w:tcPr>
            <w:tcW w:w="9960" w:type="dxa"/>
            <w:tcBorders/>
            <w:vAlign w:val="center"/>
          </w:tcPr>
          <w:p>
            <w:pPr>
              <w:pStyle w:val="TableContents"/>
              <w:bidi w:val="0"/>
              <w:spacing w:before="0" w:after="283"/>
              <w:jc w:val="left"/>
              <w:rPr>
                <w:color w:val="231F20"/>
              </w:rPr>
            </w:pPr>
            <w:r>
              <w:rPr>
                <w:color w:val="231F20"/>
              </w:rPr>
              <w:t>Includes (i) 55,990 shares of common stock purchasable upon exercise of options granted pursuant to the Long-Term Incentive Plans that are exercisable or become so within sixty days after April 15, 2025; (ii) 15,769 RSAs; and (iii) 1,124 shares of common stock held in an account under the Company’s 401(k) Savings Plan.</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26</w:t>
            </w:r>
          </w:p>
        </w:tc>
        <w:tc>
          <w:tcPr>
            <w:tcW w:w="9960" w:type="dxa"/>
            <w:tcBorders/>
            <w:vAlign w:val="center"/>
          </w:tcPr>
          <w:p>
            <w:pPr>
              <w:pStyle w:val="TableContents"/>
              <w:bidi w:val="0"/>
              <w:spacing w:before="0" w:after="283"/>
              <w:jc w:val="left"/>
              <w:rPr>
                <w:color w:val="231F20"/>
              </w:rPr>
            </w:pPr>
            <w:r>
              <w:rPr>
                <w:color w:val="231F20"/>
              </w:rPr>
              <w:t>Consists of (i) 28,747 shares of common stock purchasable upon exercise of options granted pursuant to the Long-Term Incentive Plans that are exercisable or become so within sixty days after April 15, 2025; and (ii) 1,456 shares of common stock issuable upon settlement of RSUs that are releasable within sixty days after April 15, 2025 upon termination of service.</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27</w:t>
            </w:r>
          </w:p>
        </w:tc>
        <w:tc>
          <w:tcPr>
            <w:tcW w:w="9960" w:type="dxa"/>
            <w:tcBorders/>
            <w:vAlign w:val="center"/>
          </w:tcPr>
          <w:p>
            <w:pPr>
              <w:pStyle w:val="TableContents"/>
              <w:bidi w:val="0"/>
              <w:spacing w:before="0" w:after="283"/>
              <w:jc w:val="left"/>
              <w:rPr>
                <w:color w:val="231F20"/>
              </w:rPr>
            </w:pPr>
            <w:r>
              <w:rPr>
                <w:color w:val="231F20"/>
              </w:rPr>
              <w:t>Includes (i) 2,016,595 shares of common stock purchasable upon exercise of options granted pursuant to the Long-Term Incentive Plans that are exercisable or become so within sixty days after April 15, 2025; (ii) 62,763 RSAs; (iii) 12,888 shares of common stock issuable upon settlement of RSUs that are releasable within sixty days after April 15, 2025; and (iv) 19,510 shares of common stock held in an account under the Company’s 401(k) Savings Plan.</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28</w:t>
            </w:r>
          </w:p>
        </w:tc>
        <w:tc>
          <w:tcPr>
            <w:tcW w:w="9960" w:type="dxa"/>
            <w:tcBorders/>
            <w:vAlign w:val="center"/>
          </w:tcPr>
          <w:p>
            <w:pPr>
              <w:pStyle w:val="TableContents"/>
              <w:bidi w:val="0"/>
              <w:spacing w:before="0" w:after="283"/>
              <w:jc w:val="left"/>
              <w:rPr>
                <w:color w:val="231F20"/>
              </w:rPr>
            </w:pPr>
            <w:r>
              <w:rPr>
                <w:color w:val="231F20"/>
              </w:rPr>
              <w:t>Represents less than 1%.</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62"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45" descr=""/>
                          <pic:cNvPicPr>
                            <a:picLocks noChangeAspect="1" noChangeArrowheads="1"/>
                          </pic:cNvPicPr>
                        </pic:nvPicPr>
                        <pic:blipFill>
                          <a:blip r:embed="rId257"/>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57" w:name="regn013211-def14aa043"/>
      <w:bookmarkEnd w:id="57"/>
      <w:r>
        <w:rPr>
          <w:rFonts w:ascii="Arial;Helvetica;Sans-Serif" w:hAnsi="Arial;Helvetica;Sans-Serif"/>
          <w:b/>
          <w:i w:val="false"/>
          <w:caps w:val="false"/>
          <w:smallCaps w:val="false"/>
          <w:color w:val="C60C45"/>
          <w:sz w:val="40"/>
        </w:rPr>
        <w:t>Audit Matters</w:t>
      </w:r>
    </w:p>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58" w:name="regn013211-def14aa044"/>
      <w:bookmarkEnd w:id="58"/>
      <w:r>
        <w:rPr>
          <w:rFonts w:ascii="Arial;Helvetica;Sans-Serif" w:hAnsi="Arial;Helvetica;Sans-Serif"/>
          <w:b/>
          <w:i w:val="false"/>
          <w:caps w:val="false"/>
          <w:smallCaps w:val="false"/>
          <w:color w:val="3B5AA4"/>
          <w:sz w:val="32"/>
        </w:rPr>
        <w:t>Introduction</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Audit Committee has appointed PricewaterhouseCoopers LLP as the Company’s independent registered public accounting firm for the fiscal year ending December 31, 2025. PricewaterhouseCoopers LLP (or its predecessor) has audited the Company’s financial statements for the past 36 years. The Audit Committee believes that the continued engagement of one independent registered public accounting firm contributes to higher quality audit work and greater operational efficiencies by leveraging PricewaterhouseCoopers LLP’s deep institutional knowledge of our operations and business, accounting policies and practices, and internal controls. SEC rules and PricewaterhouseCoopers LLP policies require the lead audit partner to be rotated at least every five years. The Audit Committee and its Chair are involved in the selection of PricewaterhouseCoopers LLP’s lead audit partner pursuant to this rotation. A new lead audit partner was selected beginning with the fiscal year 2022 audit. Additionally, in order to ensure continuing auditor independence, the Audit Committee periodically considers whether there should be a regular rotation of the Company’s independent registered public accounting firm.</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Audit Committee and the board of directors believe that the continued retention of PricewaterhouseCoopers LLP to serve as the Company’s independent registered public accounting firm is in the best interests of the Company and its shareholders.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has directed that the appointment of PricewaterhouseCoopers LLP as the Company’s independent registered public accounting firm for fiscal year 2025 be submitted for ratification by the shareholders at the 2025 Annual Meeting. Shareholder ratification of the appointment of PricewaterhouseCoopers LLP as the Company’s independent registered public accounting firm for fiscal year 2025 is not required by the Company’s charter documents or otherwise, but is being pursued as a matter of good corporate practice. If shareholders do not ratify the appointment of PricewaterhouseCoopers LLP as the Company’s independent registered public accounting firm for fiscal year 2025, the board of directors will consider the matter at its next meeting. Even if the selection is ratified, the Audit Committee may in its discretion select a different independent registered public accounting firm at any time during the year if it determines that such a change would be in the best interests of the Company and its shareholders.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PricewaterhouseCoopers LLP has advised the Company that it will have in attendance at the 2025 Annual Meeting a representative who will be afforded an opportunity to make a statement, if such representative desires to do so, and will respond to appropriate questions presented at the 2025 Annual Meeting.</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63"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46" descr=""/>
                          <pic:cNvPicPr>
                            <a:picLocks noChangeAspect="1" noChangeArrowheads="1"/>
                          </pic:cNvPicPr>
                        </pic:nvPicPr>
                        <pic:blipFill>
                          <a:blip r:embed="rId258"/>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59" w:name="regn013211-def14aa045"/>
      <w:bookmarkEnd w:id="59"/>
      <w:r>
        <w:rPr>
          <w:rFonts w:ascii="Arial;Helvetica;Sans-Serif" w:hAnsi="Arial;Helvetica;Sans-Serif"/>
          <w:b/>
          <w:i w:val="false"/>
          <w:caps w:val="false"/>
          <w:smallCaps w:val="false"/>
          <w:color w:val="3B5AA4"/>
          <w:sz w:val="32"/>
        </w:rPr>
        <w:t>Information about Fees Paid to Independent Registered Public Accounting Firm</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Aggregate fees incurred related to services provided to the Company by PricewaterhouseCoopers LLP for the years ended December 31, 2024 and 2023 were:</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4020" w:type="dxa"/>
        <w:jc w:val="left"/>
        <w:tblInd w:w="0" w:type="dxa"/>
        <w:tblLayout w:type="fixed"/>
        <w:tblCellMar>
          <w:top w:w="0" w:type="dxa"/>
          <w:left w:w="0" w:type="dxa"/>
          <w:bottom w:w="28" w:type="dxa"/>
          <w:right w:w="0" w:type="dxa"/>
        </w:tblCellMar>
      </w:tblPr>
      <w:tblGrid>
        <w:gridCol w:w="1865"/>
        <w:gridCol w:w="60"/>
        <w:gridCol w:w="980"/>
        <w:gridCol w:w="60"/>
        <w:gridCol w:w="980"/>
        <w:gridCol w:w="75"/>
      </w:tblGrid>
      <w:tr>
        <w:trPr/>
        <w:tc>
          <w:tcPr>
            <w:tcW w:w="1865" w:type="dxa"/>
            <w:tcBorders>
              <w:bottom w:val="single" w:sz="12" w:space="0" w:color="3B59A4"/>
            </w:tcBorders>
            <w:vAlign w:val="center"/>
          </w:tcPr>
          <w:p>
            <w:pPr>
              <w:pStyle w:val="TableContents"/>
              <w:bidi w:val="0"/>
              <w:spacing w:before="0" w:after="283"/>
              <w:jc w:val="left"/>
              <w:rPr/>
            </w:pPr>
            <w:r>
              <w:rPr/>
              <w:t> </w:t>
            </w:r>
          </w:p>
        </w:tc>
        <w:tc>
          <w:tcPr>
            <w:tcW w:w="60" w:type="dxa"/>
            <w:tcBorders>
              <w:bottom w:val="single" w:sz="12" w:space="0" w:color="3B59A4"/>
            </w:tcBorders>
            <w:vAlign w:val="center"/>
          </w:tcPr>
          <w:p>
            <w:pPr>
              <w:pStyle w:val="TableContents"/>
              <w:bidi w:val="0"/>
              <w:spacing w:before="0" w:after="283"/>
              <w:jc w:val="left"/>
              <w:rPr/>
            </w:pPr>
            <w:r>
              <w:rPr/>
              <w:t> </w:t>
            </w:r>
          </w:p>
        </w:tc>
        <w:tc>
          <w:tcPr>
            <w:tcW w:w="980" w:type="dxa"/>
            <w:tcBorders>
              <w:bottom w:val="single" w:sz="12" w:space="0" w:color="3B59A4"/>
            </w:tcBorders>
            <w:vAlign w:val="center"/>
          </w:tcPr>
          <w:p>
            <w:pPr>
              <w:pStyle w:val="TableContents"/>
              <w:bidi w:val="0"/>
              <w:spacing w:before="0" w:after="283"/>
              <w:jc w:val="right"/>
              <w:rPr>
                <w:color w:val="2864AF"/>
              </w:rPr>
            </w:pPr>
            <w:r>
              <w:rPr>
                <w:color w:val="2864AF"/>
              </w:rPr>
              <w:t>2024 ($)</w:t>
            </w:r>
          </w:p>
        </w:tc>
        <w:tc>
          <w:tcPr>
            <w:tcW w:w="60" w:type="dxa"/>
            <w:tcBorders>
              <w:bottom w:val="single" w:sz="12" w:space="0" w:color="3B59A4"/>
            </w:tcBorders>
            <w:vAlign w:val="center"/>
          </w:tcPr>
          <w:p>
            <w:pPr>
              <w:pStyle w:val="TableContents"/>
              <w:bidi w:val="0"/>
              <w:spacing w:before="0" w:after="283"/>
              <w:jc w:val="left"/>
              <w:rPr/>
            </w:pPr>
            <w:r>
              <w:rPr/>
              <w:t> </w:t>
            </w:r>
          </w:p>
        </w:tc>
        <w:tc>
          <w:tcPr>
            <w:tcW w:w="980" w:type="dxa"/>
            <w:tcBorders>
              <w:bottom w:val="single" w:sz="12" w:space="0" w:color="3B59A4"/>
            </w:tcBorders>
            <w:vAlign w:val="center"/>
          </w:tcPr>
          <w:p>
            <w:pPr>
              <w:pStyle w:val="TableContents"/>
              <w:bidi w:val="0"/>
              <w:spacing w:before="0" w:after="283"/>
              <w:jc w:val="right"/>
              <w:rPr>
                <w:color w:val="2864AF"/>
              </w:rPr>
            </w:pPr>
            <w:r>
              <w:rPr>
                <w:color w:val="2864AF"/>
              </w:rPr>
              <w:t>2023 ($)</w:t>
            </w:r>
          </w:p>
        </w:tc>
        <w:tc>
          <w:tcPr>
            <w:tcW w:w="75" w:type="dxa"/>
            <w:tcBorders>
              <w:bottom w:val="single" w:sz="12" w:space="0" w:color="3B59A4"/>
            </w:tcBorders>
            <w:vAlign w:val="center"/>
          </w:tcPr>
          <w:p>
            <w:pPr>
              <w:pStyle w:val="TableContents"/>
              <w:bidi w:val="0"/>
              <w:spacing w:before="0" w:after="283"/>
              <w:jc w:val="left"/>
              <w:rPr/>
            </w:pPr>
            <w:r>
              <w:rPr/>
              <w:t> </w:t>
            </w:r>
          </w:p>
        </w:tc>
      </w:tr>
      <w:tr>
        <w:trPr/>
        <w:tc>
          <w:tcPr>
            <w:tcW w:w="1865" w:type="dxa"/>
            <w:tcBorders>
              <w:bottom w:val="single" w:sz="2" w:space="0" w:color="BCBEC0"/>
            </w:tcBorders>
            <w:vAlign w:val="center"/>
          </w:tcPr>
          <w:p>
            <w:pPr>
              <w:pStyle w:val="TableContents"/>
              <w:bidi w:val="0"/>
              <w:spacing w:before="0" w:after="283"/>
              <w:jc w:val="left"/>
              <w:rPr>
                <w:color w:val="231F20"/>
              </w:rPr>
            </w:pPr>
            <w:r>
              <w:rPr>
                <w:color w:val="231F20"/>
              </w:rPr>
              <w:t>Audit Fees</w:t>
            </w:r>
          </w:p>
        </w:tc>
        <w:tc>
          <w:tcPr>
            <w:tcW w:w="60" w:type="dxa"/>
            <w:tcBorders>
              <w:bottom w:val="single" w:sz="2" w:space="0" w:color="BCBEC0"/>
            </w:tcBorders>
            <w:vAlign w:val="center"/>
          </w:tcPr>
          <w:p>
            <w:pPr>
              <w:pStyle w:val="TableContents"/>
              <w:bidi w:val="0"/>
              <w:spacing w:before="0" w:after="283"/>
              <w:jc w:val="left"/>
              <w:rPr/>
            </w:pPr>
            <w:r>
              <w:rPr/>
              <w:t> </w:t>
            </w:r>
          </w:p>
        </w:tc>
        <w:tc>
          <w:tcPr>
            <w:tcW w:w="980" w:type="dxa"/>
            <w:tcBorders>
              <w:bottom w:val="single" w:sz="2" w:space="0" w:color="BCBEC0"/>
            </w:tcBorders>
            <w:vAlign w:val="center"/>
          </w:tcPr>
          <w:p>
            <w:pPr>
              <w:pStyle w:val="TableContents"/>
              <w:bidi w:val="0"/>
              <w:spacing w:before="0" w:after="283"/>
              <w:jc w:val="right"/>
              <w:rPr>
                <w:color w:val="231F20"/>
              </w:rPr>
            </w:pPr>
            <w:r>
              <w:rPr>
                <w:color w:val="231F20"/>
              </w:rPr>
              <w:t>4,014,081</w:t>
            </w:r>
          </w:p>
        </w:tc>
        <w:tc>
          <w:tcPr>
            <w:tcW w:w="60" w:type="dxa"/>
            <w:tcBorders>
              <w:bottom w:val="single" w:sz="2" w:space="0" w:color="BCBEC0"/>
            </w:tcBorders>
            <w:vAlign w:val="center"/>
          </w:tcPr>
          <w:p>
            <w:pPr>
              <w:pStyle w:val="TableContents"/>
              <w:bidi w:val="0"/>
              <w:spacing w:before="0" w:after="283"/>
              <w:jc w:val="left"/>
              <w:rPr/>
            </w:pPr>
            <w:r>
              <w:rPr/>
              <w:t> </w:t>
            </w:r>
          </w:p>
        </w:tc>
        <w:tc>
          <w:tcPr>
            <w:tcW w:w="980" w:type="dxa"/>
            <w:tcBorders>
              <w:bottom w:val="single" w:sz="2" w:space="0" w:color="BCBEC0"/>
            </w:tcBorders>
            <w:vAlign w:val="center"/>
          </w:tcPr>
          <w:p>
            <w:pPr>
              <w:pStyle w:val="TableContents"/>
              <w:bidi w:val="0"/>
              <w:spacing w:before="0" w:after="283"/>
              <w:jc w:val="right"/>
              <w:rPr>
                <w:color w:val="231F20"/>
              </w:rPr>
            </w:pPr>
            <w:r>
              <w:rPr>
                <w:color w:val="231F20"/>
              </w:rPr>
              <w:t>3,551,587</w:t>
            </w:r>
          </w:p>
        </w:tc>
        <w:tc>
          <w:tcPr>
            <w:tcW w:w="75" w:type="dxa"/>
            <w:tcBorders>
              <w:bottom w:val="single" w:sz="2" w:space="0" w:color="BCBEC0"/>
            </w:tcBorders>
            <w:vAlign w:val="center"/>
          </w:tcPr>
          <w:p>
            <w:pPr>
              <w:pStyle w:val="TableContents"/>
              <w:bidi w:val="0"/>
              <w:spacing w:before="0" w:after="283"/>
              <w:jc w:val="left"/>
              <w:rPr/>
            </w:pPr>
            <w:r>
              <w:rPr/>
              <w:t> </w:t>
            </w:r>
          </w:p>
        </w:tc>
      </w:tr>
      <w:tr>
        <w:trPr/>
        <w:tc>
          <w:tcPr>
            <w:tcW w:w="1865" w:type="dxa"/>
            <w:tcBorders>
              <w:bottom w:val="single" w:sz="2" w:space="0" w:color="BCBEC0"/>
            </w:tcBorders>
            <w:shd w:fill="EBEBEC" w:val="clear"/>
            <w:vAlign w:val="center"/>
          </w:tcPr>
          <w:p>
            <w:pPr>
              <w:pStyle w:val="TableContents"/>
              <w:bidi w:val="0"/>
              <w:spacing w:before="0" w:after="283"/>
              <w:jc w:val="left"/>
              <w:rPr>
                <w:color w:val="231F20"/>
              </w:rPr>
            </w:pPr>
            <w:r>
              <w:rPr>
                <w:color w:val="231F20"/>
              </w:rPr>
              <w:t>Audit-Related Fees</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98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15,000</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98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25,000</w:t>
            </w:r>
          </w:p>
        </w:tc>
        <w:tc>
          <w:tcPr>
            <w:tcW w:w="75" w:type="dxa"/>
            <w:tcBorders>
              <w:bottom w:val="single" w:sz="2" w:space="0" w:color="BCBEC0"/>
            </w:tcBorders>
            <w:shd w:fill="EBEBEC" w:val="clear"/>
            <w:vAlign w:val="center"/>
          </w:tcPr>
          <w:p>
            <w:pPr>
              <w:pStyle w:val="TableContents"/>
              <w:bidi w:val="0"/>
              <w:spacing w:before="0" w:after="283"/>
              <w:jc w:val="left"/>
              <w:rPr/>
            </w:pPr>
            <w:r>
              <w:rPr/>
              <w:t> </w:t>
            </w:r>
          </w:p>
        </w:tc>
      </w:tr>
      <w:tr>
        <w:trPr/>
        <w:tc>
          <w:tcPr>
            <w:tcW w:w="1865" w:type="dxa"/>
            <w:tcBorders>
              <w:bottom w:val="single" w:sz="2" w:space="0" w:color="BCBEC0"/>
            </w:tcBorders>
            <w:vAlign w:val="center"/>
          </w:tcPr>
          <w:p>
            <w:pPr>
              <w:pStyle w:val="TableContents"/>
              <w:bidi w:val="0"/>
              <w:spacing w:before="0" w:after="283"/>
              <w:jc w:val="left"/>
              <w:rPr>
                <w:color w:val="231F20"/>
              </w:rPr>
            </w:pPr>
            <w:r>
              <w:rPr>
                <w:color w:val="231F20"/>
              </w:rPr>
              <w:t>Tax Fees</w:t>
            </w:r>
          </w:p>
        </w:tc>
        <w:tc>
          <w:tcPr>
            <w:tcW w:w="60" w:type="dxa"/>
            <w:tcBorders>
              <w:bottom w:val="single" w:sz="2" w:space="0" w:color="BCBEC0"/>
            </w:tcBorders>
            <w:vAlign w:val="center"/>
          </w:tcPr>
          <w:p>
            <w:pPr>
              <w:pStyle w:val="TableContents"/>
              <w:bidi w:val="0"/>
              <w:spacing w:before="0" w:after="283"/>
              <w:jc w:val="left"/>
              <w:rPr/>
            </w:pPr>
            <w:r>
              <w:rPr/>
              <w:t> </w:t>
            </w:r>
          </w:p>
        </w:tc>
        <w:tc>
          <w:tcPr>
            <w:tcW w:w="980"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vAlign w:val="center"/>
          </w:tcPr>
          <w:p>
            <w:pPr>
              <w:pStyle w:val="TableContents"/>
              <w:bidi w:val="0"/>
              <w:spacing w:before="0" w:after="283"/>
              <w:jc w:val="left"/>
              <w:rPr/>
            </w:pPr>
            <w:r>
              <w:rPr/>
              <w:t> </w:t>
            </w:r>
          </w:p>
        </w:tc>
        <w:tc>
          <w:tcPr>
            <w:tcW w:w="980" w:type="dxa"/>
            <w:tcBorders>
              <w:bottom w:val="single" w:sz="2" w:space="0" w:color="BCBEC0"/>
            </w:tcBorders>
            <w:vAlign w:val="center"/>
          </w:tcPr>
          <w:p>
            <w:pPr>
              <w:pStyle w:val="TableContents"/>
              <w:bidi w:val="0"/>
              <w:spacing w:before="0" w:after="283"/>
              <w:jc w:val="right"/>
              <w:rPr>
                <w:color w:val="231F20"/>
              </w:rPr>
            </w:pPr>
            <w:r>
              <w:rPr>
                <w:color w:val="231F20"/>
              </w:rPr>
              <w:t>—</w:t>
            </w:r>
          </w:p>
        </w:tc>
        <w:tc>
          <w:tcPr>
            <w:tcW w:w="75" w:type="dxa"/>
            <w:tcBorders>
              <w:bottom w:val="single" w:sz="2" w:space="0" w:color="BCBEC0"/>
            </w:tcBorders>
            <w:vAlign w:val="center"/>
          </w:tcPr>
          <w:p>
            <w:pPr>
              <w:pStyle w:val="TableContents"/>
              <w:bidi w:val="0"/>
              <w:spacing w:before="0" w:after="283"/>
              <w:jc w:val="left"/>
              <w:rPr/>
            </w:pPr>
            <w:r>
              <w:rPr/>
              <w:t> </w:t>
            </w:r>
          </w:p>
        </w:tc>
      </w:tr>
      <w:tr>
        <w:trPr/>
        <w:tc>
          <w:tcPr>
            <w:tcW w:w="1865" w:type="dxa"/>
            <w:tcBorders>
              <w:bottom w:val="single" w:sz="2" w:space="0" w:color="BCBEC0"/>
            </w:tcBorders>
            <w:shd w:fill="EBEBEC" w:val="clear"/>
            <w:vAlign w:val="center"/>
          </w:tcPr>
          <w:p>
            <w:pPr>
              <w:pStyle w:val="TableContents"/>
              <w:bidi w:val="0"/>
              <w:spacing w:before="0" w:after="283"/>
              <w:jc w:val="left"/>
              <w:rPr>
                <w:color w:val="231F20"/>
              </w:rPr>
            </w:pPr>
            <w:r>
              <w:rPr>
                <w:color w:val="231F20"/>
              </w:rPr>
              <w:t>All Other Fees</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98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19,670</w:t>
            </w:r>
          </w:p>
        </w:tc>
        <w:tc>
          <w:tcPr>
            <w:tcW w:w="60" w:type="dxa"/>
            <w:tcBorders>
              <w:bottom w:val="single" w:sz="2" w:space="0" w:color="BCBEC0"/>
            </w:tcBorders>
            <w:shd w:fill="EBEBEC" w:val="clear"/>
            <w:vAlign w:val="center"/>
          </w:tcPr>
          <w:p>
            <w:pPr>
              <w:pStyle w:val="TableContents"/>
              <w:bidi w:val="0"/>
              <w:spacing w:before="0" w:after="283"/>
              <w:jc w:val="left"/>
              <w:rPr/>
            </w:pPr>
            <w:r>
              <w:rPr/>
              <w:t> </w:t>
            </w:r>
          </w:p>
        </w:tc>
        <w:tc>
          <w:tcPr>
            <w:tcW w:w="980" w:type="dxa"/>
            <w:tcBorders>
              <w:bottom w:val="single" w:sz="2" w:space="0" w:color="BCBEC0"/>
            </w:tcBorders>
            <w:shd w:fill="EBEBEC" w:val="clear"/>
            <w:vAlign w:val="center"/>
          </w:tcPr>
          <w:p>
            <w:pPr>
              <w:pStyle w:val="TableContents"/>
              <w:bidi w:val="0"/>
              <w:spacing w:before="0" w:after="283"/>
              <w:jc w:val="right"/>
              <w:rPr>
                <w:color w:val="231F20"/>
              </w:rPr>
            </w:pPr>
            <w:r>
              <w:rPr>
                <w:color w:val="231F20"/>
              </w:rPr>
              <w:t>6,195</w:t>
            </w:r>
          </w:p>
        </w:tc>
        <w:tc>
          <w:tcPr>
            <w:tcW w:w="75" w:type="dxa"/>
            <w:tcBorders>
              <w:bottom w:val="single" w:sz="2" w:space="0" w:color="BCBEC0"/>
            </w:tcBorders>
            <w:shd w:fill="EBEBEC" w:val="clear"/>
            <w:vAlign w:val="center"/>
          </w:tcPr>
          <w:p>
            <w:pPr>
              <w:pStyle w:val="TableContents"/>
              <w:bidi w:val="0"/>
              <w:spacing w:before="0" w:after="283"/>
              <w:jc w:val="left"/>
              <w:rPr/>
            </w:pPr>
            <w:r>
              <w:rPr/>
              <w:t> </w:t>
            </w:r>
          </w:p>
        </w:tc>
      </w:tr>
      <w:tr>
        <w:trPr/>
        <w:tc>
          <w:tcPr>
            <w:tcW w:w="1865" w:type="dxa"/>
            <w:tcBorders>
              <w:bottom w:val="single" w:sz="12" w:space="0" w:color="3B59A4"/>
            </w:tcBorders>
            <w:vAlign w:val="center"/>
          </w:tcPr>
          <w:p>
            <w:pPr>
              <w:pStyle w:val="TableContents"/>
              <w:bidi w:val="0"/>
              <w:spacing w:before="0" w:after="283"/>
              <w:jc w:val="left"/>
              <w:rPr>
                <w:b/>
                <w:color w:val="231F20"/>
              </w:rPr>
            </w:pPr>
            <w:r>
              <w:rPr>
                <w:b/>
                <w:color w:val="231F20"/>
              </w:rPr>
              <w:t>Total Fees</w:t>
            </w:r>
          </w:p>
        </w:tc>
        <w:tc>
          <w:tcPr>
            <w:tcW w:w="60" w:type="dxa"/>
            <w:tcBorders>
              <w:bottom w:val="single" w:sz="12" w:space="0" w:color="3B59A4"/>
            </w:tcBorders>
            <w:vAlign w:val="center"/>
          </w:tcPr>
          <w:p>
            <w:pPr>
              <w:pStyle w:val="TableContents"/>
              <w:bidi w:val="0"/>
              <w:spacing w:before="0" w:after="283"/>
              <w:jc w:val="left"/>
              <w:rPr/>
            </w:pPr>
            <w:r>
              <w:rPr/>
              <w:t> </w:t>
            </w:r>
          </w:p>
        </w:tc>
        <w:tc>
          <w:tcPr>
            <w:tcW w:w="980" w:type="dxa"/>
            <w:tcBorders>
              <w:bottom w:val="single" w:sz="12" w:space="0" w:color="3B59A4"/>
            </w:tcBorders>
            <w:vAlign w:val="center"/>
          </w:tcPr>
          <w:p>
            <w:pPr>
              <w:pStyle w:val="TableContents"/>
              <w:bidi w:val="0"/>
              <w:spacing w:before="0" w:after="283"/>
              <w:jc w:val="right"/>
              <w:rPr>
                <w:color w:val="231F20"/>
              </w:rPr>
            </w:pPr>
            <w:r>
              <w:rPr>
                <w:color w:val="231F20"/>
              </w:rPr>
              <w:t>4,048,751</w:t>
            </w:r>
          </w:p>
        </w:tc>
        <w:tc>
          <w:tcPr>
            <w:tcW w:w="60" w:type="dxa"/>
            <w:tcBorders>
              <w:bottom w:val="single" w:sz="12" w:space="0" w:color="3B59A4"/>
            </w:tcBorders>
            <w:vAlign w:val="center"/>
          </w:tcPr>
          <w:p>
            <w:pPr>
              <w:pStyle w:val="TableContents"/>
              <w:bidi w:val="0"/>
              <w:spacing w:before="0" w:after="283"/>
              <w:jc w:val="left"/>
              <w:rPr/>
            </w:pPr>
            <w:r>
              <w:rPr/>
              <w:t> </w:t>
            </w:r>
          </w:p>
        </w:tc>
        <w:tc>
          <w:tcPr>
            <w:tcW w:w="980" w:type="dxa"/>
            <w:tcBorders>
              <w:bottom w:val="single" w:sz="12" w:space="0" w:color="3B59A4"/>
            </w:tcBorders>
            <w:vAlign w:val="center"/>
          </w:tcPr>
          <w:p>
            <w:pPr>
              <w:pStyle w:val="TableContents"/>
              <w:bidi w:val="0"/>
              <w:spacing w:before="0" w:after="283"/>
              <w:jc w:val="right"/>
              <w:rPr>
                <w:color w:val="231F20"/>
              </w:rPr>
            </w:pPr>
            <w:r>
              <w:rPr>
                <w:color w:val="231F20"/>
              </w:rPr>
              <w:t>3,582,782</w:t>
            </w:r>
          </w:p>
        </w:tc>
        <w:tc>
          <w:tcPr>
            <w:tcW w:w="75" w:type="dxa"/>
            <w:tcBorders>
              <w:bottom w:val="single" w:sz="12" w:space="0" w:color="3B59A4"/>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Audit Fees. </w:t>
      </w:r>
      <w:r>
        <w:rPr>
          <w:rFonts w:ascii="Arial;Helvetica;Sans-Serif" w:hAnsi="Arial;Helvetica;Sans-Serif"/>
          <w:b w:val="false"/>
          <w:i w:val="false"/>
          <w:caps w:val="false"/>
          <w:smallCaps w:val="false"/>
          <w:color w:val="231F20"/>
          <w:sz w:val="18"/>
        </w:rPr>
        <w:t>Audit fees in 2024 and 2023 were primarily for professional services rendered for the audit of the Company’s financial statements for the fiscal year, including attestation services required under Section 404 of the Sarbanes-Oxley Act of 2002, technical accounting consultations related to the annual audit, and reviews of the Company’s quarterly financial statements included in its Form 10-Q filings.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Audit-Related Fees. </w:t>
      </w:r>
      <w:r>
        <w:rPr>
          <w:rFonts w:ascii="Arial;Helvetica;Sans-Serif" w:hAnsi="Arial;Helvetica;Sans-Serif"/>
          <w:b w:val="false"/>
          <w:i w:val="false"/>
          <w:caps w:val="false"/>
          <w:smallCaps w:val="false"/>
          <w:color w:val="231F20"/>
          <w:sz w:val="18"/>
        </w:rPr>
        <w:t>Audit-related fees in 2024 were for services related to the filing of a registration statement on Form S-3. Audit-related fees in 2023 were for pre-implementation review services in connection with an upgrade of the Company’s enterprise resource planning software.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Tax Fees. </w:t>
      </w:r>
      <w:r>
        <w:rPr>
          <w:rFonts w:ascii="Arial;Helvetica;Sans-Serif" w:hAnsi="Arial;Helvetica;Sans-Serif"/>
          <w:b w:val="false"/>
          <w:i w:val="false"/>
          <w:caps w:val="false"/>
          <w:smallCaps w:val="false"/>
          <w:color w:val="231F20"/>
          <w:sz w:val="18"/>
        </w:rPr>
        <w:t>The Company did not incur any tax fees in 2024 or 2023.</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All Other Fees</w:t>
      </w:r>
      <w:r>
        <w:rPr>
          <w:rFonts w:ascii="Arial;Helvetica;Sans-Serif" w:hAnsi="Arial;Helvetica;Sans-Serif"/>
          <w:b w:val="false"/>
          <w:i/>
          <w:caps w:val="false"/>
          <w:smallCaps w:val="false"/>
          <w:color w:val="231F20"/>
          <w:sz w:val="18"/>
        </w:rPr>
        <w:t xml:space="preserve">. </w:t>
      </w:r>
      <w:r>
        <w:rPr>
          <w:rFonts w:ascii="Arial;Helvetica;Sans-Serif" w:hAnsi="Arial;Helvetica;Sans-Serif"/>
          <w:b w:val="false"/>
          <w:i w:val="false"/>
          <w:caps w:val="false"/>
          <w:smallCaps w:val="false"/>
          <w:color w:val="231F20"/>
          <w:sz w:val="18"/>
        </w:rPr>
        <w:t>All other fees in 2024 and 2023 were for annual subscriptions to accounting and other resources.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 xml:space="preserve">The Audit Committee has adopted a policy regarding the pre-approval of audit and permitted non-audit services to be performed by the Company’s independent registered public accounting firm, PricewaterhouseCoopers LLP. The Audit Committee will, on an annual basis, consider and, if appropriate, approve the provision of audit and non-audit services by PricewaterhouseCoopers LLP. The Audit Committee did not utilize the </w:t>
      </w:r>
      <w:r>
        <w:rPr>
          <w:rFonts w:ascii="Arial;Helvetica;Sans-Serif" w:hAnsi="Arial;Helvetica;Sans-Serif"/>
          <w:b w:val="false"/>
          <w:i/>
          <w:caps w:val="false"/>
          <w:smallCaps w:val="false"/>
          <w:color w:val="231F20"/>
          <w:sz w:val="18"/>
        </w:rPr>
        <w:t xml:space="preserve">de minimis </w:t>
      </w:r>
      <w:r>
        <w:rPr>
          <w:rFonts w:ascii="Arial;Helvetica;Sans-Serif" w:hAnsi="Arial;Helvetica;Sans-Serif"/>
          <w:b w:val="false"/>
          <w:i w:val="false"/>
          <w:caps w:val="false"/>
          <w:smallCaps w:val="false"/>
          <w:color w:val="231F20"/>
          <w:sz w:val="18"/>
        </w:rPr>
        <w:t>exception to the pre-approval requirements to approve any services provided by PricewaterhouseCoopers LLP during fiscal 2024 or 2023.</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64"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47" descr=""/>
                          <pic:cNvPicPr>
                            <a:picLocks noChangeAspect="1" noChangeArrowheads="1"/>
                          </pic:cNvPicPr>
                        </pic:nvPicPr>
                        <pic:blipFill>
                          <a:blip r:embed="rId25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7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50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4">
              <w:r>
                <w:rPr>
                  <w:rStyle w:val="InternetLink"/>
                  <w:b/>
                  <w:strike w:val="false"/>
                  <w:dstrike w:val="false"/>
                  <w:color w:val="3B5AA4"/>
                  <w:u w:val="none"/>
                  <w:effect w:val="none"/>
                </w:rPr>
                <w:t>The Company</w:t>
              </w:r>
            </w:hyperlink>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hyperlink w:anchor="regn013211-def14ac005">
              <w:r>
                <w:rPr>
                  <w:rStyle w:val="InternetLink"/>
                  <w:strike w:val="false"/>
                  <w:dstrike w:val="false"/>
                  <w:color w:val="939598"/>
                  <w:u w:val="none"/>
                  <w:effect w:val="none"/>
                </w:rPr>
                <w:t>Compensation-</w:t>
              </w:r>
            </w:hyperlink>
            <w:hyperlink w:anchor="regn013211-def14ac005">
              <w:r>
                <w:rPr>
                  <w:rStyle w:val="InternetLink"/>
                  <w:strike w:val="false"/>
                  <w:dstrike w:val="false"/>
                  <w:color w:val="215AA8"/>
                  <w:u w:val="none"/>
                  <w:effect w:val="none"/>
                </w:rPr>
                <w:br/>
              </w:r>
            </w:hyperlink>
            <w:hyperlink w:anchor="regn013211-def14ac005">
              <w:r>
                <w:rPr>
                  <w:rStyle w:val="InternetLink"/>
                  <w:strike w:val="false"/>
                  <w:dstrike w:val="false"/>
                  <w:color w:val="939598"/>
                  <w:u w:val="none"/>
                  <w:effect w:val="none"/>
                </w:rP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60" w:name="regn013211-def14aa046"/>
      <w:bookmarkEnd w:id="60"/>
      <w:r>
        <w:rPr>
          <w:rFonts w:ascii="Arial;Helvetica;Sans-Serif" w:hAnsi="Arial;Helvetica;Sans-Serif"/>
          <w:b/>
          <w:i w:val="false"/>
          <w:caps w:val="false"/>
          <w:smallCaps w:val="false"/>
          <w:color w:val="3B5AA4"/>
          <w:sz w:val="32"/>
        </w:rPr>
        <w:t>Audit Committee Report</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have reviewed the audited financial statements of the Company for the year ended December 31, 2024, which are included in the Company’s Annual Report on Form 10-K for the fiscal year ended December 31, 2024,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by the applicable requirements of the Public Company Accounting Oversight Board (the “PCAOB”) and the Securities and Exchange Commission. The Audit Committee also discussed with the independent registered public accounting firm their independence relative to the Company and received and reviewed the written disclosures and the letter from the independent registered public accounting firm required by the PCAOB.</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Based on the foregoing discussions and review, the Audit Committee recommended to the board of directors that the audited financial statements of the Company for the year ended December 31, 2024 be included in the Company’s Annual Report on Form 10-K for the fiscal year ended December 31, 2024 for filing with the Securities and Exchange Commission.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have appointed PricewaterhouseCoopers LLP as the Company’s independent registered public accounting firm for the fiscal year ending December 31, 2025. This appointment was based on a variety of factors, including PricewaterhouseCoopers LLP’s competence in the fields of accounting and auditing.</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2540" w:type="dxa"/>
        <w:jc w:val="left"/>
        <w:tblInd w:w="0" w:type="dxa"/>
        <w:tblLayout w:type="fixed"/>
        <w:tblCellMar>
          <w:top w:w="0" w:type="dxa"/>
          <w:left w:w="0" w:type="dxa"/>
          <w:bottom w:w="0" w:type="dxa"/>
          <w:right w:w="0" w:type="dxa"/>
        </w:tblCellMar>
      </w:tblPr>
      <w:tblGrid>
        <w:gridCol w:w="75"/>
        <w:gridCol w:w="2390"/>
        <w:gridCol w:w="75"/>
      </w:tblGrid>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i/>
              </w:rPr>
              <w:t>The Audit Committee</w:t>
              <w:br/>
            </w:r>
            <w:r>
              <w:rPr/>
              <w:t>George L. Sing, Chair</w:t>
              <w:br/>
              <w:t>N. Anthony Coles, M.D.</w:t>
              <w:br/>
              <w:t>Kathryn Guarini, Ph.D.</w:t>
              <w:br/>
              <w:t>Arthur F. Ryan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30" w:type="dxa"/>
        <w:tblLayout w:type="fixed"/>
        <w:tblCellMar>
          <w:top w:w="0" w:type="dxa"/>
          <w:left w:w="100" w:type="dxa"/>
          <w:bottom w:w="0" w:type="dxa"/>
          <w:right w:w="0" w:type="dxa"/>
        </w:tblCellMar>
      </w:tblPr>
      <w:tblGrid>
        <w:gridCol w:w="10205"/>
      </w:tblGrid>
      <w:tr>
        <w:trPr/>
        <w:tc>
          <w:tcPr>
            <w:tcW w:w="10205" w:type="dxa"/>
            <w:tcBorders>
              <w:left w:val="single" w:sz="24" w:space="0" w:color="3B59A4"/>
            </w:tcBorders>
            <w:shd w:fill="EBEDF8" w:val="clear"/>
            <w:vAlign w:val="center"/>
          </w:tcPr>
          <w:p>
            <w:pPr>
              <w:pStyle w:val="TableContents"/>
              <w:shd w:fill="EBEDF8" w:val="clear"/>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Proposal No. 2</w:t>
            </w:r>
          </w:p>
          <w:p>
            <w:pPr>
              <w:pStyle w:val="TableContents"/>
              <w:shd w:fill="EBEDF8" w:val="clear"/>
              <w:bidi w:val="0"/>
              <w:spacing w:before="0" w:after="0"/>
              <w:ind w:left="0" w:right="0" w:hanging="0"/>
              <w:jc w:val="left"/>
              <w:rPr>
                <w:rFonts w:ascii="Arial;Helvetica;Sans-Serif" w:hAnsi="Arial;Helvetica;Sans-Serif"/>
                <w:b/>
                <w:i w:val="false"/>
                <w:caps w:val="false"/>
                <w:smallCaps w:val="false"/>
                <w:color w:val="3B5AA4"/>
                <w:sz w:val="28"/>
              </w:rPr>
            </w:pPr>
            <w:bookmarkStart w:id="61" w:name="regn013211-def14aa047"/>
            <w:bookmarkEnd w:id="61"/>
            <w:r>
              <w:rPr>
                <w:rFonts w:ascii="Arial;Helvetica;Sans-Serif" w:hAnsi="Arial;Helvetica;Sans-Serif"/>
                <w:b/>
                <w:i w:val="false"/>
                <w:caps w:val="false"/>
                <w:smallCaps w:val="false"/>
                <w:color w:val="3B5AA4"/>
                <w:sz w:val="28"/>
              </w:rPr>
              <w:t>Ratification of Appointment of Independent Registered Public Accounting Firm</w:t>
            </w:r>
          </w:p>
        </w:tc>
      </w:tr>
    </w:tbl>
    <w:p>
      <w:pPr>
        <w:pStyle w:val="TextBody"/>
        <w:bidi w:val="0"/>
        <w:spacing w:before="0" w:after="0"/>
        <w:ind w:left="0" w:right="0" w:hanging="0"/>
        <w:jc w:val="righ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center"/>
              <w:rPr/>
            </w:pPr>
            <w:r>
              <w:rPr/>
              <w:drawing>
                <wp:inline distT="0" distB="0" distL="0" distR="0">
                  <wp:extent cx="247650" cy="247650"/>
                  <wp:effectExtent l="0" t="0" r="0" b="0"/>
                  <wp:docPr id="265"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48" descr=""/>
                          <pic:cNvPicPr>
                            <a:picLocks noChangeAspect="1" noChangeArrowheads="1"/>
                          </pic:cNvPicPr>
                        </pic:nvPicPr>
                        <pic:blipFill>
                          <a:blip r:embed="rId260"/>
                          <a:stretch>
                            <a:fillRect/>
                          </a:stretch>
                        </pic:blipFill>
                        <pic:spPr bwMode="auto">
                          <a:xfrm>
                            <a:off x="0" y="0"/>
                            <a:ext cx="247650" cy="247650"/>
                          </a:xfrm>
                          <a:prstGeom prst="rect">
                            <a:avLst/>
                          </a:prstGeom>
                        </pic:spPr>
                      </pic:pic>
                    </a:graphicData>
                  </a:graphic>
                </wp:inline>
              </w:drawing>
            </w:r>
          </w:p>
        </w:tc>
        <w:tc>
          <w:tcPr>
            <w:tcW w:w="9740"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231F20"/>
                <w:sz w:val="18"/>
              </w:rPr>
              <w:t xml:space="preserve">The board of directors recommends a vote </w:t>
            </w:r>
            <w:r>
              <w:rPr>
                <w:rFonts w:ascii="Arial;Helvetica;Sans-Serif" w:hAnsi="Arial;Helvetica;Sans-Serif"/>
                <w:b/>
                <w:i w:val="false"/>
                <w:caps w:val="false"/>
                <w:smallCaps w:val="false"/>
                <w:color w:val="2864AF"/>
                <w:sz w:val="18"/>
              </w:rPr>
              <w:t xml:space="preserve">FOR </w:t>
            </w:r>
            <w:r>
              <w:rPr>
                <w:rFonts w:ascii="Arial;Helvetica;Sans-Serif" w:hAnsi="Arial;Helvetica;Sans-Serif"/>
                <w:b/>
                <w:i w:val="false"/>
                <w:caps w:val="false"/>
                <w:smallCaps w:val="false"/>
                <w:color w:val="231F20"/>
                <w:sz w:val="18"/>
              </w:rPr>
              <w:t>ratification of the appointment of PricewaterhouseCoopers LLP as the Company’s independent registered public accounting firm for the fiscal year ending December 31, 2025.</w:t>
            </w:r>
          </w:p>
        </w:tc>
      </w:tr>
    </w:tbl>
    <w:p>
      <w:pPr>
        <w:pStyle w:val="TextBody"/>
        <w:pBdr>
          <w:bottom w:val="single" w:sz="12" w:space="1" w:color="C60C44"/>
        </w:pBdr>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righ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66"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49" descr=""/>
                          <pic:cNvPicPr>
                            <a:picLocks noChangeAspect="1" noChangeArrowheads="1"/>
                          </pic:cNvPicPr>
                        </pic:nvPicPr>
                        <pic:blipFill>
                          <a:blip r:embed="rId26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TextBody"/>
        <w:bidi w:val="0"/>
        <w:spacing w:before="0" w:after="0"/>
        <w:ind w:left="0" w:right="0" w:hanging="0"/>
        <w:jc w:val="left"/>
        <w:rPr>
          <w:caps w:val="false"/>
          <w:smallCaps w:val="false"/>
          <w:color w:val="0F5EAC"/>
        </w:rPr>
      </w:pPr>
      <w:r>
        <w:rPr>
          <w:caps w:val="false"/>
          <w:smallCaps w:val="false"/>
          <w:color w:val="0F5EAC"/>
        </w:rPr>
        <w:t> </w:t>
      </w:r>
    </w:p>
    <w:p>
      <w:pPr>
        <w:pStyle w:val="Heading1"/>
        <w:bidi w:val="0"/>
        <w:spacing w:before="0" w:after="0"/>
        <w:ind w:left="0" w:right="0" w:hanging="0"/>
        <w:jc w:val="left"/>
        <w:rPr>
          <w:rFonts w:ascii="Arial;Helvetica;Sans-Serif" w:hAnsi="Arial;Helvetica;Sans-Serif"/>
          <w:b/>
          <w:i w:val="false"/>
          <w:caps w:val="false"/>
          <w:smallCaps w:val="false"/>
          <w:color w:val="0F5EAC"/>
          <w:sz w:val="56"/>
        </w:rPr>
      </w:pPr>
      <w:bookmarkStart w:id="62" w:name="regn013211-def14aa048"/>
      <w:bookmarkStart w:id="63" w:name="regn013211-def14ac005"/>
      <w:bookmarkEnd w:id="62"/>
      <w:bookmarkEnd w:id="63"/>
      <w:r>
        <w:rPr>
          <w:rFonts w:ascii="Arial;Helvetica;Sans-Serif" w:hAnsi="Arial;Helvetica;Sans-Serif"/>
          <w:b/>
          <w:i w:val="false"/>
          <w:caps w:val="false"/>
          <w:smallCaps w:val="false"/>
          <w:color w:val="0F5EAC"/>
          <w:sz w:val="56"/>
        </w:rPr>
        <w:t>Compensation-Related Matters</w:t>
      </w:r>
    </w:p>
    <w:p>
      <w:pPr>
        <w:pStyle w:val="TextBody"/>
        <w:bidi w:val="0"/>
        <w:spacing w:before="0" w:after="0"/>
        <w:ind w:left="0" w:right="0" w:hanging="0"/>
        <w:jc w:val="left"/>
        <w:rPr>
          <w:caps w:val="false"/>
          <w:smallCaps w:val="false"/>
          <w:color w:val="0F5EAC"/>
        </w:rPr>
      </w:pPr>
      <w:r>
        <w:rPr>
          <w:caps w:val="false"/>
          <w:smallCaps w:val="false"/>
          <w:color w:val="0F5EAC"/>
        </w:rPr>
        <w:t> </w:t>
      </w:r>
    </w:p>
    <w:tbl>
      <w:tblPr>
        <w:tblW w:w="6025" w:type="dxa"/>
        <w:jc w:val="left"/>
        <w:tblInd w:w="0" w:type="dxa"/>
        <w:tblLayout w:type="fixed"/>
        <w:tblCellMar>
          <w:top w:w="0" w:type="dxa"/>
          <w:left w:w="0" w:type="dxa"/>
          <w:bottom w:w="0" w:type="dxa"/>
          <w:right w:w="0" w:type="dxa"/>
        </w:tblCellMar>
      </w:tblPr>
      <w:tblGrid>
        <w:gridCol w:w="5780"/>
        <w:gridCol w:w="245"/>
      </w:tblGrid>
      <w:tr>
        <w:trPr/>
        <w:tc>
          <w:tcPr>
            <w:tcW w:w="5780" w:type="dxa"/>
            <w:tcBorders/>
            <w:vAlign w:val="center"/>
          </w:tcPr>
          <w:p>
            <w:pPr>
              <w:pStyle w:val="TableContents"/>
              <w:bidi w:val="0"/>
              <w:spacing w:before="0" w:after="283"/>
              <w:jc w:val="left"/>
              <w:rPr/>
            </w:pPr>
            <w:hyperlink w:anchor="lregnb001">
              <w:r>
                <w:rPr>
                  <w:rStyle w:val="InternetLink"/>
                  <w:rFonts w:ascii="Arial;Helvetica;Sans-Serif" w:hAnsi="Arial;Helvetica;Sans-Serif"/>
                  <w:b/>
                  <w:i w:val="false"/>
                  <w:caps w:val="false"/>
                  <w:smallCaps w:val="false"/>
                  <w:strike w:val="false"/>
                  <w:dstrike w:val="false"/>
                  <w:color w:val="0F5EAC"/>
                  <w:sz w:val="18"/>
                  <w:u w:val="none"/>
                  <w:effect w:val="none"/>
                </w:rPr>
                <w:t>Compensation Discussion and Analysis</w:t>
              </w:r>
            </w:hyperlink>
          </w:p>
        </w:tc>
        <w:tc>
          <w:tcPr>
            <w:tcW w:w="245" w:type="dxa"/>
            <w:tcBorders/>
            <w:vAlign w:val="center"/>
          </w:tcPr>
          <w:p>
            <w:pPr>
              <w:pStyle w:val="TableContents"/>
              <w:bidi w:val="0"/>
              <w:spacing w:before="0" w:after="283"/>
              <w:jc w:val="right"/>
              <w:rPr/>
            </w:pPr>
            <w:hyperlink w:anchor="lregnb001">
              <w:r>
                <w:rPr>
                  <w:rStyle w:val="InternetLink"/>
                  <w:rFonts w:ascii="Arial;Helvetica;Sans-Serif" w:hAnsi="Arial;Helvetica;Sans-Serif"/>
                  <w:b/>
                  <w:i w:val="false"/>
                  <w:caps w:val="false"/>
                  <w:smallCaps w:val="false"/>
                  <w:strike w:val="false"/>
                  <w:dstrike w:val="false"/>
                  <w:color w:val="0F5EAC"/>
                  <w:sz w:val="18"/>
                  <w:u w:val="none"/>
                  <w:effect w:val="none"/>
                </w:rPr>
                <w:t>57</w:t>
              </w:r>
            </w:hyperlink>
          </w:p>
        </w:tc>
      </w:tr>
      <w:tr>
        <w:trPr/>
        <w:tc>
          <w:tcPr>
            <w:tcW w:w="5780" w:type="dxa"/>
            <w:tcBorders/>
            <w:vAlign w:val="center"/>
          </w:tcPr>
          <w:p>
            <w:pPr>
              <w:pStyle w:val="TableContents"/>
              <w:bidi w:val="0"/>
              <w:spacing w:before="0" w:after="283"/>
              <w:jc w:val="left"/>
              <w:rPr/>
            </w:pPr>
            <w:hyperlink w:anchor="lregnb002">
              <w:r>
                <w:rPr>
                  <w:rStyle w:val="InternetLink"/>
                  <w:rFonts w:ascii="Arial;Helvetica;Sans-Serif" w:hAnsi="Arial;Helvetica;Sans-Serif"/>
                  <w:b/>
                  <w:i w:val="false"/>
                  <w:caps w:val="false"/>
                  <w:smallCaps w:val="false"/>
                  <w:strike w:val="false"/>
                  <w:dstrike w:val="false"/>
                  <w:color w:val="231F20"/>
                  <w:sz w:val="18"/>
                  <w:u w:val="none"/>
                  <w:effect w:val="none"/>
                </w:rPr>
                <w:t>Our Named Executive Officers</w:t>
              </w:r>
            </w:hyperlink>
          </w:p>
        </w:tc>
        <w:tc>
          <w:tcPr>
            <w:tcW w:w="245" w:type="dxa"/>
            <w:tcBorders/>
            <w:vAlign w:val="center"/>
          </w:tcPr>
          <w:p>
            <w:pPr>
              <w:pStyle w:val="TableContents"/>
              <w:bidi w:val="0"/>
              <w:spacing w:before="0" w:after="283"/>
              <w:jc w:val="right"/>
              <w:rPr/>
            </w:pPr>
            <w:hyperlink w:anchor="lregnb002">
              <w:r>
                <w:rPr>
                  <w:rStyle w:val="InternetLink"/>
                  <w:rFonts w:ascii="Arial;Helvetica;Sans-Serif" w:hAnsi="Arial;Helvetica;Sans-Serif"/>
                  <w:b/>
                  <w:i w:val="false"/>
                  <w:caps w:val="false"/>
                  <w:smallCaps w:val="false"/>
                  <w:strike w:val="false"/>
                  <w:dstrike w:val="false"/>
                  <w:color w:val="231F20"/>
                  <w:sz w:val="18"/>
                  <w:u w:val="none"/>
                  <w:effect w:val="none"/>
                </w:rPr>
                <w:t>57</w:t>
              </w:r>
            </w:hyperlink>
          </w:p>
        </w:tc>
      </w:tr>
      <w:tr>
        <w:trPr/>
        <w:tc>
          <w:tcPr>
            <w:tcW w:w="5780" w:type="dxa"/>
            <w:tcBorders/>
            <w:vAlign w:val="center"/>
          </w:tcPr>
          <w:p>
            <w:pPr>
              <w:pStyle w:val="TableContents"/>
              <w:bidi w:val="0"/>
              <w:spacing w:before="0" w:after="283"/>
              <w:jc w:val="left"/>
              <w:rPr/>
            </w:pPr>
            <w:hyperlink w:anchor="lregnb003">
              <w:r>
                <w:rPr>
                  <w:rStyle w:val="InternetLink"/>
                  <w:rFonts w:ascii="Arial;Helvetica;Sans-Serif" w:hAnsi="Arial;Helvetica;Sans-Serif"/>
                  <w:b/>
                  <w:i w:val="false"/>
                  <w:caps w:val="false"/>
                  <w:smallCaps w:val="false"/>
                  <w:strike w:val="false"/>
                  <w:dstrike w:val="false"/>
                  <w:color w:val="231F20"/>
                  <w:sz w:val="18"/>
                  <w:u w:val="none"/>
                  <w:effect w:val="none"/>
                </w:rPr>
                <w:t>Executive Summary</w:t>
              </w:r>
            </w:hyperlink>
          </w:p>
        </w:tc>
        <w:tc>
          <w:tcPr>
            <w:tcW w:w="245" w:type="dxa"/>
            <w:tcBorders/>
            <w:vAlign w:val="center"/>
          </w:tcPr>
          <w:p>
            <w:pPr>
              <w:pStyle w:val="TableContents"/>
              <w:bidi w:val="0"/>
              <w:spacing w:before="0" w:after="283"/>
              <w:jc w:val="right"/>
              <w:rPr/>
            </w:pPr>
            <w:hyperlink w:anchor="lregnb003">
              <w:r>
                <w:rPr>
                  <w:rStyle w:val="InternetLink"/>
                  <w:rFonts w:ascii="Arial;Helvetica;Sans-Serif" w:hAnsi="Arial;Helvetica;Sans-Serif"/>
                  <w:b/>
                  <w:i w:val="false"/>
                  <w:caps w:val="false"/>
                  <w:smallCaps w:val="false"/>
                  <w:strike w:val="false"/>
                  <w:dstrike w:val="false"/>
                  <w:color w:val="231F20"/>
                  <w:sz w:val="18"/>
                  <w:u w:val="none"/>
                  <w:effect w:val="none"/>
                </w:rPr>
                <w:t>58</w:t>
              </w:r>
            </w:hyperlink>
          </w:p>
        </w:tc>
      </w:tr>
      <w:tr>
        <w:trPr/>
        <w:tc>
          <w:tcPr>
            <w:tcW w:w="5780" w:type="dxa"/>
            <w:tcBorders/>
            <w:vAlign w:val="center"/>
          </w:tcPr>
          <w:p>
            <w:pPr>
              <w:pStyle w:val="TableContents"/>
              <w:bidi w:val="0"/>
              <w:spacing w:before="0" w:after="283"/>
              <w:jc w:val="left"/>
              <w:rPr/>
            </w:pPr>
            <w:hyperlink w:anchor="lregnb004">
              <w:r>
                <w:rPr>
                  <w:rStyle w:val="InternetLink"/>
                  <w:rFonts w:ascii="Arial;Helvetica;Sans-Serif" w:hAnsi="Arial;Helvetica;Sans-Serif"/>
                  <w:b w:val="false"/>
                  <w:i w:val="false"/>
                  <w:caps w:val="false"/>
                  <w:smallCaps w:val="false"/>
                  <w:strike w:val="false"/>
                  <w:dstrike w:val="false"/>
                  <w:color w:val="231F20"/>
                  <w:sz w:val="18"/>
                  <w:u w:val="none"/>
                  <w:effect w:val="none"/>
                </w:rPr>
                <w:t>Introduction to Our Compensation Program</w:t>
              </w:r>
            </w:hyperlink>
          </w:p>
        </w:tc>
        <w:tc>
          <w:tcPr>
            <w:tcW w:w="245" w:type="dxa"/>
            <w:tcBorders/>
            <w:vAlign w:val="center"/>
          </w:tcPr>
          <w:p>
            <w:pPr>
              <w:pStyle w:val="TableContents"/>
              <w:bidi w:val="0"/>
              <w:spacing w:before="0" w:after="283"/>
              <w:jc w:val="right"/>
              <w:rPr/>
            </w:pPr>
            <w:hyperlink w:anchor="lregnb004">
              <w:r>
                <w:rPr>
                  <w:rStyle w:val="InternetLink"/>
                  <w:rFonts w:ascii="Arial;Helvetica;Sans-Serif" w:hAnsi="Arial;Helvetica;Sans-Serif"/>
                  <w:b w:val="false"/>
                  <w:i w:val="false"/>
                  <w:caps w:val="false"/>
                  <w:smallCaps w:val="false"/>
                  <w:strike w:val="false"/>
                  <w:dstrike w:val="false"/>
                  <w:color w:val="231F20"/>
                  <w:sz w:val="18"/>
                  <w:u w:val="none"/>
                  <w:effect w:val="none"/>
                </w:rPr>
                <w:t>58</w:t>
              </w:r>
            </w:hyperlink>
          </w:p>
        </w:tc>
      </w:tr>
      <w:tr>
        <w:trPr/>
        <w:tc>
          <w:tcPr>
            <w:tcW w:w="5780" w:type="dxa"/>
            <w:tcBorders/>
            <w:vAlign w:val="center"/>
          </w:tcPr>
          <w:p>
            <w:pPr>
              <w:pStyle w:val="TableContents"/>
              <w:bidi w:val="0"/>
              <w:spacing w:before="0" w:after="283"/>
              <w:jc w:val="left"/>
              <w:rPr/>
            </w:pPr>
            <w:hyperlink w:anchor="lregnb005">
              <w:r>
                <w:rPr>
                  <w:rStyle w:val="InternetLink"/>
                  <w:rFonts w:ascii="Arial;Helvetica;Sans-Serif" w:hAnsi="Arial;Helvetica;Sans-Serif"/>
                  <w:b w:val="false"/>
                  <w:i w:val="false"/>
                  <w:caps w:val="false"/>
                  <w:smallCaps w:val="false"/>
                  <w:strike w:val="false"/>
                  <w:dstrike w:val="false"/>
                  <w:color w:val="231F20"/>
                  <w:sz w:val="18"/>
                  <w:u w:val="none"/>
                  <w:effect w:val="none"/>
                </w:rPr>
                <w:t>What’s New for 2024</w:t>
              </w:r>
            </w:hyperlink>
          </w:p>
        </w:tc>
        <w:tc>
          <w:tcPr>
            <w:tcW w:w="245" w:type="dxa"/>
            <w:tcBorders/>
            <w:vAlign w:val="center"/>
          </w:tcPr>
          <w:p>
            <w:pPr>
              <w:pStyle w:val="TableContents"/>
              <w:bidi w:val="0"/>
              <w:spacing w:before="0" w:after="283"/>
              <w:jc w:val="right"/>
              <w:rPr/>
            </w:pPr>
            <w:hyperlink w:anchor="lregnb005">
              <w:r>
                <w:rPr>
                  <w:rStyle w:val="InternetLink"/>
                  <w:rFonts w:ascii="Arial;Helvetica;Sans-Serif" w:hAnsi="Arial;Helvetica;Sans-Serif"/>
                  <w:b w:val="false"/>
                  <w:i w:val="false"/>
                  <w:caps w:val="false"/>
                  <w:smallCaps w:val="false"/>
                  <w:strike w:val="false"/>
                  <w:dstrike w:val="false"/>
                  <w:color w:val="231F20"/>
                  <w:sz w:val="18"/>
                  <w:u w:val="none"/>
                  <w:effect w:val="none"/>
                </w:rPr>
                <w:t>59</w:t>
              </w:r>
            </w:hyperlink>
          </w:p>
        </w:tc>
      </w:tr>
      <w:tr>
        <w:trPr/>
        <w:tc>
          <w:tcPr>
            <w:tcW w:w="5780" w:type="dxa"/>
            <w:tcBorders/>
            <w:vAlign w:val="center"/>
          </w:tcPr>
          <w:p>
            <w:pPr>
              <w:pStyle w:val="TableContents"/>
              <w:bidi w:val="0"/>
              <w:spacing w:before="0" w:after="283"/>
              <w:jc w:val="left"/>
              <w:rPr/>
            </w:pPr>
            <w:hyperlink w:anchor="lregnb006">
              <w:r>
                <w:rPr>
                  <w:rStyle w:val="InternetLink"/>
                  <w:rFonts w:ascii="Arial;Helvetica;Sans-Serif" w:hAnsi="Arial;Helvetica;Sans-Serif"/>
                  <w:b/>
                  <w:i w:val="false"/>
                  <w:caps w:val="false"/>
                  <w:smallCaps w:val="false"/>
                  <w:strike w:val="false"/>
                  <w:dstrike w:val="false"/>
                  <w:color w:val="231F20"/>
                  <w:sz w:val="18"/>
                  <w:u w:val="none"/>
                  <w:effect w:val="none"/>
                </w:rPr>
                <w:t>Compensation Program Overview</w:t>
              </w:r>
            </w:hyperlink>
          </w:p>
        </w:tc>
        <w:tc>
          <w:tcPr>
            <w:tcW w:w="245" w:type="dxa"/>
            <w:tcBorders/>
            <w:vAlign w:val="center"/>
          </w:tcPr>
          <w:p>
            <w:pPr>
              <w:pStyle w:val="TableContents"/>
              <w:bidi w:val="0"/>
              <w:spacing w:before="0" w:after="283"/>
              <w:jc w:val="right"/>
              <w:rPr/>
            </w:pPr>
            <w:hyperlink w:anchor="lregnb006">
              <w:r>
                <w:rPr>
                  <w:rStyle w:val="InternetLink"/>
                  <w:rFonts w:ascii="Arial;Helvetica;Sans-Serif" w:hAnsi="Arial;Helvetica;Sans-Serif"/>
                  <w:b/>
                  <w:i w:val="false"/>
                  <w:caps w:val="false"/>
                  <w:smallCaps w:val="false"/>
                  <w:strike w:val="false"/>
                  <w:dstrike w:val="false"/>
                  <w:color w:val="231F20"/>
                  <w:sz w:val="18"/>
                  <w:u w:val="none"/>
                  <w:effect w:val="none"/>
                </w:rPr>
                <w:t>62</w:t>
              </w:r>
            </w:hyperlink>
          </w:p>
        </w:tc>
      </w:tr>
      <w:tr>
        <w:trPr/>
        <w:tc>
          <w:tcPr>
            <w:tcW w:w="5780" w:type="dxa"/>
            <w:tcBorders/>
            <w:vAlign w:val="center"/>
          </w:tcPr>
          <w:p>
            <w:pPr>
              <w:pStyle w:val="TableContents"/>
              <w:bidi w:val="0"/>
              <w:spacing w:before="0" w:after="283"/>
              <w:jc w:val="left"/>
              <w:rPr/>
            </w:pPr>
            <w:hyperlink w:anchor="lregnb007">
              <w:r>
                <w:rPr>
                  <w:rStyle w:val="InternetLink"/>
                  <w:rFonts w:ascii="Arial;Helvetica;Sans-Serif" w:hAnsi="Arial;Helvetica;Sans-Serif"/>
                  <w:b w:val="false"/>
                  <w:i w:val="false"/>
                  <w:caps w:val="false"/>
                  <w:smallCaps w:val="false"/>
                  <w:strike w:val="false"/>
                  <w:dstrike w:val="false"/>
                  <w:color w:val="231F20"/>
                  <w:sz w:val="18"/>
                  <w:u w:val="none"/>
                  <w:effect w:val="none"/>
                </w:rPr>
                <w:t>Compensation Program Objectives and Principles</w:t>
              </w:r>
            </w:hyperlink>
          </w:p>
        </w:tc>
        <w:tc>
          <w:tcPr>
            <w:tcW w:w="245" w:type="dxa"/>
            <w:tcBorders/>
            <w:vAlign w:val="center"/>
          </w:tcPr>
          <w:p>
            <w:pPr>
              <w:pStyle w:val="TableContents"/>
              <w:bidi w:val="0"/>
              <w:spacing w:before="0" w:after="283"/>
              <w:jc w:val="right"/>
              <w:rPr/>
            </w:pPr>
            <w:hyperlink w:anchor="lregnb007">
              <w:r>
                <w:rPr>
                  <w:rStyle w:val="InternetLink"/>
                  <w:rFonts w:ascii="Arial;Helvetica;Sans-Serif" w:hAnsi="Arial;Helvetica;Sans-Serif"/>
                  <w:b w:val="false"/>
                  <w:i w:val="false"/>
                  <w:caps w:val="false"/>
                  <w:smallCaps w:val="false"/>
                  <w:strike w:val="false"/>
                  <w:dstrike w:val="false"/>
                  <w:color w:val="231F20"/>
                  <w:sz w:val="18"/>
                  <w:u w:val="none"/>
                  <w:effect w:val="none"/>
                </w:rPr>
                <w:t>62</w:t>
              </w:r>
            </w:hyperlink>
          </w:p>
        </w:tc>
      </w:tr>
      <w:tr>
        <w:trPr/>
        <w:tc>
          <w:tcPr>
            <w:tcW w:w="5780" w:type="dxa"/>
            <w:tcBorders/>
            <w:vAlign w:val="center"/>
          </w:tcPr>
          <w:p>
            <w:pPr>
              <w:pStyle w:val="TableContents"/>
              <w:bidi w:val="0"/>
              <w:spacing w:before="0" w:after="283"/>
              <w:jc w:val="left"/>
              <w:rPr/>
            </w:pPr>
            <w:hyperlink w:anchor="lregnb008">
              <w:r>
                <w:rPr>
                  <w:rStyle w:val="InternetLink"/>
                  <w:rFonts w:ascii="Arial;Helvetica;Sans-Serif" w:hAnsi="Arial;Helvetica;Sans-Serif"/>
                  <w:b w:val="false"/>
                  <w:i w:val="false"/>
                  <w:caps w:val="false"/>
                  <w:smallCaps w:val="false"/>
                  <w:strike w:val="false"/>
                  <w:dstrike w:val="false"/>
                  <w:color w:val="231F20"/>
                  <w:sz w:val="18"/>
                  <w:u w:val="none"/>
                  <w:effect w:val="none"/>
                </w:rPr>
                <w:t>How Our Pay Program Works</w:t>
              </w:r>
            </w:hyperlink>
          </w:p>
        </w:tc>
        <w:tc>
          <w:tcPr>
            <w:tcW w:w="245" w:type="dxa"/>
            <w:tcBorders/>
            <w:vAlign w:val="center"/>
          </w:tcPr>
          <w:p>
            <w:pPr>
              <w:pStyle w:val="TableContents"/>
              <w:bidi w:val="0"/>
              <w:spacing w:before="0" w:after="283"/>
              <w:jc w:val="right"/>
              <w:rPr/>
            </w:pPr>
            <w:hyperlink w:anchor="lregnb008">
              <w:r>
                <w:rPr>
                  <w:rStyle w:val="InternetLink"/>
                  <w:rFonts w:ascii="Arial;Helvetica;Sans-Serif" w:hAnsi="Arial;Helvetica;Sans-Serif"/>
                  <w:b w:val="false"/>
                  <w:i w:val="false"/>
                  <w:caps w:val="false"/>
                  <w:smallCaps w:val="false"/>
                  <w:strike w:val="false"/>
                  <w:dstrike w:val="false"/>
                  <w:color w:val="231F20"/>
                  <w:sz w:val="18"/>
                  <w:u w:val="none"/>
                  <w:effect w:val="none"/>
                </w:rPr>
                <w:t>63</w:t>
              </w:r>
            </w:hyperlink>
          </w:p>
        </w:tc>
      </w:tr>
      <w:tr>
        <w:trPr/>
        <w:tc>
          <w:tcPr>
            <w:tcW w:w="5780" w:type="dxa"/>
            <w:tcBorders/>
            <w:vAlign w:val="center"/>
          </w:tcPr>
          <w:p>
            <w:pPr>
              <w:pStyle w:val="TableContents"/>
              <w:bidi w:val="0"/>
              <w:spacing w:before="0" w:after="283"/>
              <w:jc w:val="left"/>
              <w:rPr/>
            </w:pPr>
            <w:hyperlink w:anchor="lregnb009">
              <w:r>
                <w:rPr>
                  <w:rStyle w:val="InternetLink"/>
                  <w:rFonts w:ascii="Arial;Helvetica;Sans-Serif" w:hAnsi="Arial;Helvetica;Sans-Serif"/>
                  <w:b w:val="false"/>
                  <w:i w:val="false"/>
                  <w:caps w:val="false"/>
                  <w:smallCaps w:val="false"/>
                  <w:strike w:val="false"/>
                  <w:dstrike w:val="false"/>
                  <w:color w:val="231F20"/>
                  <w:sz w:val="18"/>
                  <w:u w:val="none"/>
                  <w:effect w:val="none"/>
                </w:rPr>
                <w:t>Key Governance Features</w:t>
              </w:r>
            </w:hyperlink>
          </w:p>
        </w:tc>
        <w:tc>
          <w:tcPr>
            <w:tcW w:w="245" w:type="dxa"/>
            <w:tcBorders/>
            <w:vAlign w:val="center"/>
          </w:tcPr>
          <w:p>
            <w:pPr>
              <w:pStyle w:val="TableContents"/>
              <w:bidi w:val="0"/>
              <w:spacing w:before="0" w:after="283"/>
              <w:jc w:val="right"/>
              <w:rPr/>
            </w:pPr>
            <w:hyperlink w:anchor="lregnb009">
              <w:r>
                <w:rPr>
                  <w:rStyle w:val="InternetLink"/>
                  <w:rFonts w:ascii="Arial;Helvetica;Sans-Serif" w:hAnsi="Arial;Helvetica;Sans-Serif"/>
                  <w:b w:val="false"/>
                  <w:i w:val="false"/>
                  <w:caps w:val="false"/>
                  <w:smallCaps w:val="false"/>
                  <w:strike w:val="false"/>
                  <w:dstrike w:val="false"/>
                  <w:color w:val="231F20"/>
                  <w:sz w:val="18"/>
                  <w:u w:val="none"/>
                  <w:effect w:val="none"/>
                </w:rPr>
                <w:t>64</w:t>
              </w:r>
            </w:hyperlink>
          </w:p>
        </w:tc>
      </w:tr>
      <w:tr>
        <w:trPr/>
        <w:tc>
          <w:tcPr>
            <w:tcW w:w="5780" w:type="dxa"/>
            <w:tcBorders/>
            <w:vAlign w:val="center"/>
          </w:tcPr>
          <w:p>
            <w:pPr>
              <w:pStyle w:val="TableContents"/>
              <w:bidi w:val="0"/>
              <w:spacing w:before="0" w:after="283"/>
              <w:jc w:val="left"/>
              <w:rPr/>
            </w:pPr>
            <w:hyperlink w:anchor="lregnb010">
              <w:r>
                <w:rPr>
                  <w:rStyle w:val="InternetLink"/>
                  <w:rFonts w:ascii="Arial;Helvetica;Sans-Serif" w:hAnsi="Arial;Helvetica;Sans-Serif"/>
                  <w:b/>
                  <w:i w:val="false"/>
                  <w:caps w:val="false"/>
                  <w:smallCaps w:val="false"/>
                  <w:strike w:val="false"/>
                  <w:dstrike w:val="false"/>
                  <w:color w:val="231F20"/>
                  <w:sz w:val="18"/>
                  <w:u w:val="none"/>
                  <w:effect w:val="none"/>
                </w:rPr>
                <w:t>Components of Executive Pay: What We Pay and</w:t>
              </w:r>
            </w:hyperlink>
            <w:hyperlink w:anchor="lregnb010">
              <w:r>
                <w:rPr>
                  <w:rStyle w:val="InternetLink"/>
                  <w:rFonts w:ascii="Arial;Helvetica;Sans-Serif" w:hAnsi="Arial;Helvetica;Sans-Serif"/>
                  <w:b w:val="false"/>
                  <w:i w:val="false"/>
                  <w:caps w:val="false"/>
                  <w:smallCaps w:val="false"/>
                  <w:strike w:val="false"/>
                  <w:dstrike w:val="false"/>
                  <w:color w:val="231F20"/>
                  <w:sz w:val="18"/>
                  <w:u w:val="none"/>
                  <w:effect w:val="none"/>
                </w:rPr>
                <w:t xml:space="preserve"> </w:t>
              </w:r>
            </w:hyperlink>
            <w:hyperlink w:anchor="lregnb010">
              <w:r>
                <w:rPr>
                  <w:rStyle w:val="InternetLink"/>
                  <w:rFonts w:ascii="Arial;Helvetica;Sans-Serif" w:hAnsi="Arial;Helvetica;Sans-Serif"/>
                  <w:b/>
                  <w:i w:val="false"/>
                  <w:caps w:val="false"/>
                  <w:smallCaps w:val="false"/>
                  <w:strike w:val="false"/>
                  <w:dstrike w:val="false"/>
                  <w:color w:val="231F20"/>
                  <w:sz w:val="18"/>
                  <w:u w:val="none"/>
                  <w:effect w:val="none"/>
                </w:rPr>
                <w:t>Why We Pay It</w:t>
              </w:r>
            </w:hyperlink>
          </w:p>
        </w:tc>
        <w:tc>
          <w:tcPr>
            <w:tcW w:w="245" w:type="dxa"/>
            <w:tcBorders/>
            <w:vAlign w:val="center"/>
          </w:tcPr>
          <w:p>
            <w:pPr>
              <w:pStyle w:val="TableContents"/>
              <w:bidi w:val="0"/>
              <w:spacing w:before="0" w:after="283"/>
              <w:jc w:val="right"/>
              <w:rPr/>
            </w:pPr>
            <w:hyperlink w:anchor="lregnb010">
              <w:r>
                <w:rPr>
                  <w:rStyle w:val="InternetLink"/>
                  <w:rFonts w:ascii="Arial;Helvetica;Sans-Serif" w:hAnsi="Arial;Helvetica;Sans-Serif"/>
                  <w:b/>
                  <w:i w:val="false"/>
                  <w:caps w:val="false"/>
                  <w:smallCaps w:val="false"/>
                  <w:strike w:val="false"/>
                  <w:dstrike w:val="false"/>
                  <w:color w:val="231F20"/>
                  <w:sz w:val="18"/>
                  <w:u w:val="none"/>
                  <w:effect w:val="none"/>
                </w:rPr>
                <w:t>65</w:t>
              </w:r>
            </w:hyperlink>
          </w:p>
        </w:tc>
      </w:tr>
      <w:tr>
        <w:trPr/>
        <w:tc>
          <w:tcPr>
            <w:tcW w:w="5780" w:type="dxa"/>
            <w:tcBorders/>
            <w:vAlign w:val="center"/>
          </w:tcPr>
          <w:p>
            <w:pPr>
              <w:pStyle w:val="TableContents"/>
              <w:bidi w:val="0"/>
              <w:spacing w:before="0" w:after="283"/>
              <w:jc w:val="left"/>
              <w:rPr/>
            </w:pPr>
            <w:hyperlink w:anchor="lregnb011">
              <w:r>
                <w:rPr>
                  <w:rStyle w:val="InternetLink"/>
                  <w:rFonts w:ascii="Arial;Helvetica;Sans-Serif" w:hAnsi="Arial;Helvetica;Sans-Serif"/>
                  <w:b w:val="false"/>
                  <w:i w:val="false"/>
                  <w:caps w:val="false"/>
                  <w:smallCaps w:val="false"/>
                  <w:strike w:val="false"/>
                  <w:dstrike w:val="false"/>
                  <w:color w:val="231F20"/>
                  <w:sz w:val="18"/>
                  <w:u w:val="none"/>
                  <w:effect w:val="none"/>
                </w:rPr>
                <w:t>Base Salaries</w:t>
              </w:r>
            </w:hyperlink>
          </w:p>
        </w:tc>
        <w:tc>
          <w:tcPr>
            <w:tcW w:w="245" w:type="dxa"/>
            <w:tcBorders/>
            <w:vAlign w:val="center"/>
          </w:tcPr>
          <w:p>
            <w:pPr>
              <w:pStyle w:val="TableContents"/>
              <w:bidi w:val="0"/>
              <w:spacing w:before="0" w:after="283"/>
              <w:jc w:val="right"/>
              <w:rPr/>
            </w:pPr>
            <w:hyperlink w:anchor="lregnb011">
              <w:r>
                <w:rPr>
                  <w:rStyle w:val="InternetLink"/>
                  <w:rFonts w:ascii="Arial;Helvetica;Sans-Serif" w:hAnsi="Arial;Helvetica;Sans-Serif"/>
                  <w:b w:val="false"/>
                  <w:i w:val="false"/>
                  <w:caps w:val="false"/>
                  <w:smallCaps w:val="false"/>
                  <w:strike w:val="false"/>
                  <w:dstrike w:val="false"/>
                  <w:color w:val="231F20"/>
                  <w:sz w:val="18"/>
                  <w:u w:val="none"/>
                  <w:effect w:val="none"/>
                </w:rPr>
                <w:t>65</w:t>
              </w:r>
            </w:hyperlink>
          </w:p>
        </w:tc>
      </w:tr>
      <w:tr>
        <w:trPr/>
        <w:tc>
          <w:tcPr>
            <w:tcW w:w="5780" w:type="dxa"/>
            <w:tcBorders/>
            <w:vAlign w:val="center"/>
          </w:tcPr>
          <w:p>
            <w:pPr>
              <w:pStyle w:val="TableContents"/>
              <w:bidi w:val="0"/>
              <w:spacing w:before="0" w:after="283"/>
              <w:jc w:val="left"/>
              <w:rPr/>
            </w:pPr>
            <w:hyperlink w:anchor="lregnb012">
              <w:r>
                <w:rPr>
                  <w:rStyle w:val="InternetLink"/>
                  <w:rFonts w:ascii="Arial;Helvetica;Sans-Serif" w:hAnsi="Arial;Helvetica;Sans-Serif"/>
                  <w:b w:val="false"/>
                  <w:i w:val="false"/>
                  <w:caps w:val="false"/>
                  <w:smallCaps w:val="false"/>
                  <w:strike w:val="false"/>
                  <w:dstrike w:val="false"/>
                  <w:color w:val="231F20"/>
                  <w:sz w:val="18"/>
                  <w:u w:val="none"/>
                  <w:effect w:val="none"/>
                </w:rPr>
                <w:t>Annual Cash Incentives</w:t>
              </w:r>
            </w:hyperlink>
          </w:p>
        </w:tc>
        <w:tc>
          <w:tcPr>
            <w:tcW w:w="245" w:type="dxa"/>
            <w:tcBorders/>
            <w:vAlign w:val="center"/>
          </w:tcPr>
          <w:p>
            <w:pPr>
              <w:pStyle w:val="TableContents"/>
              <w:bidi w:val="0"/>
              <w:spacing w:before="0" w:after="283"/>
              <w:jc w:val="right"/>
              <w:rPr/>
            </w:pPr>
            <w:hyperlink w:anchor="lregnb012">
              <w:r>
                <w:rPr>
                  <w:rStyle w:val="InternetLink"/>
                  <w:rFonts w:ascii="Arial;Helvetica;Sans-Serif" w:hAnsi="Arial;Helvetica;Sans-Serif"/>
                  <w:b w:val="false"/>
                  <w:i w:val="false"/>
                  <w:caps w:val="false"/>
                  <w:smallCaps w:val="false"/>
                  <w:strike w:val="false"/>
                  <w:dstrike w:val="false"/>
                  <w:color w:val="231F20"/>
                  <w:sz w:val="18"/>
                  <w:u w:val="none"/>
                  <w:effect w:val="none"/>
                </w:rPr>
                <w:t>66</w:t>
              </w:r>
            </w:hyperlink>
          </w:p>
        </w:tc>
      </w:tr>
      <w:tr>
        <w:trPr/>
        <w:tc>
          <w:tcPr>
            <w:tcW w:w="5780" w:type="dxa"/>
            <w:tcBorders/>
            <w:vAlign w:val="center"/>
          </w:tcPr>
          <w:p>
            <w:pPr>
              <w:pStyle w:val="TableContents"/>
              <w:bidi w:val="0"/>
              <w:spacing w:before="0" w:after="283"/>
              <w:jc w:val="left"/>
              <w:rPr/>
            </w:pPr>
            <w:hyperlink w:anchor="lregnb013">
              <w:r>
                <w:rPr>
                  <w:rStyle w:val="InternetLink"/>
                  <w:rFonts w:ascii="Arial;Helvetica;Sans-Serif" w:hAnsi="Arial;Helvetica;Sans-Serif"/>
                  <w:b w:val="false"/>
                  <w:i w:val="false"/>
                  <w:caps w:val="false"/>
                  <w:smallCaps w:val="false"/>
                  <w:strike w:val="false"/>
                  <w:dstrike w:val="false"/>
                  <w:color w:val="231F20"/>
                  <w:sz w:val="18"/>
                  <w:u w:val="none"/>
                  <w:effect w:val="none"/>
                </w:rPr>
                <w:t>Annual Equity Awards</w:t>
              </w:r>
            </w:hyperlink>
          </w:p>
        </w:tc>
        <w:tc>
          <w:tcPr>
            <w:tcW w:w="245" w:type="dxa"/>
            <w:tcBorders/>
            <w:vAlign w:val="center"/>
          </w:tcPr>
          <w:p>
            <w:pPr>
              <w:pStyle w:val="TableContents"/>
              <w:bidi w:val="0"/>
              <w:spacing w:before="0" w:after="283"/>
              <w:jc w:val="right"/>
              <w:rPr/>
            </w:pPr>
            <w:hyperlink w:anchor="lregnb013">
              <w:r>
                <w:rPr>
                  <w:rStyle w:val="InternetLink"/>
                  <w:rFonts w:ascii="Arial;Helvetica;Sans-Serif" w:hAnsi="Arial;Helvetica;Sans-Serif"/>
                  <w:b w:val="false"/>
                  <w:i w:val="false"/>
                  <w:caps w:val="false"/>
                  <w:smallCaps w:val="false"/>
                  <w:strike w:val="false"/>
                  <w:dstrike w:val="false"/>
                  <w:color w:val="231F20"/>
                  <w:sz w:val="18"/>
                  <w:u w:val="none"/>
                  <w:effect w:val="none"/>
                </w:rPr>
                <w:t>70</w:t>
              </w:r>
            </w:hyperlink>
          </w:p>
        </w:tc>
      </w:tr>
      <w:tr>
        <w:trPr/>
        <w:tc>
          <w:tcPr>
            <w:tcW w:w="5780" w:type="dxa"/>
            <w:tcBorders/>
            <w:vAlign w:val="center"/>
          </w:tcPr>
          <w:p>
            <w:pPr>
              <w:pStyle w:val="TableContents"/>
              <w:bidi w:val="0"/>
              <w:spacing w:before="0" w:after="283"/>
              <w:jc w:val="left"/>
              <w:rPr/>
            </w:pPr>
            <w:hyperlink w:anchor="lregnb014">
              <w:r>
                <w:rPr>
                  <w:rStyle w:val="InternetLink"/>
                  <w:rFonts w:ascii="Arial;Helvetica;Sans-Serif" w:hAnsi="Arial;Helvetica;Sans-Serif"/>
                  <w:b w:val="false"/>
                  <w:i w:val="false"/>
                  <w:caps w:val="false"/>
                  <w:smallCaps w:val="false"/>
                  <w:strike w:val="false"/>
                  <w:dstrike w:val="false"/>
                  <w:color w:val="231F20"/>
                  <w:sz w:val="18"/>
                  <w:u w:val="none"/>
                  <w:effect w:val="none"/>
                </w:rPr>
                <w:t>Perquisites and Personal Benefits</w:t>
              </w:r>
            </w:hyperlink>
          </w:p>
        </w:tc>
        <w:tc>
          <w:tcPr>
            <w:tcW w:w="245" w:type="dxa"/>
            <w:tcBorders/>
            <w:vAlign w:val="center"/>
          </w:tcPr>
          <w:p>
            <w:pPr>
              <w:pStyle w:val="TableContents"/>
              <w:bidi w:val="0"/>
              <w:spacing w:before="0" w:after="283"/>
              <w:jc w:val="right"/>
              <w:rPr/>
            </w:pPr>
            <w:hyperlink w:anchor="lregnb014">
              <w:r>
                <w:rPr>
                  <w:rStyle w:val="InternetLink"/>
                  <w:rFonts w:ascii="Arial;Helvetica;Sans-Serif" w:hAnsi="Arial;Helvetica;Sans-Serif"/>
                  <w:b w:val="false"/>
                  <w:i w:val="false"/>
                  <w:caps w:val="false"/>
                  <w:smallCaps w:val="false"/>
                  <w:strike w:val="false"/>
                  <w:dstrike w:val="false"/>
                  <w:color w:val="231F20"/>
                  <w:sz w:val="18"/>
                  <w:u w:val="none"/>
                  <w:effect w:val="none"/>
                </w:rPr>
                <w:t>73</w:t>
              </w:r>
            </w:hyperlink>
          </w:p>
        </w:tc>
      </w:tr>
      <w:tr>
        <w:trPr/>
        <w:tc>
          <w:tcPr>
            <w:tcW w:w="5780" w:type="dxa"/>
            <w:tcBorders/>
            <w:vAlign w:val="center"/>
          </w:tcPr>
          <w:p>
            <w:pPr>
              <w:pStyle w:val="TableContents"/>
              <w:bidi w:val="0"/>
              <w:spacing w:before="0" w:after="283"/>
              <w:jc w:val="left"/>
              <w:rPr/>
            </w:pPr>
            <w:hyperlink w:anchor="lregnb015">
              <w:r>
                <w:rPr>
                  <w:rStyle w:val="InternetLink"/>
                  <w:rFonts w:ascii="Arial;Helvetica;Sans-Serif" w:hAnsi="Arial;Helvetica;Sans-Serif"/>
                  <w:b w:val="false"/>
                  <w:i w:val="false"/>
                  <w:caps w:val="false"/>
                  <w:smallCaps w:val="false"/>
                  <w:strike w:val="false"/>
                  <w:dstrike w:val="false"/>
                  <w:color w:val="231F20"/>
                  <w:sz w:val="18"/>
                  <w:u w:val="none"/>
                  <w:effect w:val="none"/>
                </w:rPr>
                <w:t>Potential Severance Payments</w:t>
              </w:r>
            </w:hyperlink>
          </w:p>
        </w:tc>
        <w:tc>
          <w:tcPr>
            <w:tcW w:w="245" w:type="dxa"/>
            <w:tcBorders/>
            <w:vAlign w:val="center"/>
          </w:tcPr>
          <w:p>
            <w:pPr>
              <w:pStyle w:val="TableContents"/>
              <w:bidi w:val="0"/>
              <w:spacing w:before="0" w:after="283"/>
              <w:jc w:val="right"/>
              <w:rPr/>
            </w:pPr>
            <w:hyperlink w:anchor="lregnb015">
              <w:r>
                <w:rPr>
                  <w:rStyle w:val="InternetLink"/>
                  <w:rFonts w:ascii="Arial;Helvetica;Sans-Serif" w:hAnsi="Arial;Helvetica;Sans-Serif"/>
                  <w:b w:val="false"/>
                  <w:i w:val="false"/>
                  <w:caps w:val="false"/>
                  <w:smallCaps w:val="false"/>
                  <w:strike w:val="false"/>
                  <w:dstrike w:val="false"/>
                  <w:color w:val="231F20"/>
                  <w:sz w:val="18"/>
                  <w:u w:val="none"/>
                  <w:effect w:val="none"/>
                </w:rPr>
                <w:t>73</w:t>
              </w:r>
            </w:hyperlink>
          </w:p>
        </w:tc>
      </w:tr>
      <w:tr>
        <w:trPr/>
        <w:tc>
          <w:tcPr>
            <w:tcW w:w="5780" w:type="dxa"/>
            <w:tcBorders/>
            <w:vAlign w:val="center"/>
          </w:tcPr>
          <w:p>
            <w:pPr>
              <w:pStyle w:val="TableContents"/>
              <w:bidi w:val="0"/>
              <w:spacing w:before="0" w:after="283"/>
              <w:jc w:val="left"/>
              <w:rPr/>
            </w:pPr>
            <w:hyperlink w:anchor="lregnb016">
              <w:r>
                <w:rPr>
                  <w:rStyle w:val="InternetLink"/>
                  <w:rFonts w:ascii="Arial;Helvetica;Sans-Serif" w:hAnsi="Arial;Helvetica;Sans-Serif"/>
                  <w:b/>
                  <w:i w:val="false"/>
                  <w:caps w:val="false"/>
                  <w:smallCaps w:val="false"/>
                  <w:strike w:val="false"/>
                  <w:dstrike w:val="false"/>
                  <w:color w:val="231F20"/>
                  <w:sz w:val="18"/>
                  <w:u w:val="none"/>
                  <w:effect w:val="none"/>
                </w:rPr>
                <w:t>Compensation Processes</w:t>
              </w:r>
            </w:hyperlink>
          </w:p>
        </w:tc>
        <w:tc>
          <w:tcPr>
            <w:tcW w:w="245" w:type="dxa"/>
            <w:tcBorders/>
            <w:vAlign w:val="center"/>
          </w:tcPr>
          <w:p>
            <w:pPr>
              <w:pStyle w:val="TableContents"/>
              <w:bidi w:val="0"/>
              <w:spacing w:before="0" w:after="283"/>
              <w:jc w:val="right"/>
              <w:rPr/>
            </w:pPr>
            <w:hyperlink w:anchor="lregnb016">
              <w:r>
                <w:rPr>
                  <w:rStyle w:val="InternetLink"/>
                  <w:rFonts w:ascii="Arial;Helvetica;Sans-Serif" w:hAnsi="Arial;Helvetica;Sans-Serif"/>
                  <w:b/>
                  <w:i w:val="false"/>
                  <w:caps w:val="false"/>
                  <w:smallCaps w:val="false"/>
                  <w:strike w:val="false"/>
                  <w:dstrike w:val="false"/>
                  <w:color w:val="231F20"/>
                  <w:sz w:val="18"/>
                  <w:u w:val="none"/>
                  <w:effect w:val="none"/>
                </w:rPr>
                <w:t>74</w:t>
              </w:r>
            </w:hyperlink>
          </w:p>
        </w:tc>
      </w:tr>
      <w:tr>
        <w:trPr/>
        <w:tc>
          <w:tcPr>
            <w:tcW w:w="5780" w:type="dxa"/>
            <w:tcBorders/>
            <w:vAlign w:val="center"/>
          </w:tcPr>
          <w:p>
            <w:pPr>
              <w:pStyle w:val="TableContents"/>
              <w:bidi w:val="0"/>
              <w:spacing w:before="0" w:after="283"/>
              <w:jc w:val="left"/>
              <w:rPr/>
            </w:pPr>
            <w:hyperlink w:anchor="lregnb017">
              <w:r>
                <w:rPr>
                  <w:rStyle w:val="InternetLink"/>
                  <w:rFonts w:ascii="Arial;Helvetica;Sans-Serif" w:hAnsi="Arial;Helvetica;Sans-Serif"/>
                  <w:b w:val="false"/>
                  <w:i w:val="false"/>
                  <w:caps w:val="false"/>
                  <w:smallCaps w:val="false"/>
                  <w:strike w:val="false"/>
                  <w:dstrike w:val="false"/>
                  <w:color w:val="231F20"/>
                  <w:sz w:val="18"/>
                  <w:u w:val="none"/>
                  <w:effect w:val="none"/>
                </w:rPr>
                <w:t>Compensation Committee</w:t>
              </w:r>
            </w:hyperlink>
          </w:p>
        </w:tc>
        <w:tc>
          <w:tcPr>
            <w:tcW w:w="245" w:type="dxa"/>
            <w:tcBorders/>
            <w:vAlign w:val="center"/>
          </w:tcPr>
          <w:p>
            <w:pPr>
              <w:pStyle w:val="TableContents"/>
              <w:bidi w:val="0"/>
              <w:spacing w:before="0" w:after="283"/>
              <w:jc w:val="right"/>
              <w:rPr/>
            </w:pPr>
            <w:hyperlink w:anchor="lregnb017">
              <w:r>
                <w:rPr>
                  <w:rStyle w:val="InternetLink"/>
                  <w:rFonts w:ascii="Arial;Helvetica;Sans-Serif" w:hAnsi="Arial;Helvetica;Sans-Serif"/>
                  <w:b w:val="false"/>
                  <w:i w:val="false"/>
                  <w:caps w:val="false"/>
                  <w:smallCaps w:val="false"/>
                  <w:strike w:val="false"/>
                  <w:dstrike w:val="false"/>
                  <w:color w:val="231F20"/>
                  <w:sz w:val="18"/>
                  <w:u w:val="none"/>
                  <w:effect w:val="none"/>
                </w:rPr>
                <w:t>74</w:t>
              </w:r>
            </w:hyperlink>
          </w:p>
        </w:tc>
      </w:tr>
      <w:tr>
        <w:trPr/>
        <w:tc>
          <w:tcPr>
            <w:tcW w:w="5780" w:type="dxa"/>
            <w:tcBorders/>
            <w:vAlign w:val="center"/>
          </w:tcPr>
          <w:p>
            <w:pPr>
              <w:pStyle w:val="TableContents"/>
              <w:bidi w:val="0"/>
              <w:spacing w:before="0" w:after="283"/>
              <w:jc w:val="left"/>
              <w:rPr/>
            </w:pPr>
            <w:hyperlink w:anchor="lregnb018">
              <w:r>
                <w:rPr>
                  <w:rStyle w:val="InternetLink"/>
                  <w:rFonts w:ascii="Arial;Helvetica;Sans-Serif" w:hAnsi="Arial;Helvetica;Sans-Serif"/>
                  <w:b w:val="false"/>
                  <w:i w:val="false"/>
                  <w:caps w:val="false"/>
                  <w:smallCaps w:val="false"/>
                  <w:strike w:val="false"/>
                  <w:dstrike w:val="false"/>
                  <w:color w:val="231F20"/>
                  <w:sz w:val="18"/>
                  <w:u w:val="none"/>
                  <w:effect w:val="none"/>
                </w:rPr>
                <w:t>Management; Management’s Compensation Consultant</w:t>
              </w:r>
            </w:hyperlink>
          </w:p>
        </w:tc>
        <w:tc>
          <w:tcPr>
            <w:tcW w:w="245" w:type="dxa"/>
            <w:tcBorders/>
            <w:vAlign w:val="center"/>
          </w:tcPr>
          <w:p>
            <w:pPr>
              <w:pStyle w:val="TableContents"/>
              <w:bidi w:val="0"/>
              <w:spacing w:before="0" w:after="283"/>
              <w:jc w:val="right"/>
              <w:rPr/>
            </w:pPr>
            <w:hyperlink w:anchor="lregnb018">
              <w:r>
                <w:rPr>
                  <w:rStyle w:val="InternetLink"/>
                  <w:rFonts w:ascii="Arial;Helvetica;Sans-Serif" w:hAnsi="Arial;Helvetica;Sans-Serif"/>
                  <w:b w:val="false"/>
                  <w:i w:val="false"/>
                  <w:caps w:val="false"/>
                  <w:smallCaps w:val="false"/>
                  <w:strike w:val="false"/>
                  <w:dstrike w:val="false"/>
                  <w:color w:val="231F20"/>
                  <w:sz w:val="18"/>
                  <w:u w:val="none"/>
                  <w:effect w:val="none"/>
                </w:rPr>
                <w:t>75</w:t>
              </w:r>
            </w:hyperlink>
          </w:p>
        </w:tc>
      </w:tr>
      <w:tr>
        <w:trPr/>
        <w:tc>
          <w:tcPr>
            <w:tcW w:w="5780" w:type="dxa"/>
            <w:tcBorders/>
            <w:vAlign w:val="center"/>
          </w:tcPr>
          <w:p>
            <w:pPr>
              <w:pStyle w:val="TableContents"/>
              <w:bidi w:val="0"/>
              <w:spacing w:before="0" w:after="283"/>
              <w:jc w:val="left"/>
              <w:rPr/>
            </w:pPr>
            <w:hyperlink w:anchor="lregnb019">
              <w:r>
                <w:rPr>
                  <w:rStyle w:val="InternetLink"/>
                  <w:rFonts w:ascii="Arial;Helvetica;Sans-Serif" w:hAnsi="Arial;Helvetica;Sans-Serif"/>
                  <w:b w:val="false"/>
                  <w:i w:val="false"/>
                  <w:caps w:val="false"/>
                  <w:smallCaps w:val="false"/>
                  <w:strike w:val="false"/>
                  <w:dstrike w:val="false"/>
                  <w:color w:val="231F20"/>
                  <w:sz w:val="18"/>
                  <w:u w:val="none"/>
                  <w:effect w:val="none"/>
                </w:rPr>
                <w:t>Shareholder Input and Outreach and the 2024 Say-on-Pay Vote Result</w:t>
              </w:r>
            </w:hyperlink>
          </w:p>
        </w:tc>
        <w:tc>
          <w:tcPr>
            <w:tcW w:w="245" w:type="dxa"/>
            <w:tcBorders/>
            <w:vAlign w:val="center"/>
          </w:tcPr>
          <w:p>
            <w:pPr>
              <w:pStyle w:val="TableContents"/>
              <w:bidi w:val="0"/>
              <w:spacing w:before="0" w:after="283"/>
              <w:jc w:val="right"/>
              <w:rPr/>
            </w:pPr>
            <w:hyperlink w:anchor="lregnb019">
              <w:r>
                <w:rPr>
                  <w:rStyle w:val="InternetLink"/>
                  <w:rFonts w:ascii="Arial;Helvetica;Sans-Serif" w:hAnsi="Arial;Helvetica;Sans-Serif"/>
                  <w:b w:val="false"/>
                  <w:i w:val="false"/>
                  <w:caps w:val="false"/>
                  <w:smallCaps w:val="false"/>
                  <w:strike w:val="false"/>
                  <w:dstrike w:val="false"/>
                  <w:color w:val="231F20"/>
                  <w:sz w:val="18"/>
                  <w:u w:val="none"/>
                  <w:effect w:val="none"/>
                </w:rPr>
                <w:t>75</w:t>
              </w:r>
            </w:hyperlink>
          </w:p>
        </w:tc>
      </w:tr>
      <w:tr>
        <w:trPr/>
        <w:tc>
          <w:tcPr>
            <w:tcW w:w="5780" w:type="dxa"/>
            <w:tcBorders/>
            <w:vAlign w:val="center"/>
          </w:tcPr>
          <w:p>
            <w:pPr>
              <w:pStyle w:val="TableContents"/>
              <w:bidi w:val="0"/>
              <w:spacing w:before="0" w:after="283"/>
              <w:jc w:val="left"/>
              <w:rPr/>
            </w:pPr>
            <w:hyperlink w:anchor="lregnb020">
              <w:r>
                <w:rPr>
                  <w:rStyle w:val="InternetLink"/>
                  <w:rFonts w:ascii="Arial;Helvetica;Sans-Serif" w:hAnsi="Arial;Helvetica;Sans-Serif"/>
                  <w:b w:val="false"/>
                  <w:i w:val="false"/>
                  <w:caps w:val="false"/>
                  <w:smallCaps w:val="false"/>
                  <w:strike w:val="false"/>
                  <w:dstrike w:val="false"/>
                  <w:color w:val="231F20"/>
                  <w:sz w:val="18"/>
                  <w:u w:val="none"/>
                  <w:effect w:val="none"/>
                </w:rPr>
                <w:t>Independent Compensation Consultant</w:t>
              </w:r>
            </w:hyperlink>
          </w:p>
        </w:tc>
        <w:tc>
          <w:tcPr>
            <w:tcW w:w="245" w:type="dxa"/>
            <w:tcBorders/>
            <w:vAlign w:val="center"/>
          </w:tcPr>
          <w:p>
            <w:pPr>
              <w:pStyle w:val="TableContents"/>
              <w:bidi w:val="0"/>
              <w:spacing w:before="0" w:after="283"/>
              <w:jc w:val="right"/>
              <w:rPr/>
            </w:pPr>
            <w:hyperlink w:anchor="lregnb020">
              <w:r>
                <w:rPr>
                  <w:rStyle w:val="InternetLink"/>
                  <w:rFonts w:ascii="Arial;Helvetica;Sans-Serif" w:hAnsi="Arial;Helvetica;Sans-Serif"/>
                  <w:b w:val="false"/>
                  <w:i w:val="false"/>
                  <w:caps w:val="false"/>
                  <w:smallCaps w:val="false"/>
                  <w:strike w:val="false"/>
                  <w:dstrike w:val="false"/>
                  <w:color w:val="231F20"/>
                  <w:sz w:val="18"/>
                  <w:u w:val="none"/>
                  <w:effect w:val="none"/>
                </w:rPr>
                <w:t>77</w:t>
              </w:r>
            </w:hyperlink>
          </w:p>
        </w:tc>
      </w:tr>
      <w:tr>
        <w:trPr/>
        <w:tc>
          <w:tcPr>
            <w:tcW w:w="5780" w:type="dxa"/>
            <w:tcBorders/>
            <w:vAlign w:val="center"/>
          </w:tcPr>
          <w:p>
            <w:pPr>
              <w:pStyle w:val="TableContents"/>
              <w:bidi w:val="0"/>
              <w:spacing w:before="0" w:after="283"/>
              <w:jc w:val="left"/>
              <w:rPr/>
            </w:pPr>
            <w:hyperlink w:anchor="lregnb021">
              <w:r>
                <w:rPr>
                  <w:rStyle w:val="InternetLink"/>
                  <w:rFonts w:ascii="Arial;Helvetica;Sans-Serif" w:hAnsi="Arial;Helvetica;Sans-Serif"/>
                  <w:b w:val="false"/>
                  <w:i w:val="false"/>
                  <w:caps w:val="false"/>
                  <w:smallCaps w:val="false"/>
                  <w:strike w:val="false"/>
                  <w:dstrike w:val="false"/>
                  <w:color w:val="231F20"/>
                  <w:sz w:val="18"/>
                  <w:u w:val="none"/>
                  <w:effect w:val="none"/>
                </w:rPr>
                <w:t>Peer and Other Market Data</w:t>
              </w:r>
            </w:hyperlink>
          </w:p>
        </w:tc>
        <w:tc>
          <w:tcPr>
            <w:tcW w:w="245" w:type="dxa"/>
            <w:tcBorders/>
            <w:vAlign w:val="center"/>
          </w:tcPr>
          <w:p>
            <w:pPr>
              <w:pStyle w:val="TableContents"/>
              <w:bidi w:val="0"/>
              <w:spacing w:before="0" w:after="283"/>
              <w:jc w:val="right"/>
              <w:rPr/>
            </w:pPr>
            <w:hyperlink w:anchor="lregnb021">
              <w:r>
                <w:rPr>
                  <w:rStyle w:val="InternetLink"/>
                  <w:rFonts w:ascii="Arial;Helvetica;Sans-Serif" w:hAnsi="Arial;Helvetica;Sans-Serif"/>
                  <w:b w:val="false"/>
                  <w:i w:val="false"/>
                  <w:caps w:val="false"/>
                  <w:smallCaps w:val="false"/>
                  <w:strike w:val="false"/>
                  <w:dstrike w:val="false"/>
                  <w:color w:val="231F20"/>
                  <w:sz w:val="18"/>
                  <w:u w:val="none"/>
                  <w:effect w:val="none"/>
                </w:rPr>
                <w:t>77</w:t>
              </w:r>
            </w:hyperlink>
          </w:p>
        </w:tc>
      </w:tr>
      <w:tr>
        <w:trPr/>
        <w:tc>
          <w:tcPr>
            <w:tcW w:w="5780" w:type="dxa"/>
            <w:tcBorders/>
            <w:vAlign w:val="center"/>
          </w:tcPr>
          <w:p>
            <w:pPr>
              <w:pStyle w:val="TableContents"/>
              <w:bidi w:val="0"/>
              <w:spacing w:before="0" w:after="283"/>
              <w:jc w:val="left"/>
              <w:rPr/>
            </w:pPr>
            <w:hyperlink w:anchor="lregnb022">
              <w:r>
                <w:rPr>
                  <w:rStyle w:val="InternetLink"/>
                  <w:rFonts w:ascii="Arial;Helvetica;Sans-Serif" w:hAnsi="Arial;Helvetica;Sans-Serif"/>
                  <w:b w:val="false"/>
                  <w:i w:val="false"/>
                  <w:caps w:val="false"/>
                  <w:smallCaps w:val="false"/>
                  <w:strike w:val="false"/>
                  <w:dstrike w:val="false"/>
                  <w:color w:val="231F20"/>
                  <w:sz w:val="18"/>
                  <w:u w:val="none"/>
                  <w:effect w:val="none"/>
                </w:rPr>
                <w:t>Risk Assessment</w:t>
              </w:r>
            </w:hyperlink>
          </w:p>
        </w:tc>
        <w:tc>
          <w:tcPr>
            <w:tcW w:w="245" w:type="dxa"/>
            <w:tcBorders/>
            <w:vAlign w:val="center"/>
          </w:tcPr>
          <w:p>
            <w:pPr>
              <w:pStyle w:val="TableContents"/>
              <w:bidi w:val="0"/>
              <w:spacing w:before="0" w:after="283"/>
              <w:jc w:val="right"/>
              <w:rPr/>
            </w:pPr>
            <w:hyperlink w:anchor="lregnb022">
              <w:r>
                <w:rPr>
                  <w:rStyle w:val="InternetLink"/>
                  <w:rFonts w:ascii="Arial;Helvetica;Sans-Serif" w:hAnsi="Arial;Helvetica;Sans-Serif"/>
                  <w:b w:val="false"/>
                  <w:i w:val="false"/>
                  <w:caps w:val="false"/>
                  <w:smallCaps w:val="false"/>
                  <w:strike w:val="false"/>
                  <w:dstrike w:val="false"/>
                  <w:color w:val="231F20"/>
                  <w:sz w:val="18"/>
                  <w:u w:val="none"/>
                  <w:effect w:val="none"/>
                </w:rPr>
                <w:t>79</w:t>
              </w:r>
            </w:hyperlink>
          </w:p>
        </w:tc>
      </w:tr>
      <w:tr>
        <w:trPr/>
        <w:tc>
          <w:tcPr>
            <w:tcW w:w="5780" w:type="dxa"/>
            <w:tcBorders/>
            <w:vAlign w:val="center"/>
          </w:tcPr>
          <w:p>
            <w:pPr>
              <w:pStyle w:val="TableContents"/>
              <w:bidi w:val="0"/>
              <w:spacing w:before="0" w:after="283"/>
              <w:jc w:val="left"/>
              <w:rPr/>
            </w:pPr>
            <w:hyperlink w:anchor="lregnb023">
              <w:r>
                <w:rPr>
                  <w:rStyle w:val="InternetLink"/>
                  <w:rFonts w:ascii="Arial;Helvetica;Sans-Serif" w:hAnsi="Arial;Helvetica;Sans-Serif"/>
                  <w:b w:val="false"/>
                  <w:i w:val="false"/>
                  <w:caps w:val="false"/>
                  <w:smallCaps w:val="false"/>
                  <w:strike w:val="false"/>
                  <w:dstrike w:val="false"/>
                  <w:color w:val="231F20"/>
                  <w:sz w:val="18"/>
                  <w:u w:val="none"/>
                  <w:effect w:val="none"/>
                </w:rPr>
                <w:t>Tax Implications</w:t>
              </w:r>
            </w:hyperlink>
          </w:p>
        </w:tc>
        <w:tc>
          <w:tcPr>
            <w:tcW w:w="245" w:type="dxa"/>
            <w:tcBorders/>
            <w:vAlign w:val="center"/>
          </w:tcPr>
          <w:p>
            <w:pPr>
              <w:pStyle w:val="TableContents"/>
              <w:bidi w:val="0"/>
              <w:spacing w:before="0" w:after="283"/>
              <w:jc w:val="right"/>
              <w:rPr/>
            </w:pPr>
            <w:hyperlink w:anchor="lregnb023">
              <w:r>
                <w:rPr>
                  <w:rStyle w:val="InternetLink"/>
                  <w:rFonts w:ascii="Arial;Helvetica;Sans-Serif" w:hAnsi="Arial;Helvetica;Sans-Serif"/>
                  <w:b w:val="false"/>
                  <w:i w:val="false"/>
                  <w:caps w:val="false"/>
                  <w:smallCaps w:val="false"/>
                  <w:strike w:val="false"/>
                  <w:dstrike w:val="false"/>
                  <w:color w:val="231F20"/>
                  <w:sz w:val="18"/>
                  <w:u w:val="none"/>
                  <w:effect w:val="none"/>
                </w:rPr>
                <w:t>79</w:t>
              </w:r>
            </w:hyperlink>
          </w:p>
        </w:tc>
      </w:tr>
      <w:tr>
        <w:trPr/>
        <w:tc>
          <w:tcPr>
            <w:tcW w:w="5780" w:type="dxa"/>
            <w:tcBorders/>
            <w:vAlign w:val="center"/>
          </w:tcPr>
          <w:p>
            <w:pPr>
              <w:pStyle w:val="TableContents"/>
              <w:bidi w:val="0"/>
              <w:spacing w:before="0" w:after="283"/>
              <w:jc w:val="left"/>
              <w:rPr/>
            </w:pPr>
            <w:hyperlink w:anchor="lregnb024">
              <w:r>
                <w:rPr>
                  <w:rStyle w:val="InternetLink"/>
                  <w:rFonts w:ascii="Arial;Helvetica;Sans-Serif" w:hAnsi="Arial;Helvetica;Sans-Serif"/>
                  <w:b/>
                  <w:i w:val="false"/>
                  <w:caps w:val="false"/>
                  <w:smallCaps w:val="false"/>
                  <w:strike w:val="false"/>
                  <w:dstrike w:val="false"/>
                  <w:color w:val="231F20"/>
                  <w:sz w:val="18"/>
                  <w:u w:val="none"/>
                  <w:effect w:val="none"/>
                </w:rPr>
                <w:t>Compensation Committee Report</w:t>
              </w:r>
            </w:hyperlink>
          </w:p>
        </w:tc>
        <w:tc>
          <w:tcPr>
            <w:tcW w:w="245" w:type="dxa"/>
            <w:tcBorders/>
            <w:vAlign w:val="center"/>
          </w:tcPr>
          <w:p>
            <w:pPr>
              <w:pStyle w:val="TableContents"/>
              <w:bidi w:val="0"/>
              <w:spacing w:before="0" w:after="283"/>
              <w:jc w:val="right"/>
              <w:rPr/>
            </w:pPr>
            <w:hyperlink w:anchor="lregnb024">
              <w:r>
                <w:rPr>
                  <w:rStyle w:val="InternetLink"/>
                  <w:rFonts w:ascii="Arial;Helvetica;Sans-Serif" w:hAnsi="Arial;Helvetica;Sans-Serif"/>
                  <w:b/>
                  <w:i w:val="false"/>
                  <w:caps w:val="false"/>
                  <w:smallCaps w:val="false"/>
                  <w:strike w:val="false"/>
                  <w:dstrike w:val="false"/>
                  <w:color w:val="231F20"/>
                  <w:sz w:val="18"/>
                  <w:u w:val="none"/>
                  <w:effect w:val="none"/>
                </w:rPr>
                <w:t>80</w:t>
              </w:r>
            </w:hyperlink>
          </w:p>
        </w:tc>
      </w:tr>
      <w:tr>
        <w:trPr/>
        <w:tc>
          <w:tcPr>
            <w:tcW w:w="5780" w:type="dxa"/>
            <w:tcBorders/>
            <w:vAlign w:val="center"/>
          </w:tcPr>
          <w:p>
            <w:pPr>
              <w:pStyle w:val="TableContents"/>
              <w:bidi w:val="0"/>
              <w:spacing w:before="0" w:after="283"/>
              <w:jc w:val="left"/>
              <w:rPr/>
            </w:pPr>
            <w:hyperlink w:anchor="lregnb025">
              <w:r>
                <w:rPr>
                  <w:rStyle w:val="InternetLink"/>
                  <w:rFonts w:ascii="Arial;Helvetica;Sans-Serif" w:hAnsi="Arial;Helvetica;Sans-Serif"/>
                  <w:b/>
                  <w:i w:val="false"/>
                  <w:caps w:val="false"/>
                  <w:smallCaps w:val="false"/>
                  <w:strike w:val="false"/>
                  <w:dstrike w:val="false"/>
                  <w:color w:val="231F20"/>
                  <w:sz w:val="18"/>
                  <w:u w:val="none"/>
                  <w:effect w:val="none"/>
                </w:rPr>
                <w:t>Compensation Committee Interlocks and Insider</w:t>
              </w:r>
            </w:hyperlink>
            <w:hyperlink w:anchor="lregnb025">
              <w:r>
                <w:rPr>
                  <w:rStyle w:val="InternetLink"/>
                  <w:rFonts w:ascii="Arial;Helvetica;Sans-Serif" w:hAnsi="Arial;Helvetica;Sans-Serif"/>
                  <w:b w:val="false"/>
                  <w:i w:val="false"/>
                  <w:caps w:val="false"/>
                  <w:smallCaps w:val="false"/>
                  <w:strike w:val="false"/>
                  <w:dstrike w:val="false"/>
                  <w:color w:val="231F20"/>
                  <w:sz w:val="18"/>
                  <w:u w:val="none"/>
                  <w:effect w:val="none"/>
                </w:rPr>
                <w:t xml:space="preserve"> </w:t>
              </w:r>
            </w:hyperlink>
            <w:hyperlink w:anchor="lregnb025">
              <w:r>
                <w:rPr>
                  <w:rStyle w:val="InternetLink"/>
                  <w:rFonts w:ascii="Arial;Helvetica;Sans-Serif" w:hAnsi="Arial;Helvetica;Sans-Serif"/>
                  <w:b/>
                  <w:i w:val="false"/>
                  <w:caps w:val="false"/>
                  <w:smallCaps w:val="false"/>
                  <w:strike w:val="false"/>
                  <w:dstrike w:val="false"/>
                  <w:color w:val="231F20"/>
                  <w:sz w:val="18"/>
                  <w:u w:val="none"/>
                  <w:effect w:val="none"/>
                </w:rPr>
                <w:t>Participation</w:t>
              </w:r>
            </w:hyperlink>
          </w:p>
        </w:tc>
        <w:tc>
          <w:tcPr>
            <w:tcW w:w="245" w:type="dxa"/>
            <w:tcBorders/>
            <w:vAlign w:val="center"/>
          </w:tcPr>
          <w:p>
            <w:pPr>
              <w:pStyle w:val="TableContents"/>
              <w:bidi w:val="0"/>
              <w:spacing w:before="0" w:after="283"/>
              <w:jc w:val="right"/>
              <w:rPr/>
            </w:pPr>
            <w:hyperlink w:anchor="lregnb025">
              <w:r>
                <w:rPr>
                  <w:rStyle w:val="InternetLink"/>
                  <w:rFonts w:ascii="Arial;Helvetica;Sans-Serif" w:hAnsi="Arial;Helvetica;Sans-Serif"/>
                  <w:b/>
                  <w:i w:val="false"/>
                  <w:caps w:val="false"/>
                  <w:smallCaps w:val="false"/>
                  <w:strike w:val="false"/>
                  <w:dstrike w:val="false"/>
                  <w:color w:val="231F20"/>
                  <w:sz w:val="18"/>
                  <w:u w:val="none"/>
                  <w:effect w:val="none"/>
                </w:rPr>
                <w:t>80</w:t>
              </w:r>
            </w:hyperlink>
          </w:p>
        </w:tc>
      </w:tr>
      <w:tr>
        <w:trPr/>
        <w:tc>
          <w:tcPr>
            <w:tcW w:w="5780" w:type="dxa"/>
            <w:tcBorders/>
            <w:vAlign w:val="center"/>
          </w:tcPr>
          <w:p>
            <w:pPr>
              <w:pStyle w:val="TableContents"/>
              <w:bidi w:val="0"/>
              <w:spacing w:before="0" w:after="283"/>
              <w:jc w:val="left"/>
              <w:rPr/>
            </w:pPr>
            <w:hyperlink w:anchor="lregnb026">
              <w:r>
                <w:rPr>
                  <w:rStyle w:val="InternetLink"/>
                  <w:rFonts w:ascii="Arial;Helvetica;Sans-Serif" w:hAnsi="Arial;Helvetica;Sans-Serif"/>
                  <w:b/>
                  <w:i w:val="false"/>
                  <w:caps w:val="false"/>
                  <w:smallCaps w:val="false"/>
                  <w:strike w:val="false"/>
                  <w:dstrike w:val="false"/>
                  <w:color w:val="0F5EAC"/>
                  <w:sz w:val="18"/>
                  <w:u w:val="none"/>
                  <w:effect w:val="none"/>
                </w:rPr>
                <w:t>Compensation Dashboard</w:t>
              </w:r>
            </w:hyperlink>
          </w:p>
        </w:tc>
        <w:tc>
          <w:tcPr>
            <w:tcW w:w="245" w:type="dxa"/>
            <w:tcBorders/>
            <w:vAlign w:val="center"/>
          </w:tcPr>
          <w:p>
            <w:pPr>
              <w:pStyle w:val="TableContents"/>
              <w:bidi w:val="0"/>
              <w:spacing w:before="0" w:after="283"/>
              <w:jc w:val="right"/>
              <w:rPr/>
            </w:pPr>
            <w:hyperlink w:anchor="lregnb026">
              <w:r>
                <w:rPr>
                  <w:rStyle w:val="InternetLink"/>
                  <w:rFonts w:ascii="Arial;Helvetica;Sans-Serif" w:hAnsi="Arial;Helvetica;Sans-Serif"/>
                  <w:b/>
                  <w:i w:val="false"/>
                  <w:caps w:val="false"/>
                  <w:smallCaps w:val="false"/>
                  <w:strike w:val="false"/>
                  <w:dstrike w:val="false"/>
                  <w:color w:val="0F5EAC"/>
                  <w:sz w:val="18"/>
                  <w:u w:val="none"/>
                  <w:effect w:val="none"/>
                </w:rPr>
                <w:t>81</w:t>
              </w:r>
            </w:hyperlink>
          </w:p>
        </w:tc>
      </w:tr>
      <w:tr>
        <w:trPr/>
        <w:tc>
          <w:tcPr>
            <w:tcW w:w="5780" w:type="dxa"/>
            <w:tcBorders/>
            <w:vAlign w:val="center"/>
          </w:tcPr>
          <w:p>
            <w:pPr>
              <w:pStyle w:val="TableContents"/>
              <w:bidi w:val="0"/>
              <w:spacing w:before="0" w:after="283"/>
              <w:jc w:val="left"/>
              <w:rPr/>
            </w:pPr>
            <w:hyperlink w:anchor="lregnb027">
              <w:r>
                <w:rPr>
                  <w:rStyle w:val="InternetLink"/>
                  <w:rFonts w:ascii="Arial;Helvetica;Sans-Serif" w:hAnsi="Arial;Helvetica;Sans-Serif"/>
                  <w:b/>
                  <w:i w:val="false"/>
                  <w:caps w:val="false"/>
                  <w:smallCaps w:val="false"/>
                  <w:strike w:val="false"/>
                  <w:dstrike w:val="false"/>
                  <w:color w:val="231F20"/>
                  <w:sz w:val="18"/>
                  <w:u w:val="none"/>
                  <w:effect w:val="none"/>
                </w:rPr>
                <w:t>2024 Executive Compensation Tables</w:t>
              </w:r>
            </w:hyperlink>
          </w:p>
        </w:tc>
        <w:tc>
          <w:tcPr>
            <w:tcW w:w="245" w:type="dxa"/>
            <w:tcBorders/>
            <w:vAlign w:val="center"/>
          </w:tcPr>
          <w:p>
            <w:pPr>
              <w:pStyle w:val="TableContents"/>
              <w:bidi w:val="0"/>
              <w:spacing w:before="0" w:after="283"/>
              <w:jc w:val="right"/>
              <w:rPr/>
            </w:pPr>
            <w:hyperlink w:anchor="lregnb027">
              <w:r>
                <w:rPr>
                  <w:rStyle w:val="InternetLink"/>
                  <w:rFonts w:ascii="Arial;Helvetica;Sans-Serif" w:hAnsi="Arial;Helvetica;Sans-Serif"/>
                  <w:b/>
                  <w:i w:val="false"/>
                  <w:caps w:val="false"/>
                  <w:smallCaps w:val="false"/>
                  <w:strike w:val="false"/>
                  <w:dstrike w:val="false"/>
                  <w:color w:val="231F20"/>
                  <w:sz w:val="18"/>
                  <w:u w:val="none"/>
                  <w:effect w:val="none"/>
                </w:rPr>
                <w:t>81</w:t>
              </w:r>
            </w:hyperlink>
          </w:p>
        </w:tc>
      </w:tr>
      <w:tr>
        <w:trPr/>
        <w:tc>
          <w:tcPr>
            <w:tcW w:w="5780" w:type="dxa"/>
            <w:tcBorders/>
            <w:vAlign w:val="center"/>
          </w:tcPr>
          <w:p>
            <w:pPr>
              <w:pStyle w:val="TableContents"/>
              <w:bidi w:val="0"/>
              <w:spacing w:before="0" w:after="283"/>
              <w:jc w:val="left"/>
              <w:rPr/>
            </w:pPr>
            <w:hyperlink w:anchor="lregnb028">
              <w:r>
                <w:rPr>
                  <w:rStyle w:val="InternetLink"/>
                  <w:rFonts w:ascii="Arial;Helvetica;Sans-Serif" w:hAnsi="Arial;Helvetica;Sans-Serif"/>
                  <w:b w:val="false"/>
                  <w:i w:val="false"/>
                  <w:caps w:val="false"/>
                  <w:smallCaps w:val="false"/>
                  <w:strike w:val="false"/>
                  <w:dstrike w:val="false"/>
                  <w:color w:val="231F20"/>
                  <w:sz w:val="18"/>
                  <w:u w:val="none"/>
                  <w:effect w:val="none"/>
                </w:rPr>
                <w:t>2024 Summary Compensation Table</w:t>
              </w:r>
            </w:hyperlink>
          </w:p>
        </w:tc>
        <w:tc>
          <w:tcPr>
            <w:tcW w:w="245" w:type="dxa"/>
            <w:tcBorders/>
            <w:vAlign w:val="center"/>
          </w:tcPr>
          <w:p>
            <w:pPr>
              <w:pStyle w:val="TableContents"/>
              <w:bidi w:val="0"/>
              <w:spacing w:before="0" w:after="283"/>
              <w:jc w:val="right"/>
              <w:rPr/>
            </w:pPr>
            <w:hyperlink w:anchor="lregnb028">
              <w:r>
                <w:rPr>
                  <w:rStyle w:val="InternetLink"/>
                  <w:rFonts w:ascii="Arial;Helvetica;Sans-Serif" w:hAnsi="Arial;Helvetica;Sans-Serif"/>
                  <w:b w:val="false"/>
                  <w:i w:val="false"/>
                  <w:caps w:val="false"/>
                  <w:smallCaps w:val="false"/>
                  <w:strike w:val="false"/>
                  <w:dstrike w:val="false"/>
                  <w:color w:val="231F20"/>
                  <w:sz w:val="18"/>
                  <w:u w:val="none"/>
                  <w:effect w:val="none"/>
                </w:rPr>
                <w:t>81</w:t>
              </w:r>
            </w:hyperlink>
          </w:p>
        </w:tc>
      </w:tr>
      <w:tr>
        <w:trPr/>
        <w:tc>
          <w:tcPr>
            <w:tcW w:w="5780" w:type="dxa"/>
            <w:tcBorders/>
            <w:vAlign w:val="center"/>
          </w:tcPr>
          <w:p>
            <w:pPr>
              <w:pStyle w:val="TableContents"/>
              <w:bidi w:val="0"/>
              <w:spacing w:before="0" w:after="283"/>
              <w:jc w:val="left"/>
              <w:rPr/>
            </w:pPr>
            <w:hyperlink w:anchor="lregnb029">
              <w:r>
                <w:rPr>
                  <w:rStyle w:val="InternetLink"/>
                  <w:rFonts w:ascii="Arial;Helvetica;Sans-Serif" w:hAnsi="Arial;Helvetica;Sans-Serif"/>
                  <w:b w:val="false"/>
                  <w:i w:val="false"/>
                  <w:caps w:val="false"/>
                  <w:smallCaps w:val="false"/>
                  <w:strike w:val="false"/>
                  <w:dstrike w:val="false"/>
                  <w:color w:val="231F20"/>
                  <w:sz w:val="18"/>
                  <w:u w:val="none"/>
                  <w:effect w:val="none"/>
                </w:rPr>
                <w:t>2024 Grants of Plan-Based Awards</w:t>
              </w:r>
            </w:hyperlink>
          </w:p>
        </w:tc>
        <w:tc>
          <w:tcPr>
            <w:tcW w:w="245" w:type="dxa"/>
            <w:tcBorders/>
            <w:vAlign w:val="center"/>
          </w:tcPr>
          <w:p>
            <w:pPr>
              <w:pStyle w:val="TableContents"/>
              <w:bidi w:val="0"/>
              <w:spacing w:before="0" w:after="283"/>
              <w:jc w:val="right"/>
              <w:rPr/>
            </w:pPr>
            <w:hyperlink w:anchor="lregnb029">
              <w:r>
                <w:rPr>
                  <w:rStyle w:val="InternetLink"/>
                  <w:rFonts w:ascii="Arial;Helvetica;Sans-Serif" w:hAnsi="Arial;Helvetica;Sans-Serif"/>
                  <w:b w:val="false"/>
                  <w:i w:val="false"/>
                  <w:caps w:val="false"/>
                  <w:smallCaps w:val="false"/>
                  <w:strike w:val="false"/>
                  <w:dstrike w:val="false"/>
                  <w:color w:val="231F20"/>
                  <w:sz w:val="18"/>
                  <w:u w:val="none"/>
                  <w:effect w:val="none"/>
                </w:rPr>
                <w:t>82</w:t>
              </w:r>
            </w:hyperlink>
          </w:p>
        </w:tc>
      </w:tr>
      <w:tr>
        <w:trPr/>
        <w:tc>
          <w:tcPr>
            <w:tcW w:w="5780" w:type="dxa"/>
            <w:tcBorders/>
            <w:vAlign w:val="center"/>
          </w:tcPr>
          <w:p>
            <w:pPr>
              <w:pStyle w:val="TableContents"/>
              <w:bidi w:val="0"/>
              <w:spacing w:before="0" w:after="283"/>
              <w:jc w:val="left"/>
              <w:rPr/>
            </w:pPr>
            <w:hyperlink w:anchor="lregnb030">
              <w:r>
                <w:rPr>
                  <w:rStyle w:val="InternetLink"/>
                  <w:rFonts w:ascii="Arial;Helvetica;Sans-Serif" w:hAnsi="Arial;Helvetica;Sans-Serif"/>
                  <w:b w:val="false"/>
                  <w:i w:val="false"/>
                  <w:caps w:val="false"/>
                  <w:smallCaps w:val="false"/>
                  <w:strike w:val="false"/>
                  <w:dstrike w:val="false"/>
                  <w:color w:val="231F20"/>
                  <w:sz w:val="18"/>
                  <w:u w:val="none"/>
                  <w:effect w:val="none"/>
                </w:rPr>
                <w:t>Outstanding Equity Awards at 2024 Fiscal Year-End</w:t>
              </w:r>
            </w:hyperlink>
          </w:p>
        </w:tc>
        <w:tc>
          <w:tcPr>
            <w:tcW w:w="245" w:type="dxa"/>
            <w:tcBorders/>
            <w:vAlign w:val="center"/>
          </w:tcPr>
          <w:p>
            <w:pPr>
              <w:pStyle w:val="TableContents"/>
              <w:bidi w:val="0"/>
              <w:spacing w:before="0" w:after="283"/>
              <w:jc w:val="right"/>
              <w:rPr/>
            </w:pPr>
            <w:hyperlink w:anchor="lregnb030">
              <w:r>
                <w:rPr>
                  <w:rStyle w:val="InternetLink"/>
                  <w:rFonts w:ascii="Arial;Helvetica;Sans-Serif" w:hAnsi="Arial;Helvetica;Sans-Serif"/>
                  <w:b w:val="false"/>
                  <w:i w:val="false"/>
                  <w:caps w:val="false"/>
                  <w:smallCaps w:val="false"/>
                  <w:strike w:val="false"/>
                  <w:dstrike w:val="false"/>
                  <w:color w:val="231F20"/>
                  <w:sz w:val="18"/>
                  <w:u w:val="none"/>
                  <w:effect w:val="none"/>
                </w:rPr>
                <w:t>83</w:t>
              </w:r>
            </w:hyperlink>
          </w:p>
        </w:tc>
      </w:tr>
      <w:tr>
        <w:trPr/>
        <w:tc>
          <w:tcPr>
            <w:tcW w:w="5780" w:type="dxa"/>
            <w:tcBorders/>
            <w:vAlign w:val="center"/>
          </w:tcPr>
          <w:p>
            <w:pPr>
              <w:pStyle w:val="TableContents"/>
              <w:bidi w:val="0"/>
              <w:spacing w:before="0" w:after="283"/>
              <w:jc w:val="left"/>
              <w:rPr/>
            </w:pPr>
            <w:hyperlink w:anchor="lregnb031">
              <w:r>
                <w:rPr>
                  <w:rStyle w:val="InternetLink"/>
                  <w:rFonts w:ascii="Arial;Helvetica;Sans-Serif" w:hAnsi="Arial;Helvetica;Sans-Serif"/>
                  <w:b w:val="false"/>
                  <w:i w:val="false"/>
                  <w:caps w:val="false"/>
                  <w:smallCaps w:val="false"/>
                  <w:strike w:val="false"/>
                  <w:dstrike w:val="false"/>
                  <w:color w:val="231F20"/>
                  <w:sz w:val="18"/>
                  <w:u w:val="none"/>
                  <w:effect w:val="none"/>
                </w:rPr>
                <w:t>2024 Option Exercises and Stock Vested</w:t>
              </w:r>
            </w:hyperlink>
          </w:p>
        </w:tc>
        <w:tc>
          <w:tcPr>
            <w:tcW w:w="245" w:type="dxa"/>
            <w:tcBorders/>
            <w:vAlign w:val="center"/>
          </w:tcPr>
          <w:p>
            <w:pPr>
              <w:pStyle w:val="TableContents"/>
              <w:bidi w:val="0"/>
              <w:spacing w:before="0" w:after="283"/>
              <w:jc w:val="right"/>
              <w:rPr/>
            </w:pPr>
            <w:hyperlink w:anchor="lregnb031">
              <w:r>
                <w:rPr>
                  <w:rStyle w:val="InternetLink"/>
                  <w:rFonts w:ascii="Arial;Helvetica;Sans-Serif" w:hAnsi="Arial;Helvetica;Sans-Serif"/>
                  <w:b w:val="false"/>
                  <w:i w:val="false"/>
                  <w:caps w:val="false"/>
                  <w:smallCaps w:val="false"/>
                  <w:strike w:val="false"/>
                  <w:dstrike w:val="false"/>
                  <w:color w:val="231F20"/>
                  <w:sz w:val="18"/>
                  <w:u w:val="none"/>
                  <w:effect w:val="none"/>
                </w:rPr>
                <w:t>85</w:t>
              </w:r>
            </w:hyperlink>
          </w:p>
        </w:tc>
      </w:tr>
      <w:tr>
        <w:trPr/>
        <w:tc>
          <w:tcPr>
            <w:tcW w:w="5780" w:type="dxa"/>
            <w:tcBorders/>
            <w:vAlign w:val="center"/>
          </w:tcPr>
          <w:p>
            <w:pPr>
              <w:pStyle w:val="TableContents"/>
              <w:bidi w:val="0"/>
              <w:spacing w:before="0" w:after="283"/>
              <w:jc w:val="left"/>
              <w:rPr/>
            </w:pPr>
            <w:hyperlink w:anchor="lregnb032">
              <w:r>
                <w:rPr>
                  <w:rStyle w:val="InternetLink"/>
                  <w:rFonts w:ascii="Arial;Helvetica;Sans-Serif" w:hAnsi="Arial;Helvetica;Sans-Serif"/>
                  <w:b w:val="false"/>
                  <w:i w:val="false"/>
                  <w:caps w:val="false"/>
                  <w:smallCaps w:val="false"/>
                  <w:strike w:val="false"/>
                  <w:dstrike w:val="false"/>
                  <w:color w:val="231F20"/>
                  <w:sz w:val="18"/>
                  <w:u w:val="none"/>
                  <w:effect w:val="none"/>
                </w:rPr>
                <w:t>Post-Employment Compensation</w:t>
              </w:r>
            </w:hyperlink>
          </w:p>
        </w:tc>
        <w:tc>
          <w:tcPr>
            <w:tcW w:w="245" w:type="dxa"/>
            <w:tcBorders/>
            <w:vAlign w:val="center"/>
          </w:tcPr>
          <w:p>
            <w:pPr>
              <w:pStyle w:val="TableContents"/>
              <w:bidi w:val="0"/>
              <w:spacing w:before="0" w:after="283"/>
              <w:jc w:val="right"/>
              <w:rPr/>
            </w:pPr>
            <w:hyperlink w:anchor="lregnb032">
              <w:r>
                <w:rPr>
                  <w:rStyle w:val="InternetLink"/>
                  <w:rFonts w:ascii="Arial;Helvetica;Sans-Serif" w:hAnsi="Arial;Helvetica;Sans-Serif"/>
                  <w:b w:val="false"/>
                  <w:i w:val="false"/>
                  <w:caps w:val="false"/>
                  <w:smallCaps w:val="false"/>
                  <w:strike w:val="false"/>
                  <w:dstrike w:val="false"/>
                  <w:color w:val="231F20"/>
                  <w:sz w:val="18"/>
                  <w:u w:val="none"/>
                  <w:effect w:val="none"/>
                </w:rPr>
                <w:t>86</w:t>
              </w:r>
            </w:hyperlink>
          </w:p>
        </w:tc>
      </w:tr>
      <w:tr>
        <w:trPr/>
        <w:tc>
          <w:tcPr>
            <w:tcW w:w="5780" w:type="dxa"/>
            <w:tcBorders/>
            <w:vAlign w:val="center"/>
          </w:tcPr>
          <w:p>
            <w:pPr>
              <w:pStyle w:val="TableContents"/>
              <w:bidi w:val="0"/>
              <w:spacing w:before="0" w:after="283"/>
              <w:jc w:val="left"/>
              <w:rPr/>
            </w:pPr>
            <w:hyperlink w:anchor="lregnb033">
              <w:r>
                <w:rPr>
                  <w:rStyle w:val="InternetLink"/>
                  <w:rFonts w:ascii="Arial;Helvetica;Sans-Serif" w:hAnsi="Arial;Helvetica;Sans-Serif"/>
                  <w:b/>
                  <w:i w:val="false"/>
                  <w:caps w:val="false"/>
                  <w:smallCaps w:val="false"/>
                  <w:strike w:val="false"/>
                  <w:dstrike w:val="false"/>
                  <w:color w:val="231F20"/>
                  <w:sz w:val="18"/>
                  <w:u w:val="none"/>
                  <w:effect w:val="none"/>
                </w:rPr>
                <w:t>Additional Compensation Information</w:t>
              </w:r>
            </w:hyperlink>
          </w:p>
        </w:tc>
        <w:tc>
          <w:tcPr>
            <w:tcW w:w="245" w:type="dxa"/>
            <w:tcBorders/>
            <w:vAlign w:val="center"/>
          </w:tcPr>
          <w:p>
            <w:pPr>
              <w:pStyle w:val="TableContents"/>
              <w:bidi w:val="0"/>
              <w:spacing w:before="0" w:after="283"/>
              <w:jc w:val="right"/>
              <w:rPr/>
            </w:pPr>
            <w:hyperlink w:anchor="lregnb033">
              <w:r>
                <w:rPr>
                  <w:rStyle w:val="InternetLink"/>
                  <w:rFonts w:ascii="Arial;Helvetica;Sans-Serif" w:hAnsi="Arial;Helvetica;Sans-Serif"/>
                  <w:b/>
                  <w:i w:val="false"/>
                  <w:caps w:val="false"/>
                  <w:smallCaps w:val="false"/>
                  <w:strike w:val="false"/>
                  <w:dstrike w:val="false"/>
                  <w:color w:val="231F20"/>
                  <w:sz w:val="18"/>
                  <w:u w:val="none"/>
                  <w:effect w:val="none"/>
                </w:rPr>
                <w:t>90</w:t>
              </w:r>
            </w:hyperlink>
          </w:p>
        </w:tc>
      </w:tr>
      <w:tr>
        <w:trPr/>
        <w:tc>
          <w:tcPr>
            <w:tcW w:w="5780" w:type="dxa"/>
            <w:tcBorders/>
            <w:vAlign w:val="center"/>
          </w:tcPr>
          <w:p>
            <w:pPr>
              <w:pStyle w:val="TableContents"/>
              <w:bidi w:val="0"/>
              <w:spacing w:before="0" w:after="283"/>
              <w:jc w:val="left"/>
              <w:rPr/>
            </w:pPr>
            <w:hyperlink w:anchor="lregnb034">
              <w:r>
                <w:rPr>
                  <w:rStyle w:val="InternetLink"/>
                  <w:rFonts w:ascii="Arial;Helvetica;Sans-Serif" w:hAnsi="Arial;Helvetica;Sans-Serif"/>
                  <w:b w:val="false"/>
                  <w:i w:val="false"/>
                  <w:caps w:val="false"/>
                  <w:smallCaps w:val="false"/>
                  <w:strike w:val="false"/>
                  <w:dstrike w:val="false"/>
                  <w:color w:val="231F20"/>
                  <w:sz w:val="18"/>
                  <w:u w:val="none"/>
                  <w:effect w:val="none"/>
                </w:rPr>
                <w:t>Annual Cash Incentives</w:t>
              </w:r>
            </w:hyperlink>
          </w:p>
        </w:tc>
        <w:tc>
          <w:tcPr>
            <w:tcW w:w="245" w:type="dxa"/>
            <w:tcBorders/>
            <w:vAlign w:val="center"/>
          </w:tcPr>
          <w:p>
            <w:pPr>
              <w:pStyle w:val="TableContents"/>
              <w:bidi w:val="0"/>
              <w:spacing w:before="0" w:after="283"/>
              <w:jc w:val="right"/>
              <w:rPr/>
            </w:pPr>
            <w:hyperlink w:anchor="lregnb034">
              <w:r>
                <w:rPr>
                  <w:rStyle w:val="InternetLink"/>
                  <w:rFonts w:ascii="Arial;Helvetica;Sans-Serif" w:hAnsi="Arial;Helvetica;Sans-Serif"/>
                  <w:b w:val="false"/>
                  <w:i w:val="false"/>
                  <w:caps w:val="false"/>
                  <w:smallCaps w:val="false"/>
                  <w:strike w:val="false"/>
                  <w:dstrike w:val="false"/>
                  <w:color w:val="231F20"/>
                  <w:sz w:val="18"/>
                  <w:u w:val="none"/>
                  <w:effect w:val="none"/>
                </w:rPr>
                <w:t>90</w:t>
              </w:r>
            </w:hyperlink>
          </w:p>
        </w:tc>
      </w:tr>
      <w:tr>
        <w:trPr/>
        <w:tc>
          <w:tcPr>
            <w:tcW w:w="5780" w:type="dxa"/>
            <w:tcBorders/>
            <w:vAlign w:val="center"/>
          </w:tcPr>
          <w:p>
            <w:pPr>
              <w:pStyle w:val="TableContents"/>
              <w:bidi w:val="0"/>
              <w:spacing w:before="0" w:after="283"/>
              <w:jc w:val="left"/>
              <w:rPr/>
            </w:pPr>
            <w:hyperlink w:anchor="lregnb035">
              <w:r>
                <w:rPr>
                  <w:rStyle w:val="InternetLink"/>
                  <w:rFonts w:ascii="Arial;Helvetica;Sans-Serif" w:hAnsi="Arial;Helvetica;Sans-Serif"/>
                  <w:b w:val="false"/>
                  <w:i w:val="false"/>
                  <w:caps w:val="false"/>
                  <w:smallCaps w:val="false"/>
                  <w:strike w:val="false"/>
                  <w:dstrike w:val="false"/>
                  <w:color w:val="231F20"/>
                  <w:sz w:val="18"/>
                  <w:u w:val="none"/>
                  <w:effect w:val="none"/>
                </w:rPr>
                <w:t>Perquisites and Personal Benefits</w:t>
              </w:r>
            </w:hyperlink>
          </w:p>
        </w:tc>
        <w:tc>
          <w:tcPr>
            <w:tcW w:w="245" w:type="dxa"/>
            <w:tcBorders/>
            <w:vAlign w:val="center"/>
          </w:tcPr>
          <w:p>
            <w:pPr>
              <w:pStyle w:val="TableContents"/>
              <w:bidi w:val="0"/>
              <w:spacing w:before="0" w:after="283"/>
              <w:jc w:val="right"/>
              <w:rPr/>
            </w:pPr>
            <w:hyperlink w:anchor="lregnb035">
              <w:r>
                <w:rPr>
                  <w:rStyle w:val="InternetLink"/>
                  <w:rFonts w:ascii="Arial;Helvetica;Sans-Serif" w:hAnsi="Arial;Helvetica;Sans-Serif"/>
                  <w:b w:val="false"/>
                  <w:i w:val="false"/>
                  <w:caps w:val="false"/>
                  <w:smallCaps w:val="false"/>
                  <w:strike w:val="false"/>
                  <w:dstrike w:val="false"/>
                  <w:color w:val="231F20"/>
                  <w:sz w:val="18"/>
                  <w:u w:val="none"/>
                  <w:effect w:val="none"/>
                </w:rPr>
                <w:t>92</w:t>
              </w:r>
            </w:hyperlink>
          </w:p>
        </w:tc>
      </w:tr>
      <w:tr>
        <w:trPr/>
        <w:tc>
          <w:tcPr>
            <w:tcW w:w="5780" w:type="dxa"/>
            <w:tcBorders/>
            <w:vAlign w:val="center"/>
          </w:tcPr>
          <w:p>
            <w:pPr>
              <w:pStyle w:val="TableContents"/>
              <w:bidi w:val="0"/>
              <w:spacing w:before="0" w:after="283"/>
              <w:jc w:val="left"/>
              <w:rPr/>
            </w:pPr>
            <w:hyperlink w:anchor="lregnb036">
              <w:r>
                <w:rPr>
                  <w:rStyle w:val="InternetLink"/>
                  <w:rFonts w:ascii="Arial;Helvetica;Sans-Serif" w:hAnsi="Arial;Helvetica;Sans-Serif"/>
                  <w:b w:val="false"/>
                  <w:i w:val="false"/>
                  <w:caps w:val="false"/>
                  <w:smallCaps w:val="false"/>
                  <w:strike w:val="false"/>
                  <w:dstrike w:val="false"/>
                  <w:color w:val="231F20"/>
                  <w:sz w:val="18"/>
                  <w:u w:val="none"/>
                  <w:effect w:val="none"/>
                </w:rPr>
                <w:t>Potential Severance Payments</w:t>
              </w:r>
            </w:hyperlink>
          </w:p>
        </w:tc>
        <w:tc>
          <w:tcPr>
            <w:tcW w:w="245" w:type="dxa"/>
            <w:tcBorders/>
            <w:vAlign w:val="center"/>
          </w:tcPr>
          <w:p>
            <w:pPr>
              <w:pStyle w:val="TableContents"/>
              <w:bidi w:val="0"/>
              <w:spacing w:before="0" w:after="283"/>
              <w:jc w:val="right"/>
              <w:rPr/>
            </w:pPr>
            <w:hyperlink w:anchor="lregnb036">
              <w:r>
                <w:rPr>
                  <w:rStyle w:val="InternetLink"/>
                  <w:rFonts w:ascii="Arial;Helvetica;Sans-Serif" w:hAnsi="Arial;Helvetica;Sans-Serif"/>
                  <w:b w:val="false"/>
                  <w:i w:val="false"/>
                  <w:caps w:val="false"/>
                  <w:smallCaps w:val="false"/>
                  <w:strike w:val="false"/>
                  <w:dstrike w:val="false"/>
                  <w:color w:val="231F20"/>
                  <w:sz w:val="18"/>
                  <w:u w:val="none"/>
                  <w:effect w:val="none"/>
                </w:rPr>
                <w:t>93</w:t>
              </w:r>
            </w:hyperlink>
          </w:p>
        </w:tc>
      </w:tr>
      <w:tr>
        <w:trPr/>
        <w:tc>
          <w:tcPr>
            <w:tcW w:w="5780" w:type="dxa"/>
            <w:tcBorders/>
            <w:vAlign w:val="center"/>
          </w:tcPr>
          <w:p>
            <w:pPr>
              <w:pStyle w:val="TableContents"/>
              <w:bidi w:val="0"/>
              <w:spacing w:before="0" w:after="283"/>
              <w:jc w:val="left"/>
              <w:rPr/>
            </w:pPr>
            <w:hyperlink w:anchor="lregnb037">
              <w:r>
                <w:rPr>
                  <w:rStyle w:val="InternetLink"/>
                  <w:rFonts w:ascii="Arial;Helvetica;Sans-Serif" w:hAnsi="Arial;Helvetica;Sans-Serif"/>
                  <w:b w:val="false"/>
                  <w:i w:val="false"/>
                  <w:caps w:val="false"/>
                  <w:smallCaps w:val="false"/>
                  <w:strike w:val="false"/>
                  <w:dstrike w:val="false"/>
                  <w:color w:val="231F20"/>
                  <w:sz w:val="18"/>
                  <w:u w:val="none"/>
                  <w:effect w:val="none"/>
                </w:rPr>
                <w:t>Pay Ratio</w:t>
              </w:r>
            </w:hyperlink>
          </w:p>
        </w:tc>
        <w:tc>
          <w:tcPr>
            <w:tcW w:w="245" w:type="dxa"/>
            <w:tcBorders/>
            <w:vAlign w:val="center"/>
          </w:tcPr>
          <w:p>
            <w:pPr>
              <w:pStyle w:val="TableContents"/>
              <w:bidi w:val="0"/>
              <w:spacing w:before="0" w:after="283"/>
              <w:jc w:val="right"/>
              <w:rPr/>
            </w:pPr>
            <w:hyperlink w:anchor="lregnb037">
              <w:r>
                <w:rPr>
                  <w:rStyle w:val="InternetLink"/>
                  <w:rFonts w:ascii="Arial;Helvetica;Sans-Serif" w:hAnsi="Arial;Helvetica;Sans-Serif"/>
                  <w:b w:val="false"/>
                  <w:i w:val="false"/>
                  <w:caps w:val="false"/>
                  <w:smallCaps w:val="false"/>
                  <w:strike w:val="false"/>
                  <w:dstrike w:val="false"/>
                  <w:color w:val="231F20"/>
                  <w:sz w:val="18"/>
                  <w:u w:val="none"/>
                  <w:effect w:val="none"/>
                </w:rPr>
                <w:t>94</w:t>
              </w:r>
            </w:hyperlink>
          </w:p>
        </w:tc>
      </w:tr>
      <w:tr>
        <w:trPr/>
        <w:tc>
          <w:tcPr>
            <w:tcW w:w="5780" w:type="dxa"/>
            <w:tcBorders/>
            <w:vAlign w:val="center"/>
          </w:tcPr>
          <w:p>
            <w:pPr>
              <w:pStyle w:val="TableContents"/>
              <w:bidi w:val="0"/>
              <w:spacing w:before="0" w:after="283"/>
              <w:jc w:val="left"/>
              <w:rPr/>
            </w:pPr>
            <w:hyperlink w:anchor="lregnb038">
              <w:r>
                <w:rPr>
                  <w:rStyle w:val="InternetLink"/>
                  <w:rFonts w:ascii="Arial;Helvetica;Sans-Serif" w:hAnsi="Arial;Helvetica;Sans-Serif"/>
                  <w:b w:val="false"/>
                  <w:i w:val="false"/>
                  <w:caps w:val="false"/>
                  <w:smallCaps w:val="false"/>
                  <w:strike w:val="false"/>
                  <w:dstrike w:val="false"/>
                  <w:color w:val="231F20"/>
                  <w:sz w:val="18"/>
                  <w:u w:val="none"/>
                  <w:effect w:val="none"/>
                </w:rPr>
                <w:t>Pay Versus Performance</w:t>
              </w:r>
            </w:hyperlink>
          </w:p>
        </w:tc>
        <w:tc>
          <w:tcPr>
            <w:tcW w:w="245" w:type="dxa"/>
            <w:tcBorders/>
            <w:vAlign w:val="center"/>
          </w:tcPr>
          <w:p>
            <w:pPr>
              <w:pStyle w:val="TableContents"/>
              <w:bidi w:val="0"/>
              <w:spacing w:before="0" w:after="283"/>
              <w:jc w:val="right"/>
              <w:rPr/>
            </w:pPr>
            <w:hyperlink w:anchor="lregnb038">
              <w:r>
                <w:rPr>
                  <w:rStyle w:val="InternetLink"/>
                  <w:rFonts w:ascii="Arial;Helvetica;Sans-Serif" w:hAnsi="Arial;Helvetica;Sans-Serif"/>
                  <w:b w:val="false"/>
                  <w:i w:val="false"/>
                  <w:caps w:val="false"/>
                  <w:smallCaps w:val="false"/>
                  <w:strike w:val="false"/>
                  <w:dstrike w:val="false"/>
                  <w:color w:val="231F20"/>
                  <w:sz w:val="18"/>
                  <w:u w:val="none"/>
                  <w:effect w:val="none"/>
                </w:rPr>
                <w:t>95</w:t>
              </w:r>
            </w:hyperlink>
          </w:p>
        </w:tc>
      </w:tr>
      <w:tr>
        <w:trPr/>
        <w:tc>
          <w:tcPr>
            <w:tcW w:w="5780" w:type="dxa"/>
            <w:tcBorders/>
            <w:vAlign w:val="center"/>
          </w:tcPr>
          <w:p>
            <w:pPr>
              <w:pStyle w:val="TableContents"/>
              <w:bidi w:val="0"/>
              <w:spacing w:before="0" w:after="283"/>
              <w:jc w:val="left"/>
              <w:rPr/>
            </w:pPr>
            <w:hyperlink w:anchor="lregnb039">
              <w:r>
                <w:rPr>
                  <w:rStyle w:val="InternetLink"/>
                  <w:rFonts w:ascii="Arial;Helvetica;Sans-Serif" w:hAnsi="Arial;Helvetica;Sans-Serif"/>
                  <w:b w:val="false"/>
                  <w:i w:val="false"/>
                  <w:caps w:val="false"/>
                  <w:smallCaps w:val="false"/>
                  <w:strike w:val="false"/>
                  <w:dstrike w:val="false"/>
                  <w:color w:val="231F20"/>
                  <w:sz w:val="18"/>
                  <w:u w:val="none"/>
                  <w:effect w:val="none"/>
                </w:rPr>
                <w:t>Equity Compensation Information</w:t>
              </w:r>
            </w:hyperlink>
          </w:p>
        </w:tc>
        <w:tc>
          <w:tcPr>
            <w:tcW w:w="245" w:type="dxa"/>
            <w:tcBorders/>
            <w:vAlign w:val="center"/>
          </w:tcPr>
          <w:p>
            <w:pPr>
              <w:pStyle w:val="TableContents"/>
              <w:bidi w:val="0"/>
              <w:spacing w:before="0" w:after="283"/>
              <w:jc w:val="right"/>
              <w:rPr/>
            </w:pPr>
            <w:hyperlink w:anchor="lregnb039">
              <w:r>
                <w:rPr>
                  <w:rStyle w:val="InternetLink"/>
                  <w:rFonts w:ascii="Arial;Helvetica;Sans-Serif" w:hAnsi="Arial;Helvetica;Sans-Serif"/>
                  <w:b w:val="false"/>
                  <w:i w:val="false"/>
                  <w:caps w:val="false"/>
                  <w:smallCaps w:val="false"/>
                  <w:strike w:val="false"/>
                  <w:dstrike w:val="false"/>
                  <w:color w:val="231F20"/>
                  <w:sz w:val="18"/>
                  <w:u w:val="none"/>
                  <w:effect w:val="none"/>
                </w:rPr>
                <w:t>98</w:t>
              </w:r>
            </w:hyperlink>
          </w:p>
        </w:tc>
      </w:tr>
    </w:tbl>
    <w:p>
      <w:pPr>
        <w:pStyle w:val="TextBody"/>
        <w:bidi w:val="0"/>
        <w:spacing w:before="0" w:after="0"/>
        <w:ind w:left="0" w:right="0" w:hanging="0"/>
        <w:jc w:val="right"/>
        <w:rPr>
          <w:caps w:val="false"/>
          <w:smallCaps w:val="false"/>
          <w:color w:val="231F20"/>
        </w:rPr>
      </w:pPr>
      <w:r>
        <w:rPr>
          <w:caps w:val="false"/>
          <w:smallCaps w:val="false"/>
          <w:color w:val="231F20"/>
        </w:rPr>
        <w:t> </w:t>
      </w:r>
    </w:p>
    <w:tbl>
      <w:tblPr>
        <w:tblW w:w="7240" w:type="dxa"/>
        <w:jc w:val="left"/>
        <w:tblInd w:w="-30" w:type="dxa"/>
        <w:tblLayout w:type="fixed"/>
        <w:tblCellMar>
          <w:top w:w="0" w:type="dxa"/>
          <w:left w:w="28" w:type="dxa"/>
          <w:bottom w:w="0" w:type="dxa"/>
          <w:right w:w="0" w:type="dxa"/>
        </w:tblCellMar>
      </w:tblPr>
      <w:tblGrid>
        <w:gridCol w:w="450"/>
        <w:gridCol w:w="6440"/>
        <w:gridCol w:w="350"/>
      </w:tblGrid>
      <w:tr>
        <w:trPr/>
        <w:tc>
          <w:tcPr>
            <w:tcW w:w="450" w:type="dxa"/>
            <w:tcBorders>
              <w:left w:val="single" w:sz="24" w:space="0" w:color="3B5AA4"/>
            </w:tcBorders>
            <w:shd w:fill="EBEDF8" w:val="clear"/>
            <w:vAlign w:val="center"/>
          </w:tcPr>
          <w:p>
            <w:pPr>
              <w:pStyle w:val="TableContents"/>
              <w:bidi w:val="0"/>
              <w:spacing w:before="0" w:after="283"/>
              <w:jc w:val="center"/>
              <w:rPr/>
            </w:pPr>
            <w:r>
              <w:rPr/>
              <w:t> </w:t>
            </w:r>
            <w:r>
              <w:rPr/>
              <w:drawing>
                <wp:inline distT="0" distB="0" distL="0" distR="0">
                  <wp:extent cx="238125" cy="247650"/>
                  <wp:effectExtent l="0" t="0" r="0" b="0"/>
                  <wp:docPr id="267"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50" descr=""/>
                          <pic:cNvPicPr>
                            <a:picLocks noChangeAspect="1" noChangeArrowheads="1"/>
                          </pic:cNvPicPr>
                        </pic:nvPicPr>
                        <pic:blipFill>
                          <a:blip r:embed="rId262"/>
                          <a:stretch>
                            <a:fillRect/>
                          </a:stretch>
                        </pic:blipFill>
                        <pic:spPr bwMode="auto">
                          <a:xfrm>
                            <a:off x="0" y="0"/>
                            <a:ext cx="238125" cy="247650"/>
                          </a:xfrm>
                          <a:prstGeom prst="rect">
                            <a:avLst/>
                          </a:prstGeom>
                        </pic:spPr>
                      </pic:pic>
                    </a:graphicData>
                  </a:graphic>
                </wp:inline>
              </w:drawing>
            </w:r>
          </w:p>
        </w:tc>
        <w:tc>
          <w:tcPr>
            <w:tcW w:w="6440" w:type="dxa"/>
            <w:tcBorders/>
            <w:shd w:fill="EBEDF8" w:val="clear"/>
            <w:tcMar>
              <w:lef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PROPOSAL NO. 3</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0F5EAC"/>
                <w:sz w:val="18"/>
              </w:rPr>
              <w:t>Advisory Vote on Compensation of Named</w:t>
            </w:r>
            <w:r>
              <w:rPr>
                <w:rFonts w:ascii="Arial;Helvetica;Sans-Serif" w:hAnsi="Arial;Helvetica;Sans-Serif"/>
                <w:b w:val="false"/>
                <w:i w:val="false"/>
                <w:caps w:val="false"/>
                <w:smallCaps w:val="false"/>
                <w:sz w:val="18"/>
              </w:rPr>
              <w:t xml:space="preserve"> </w:t>
            </w:r>
            <w:r>
              <w:rPr>
                <w:rFonts w:ascii="Arial;Helvetica;Sans-Serif" w:hAnsi="Arial;Helvetica;Sans-Serif"/>
                <w:b/>
                <w:i w:val="false"/>
                <w:caps w:val="false"/>
                <w:smallCaps w:val="false"/>
                <w:color w:val="0F5EAC"/>
                <w:sz w:val="18"/>
              </w:rPr>
              <w:t>Executive Officers (Say-on-Pay)</w:t>
            </w:r>
          </w:p>
        </w:tc>
        <w:tc>
          <w:tcPr>
            <w:tcW w:w="350" w:type="dxa"/>
            <w:tcBorders/>
            <w:shd w:fill="EBEDF8" w:val="clear"/>
            <w:tcMar>
              <w:left w:w="0" w:type="dxa"/>
            </w:tcMar>
            <w:vAlign w:val="center"/>
          </w:tcPr>
          <w:p>
            <w:pPr>
              <w:pStyle w:val="TableContents"/>
              <w:bidi w:val="0"/>
              <w:spacing w:before="0" w:after="283"/>
              <w:jc w:val="right"/>
              <w:rPr>
                <w:rFonts w:ascii="Arial;Helvetica;Sans-Serif" w:hAnsi="Arial;Helvetica;Sans-Serif"/>
                <w:b/>
                <w:i w:val="false"/>
                <w:caps w:val="false"/>
                <w:smallCaps w:val="false"/>
                <w:color w:val="0F5EAC"/>
                <w:sz w:val="18"/>
              </w:rPr>
            </w:pPr>
            <w:r>
              <w:rPr>
                <w:rFonts w:ascii="Arial;Helvetica;Sans-Serif" w:hAnsi="Arial;Helvetica;Sans-Serif"/>
                <w:b/>
                <w:i w:val="false"/>
                <w:caps w:val="false"/>
                <w:smallCaps w:val="false"/>
                <w:color w:val="0F5EAC"/>
                <w:sz w:val="18"/>
              </w:rPr>
              <w:t>101</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64" w:name="regn013211-def14aa049"/>
      <w:bookmarkStart w:id="65" w:name="lregnb001"/>
      <w:bookmarkEnd w:id="64"/>
      <w:bookmarkEnd w:id="65"/>
      <w:r>
        <w:rPr>
          <w:rFonts w:ascii="Arial;Helvetica;Sans-Serif" w:hAnsi="Arial;Helvetica;Sans-Serif"/>
          <w:b/>
          <w:i w:val="false"/>
          <w:caps w:val="false"/>
          <w:smallCaps w:val="false"/>
          <w:color w:val="C60C45"/>
          <w:sz w:val="40"/>
        </w:rPr>
        <w:t>Compensation Discussion and Analysis</w:t>
      </w:r>
    </w:p>
    <w:p>
      <w:pPr>
        <w:pStyle w:val="TextBody"/>
        <w:bidi w:val="0"/>
        <w:spacing w:before="0" w:after="0"/>
        <w:ind w:left="0" w:right="0" w:hanging="0"/>
        <w:jc w:val="left"/>
        <w:rPr>
          <w:caps w:val="false"/>
          <w:smallCaps w:val="false"/>
          <w:color w:val="DC0B67"/>
        </w:rPr>
      </w:pPr>
      <w:r>
        <w:rPr>
          <w:caps w:val="false"/>
          <w:smallCaps w:val="false"/>
          <w:color w:val="DC0B67"/>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The following Compensation Discussion and Analysis (“CD&amp;A”) describes the philosophy, objectives, and structure of our 2024 executive compensation program.</w:t>
      </w:r>
      <w:r>
        <w:rPr>
          <w:rFonts w:ascii="Arial;Helvetica;Sans-Serif" w:hAnsi="Arial;Helvetica;Sans-Serif"/>
          <w:b w:val="false"/>
          <w:i w:val="false"/>
          <w:caps w:val="false"/>
          <w:smallCaps w:val="false"/>
          <w:color w:val="010101"/>
          <w:position w:val="6"/>
          <w:sz w:val="14"/>
          <w:sz w:val="18"/>
        </w:rPr>
        <w:t>1</w:t>
      </w:r>
    </w:p>
    <w:p>
      <w:pPr>
        <w:pStyle w:val="TextBody"/>
        <w:bidi w:val="0"/>
        <w:spacing w:before="0" w:after="0"/>
        <w:ind w:left="0" w:right="0" w:hanging="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0F5EAC"/>
          <w:sz w:val="32"/>
        </w:rPr>
      </w:pPr>
      <w:bookmarkStart w:id="66" w:name="regn013211-def14aa050"/>
      <w:bookmarkStart w:id="67" w:name="lregnb002"/>
      <w:bookmarkEnd w:id="66"/>
      <w:bookmarkEnd w:id="67"/>
      <w:r>
        <w:rPr>
          <w:rFonts w:ascii="Arial;Helvetica;Sans-Serif" w:hAnsi="Arial;Helvetica;Sans-Serif"/>
          <w:b/>
          <w:i w:val="false"/>
          <w:caps w:val="false"/>
          <w:smallCaps w:val="false"/>
          <w:color w:val="0F5EAC"/>
          <w:sz w:val="32"/>
        </w:rPr>
        <w:t>Our Named Executive Officers</w:t>
      </w:r>
    </w:p>
    <w:p>
      <w:pPr>
        <w:pStyle w:val="TextBody"/>
        <w:bidi w:val="0"/>
        <w:spacing w:before="0" w:after="0"/>
        <w:ind w:left="0" w:right="0" w:hanging="0"/>
        <w:jc w:val="left"/>
        <w:rPr>
          <w:caps w:val="false"/>
          <w:smallCaps w:val="false"/>
          <w:color w:val="0F5EAC"/>
        </w:rPr>
      </w:pPr>
      <w:r>
        <w:rPr>
          <w:caps w:val="false"/>
          <w:smallCaps w:val="false"/>
          <w:color w:val="0F5EAC"/>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“Named Executive Officers” or “NEOs” for 2024 are identified below. We use the expression “our current NEOs” to refer to those Named Executive Officers who were serving as our officers at year-end 2024 (Mr. Landry, who retired from full-time employment with the Company in February 2024, is excluded from this group).</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20"/>
        <w:gridCol w:w="2777"/>
        <w:gridCol w:w="60"/>
        <w:gridCol w:w="60"/>
        <w:gridCol w:w="1020"/>
        <w:gridCol w:w="5117"/>
        <w:gridCol w:w="76"/>
      </w:tblGrid>
      <w:tr>
        <w:trPr/>
        <w:tc>
          <w:tcPr>
            <w:tcW w:w="75" w:type="dxa"/>
            <w:tcBorders/>
            <w:shd w:fill="EBEDF8" w:val="clear"/>
            <w:vAlign w:val="center"/>
          </w:tcPr>
          <w:p>
            <w:pPr>
              <w:pStyle w:val="TableContents"/>
              <w:bidi w:val="0"/>
              <w:spacing w:before="0" w:after="283"/>
              <w:jc w:val="left"/>
              <w:rPr/>
            </w:pPr>
            <w:r>
              <w:rPr/>
              <w:t> </w:t>
            </w:r>
          </w:p>
        </w:tc>
        <w:tc>
          <w:tcPr>
            <w:tcW w:w="1020" w:type="dxa"/>
            <w:tcBorders/>
            <w:shd w:fill="EBEDF8" w:val="clear"/>
            <w:vAlign w:val="center"/>
          </w:tcPr>
          <w:p>
            <w:pPr>
              <w:pStyle w:val="TableContents"/>
              <w:bidi w:val="0"/>
              <w:spacing w:before="0" w:after="283"/>
              <w:jc w:val="center"/>
              <w:rPr/>
            </w:pPr>
            <w:r>
              <w:rPr/>
              <w:t> </w:t>
            </w:r>
          </w:p>
        </w:tc>
        <w:tc>
          <w:tcPr>
            <w:tcW w:w="2777"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1020" w:type="dxa"/>
            <w:tcBorders/>
            <w:shd w:fill="EBEDF8" w:val="clear"/>
            <w:vAlign w:val="center"/>
          </w:tcPr>
          <w:p>
            <w:pPr>
              <w:pStyle w:val="TableContents"/>
              <w:bidi w:val="0"/>
              <w:spacing w:before="0" w:after="283"/>
              <w:jc w:val="center"/>
              <w:rPr/>
            </w:pPr>
            <w:r>
              <w:rPr/>
              <w:t> </w:t>
            </w:r>
          </w:p>
        </w:tc>
        <w:tc>
          <w:tcPr>
            <w:tcW w:w="5117" w:type="dxa"/>
            <w:tcBorders/>
            <w:shd w:fill="EBEDF8" w:val="clear"/>
            <w:vAlign w:val="center"/>
          </w:tcPr>
          <w:p>
            <w:pPr>
              <w:pStyle w:val="TableContents"/>
              <w:bidi w:val="0"/>
              <w:spacing w:before="0" w:after="283"/>
              <w:jc w:val="left"/>
              <w:rPr/>
            </w:pPr>
            <w:r>
              <w:rPr/>
              <w:t> </w:t>
            </w:r>
          </w:p>
        </w:tc>
        <w:tc>
          <w:tcPr>
            <w:tcW w:w="76" w:type="dxa"/>
            <w:tcBorders/>
            <w:shd w:fill="EBEDF8" w:val="clear"/>
            <w:vAlign w:val="center"/>
          </w:tcPr>
          <w:p>
            <w:pPr>
              <w:pStyle w:val="TableContents"/>
              <w:bidi w:val="0"/>
              <w:spacing w:before="0" w:after="283"/>
              <w:jc w:val="left"/>
              <w:rPr/>
            </w:pPr>
            <w:r>
              <w:rPr/>
              <w:t> </w:t>
            </w:r>
          </w:p>
        </w:tc>
      </w:tr>
      <w:tr>
        <w:trPr/>
        <w:tc>
          <w:tcPr>
            <w:tcW w:w="75" w:type="dxa"/>
            <w:tcBorders/>
            <w:shd w:fill="EBEDF8" w:val="clear"/>
            <w:vAlign w:val="center"/>
          </w:tcPr>
          <w:p>
            <w:pPr>
              <w:pStyle w:val="TableContents"/>
              <w:bidi w:val="0"/>
              <w:spacing w:before="0" w:after="283"/>
              <w:jc w:val="left"/>
              <w:rPr/>
            </w:pPr>
            <w:r>
              <w:rPr/>
              <w:t> </w:t>
            </w:r>
          </w:p>
        </w:tc>
        <w:tc>
          <w:tcPr>
            <w:tcW w:w="1020" w:type="dxa"/>
            <w:tcBorders>
              <w:bottom w:val="single" w:sz="2" w:space="0" w:color="0E5EAC"/>
            </w:tcBorders>
            <w:shd w:fill="EBEDF8" w:val="clear"/>
            <w:tcMar>
              <w:bottom w:w="100" w:type="dxa"/>
            </w:tcMar>
            <w:vAlign w:val="center"/>
          </w:tcPr>
          <w:p>
            <w:pPr>
              <w:pStyle w:val="TableContents"/>
              <w:bidi w:val="0"/>
              <w:spacing w:before="0" w:after="283"/>
              <w:jc w:val="left"/>
              <w:rPr/>
            </w:pPr>
            <w:r>
              <w:rPr/>
              <w:t> </w:t>
            </w:r>
            <w:r>
              <w:rPr/>
              <w:drawing>
                <wp:inline distT="0" distB="0" distL="0" distR="0">
                  <wp:extent cx="609600" cy="619125"/>
                  <wp:effectExtent l="0" t="0" r="0" b="0"/>
                  <wp:docPr id="268"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51" descr=""/>
                          <pic:cNvPicPr>
                            <a:picLocks noChangeAspect="1" noChangeArrowheads="1"/>
                          </pic:cNvPicPr>
                        </pic:nvPicPr>
                        <pic:blipFill>
                          <a:blip r:embed="rId263"/>
                          <a:stretch>
                            <a:fillRect/>
                          </a:stretch>
                        </pic:blipFill>
                        <pic:spPr bwMode="auto">
                          <a:xfrm>
                            <a:off x="0" y="0"/>
                            <a:ext cx="609600" cy="619125"/>
                          </a:xfrm>
                          <a:prstGeom prst="rect">
                            <a:avLst/>
                          </a:prstGeom>
                        </pic:spPr>
                      </pic:pic>
                    </a:graphicData>
                  </a:graphic>
                </wp:inline>
              </w:drawing>
            </w:r>
          </w:p>
        </w:tc>
        <w:tc>
          <w:tcPr>
            <w:tcW w:w="2777" w:type="dxa"/>
            <w:tcBorders>
              <w:bottom w:val="single" w:sz="2" w:space="0" w:color="0E5EAC"/>
            </w:tcBorders>
            <w:shd w:fill="EBEDF8" w:val="clear"/>
            <w:tcMar>
              <w:bottom w:w="100" w:type="dxa"/>
            </w:tcMar>
            <w:vAlign w:val="center"/>
          </w:tcPr>
          <w:p>
            <w:pPr>
              <w:pStyle w:val="TableContents"/>
              <w:shd w:fill="EBEDF8" w:val="clear"/>
              <w:bidi w:val="0"/>
              <w:spacing w:before="0" w:after="0"/>
              <w:ind w:left="0" w:right="0" w:hanging="0"/>
              <w:jc w:val="left"/>
              <w:rPr>
                <w:b/>
                <w:color w:val="0F5EAC"/>
              </w:rPr>
            </w:pPr>
            <w:r>
              <w:rPr>
                <w:b/>
                <w:color w:val="0F5EAC"/>
              </w:rPr>
              <w:t>Leonard S. Schleifer, M.D., Ph.D.</w:t>
            </w:r>
          </w:p>
          <w:p>
            <w:pPr>
              <w:pStyle w:val="TableContents"/>
              <w:shd w:fill="EBEDF8" w:val="clear"/>
              <w:bidi w:val="0"/>
              <w:spacing w:before="0" w:after="0"/>
              <w:ind w:left="0" w:right="0" w:hanging="0"/>
              <w:jc w:val="left"/>
              <w:rPr>
                <w:color w:val="231F20"/>
              </w:rPr>
            </w:pPr>
            <w:r>
              <w:rPr>
                <w:color w:val="231F20"/>
              </w:rPr>
              <w:t>Board co-Chair,</w:t>
              <w:br/>
              <w:t>President and Chief Executive Officer</w:t>
            </w:r>
          </w:p>
        </w:tc>
        <w:tc>
          <w:tcPr>
            <w:tcW w:w="60" w:type="dxa"/>
            <w:tcBorders>
              <w:right w:val="single" w:sz="2" w:space="0" w:color="000000"/>
            </w:tcBorders>
            <w:shd w:fill="EBEDF8" w:val="clear"/>
            <w:tcMar>
              <w:right w:w="28" w:type="dxa"/>
            </w:tcM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1020" w:type="dxa"/>
            <w:tcBorders>
              <w:bottom w:val="single" w:sz="2" w:space="0" w:color="0E5EAC"/>
            </w:tcBorders>
            <w:shd w:fill="EBEDF8" w:val="clear"/>
            <w:tcMar>
              <w:bottom w:w="100" w:type="dxa"/>
            </w:tcMar>
            <w:vAlign w:val="center"/>
          </w:tcPr>
          <w:p>
            <w:pPr>
              <w:pStyle w:val="TableContents"/>
              <w:bidi w:val="0"/>
              <w:spacing w:before="0" w:after="283"/>
              <w:jc w:val="left"/>
              <w:rPr/>
            </w:pPr>
            <w:r>
              <w:rPr/>
              <w:t> </w:t>
            </w:r>
            <w:r>
              <w:rPr/>
              <w:drawing>
                <wp:inline distT="0" distB="0" distL="0" distR="0">
                  <wp:extent cx="609600" cy="619125"/>
                  <wp:effectExtent l="0" t="0" r="0" b="0"/>
                  <wp:docPr id="269"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52" descr=""/>
                          <pic:cNvPicPr>
                            <a:picLocks noChangeAspect="1" noChangeArrowheads="1"/>
                          </pic:cNvPicPr>
                        </pic:nvPicPr>
                        <pic:blipFill>
                          <a:blip r:embed="rId264"/>
                          <a:stretch>
                            <a:fillRect/>
                          </a:stretch>
                        </pic:blipFill>
                        <pic:spPr bwMode="auto">
                          <a:xfrm>
                            <a:off x="0" y="0"/>
                            <a:ext cx="609600" cy="619125"/>
                          </a:xfrm>
                          <a:prstGeom prst="rect">
                            <a:avLst/>
                          </a:prstGeom>
                        </pic:spPr>
                      </pic:pic>
                    </a:graphicData>
                  </a:graphic>
                </wp:inline>
              </w:drawing>
            </w:r>
          </w:p>
        </w:tc>
        <w:tc>
          <w:tcPr>
            <w:tcW w:w="5117" w:type="dxa"/>
            <w:tcBorders>
              <w:bottom w:val="single" w:sz="2" w:space="0" w:color="0E5EAC"/>
            </w:tcBorders>
            <w:shd w:fill="EBEDF8" w:val="clear"/>
            <w:tcMar>
              <w:bottom w:w="100" w:type="dxa"/>
            </w:tcMar>
            <w:vAlign w:val="center"/>
          </w:tcPr>
          <w:p>
            <w:pPr>
              <w:pStyle w:val="TableContents"/>
              <w:shd w:fill="EBEDF8" w:val="clear"/>
              <w:bidi w:val="0"/>
              <w:spacing w:before="0" w:after="0"/>
              <w:ind w:left="0" w:right="0" w:hanging="0"/>
              <w:jc w:val="left"/>
              <w:rPr>
                <w:b/>
                <w:color w:val="0F5EAC"/>
              </w:rPr>
            </w:pPr>
            <w:r>
              <w:rPr>
                <w:b/>
                <w:color w:val="0F5EAC"/>
              </w:rPr>
              <w:t>George D. Yancopoulos, M.D., Ph.D.</w:t>
            </w:r>
          </w:p>
          <w:p>
            <w:pPr>
              <w:pStyle w:val="TableContents"/>
              <w:shd w:fill="EBEDF8" w:val="clear"/>
              <w:bidi w:val="0"/>
              <w:spacing w:before="0" w:after="0"/>
              <w:ind w:left="0" w:right="0" w:hanging="0"/>
              <w:jc w:val="left"/>
              <w:rPr>
                <w:color w:val="231F20"/>
              </w:rPr>
            </w:pPr>
            <w:r>
              <w:rPr>
                <w:color w:val="231F20"/>
              </w:rPr>
              <w:t>Board co-Chair, President and Chief Scientific Officer</w:t>
            </w:r>
          </w:p>
        </w:tc>
        <w:tc>
          <w:tcPr>
            <w:tcW w:w="76" w:type="dxa"/>
            <w:tcBorders/>
            <w:shd w:fill="EBEDF8" w:val="clear"/>
            <w:vAlign w:val="center"/>
          </w:tcPr>
          <w:p>
            <w:pPr>
              <w:pStyle w:val="TableContents"/>
              <w:bidi w:val="0"/>
              <w:spacing w:before="0" w:after="283"/>
              <w:jc w:val="left"/>
              <w:rPr/>
            </w:pPr>
            <w:r>
              <w:rPr/>
              <w:t> </w:t>
            </w:r>
          </w:p>
        </w:tc>
      </w:tr>
      <w:tr>
        <w:trPr/>
        <w:tc>
          <w:tcPr>
            <w:tcW w:w="75" w:type="dxa"/>
            <w:tcBorders/>
            <w:shd w:fill="EBEDF8" w:val="clear"/>
            <w:vAlign w:val="center"/>
          </w:tcPr>
          <w:p>
            <w:pPr>
              <w:pStyle w:val="TableContents"/>
              <w:bidi w:val="0"/>
              <w:spacing w:before="0" w:after="283"/>
              <w:jc w:val="left"/>
              <w:rPr/>
            </w:pPr>
            <w:r>
              <w:rPr/>
              <w:t> </w:t>
            </w:r>
          </w:p>
        </w:tc>
        <w:tc>
          <w:tcPr>
            <w:tcW w:w="1020" w:type="dxa"/>
            <w:tcBorders>
              <w:bottom w:val="single" w:sz="2" w:space="0" w:color="0E5EAC"/>
            </w:tcBorders>
            <w:shd w:fill="EBEDF8" w:val="clear"/>
            <w:tcMar>
              <w:bottom w:w="100" w:type="dxa"/>
            </w:tcMar>
            <w:vAlign w:val="center"/>
          </w:tcPr>
          <w:p>
            <w:pPr>
              <w:pStyle w:val="TableContents"/>
              <w:bidi w:val="0"/>
              <w:spacing w:before="0" w:after="283"/>
              <w:jc w:val="left"/>
              <w:rPr/>
            </w:pPr>
            <w:r>
              <w:rPr/>
              <w:t> </w:t>
            </w:r>
            <w:r>
              <w:rPr/>
              <w:drawing>
                <wp:inline distT="0" distB="0" distL="0" distR="0">
                  <wp:extent cx="609600" cy="609600"/>
                  <wp:effectExtent l="0" t="0" r="0" b="0"/>
                  <wp:docPr id="270"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53" descr=""/>
                          <pic:cNvPicPr>
                            <a:picLocks noChangeAspect="1" noChangeArrowheads="1"/>
                          </pic:cNvPicPr>
                        </pic:nvPicPr>
                        <pic:blipFill>
                          <a:blip r:embed="rId265"/>
                          <a:stretch>
                            <a:fillRect/>
                          </a:stretch>
                        </pic:blipFill>
                        <pic:spPr bwMode="auto">
                          <a:xfrm>
                            <a:off x="0" y="0"/>
                            <a:ext cx="609600" cy="609600"/>
                          </a:xfrm>
                          <a:prstGeom prst="rect">
                            <a:avLst/>
                          </a:prstGeom>
                        </pic:spPr>
                      </pic:pic>
                    </a:graphicData>
                  </a:graphic>
                </wp:inline>
              </w:drawing>
            </w:r>
          </w:p>
        </w:tc>
        <w:tc>
          <w:tcPr>
            <w:tcW w:w="2777" w:type="dxa"/>
            <w:tcBorders>
              <w:bottom w:val="single" w:sz="2" w:space="0" w:color="0E5EAC"/>
            </w:tcBorders>
            <w:shd w:fill="EBEDF8" w:val="clear"/>
            <w:tcMar>
              <w:bottom w:w="100" w:type="dxa"/>
            </w:tcMar>
            <w:vAlign w:val="center"/>
          </w:tcPr>
          <w:p>
            <w:pPr>
              <w:pStyle w:val="TableContents"/>
              <w:shd w:fill="EBEDF8" w:val="clear"/>
              <w:bidi w:val="0"/>
              <w:spacing w:before="0" w:after="0"/>
              <w:ind w:left="0" w:right="0" w:hanging="0"/>
              <w:jc w:val="left"/>
              <w:rPr>
                <w:b/>
                <w:color w:val="0F5EAC"/>
              </w:rPr>
            </w:pPr>
            <w:r>
              <w:rPr>
                <w:b/>
                <w:color w:val="0F5EAC"/>
              </w:rPr>
              <w:t>Christopher Fenimore</w:t>
            </w:r>
          </w:p>
          <w:p>
            <w:pPr>
              <w:pStyle w:val="TableContents"/>
              <w:shd w:fill="EBEDF8" w:val="clear"/>
              <w:bidi w:val="0"/>
              <w:spacing w:before="0" w:after="0"/>
              <w:ind w:left="0" w:right="0" w:hanging="0"/>
              <w:jc w:val="left"/>
              <w:rPr>
                <w:color w:val="231F20"/>
              </w:rPr>
            </w:pPr>
            <w:r>
              <w:rPr>
                <w:color w:val="231F20"/>
              </w:rPr>
              <w:t>Executive Vice President, Finance and Chief</w:t>
              <w:br/>
              <w:t>Financial Officer</w:t>
            </w:r>
          </w:p>
        </w:tc>
        <w:tc>
          <w:tcPr>
            <w:tcW w:w="60" w:type="dxa"/>
            <w:tcBorders>
              <w:right w:val="single" w:sz="2" w:space="0" w:color="000000"/>
            </w:tcBorders>
            <w:shd w:fill="EBEDF8" w:val="clear"/>
            <w:tcMar>
              <w:right w:w="28" w:type="dxa"/>
            </w:tcM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1020" w:type="dxa"/>
            <w:tcBorders>
              <w:bottom w:val="single" w:sz="2" w:space="0" w:color="0E5EAC"/>
            </w:tcBorders>
            <w:shd w:fill="EBEDF8" w:val="clear"/>
            <w:tcMar>
              <w:bottom w:w="100" w:type="dxa"/>
            </w:tcMar>
            <w:vAlign w:val="center"/>
          </w:tcPr>
          <w:p>
            <w:pPr>
              <w:pStyle w:val="TableContents"/>
              <w:bidi w:val="0"/>
              <w:spacing w:before="0" w:after="283"/>
              <w:jc w:val="left"/>
              <w:rPr/>
            </w:pPr>
            <w:r>
              <w:rPr/>
              <w:t> </w:t>
            </w:r>
            <w:r>
              <w:rPr/>
              <w:drawing>
                <wp:inline distT="0" distB="0" distL="0" distR="0">
                  <wp:extent cx="609600" cy="619125"/>
                  <wp:effectExtent l="0" t="0" r="0" b="0"/>
                  <wp:docPr id="271"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54" descr=""/>
                          <pic:cNvPicPr>
                            <a:picLocks noChangeAspect="1" noChangeArrowheads="1"/>
                          </pic:cNvPicPr>
                        </pic:nvPicPr>
                        <pic:blipFill>
                          <a:blip r:embed="rId266"/>
                          <a:stretch>
                            <a:fillRect/>
                          </a:stretch>
                        </pic:blipFill>
                        <pic:spPr bwMode="auto">
                          <a:xfrm>
                            <a:off x="0" y="0"/>
                            <a:ext cx="609600" cy="619125"/>
                          </a:xfrm>
                          <a:prstGeom prst="rect">
                            <a:avLst/>
                          </a:prstGeom>
                        </pic:spPr>
                      </pic:pic>
                    </a:graphicData>
                  </a:graphic>
                </wp:inline>
              </w:drawing>
            </w:r>
          </w:p>
        </w:tc>
        <w:tc>
          <w:tcPr>
            <w:tcW w:w="5117" w:type="dxa"/>
            <w:tcBorders>
              <w:bottom w:val="single" w:sz="2" w:space="0" w:color="0E5EAC"/>
            </w:tcBorders>
            <w:shd w:fill="EBEDF8" w:val="clear"/>
            <w:tcMar>
              <w:bottom w:w="100" w:type="dxa"/>
            </w:tcMar>
            <w:vAlign w:val="center"/>
          </w:tcPr>
          <w:p>
            <w:pPr>
              <w:pStyle w:val="TableContents"/>
              <w:shd w:fill="EBEDF8" w:val="clear"/>
              <w:bidi w:val="0"/>
              <w:spacing w:before="0" w:after="0"/>
              <w:ind w:left="0" w:right="0" w:hanging="0"/>
              <w:jc w:val="left"/>
              <w:rPr>
                <w:b/>
                <w:color w:val="0F5EAC"/>
              </w:rPr>
            </w:pPr>
            <w:r>
              <w:rPr>
                <w:b/>
                <w:color w:val="0F5EAC"/>
              </w:rPr>
              <w:t>Daniel P. Van Plew</w:t>
            </w:r>
          </w:p>
          <w:p>
            <w:pPr>
              <w:pStyle w:val="TableContents"/>
              <w:shd w:fill="EBEDF8" w:val="clear"/>
              <w:bidi w:val="0"/>
              <w:spacing w:before="0" w:after="0"/>
              <w:ind w:left="0" w:right="0" w:hanging="0"/>
              <w:jc w:val="left"/>
              <w:rPr>
                <w:color w:val="231F20"/>
              </w:rPr>
            </w:pPr>
            <w:r>
              <w:rPr>
                <w:color w:val="231F20"/>
              </w:rPr>
              <w:t>Executive Vice President and General Manager, Industrial Operations and Product Supply</w:t>
            </w:r>
          </w:p>
        </w:tc>
        <w:tc>
          <w:tcPr>
            <w:tcW w:w="76" w:type="dxa"/>
            <w:tcBorders/>
            <w:shd w:fill="EBEDF8" w:val="clear"/>
            <w:vAlign w:val="center"/>
          </w:tcPr>
          <w:p>
            <w:pPr>
              <w:pStyle w:val="TableContents"/>
              <w:bidi w:val="0"/>
              <w:spacing w:before="0" w:after="283"/>
              <w:jc w:val="left"/>
              <w:rPr/>
            </w:pPr>
            <w:r>
              <w:rPr/>
              <w:t> </w:t>
            </w:r>
          </w:p>
        </w:tc>
      </w:tr>
      <w:tr>
        <w:trPr/>
        <w:tc>
          <w:tcPr>
            <w:tcW w:w="75" w:type="dxa"/>
            <w:tcBorders/>
            <w:shd w:fill="EBEDF8" w:val="clear"/>
            <w:vAlign w:val="center"/>
          </w:tcPr>
          <w:p>
            <w:pPr>
              <w:pStyle w:val="TableContents"/>
              <w:bidi w:val="0"/>
              <w:spacing w:before="0" w:after="283"/>
              <w:jc w:val="left"/>
              <w:rPr/>
            </w:pPr>
            <w:r>
              <w:rPr/>
              <w:t> </w:t>
            </w:r>
          </w:p>
        </w:tc>
        <w:tc>
          <w:tcPr>
            <w:tcW w:w="1020" w:type="dxa"/>
            <w:tcBorders/>
            <w:shd w:fill="EBEDF8" w:val="clear"/>
            <w:vAlign w:val="center"/>
          </w:tcPr>
          <w:p>
            <w:pPr>
              <w:pStyle w:val="TableContents"/>
              <w:bidi w:val="0"/>
              <w:spacing w:before="0" w:after="283"/>
              <w:jc w:val="left"/>
              <w:rPr/>
            </w:pPr>
            <w:r>
              <w:rPr/>
              <w:t> </w:t>
            </w:r>
            <w:r>
              <w:rPr/>
              <w:drawing>
                <wp:inline distT="0" distB="0" distL="0" distR="0">
                  <wp:extent cx="609600" cy="619125"/>
                  <wp:effectExtent l="0" t="0" r="0" b="0"/>
                  <wp:docPr id="272"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55" descr=""/>
                          <pic:cNvPicPr>
                            <a:picLocks noChangeAspect="1" noChangeArrowheads="1"/>
                          </pic:cNvPicPr>
                        </pic:nvPicPr>
                        <pic:blipFill>
                          <a:blip r:embed="rId267"/>
                          <a:stretch>
                            <a:fillRect/>
                          </a:stretch>
                        </pic:blipFill>
                        <pic:spPr bwMode="auto">
                          <a:xfrm>
                            <a:off x="0" y="0"/>
                            <a:ext cx="609600" cy="619125"/>
                          </a:xfrm>
                          <a:prstGeom prst="rect">
                            <a:avLst/>
                          </a:prstGeom>
                        </pic:spPr>
                      </pic:pic>
                    </a:graphicData>
                  </a:graphic>
                </wp:inline>
              </w:drawing>
            </w:r>
          </w:p>
        </w:tc>
        <w:tc>
          <w:tcPr>
            <w:tcW w:w="2777" w:type="dxa"/>
            <w:tcBorders/>
            <w:shd w:fill="EBEDF8" w:val="clear"/>
            <w:vAlign w:val="center"/>
          </w:tcPr>
          <w:p>
            <w:pPr>
              <w:pStyle w:val="TableContents"/>
              <w:shd w:fill="EBEDF8" w:val="clear"/>
              <w:bidi w:val="0"/>
              <w:spacing w:before="0" w:after="0"/>
              <w:ind w:left="0" w:right="0" w:hanging="0"/>
              <w:jc w:val="left"/>
              <w:rPr>
                <w:b/>
                <w:color w:val="0F5EAC"/>
              </w:rPr>
            </w:pPr>
            <w:r>
              <w:rPr>
                <w:b/>
                <w:color w:val="0F5EAC"/>
              </w:rPr>
              <w:t>Andrew J. Murphy, Ph.D.</w:t>
            </w:r>
          </w:p>
          <w:p>
            <w:pPr>
              <w:pStyle w:val="TableContents"/>
              <w:shd w:fill="EBEDF8" w:val="clear"/>
              <w:bidi w:val="0"/>
              <w:spacing w:before="0" w:after="0"/>
              <w:ind w:left="0" w:right="0" w:hanging="0"/>
              <w:jc w:val="left"/>
              <w:rPr>
                <w:color w:val="231F20"/>
              </w:rPr>
            </w:pPr>
            <w:r>
              <w:rPr>
                <w:color w:val="231F20"/>
              </w:rPr>
              <w:t>Executive Vice President, Research</w:t>
            </w:r>
          </w:p>
        </w:tc>
        <w:tc>
          <w:tcPr>
            <w:tcW w:w="60" w:type="dxa"/>
            <w:tcBorders>
              <w:right w:val="single" w:sz="2" w:space="0" w:color="000000"/>
            </w:tcBorders>
            <w:shd w:fill="EBEDF8" w:val="clear"/>
            <w:tcMar>
              <w:right w:w="28" w:type="dxa"/>
            </w:tcM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1020" w:type="dxa"/>
            <w:tcBorders/>
            <w:shd w:fill="EBEDF8" w:val="clear"/>
            <w:vAlign w:val="center"/>
          </w:tcPr>
          <w:p>
            <w:pPr>
              <w:pStyle w:val="TableContents"/>
              <w:bidi w:val="0"/>
              <w:spacing w:before="0" w:after="283"/>
              <w:jc w:val="left"/>
              <w:rPr/>
            </w:pPr>
            <w:r>
              <w:rPr/>
              <w:t> </w:t>
            </w:r>
            <w:r>
              <w:rPr/>
              <w:drawing>
                <wp:inline distT="0" distB="0" distL="0" distR="0">
                  <wp:extent cx="609600" cy="619125"/>
                  <wp:effectExtent l="0" t="0" r="0" b="0"/>
                  <wp:docPr id="273"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56" descr=""/>
                          <pic:cNvPicPr>
                            <a:picLocks noChangeAspect="1" noChangeArrowheads="1"/>
                          </pic:cNvPicPr>
                        </pic:nvPicPr>
                        <pic:blipFill>
                          <a:blip r:embed="rId268"/>
                          <a:stretch>
                            <a:fillRect/>
                          </a:stretch>
                        </pic:blipFill>
                        <pic:spPr bwMode="auto">
                          <a:xfrm>
                            <a:off x="0" y="0"/>
                            <a:ext cx="609600" cy="619125"/>
                          </a:xfrm>
                          <a:prstGeom prst="rect">
                            <a:avLst/>
                          </a:prstGeom>
                        </pic:spPr>
                      </pic:pic>
                    </a:graphicData>
                  </a:graphic>
                </wp:inline>
              </w:drawing>
            </w:r>
          </w:p>
        </w:tc>
        <w:tc>
          <w:tcPr>
            <w:tcW w:w="5117" w:type="dxa"/>
            <w:tcBorders/>
            <w:shd w:fill="EBEDF8" w:val="clear"/>
            <w:vAlign w:val="center"/>
          </w:tcPr>
          <w:p>
            <w:pPr>
              <w:pStyle w:val="TableContents"/>
              <w:shd w:fill="EBEDF8" w:val="clear"/>
              <w:bidi w:val="0"/>
              <w:spacing w:before="0" w:after="0"/>
              <w:ind w:left="0" w:right="0" w:hanging="0"/>
              <w:jc w:val="left"/>
              <w:rPr>
                <w:b/>
                <w:color w:val="0F5EAC"/>
              </w:rPr>
            </w:pPr>
            <w:r>
              <w:rPr>
                <w:b/>
                <w:color w:val="0F5EAC"/>
              </w:rPr>
              <w:t xml:space="preserve">Robert E. Landry </w:t>
            </w:r>
            <w:r>
              <w:rPr>
                <w:b/>
                <w:i/>
                <w:color w:val="0F5EAC"/>
              </w:rPr>
              <w:t>(retired)</w:t>
            </w:r>
          </w:p>
          <w:p>
            <w:pPr>
              <w:pStyle w:val="TableContents"/>
              <w:shd w:fill="EBEDF8" w:val="clear"/>
              <w:bidi w:val="0"/>
              <w:spacing w:before="0" w:after="0"/>
              <w:ind w:left="0" w:right="0" w:hanging="0"/>
              <w:jc w:val="left"/>
              <w:rPr>
                <w:color w:val="231F20"/>
              </w:rPr>
            </w:pPr>
            <w:r>
              <w:rPr>
                <w:color w:val="231F20"/>
              </w:rPr>
              <w:t>Former Executive Vice President, Finance and Chief Financial Officer</w:t>
            </w:r>
          </w:p>
        </w:tc>
        <w:tc>
          <w:tcPr>
            <w:tcW w:w="76" w:type="dxa"/>
            <w:tcBorders/>
            <w:shd w:fill="EBEDF8" w:val="clear"/>
            <w:vAlign w:val="center"/>
          </w:tcPr>
          <w:p>
            <w:pPr>
              <w:pStyle w:val="TableContents"/>
              <w:bidi w:val="0"/>
              <w:spacing w:before="0" w:after="283"/>
              <w:jc w:val="left"/>
              <w:rPr/>
            </w:pPr>
            <w:r>
              <w:rPr/>
              <w:t> </w:t>
            </w:r>
          </w:p>
        </w:tc>
      </w:tr>
      <w:tr>
        <w:trPr/>
        <w:tc>
          <w:tcPr>
            <w:tcW w:w="75" w:type="dxa"/>
            <w:tcBorders/>
            <w:shd w:fill="EBEDF8" w:val="clear"/>
            <w:vAlign w:val="center"/>
          </w:tcPr>
          <w:p>
            <w:pPr>
              <w:pStyle w:val="TableContents"/>
              <w:bidi w:val="0"/>
              <w:spacing w:before="0" w:after="283"/>
              <w:jc w:val="left"/>
              <w:rPr/>
            </w:pPr>
            <w:r>
              <w:rPr/>
              <w:t> </w:t>
            </w:r>
          </w:p>
        </w:tc>
        <w:tc>
          <w:tcPr>
            <w:tcW w:w="1020" w:type="dxa"/>
            <w:tcBorders/>
            <w:shd w:fill="EBEDF8" w:val="clear"/>
            <w:vAlign w:val="center"/>
          </w:tcPr>
          <w:p>
            <w:pPr>
              <w:pStyle w:val="TableContents"/>
              <w:bidi w:val="0"/>
              <w:spacing w:before="0" w:after="283"/>
              <w:jc w:val="center"/>
              <w:rPr/>
            </w:pPr>
            <w:r>
              <w:rPr/>
              <w:t> </w:t>
            </w:r>
          </w:p>
        </w:tc>
        <w:tc>
          <w:tcPr>
            <w:tcW w:w="2777"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60" w:type="dxa"/>
            <w:tcBorders/>
            <w:shd w:fill="EBEDF8" w:val="clear"/>
            <w:vAlign w:val="center"/>
          </w:tcPr>
          <w:p>
            <w:pPr>
              <w:pStyle w:val="TableContents"/>
              <w:bidi w:val="0"/>
              <w:spacing w:before="0" w:after="283"/>
              <w:jc w:val="left"/>
              <w:rPr/>
            </w:pPr>
            <w:r>
              <w:rPr/>
              <w:t> </w:t>
            </w:r>
          </w:p>
        </w:tc>
        <w:tc>
          <w:tcPr>
            <w:tcW w:w="1020" w:type="dxa"/>
            <w:tcBorders/>
            <w:shd w:fill="EBEDF8" w:val="clear"/>
            <w:vAlign w:val="center"/>
          </w:tcPr>
          <w:p>
            <w:pPr>
              <w:pStyle w:val="TableContents"/>
              <w:bidi w:val="0"/>
              <w:spacing w:before="0" w:after="283"/>
              <w:jc w:val="center"/>
              <w:rPr/>
            </w:pPr>
            <w:r>
              <w:rPr/>
              <w:t> </w:t>
            </w:r>
          </w:p>
        </w:tc>
        <w:tc>
          <w:tcPr>
            <w:tcW w:w="5117" w:type="dxa"/>
            <w:tcBorders/>
            <w:shd w:fill="EBEDF8" w:val="clear"/>
            <w:vAlign w:val="center"/>
          </w:tcPr>
          <w:p>
            <w:pPr>
              <w:pStyle w:val="TableContents"/>
              <w:bidi w:val="0"/>
              <w:spacing w:before="0" w:after="283"/>
              <w:jc w:val="left"/>
              <w:rPr/>
            </w:pPr>
            <w:r>
              <w:rPr/>
              <w:t> </w:t>
            </w:r>
          </w:p>
        </w:tc>
        <w:tc>
          <w:tcPr>
            <w:tcW w:w="76" w:type="dxa"/>
            <w:tcBorders/>
            <w:shd w:fill="EBEDF8" w:val="clear"/>
            <w:vAlign w:val="center"/>
          </w:tcPr>
          <w:p>
            <w:pPr>
              <w:pStyle w:val="TableContents"/>
              <w:bidi w:val="0"/>
              <w:spacing w:before="0" w:after="283"/>
              <w:jc w:val="left"/>
              <w:rPr/>
            </w:pPr>
            <w:r>
              <w:rPr/>
              <w:t> </w:t>
            </w:r>
          </w:p>
        </w:tc>
      </w:tr>
    </w:tbl>
    <w:p>
      <w:pPr>
        <w:pStyle w:val="TextBody"/>
        <w:pBdr>
          <w:bottom w:val="single" w:sz="2" w:space="1" w:color="939598"/>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In this section, “we,” “us,” and “our” refer to the Company and, where applicable, to the Compensation Committee of the Company’s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74"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57" descr=""/>
                          <pic:cNvPicPr>
                            <a:picLocks noChangeAspect="1" noChangeArrowheads="1"/>
                          </pic:cNvPicPr>
                        </pic:nvPicPr>
                        <pic:blipFill>
                          <a:blip r:embed="rId26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68" w:name="regn013211-def14aa051"/>
      <w:bookmarkStart w:id="69" w:name="lregnb003"/>
      <w:bookmarkEnd w:id="68"/>
      <w:bookmarkEnd w:id="69"/>
      <w:r>
        <w:rPr>
          <w:rFonts w:ascii="Arial;Helvetica;Sans-Serif" w:hAnsi="Arial;Helvetica;Sans-Serif"/>
          <w:b/>
          <w:i w:val="false"/>
          <w:caps w:val="false"/>
          <w:smallCaps w:val="false"/>
          <w:color w:val="3B5AA4"/>
          <w:sz w:val="32"/>
        </w:rPr>
        <w:t>Executive Summary</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70" w:name="regn013211-def14aa052"/>
      <w:bookmarkStart w:id="71" w:name="lregnb004"/>
      <w:bookmarkEnd w:id="70"/>
      <w:bookmarkEnd w:id="71"/>
      <w:r>
        <w:rPr>
          <w:rFonts w:ascii="Arial;Helvetica;Sans-Serif" w:hAnsi="Arial;Helvetica;Sans-Serif"/>
          <w:b/>
          <w:i w:val="false"/>
          <w:caps w:val="false"/>
          <w:smallCaps w:val="false"/>
          <w:color w:val="C60C45"/>
          <w:sz w:val="28"/>
        </w:rPr>
        <w:t>Introduction to Our Compensation Program</w:t>
      </w:r>
    </w:p>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starting premise for compensation at Regeneron is that our compensation practices must be “fit for purpose” and reinforce the long-term outlook necessary to fulfill the Company’s mission – to turn rigorous scientific research into groundbreaking medicines. This mission is the ultimate driver of sustainable, long-term value creation for our shareholders. Regeneron’s pay philosophy has been designed to incentivize our employees to pursue this mission and to nurture the Company’s distinct culture. We are committed to our long-standing compensation philosophy but also actively seek and consider the views of our shareholders on compensation matters. Therefore, Regeneron’s compensation program discussed in this CD&amp;A is both the direct product of our pay philosophy and a reflection of compensation feedback from our shareholders. Since our company became public in 1991 through the end of 2024, Regeneron delivered an aggregate total shareholder return (“TSR”) of nearly 3,300%, outperforming the S&amp;P 500 over this period. We believe this long-term performance demonstrates the effectiveness of our approach to incentivizing our employees and aligning their interests with those of our shareholders.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rPr>
      </w:pPr>
      <w:r>
        <w:rPr>
          <w:caps w:val="false"/>
          <w:smallCaps w:val="false"/>
        </w:rPr>
        <w:drawing>
          <wp:inline distT="0" distB="0" distL="0" distR="0">
            <wp:extent cx="7038975" cy="21231225"/>
            <wp:effectExtent l="0" t="0" r="0" b="0"/>
            <wp:docPr id="275"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58" descr=""/>
                    <pic:cNvPicPr>
                      <a:picLocks noChangeAspect="1" noChangeArrowheads="1"/>
                    </pic:cNvPicPr>
                  </pic:nvPicPr>
                  <pic:blipFill>
                    <a:blip r:embed="rId270"/>
                    <a:stretch>
                      <a:fillRect/>
                    </a:stretch>
                  </pic:blipFill>
                  <pic:spPr bwMode="auto">
                    <a:xfrm>
                      <a:off x="0" y="0"/>
                      <a:ext cx="7038975" cy="212312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2" w:space="1" w:color="939598"/>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Based on Regeneron’s turnover rate compared to the industry average. In 2024, our turnover rate was 5.9% compared to an industry average of 21.4%. Industry average is based on data of U.S. life sciences companies reported in Aon’s 2024 Salary Increase and Turnover Study.</w:t>
            </w:r>
          </w:p>
        </w:tc>
      </w:tr>
    </w:tbl>
    <w:p>
      <w:pPr>
        <w:pStyle w:val="TextBody"/>
        <w:bidi w:val="0"/>
        <w:spacing w:before="0" w:after="0"/>
        <w:ind w:left="0" w:right="0" w:hanging="0"/>
        <w:jc w:val="left"/>
        <w:rPr>
          <w:caps w:val="false"/>
          <w:smallCaps w:val="false"/>
          <w:color w:val="C60C45"/>
        </w:rPr>
      </w:pPr>
      <w:r>
        <w:rPr>
          <w:caps w:val="false"/>
          <w:smallCaps w:val="false"/>
          <w:color w:val="C60C45"/>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76"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59" descr=""/>
                          <pic:cNvPicPr>
                            <a:picLocks noChangeAspect="1" noChangeArrowheads="1"/>
                          </pic:cNvPicPr>
                        </pic:nvPicPr>
                        <pic:blipFill>
                          <a:blip r:embed="rId27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72" w:name="regn013211-def14aa053"/>
      <w:bookmarkStart w:id="73" w:name="lregnb005"/>
      <w:bookmarkEnd w:id="72"/>
      <w:bookmarkEnd w:id="73"/>
      <w:r>
        <w:rPr>
          <w:rFonts w:ascii="Arial;Helvetica;Sans-Serif" w:hAnsi="Arial;Helvetica;Sans-Serif"/>
          <w:b/>
          <w:i w:val="false"/>
          <w:caps w:val="false"/>
          <w:smallCaps w:val="false"/>
          <w:color w:val="C60C45"/>
          <w:sz w:val="28"/>
        </w:rPr>
        <w:t>What’s New for 2024</w:t>
      </w:r>
    </w:p>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2024 Business Developments</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2024, we had many notable scientific, financial, and operational achievements and also faced several significant challenges. We highlight key 2024 accomplishments and challenges below and provide a comprehensive overview of our 2024 performance, as well as the Compensation Committee’s assessment of this performance, in the subsection “Components of Executive Pay: What We Pay and Why We Pay It—Annual Cash Incentives.” Importantly, we continued to demonstrate our commitment to driving sustainable, long-term shareholder value creation, including by investing $5.1 billion in research and development (“R&amp;D”) and $756 million in capital expenditures in 2024.</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rPr>
      </w:pPr>
      <w:r>
        <w:rPr>
          <w:caps w:val="false"/>
          <w:smallCaps w:val="false"/>
        </w:rPr>
        <w:drawing>
          <wp:inline distT="0" distB="0" distL="0" distR="0">
            <wp:extent cx="7038975" cy="12934950"/>
            <wp:effectExtent l="0" t="0" r="0" b="0"/>
            <wp:docPr id="277"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60" descr=""/>
                    <pic:cNvPicPr>
                      <a:picLocks noChangeAspect="1" noChangeArrowheads="1"/>
                    </pic:cNvPicPr>
                  </pic:nvPicPr>
                  <pic:blipFill>
                    <a:blip r:embed="rId272"/>
                    <a:stretch>
                      <a:fillRect/>
                    </a:stretch>
                  </pic:blipFill>
                  <pic:spPr bwMode="auto">
                    <a:xfrm>
                      <a:off x="0" y="0"/>
                      <a:ext cx="7038975" cy="12934950"/>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color w:val="231F20"/>
              </w:rPr>
            </w:pPr>
            <w:r>
              <w:rPr>
                <w:color w:val="231F20"/>
              </w:rPr>
              <w:t>*</w:t>
            </w:r>
          </w:p>
        </w:tc>
        <w:tc>
          <w:tcPr>
            <w:tcW w:w="10011" w:type="dxa"/>
            <w:tcBorders/>
            <w:vAlign w:val="center"/>
          </w:tcPr>
          <w:p>
            <w:pPr>
              <w:pStyle w:val="TableContents"/>
              <w:bidi w:val="0"/>
              <w:spacing w:before="0" w:after="283"/>
              <w:jc w:val="left"/>
              <w:rPr>
                <w:color w:val="231F20"/>
              </w:rPr>
            </w:pPr>
            <w:r>
              <w:rPr>
                <w:color w:val="231F20"/>
              </w:rPr>
              <w:t>BLAs for odronextamab in R/R FL and linvoseltamab in R/R multiple myeloma were resubmitted to, and accepted by, the FDA for review in the first quarter of 2025.</w:t>
            </w:r>
          </w:p>
        </w:tc>
      </w:tr>
      <w:tr>
        <w:trPr/>
        <w:tc>
          <w:tcPr>
            <w:tcW w:w="194" w:type="dxa"/>
            <w:tcBorders/>
            <w:vAlign w:val="center"/>
          </w:tcPr>
          <w:p>
            <w:pPr>
              <w:pStyle w:val="TableContents"/>
              <w:bidi w:val="0"/>
              <w:spacing w:before="0" w:after="283"/>
              <w:jc w:val="left"/>
              <w:rPr>
                <w:color w:val="231F20"/>
              </w:rPr>
            </w:pPr>
            <w:r>
              <w:rPr>
                <w:color w:val="231F20"/>
              </w:rPr>
              <w:t>**</w:t>
            </w:r>
          </w:p>
        </w:tc>
        <w:tc>
          <w:tcPr>
            <w:tcW w:w="10011" w:type="dxa"/>
            <w:tcBorders/>
            <w:vAlign w:val="center"/>
          </w:tcPr>
          <w:p>
            <w:pPr>
              <w:pStyle w:val="TableContents"/>
              <w:bidi w:val="0"/>
              <w:spacing w:before="0" w:after="283"/>
              <w:jc w:val="left"/>
              <w:rPr>
                <w:color w:val="231F20"/>
              </w:rPr>
            </w:pPr>
            <w:r>
              <w:rPr>
                <w:color w:val="231F20"/>
              </w:rPr>
              <w:t>Non-GAAP net income and non-GAAP net income per share, or EPS, are not measures calculated in accordance with GAAP. See Appendix A for a definition of these measures and a reconciliation of each of these measures to the most directly comparable GAAP financial measure.</w:t>
            </w:r>
          </w:p>
        </w:tc>
      </w:tr>
    </w:tbl>
    <w:p>
      <w:pPr>
        <w:pStyle w:val="TextBody"/>
        <w:bidi w:val="0"/>
        <w:spacing w:before="0" w:after="0"/>
        <w:ind w:left="0" w:right="0" w:hanging="0"/>
        <w:jc w:val="left"/>
        <w:rPr>
          <w:caps w:val="false"/>
          <w:smallCaps w:val="false"/>
          <w:color w:val="C60C45"/>
        </w:rPr>
      </w:pPr>
      <w:r>
        <w:rPr>
          <w:caps w:val="false"/>
          <w:smallCaps w:val="false"/>
          <w:color w:val="C60C45"/>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78"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61" descr=""/>
                          <pic:cNvPicPr>
                            <a:picLocks noChangeAspect="1" noChangeArrowheads="1"/>
                          </pic:cNvPicPr>
                        </pic:nvPicPr>
                        <pic:blipFill>
                          <a:blip r:embed="rId273"/>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Compensation in 2024</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2024, we remained committed to our compensation philosophy and compensation program, the most important objective of which is to support the long-term success of Regeneron. As a result, there were no fundamental changes to the way we compensated our current NEOs in 2024.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Key compensation decisions in 2024 are highlighted below.</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68">
                <wp:simplePos x="0" y="0"/>
                <wp:positionH relativeFrom="column">
                  <wp:align>left</wp:align>
                </wp:positionH>
                <wp:positionV relativeFrom="line">
                  <wp:posOffset>635</wp:posOffset>
                </wp:positionV>
                <wp:extent cx="4535805" cy="5859780"/>
                <wp:effectExtent l="0" t="0" r="0" b="0"/>
                <wp:wrapSquare wrapText="right"/>
                <wp:docPr id="279" name="Frame7"/>
                <a:graphic xmlns:a="http://schemas.openxmlformats.org/drawingml/2006/main">
                  <a:graphicData uri="http://schemas.microsoft.com/office/word/2010/wordprocessingShape">
                    <wps:wsp>
                      <wps:cNvSpPr txBox="1"/>
                      <wps:spPr>
                        <a:xfrm>
                          <a:off x="0" y="0"/>
                          <a:ext cx="4535805" cy="585978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i w:val="false"/>
                                <w:caps w:val="false"/>
                                <w:smallCaps w:val="false"/>
                                <w:color w:val="2864AF"/>
                                <w:sz w:val="20"/>
                              </w:rPr>
                            </w:pPr>
                            <w:r>
                              <w:rPr>
                                <w:rFonts w:ascii="Arial;Helvetica;Sans-Serif" w:hAnsi="Arial;Helvetica;Sans-Serif"/>
                                <w:b/>
                                <w:i w:val="false"/>
                                <w:caps w:val="false"/>
                                <w:smallCaps w:val="false"/>
                                <w:color w:val="2864AF"/>
                                <w:sz w:val="20"/>
                              </w:rPr>
                              <w:t>Lower Company Performance Multiplier for Annual Cash Incentive Awards</w:t>
                            </w:r>
                          </w:p>
                          <w:p>
                            <w:pPr>
                              <w:pStyle w:val="TextBody"/>
                              <w:pBdr>
                                <w:bottom w:val="single" w:sz="2" w:space="1" w:color="C60C44"/>
                              </w:pBdr>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The Compensation Committee set the Company performance multiplier at 1.5 for 2024 annual cash incentive awards, down from 1.9 for 2023. In setting a substantially lower Company performance multiplier for 2024, the Committee balanced notable 2024 accomplishments with recognizing that some of the 2024 corporate goals had not been achieved. Among other matters, the Committee took note of several pipeline and R&amp;D accomplishments in 2024 positioning Regeneron well for long-term success, such as label expansions for EYLEA HD and Dupixent and R&amp;D advancements in the Company’s oncology, Factor XI, and obesity programs. Such accomplishments were in the Committee’s view partially offset by the Complete Response Letters received from the FDA in respect of the Company’s odronextamab and linvoseltamab BLAs, as well as full-year 2024 U.S. net product sales of EYLEA HD falling below the Company’s internal goal.</w:t>
                            </w:r>
                            <w:r>
                              <w:rPr>
                                <w:rFonts w:ascii="Arial;Helvetica;Sans-Serif" w:hAnsi="Arial;Helvetica;Sans-Serif"/>
                                <w:b w:val="false"/>
                                <w:i w:val="false"/>
                                <w:caps w:val="false"/>
                                <w:smallCaps w:val="false"/>
                                <w:color w:val="010101"/>
                                <w:position w:val="6"/>
                                <w:sz w:val="14"/>
                                <w:sz w:val="18"/>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2864AF"/>
                                <w:sz w:val="20"/>
                              </w:rPr>
                            </w:pPr>
                            <w:r>
                              <w:rPr>
                                <w:rFonts w:ascii="Arial;Helvetica;Sans-Serif" w:hAnsi="Arial;Helvetica;Sans-Serif"/>
                                <w:b/>
                                <w:i w:val="false"/>
                                <w:caps w:val="false"/>
                                <w:smallCaps w:val="false"/>
                                <w:color w:val="2864AF"/>
                                <w:sz w:val="20"/>
                              </w:rPr>
                              <w:t>No CEO/CSO Year-End Equity Awards and Flat Year-End Equity Awards for Other Current NEOs</w:t>
                            </w:r>
                          </w:p>
                          <w:p>
                            <w:pPr>
                              <w:pStyle w:val="TextBody"/>
                              <w:pBdr>
                                <w:bottom w:val="single" w:sz="2" w:space="1" w:color="C60C44"/>
                              </w:pBdr>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Regeneron’s CEO and CSO received no equity awards in 2024, consistent with the board’s commitment to refrain from issuing such awards during the five-year performance period of the performance restricted stock units (“PSUs”) granted to the CEO and CSO in 2020.</w:t>
                            </w:r>
                            <w:r>
                              <w:rPr>
                                <w:rFonts w:ascii="Arial;Helvetica;Sans-Serif" w:hAnsi="Arial;Helvetica;Sans-Serif"/>
                                <w:b w:val="false"/>
                                <w:i w:val="false"/>
                                <w:caps w:val="false"/>
                                <w:smallCaps w:val="false"/>
                                <w:color w:val="010101"/>
                                <w:position w:val="6"/>
                                <w:sz w:val="14"/>
                                <w:sz w:val="18"/>
                              </w:rPr>
                              <w:t>4</w:t>
                            </w:r>
                          </w:p>
                          <w:p>
                            <w:pPr>
                              <w:pStyle w:val="TextBody"/>
                              <w:bidi w:val="0"/>
                              <w:spacing w:before="0" w:after="0"/>
                              <w:ind w:left="0" w:right="0" w:hanging="0"/>
                              <w:jc w:val="left"/>
                              <w:rPr>
                                <w:caps w:val="false"/>
                                <w:smallCaps w:val="false"/>
                                <w:color w:val="010101"/>
                                <w:position w:val="8"/>
                                <w:sz w:val="19"/>
                              </w:rPr>
                            </w:pPr>
                            <w:r>
                              <w:rPr>
                                <w:caps w:val="false"/>
                                <w:smallCaps w:val="false"/>
                                <w:color w:val="010101"/>
                                <w:position w:val="8"/>
                                <w:sz w:val="19"/>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In addition, other current NEOs received 2024 year-end equity awards with values equal to those of their corresponding 2023 year-end awards. In keeping the equity award values unchanged year over year, the Committee primarily considered each such NEO’s importance to the Company’s future performance and such NEO's individual contributions to the Company’s performance in 2024, as well as the Company’s overall performance in 2024.</w:t>
                            </w:r>
                            <w:r>
                              <w:rPr>
                                <w:rFonts w:ascii="Arial;Helvetica;Sans-Serif" w:hAnsi="Arial;Helvetica;Sans-Serif"/>
                                <w:b w:val="false"/>
                                <w:i w:val="false"/>
                                <w:caps w:val="false"/>
                                <w:smallCaps w:val="false"/>
                                <w:color w:val="010101"/>
                                <w:position w:val="6"/>
                                <w:sz w:val="14"/>
                                <w:sz w:val="18"/>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2864AF"/>
                                <w:sz w:val="20"/>
                              </w:rPr>
                            </w:pPr>
                            <w:r>
                              <w:rPr>
                                <w:rFonts w:ascii="Arial;Helvetica;Sans-Serif" w:hAnsi="Arial;Helvetica;Sans-Serif"/>
                                <w:b/>
                                <w:i w:val="false"/>
                                <w:caps w:val="false"/>
                                <w:smallCaps w:val="false"/>
                                <w:color w:val="2864AF"/>
                                <w:sz w:val="20"/>
                              </w:rPr>
                              <w:t>Modest Increase to Base Salaries</w:t>
                            </w:r>
                          </w:p>
                          <w:p>
                            <w:pPr>
                              <w:pStyle w:val="TextBody"/>
                              <w:pBdr>
                                <w:bottom w:val="single" w:sz="2" w:space="1" w:color="C60C44"/>
                              </w:pBdr>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Each of our current NEOs received a 2.0% base salary increase for 2025, consistent with merit base salary increases for other officers and below merit base salary increases for other employees. Our Chief Financial Officer, Mr. Fenimore, also received a base salary adjustment in connection with his promotion to Executive Vice President effective January 1, 2025.</w:t>
                            </w:r>
                          </w:p>
                        </w:txbxContent>
                      </wps:txbx>
                      <wps:bodyPr anchor="t" lIns="0" tIns="0" rIns="0" bIns="0">
                        <a:noAutofit/>
                      </wps:bodyPr>
                    </wps:wsp>
                  </a:graphicData>
                </a:graphic>
                <wp14:sizeRelH relativeFrom="margin">
                  <wp14:pctWidth>70000</wp14:pctWidth>
                </wp14:sizeRelH>
              </wp:anchor>
            </w:drawing>
          </mc:Choice>
          <mc:Fallback>
            <w:pict>
              <v:rect style="position:absolute;rotation:-0;width:357.15pt;height:46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Helvetica;Sans-Serif" w:hAnsi="Arial;Helvetica;Sans-Serif"/>
                          <w:b/>
                          <w:i w:val="false"/>
                          <w:caps w:val="false"/>
                          <w:smallCaps w:val="false"/>
                          <w:color w:val="2864AF"/>
                          <w:sz w:val="20"/>
                        </w:rPr>
                      </w:pPr>
                      <w:r>
                        <w:rPr>
                          <w:rFonts w:ascii="Arial;Helvetica;Sans-Serif" w:hAnsi="Arial;Helvetica;Sans-Serif"/>
                          <w:b/>
                          <w:i w:val="false"/>
                          <w:caps w:val="false"/>
                          <w:smallCaps w:val="false"/>
                          <w:color w:val="2864AF"/>
                          <w:sz w:val="20"/>
                        </w:rPr>
                        <w:t>Lower Company Performance Multiplier for Annual Cash Incentive Awards</w:t>
                      </w:r>
                    </w:p>
                    <w:p>
                      <w:pPr>
                        <w:pStyle w:val="TextBody"/>
                        <w:pBdr>
                          <w:bottom w:val="single" w:sz="2" w:space="1" w:color="C60C44"/>
                        </w:pBdr>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The Compensation Committee set the Company performance multiplier at 1.5 for 2024 annual cash incentive awards, down from 1.9 for 2023. In setting a substantially lower Company performance multiplier for 2024, the Committee balanced notable 2024 accomplishments with recognizing that some of the 2024 corporate goals had not been achieved. Among other matters, the Committee took note of several pipeline and R&amp;D accomplishments in 2024 positioning Regeneron well for long-term success, such as label expansions for EYLEA HD and Dupixent and R&amp;D advancements in the Company’s oncology, Factor XI, and obesity programs. Such accomplishments were in the Committee’s view partially offset by the Complete Response Letters received from the FDA in respect of the Company’s odronextamab and linvoseltamab BLAs, as well as full-year 2024 U.S. net product sales of EYLEA HD falling below the Company’s internal goal.</w:t>
                      </w:r>
                      <w:r>
                        <w:rPr>
                          <w:rFonts w:ascii="Arial;Helvetica;Sans-Serif" w:hAnsi="Arial;Helvetica;Sans-Serif"/>
                          <w:b w:val="false"/>
                          <w:i w:val="false"/>
                          <w:caps w:val="false"/>
                          <w:smallCaps w:val="false"/>
                          <w:color w:val="010101"/>
                          <w:position w:val="6"/>
                          <w:sz w:val="14"/>
                          <w:sz w:val="18"/>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2864AF"/>
                          <w:sz w:val="20"/>
                        </w:rPr>
                      </w:pPr>
                      <w:r>
                        <w:rPr>
                          <w:rFonts w:ascii="Arial;Helvetica;Sans-Serif" w:hAnsi="Arial;Helvetica;Sans-Serif"/>
                          <w:b/>
                          <w:i w:val="false"/>
                          <w:caps w:val="false"/>
                          <w:smallCaps w:val="false"/>
                          <w:color w:val="2864AF"/>
                          <w:sz w:val="20"/>
                        </w:rPr>
                        <w:t>No CEO/CSO Year-End Equity Awards and Flat Year-End Equity Awards for Other Current NEOs</w:t>
                      </w:r>
                    </w:p>
                    <w:p>
                      <w:pPr>
                        <w:pStyle w:val="TextBody"/>
                        <w:pBdr>
                          <w:bottom w:val="single" w:sz="2" w:space="1" w:color="C60C44"/>
                        </w:pBdr>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Regeneron’s CEO and CSO received no equity awards in 2024, consistent with the board’s commitment to refrain from issuing such awards during the five-year performance period of the performance restricted stock units (“PSUs”) granted to the CEO and CSO in 2020.</w:t>
                      </w:r>
                      <w:r>
                        <w:rPr>
                          <w:rFonts w:ascii="Arial;Helvetica;Sans-Serif" w:hAnsi="Arial;Helvetica;Sans-Serif"/>
                          <w:b w:val="false"/>
                          <w:i w:val="false"/>
                          <w:caps w:val="false"/>
                          <w:smallCaps w:val="false"/>
                          <w:color w:val="010101"/>
                          <w:position w:val="6"/>
                          <w:sz w:val="14"/>
                          <w:sz w:val="18"/>
                        </w:rPr>
                        <w:t>4</w:t>
                      </w:r>
                    </w:p>
                    <w:p>
                      <w:pPr>
                        <w:pStyle w:val="TextBody"/>
                        <w:bidi w:val="0"/>
                        <w:spacing w:before="0" w:after="0"/>
                        <w:ind w:left="0" w:right="0" w:hanging="0"/>
                        <w:jc w:val="left"/>
                        <w:rPr>
                          <w:caps w:val="false"/>
                          <w:smallCaps w:val="false"/>
                          <w:color w:val="010101"/>
                          <w:position w:val="8"/>
                          <w:sz w:val="19"/>
                        </w:rPr>
                      </w:pPr>
                      <w:r>
                        <w:rPr>
                          <w:caps w:val="false"/>
                          <w:smallCaps w:val="false"/>
                          <w:color w:val="010101"/>
                          <w:position w:val="8"/>
                          <w:sz w:val="19"/>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In addition, other current NEOs received 2024 year-end equity awards with values equal to those of their corresponding 2023 year-end awards. In keeping the equity award values unchanged year over year, the Committee primarily considered each such NEO’s importance to the Company’s future performance and such NEO's individual contributions to the Company’s performance in 2024, as well as the Company’s overall performance in 2024.</w:t>
                      </w:r>
                      <w:r>
                        <w:rPr>
                          <w:rFonts w:ascii="Arial;Helvetica;Sans-Serif" w:hAnsi="Arial;Helvetica;Sans-Serif"/>
                          <w:b w:val="false"/>
                          <w:i w:val="false"/>
                          <w:caps w:val="false"/>
                          <w:smallCaps w:val="false"/>
                          <w:color w:val="010101"/>
                          <w:position w:val="6"/>
                          <w:sz w:val="14"/>
                          <w:sz w:val="18"/>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2864AF"/>
                          <w:sz w:val="20"/>
                        </w:rPr>
                      </w:pPr>
                      <w:r>
                        <w:rPr>
                          <w:rFonts w:ascii="Arial;Helvetica;Sans-Serif" w:hAnsi="Arial;Helvetica;Sans-Serif"/>
                          <w:b/>
                          <w:i w:val="false"/>
                          <w:caps w:val="false"/>
                          <w:smallCaps w:val="false"/>
                          <w:color w:val="2864AF"/>
                          <w:sz w:val="20"/>
                        </w:rPr>
                        <w:t>Modest Increase to Base Salaries</w:t>
                      </w:r>
                    </w:p>
                    <w:p>
                      <w:pPr>
                        <w:pStyle w:val="TextBody"/>
                        <w:pBdr>
                          <w:bottom w:val="single" w:sz="2" w:space="1" w:color="C60C44"/>
                        </w:pBdr>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Each of our current NEOs received a 2.0% base salary increase for 2025, consistent with merit base salary increases for other officers and below merit base salary increases for other employees. Our Chief Financial Officer, Mr. Fenimore, also received a base salary adjustment in connection with his promotion to Executive Vice President effective January 1, 2025.</w:t>
                      </w:r>
                    </w:p>
                  </w:txbxContent>
                </v:textbox>
                <w10:wrap type="square" side="right"/>
              </v:rect>
            </w:pict>
          </mc:Fallback>
        </mc:AlternateContent>
      </w:r>
      <w:r>
        <mc:AlternateContent>
          <mc:Choice Requires="wps">
            <w:drawing>
              <wp:anchor behindDoc="0" distT="0" distB="0" distL="0" distR="0" simplePos="0" locked="0" layoutInCell="1" allowOverlap="1" relativeHeight="369">
                <wp:simplePos x="0" y="0"/>
                <wp:positionH relativeFrom="column">
                  <wp:align>right</wp:align>
                </wp:positionH>
                <wp:positionV relativeFrom="line">
                  <wp:posOffset>635</wp:posOffset>
                </wp:positionV>
                <wp:extent cx="1749425" cy="9972040"/>
                <wp:effectExtent l="0" t="0" r="0" b="0"/>
                <wp:wrapSquare wrapText="left"/>
                <wp:docPr id="280" name="Frame8"/>
                <a:graphic xmlns:a="http://schemas.openxmlformats.org/drawingml/2006/main">
                  <a:graphicData uri="http://schemas.microsoft.com/office/word/2010/wordprocessingShape">
                    <wps:wsp>
                      <wps:cNvSpPr txBox="1"/>
                      <wps:spPr>
                        <a:xfrm>
                          <a:off x="0" y="0"/>
                          <a:ext cx="1749425" cy="9972040"/>
                        </a:xfrm>
                        <a:prstGeom prst="rect"/>
                        <a:solidFill>
                          <a:srgbClr val="FFFFFF"/>
                        </a:solidFill>
                      </wps:spPr>
                      <wps:txbx>
                        <w:txbxContent>
                          <w:p>
                            <w:pPr>
                              <w:pStyle w:val="TextBody"/>
                              <w:bidi w:val="0"/>
                              <w:spacing w:before="2400" w:after="2400"/>
                              <w:ind w:left="2400" w:right="2400" w:hanging="0"/>
                              <w:jc w:val="left"/>
                              <w:rPr>
                                <w:rFonts w:ascii="Arial;Helvetica;Sans-Serif" w:hAnsi="Arial;Helvetica;Sans-Serif"/>
                                <w:b w:val="false"/>
                                <w:i w:val="false"/>
                                <w:caps w:val="false"/>
                                <w:smallCaps w:val="false"/>
                                <w:color w:val="2864AF"/>
                                <w:sz w:val="18"/>
                                <w:shd w:fill="EBEDF8" w:val="clear"/>
                              </w:rPr>
                            </w:pPr>
                            <w:r>
                              <w:rPr>
                                <w:rFonts w:ascii="Arial;Helvetica;Sans-Serif" w:hAnsi="Arial;Helvetica;Sans-Serif"/>
                                <w:b w:val="false"/>
                                <w:i w:val="false"/>
                                <w:caps w:val="false"/>
                                <w:smallCaps w:val="false"/>
                                <w:color w:val="2864AF"/>
                                <w:sz w:val="18"/>
                                <w:shd w:fill="EBEDF8" w:val="clear"/>
                              </w:rPr>
                              <w:t xml:space="preserve">The Compensation Committee’s year-end decisions in 2024 reflected </w:t>
                            </w:r>
                            <w:r>
                              <w:rPr>
                                <w:rFonts w:ascii="Arial;Helvetica;Sans-Serif" w:hAnsi="Arial;Helvetica;Sans-Serif"/>
                                <w:b/>
                                <w:i w:val="false"/>
                                <w:caps w:val="false"/>
                                <w:smallCaps w:val="false"/>
                                <w:color w:val="2864AF"/>
                                <w:sz w:val="18"/>
                                <w:shd w:fill="EBEDF8" w:val="clear"/>
                              </w:rPr>
                              <w:t xml:space="preserve">pay-for performance principles </w:t>
                            </w:r>
                            <w:r>
                              <w:rPr>
                                <w:rFonts w:ascii="Arial;Helvetica;Sans-Serif" w:hAnsi="Arial;Helvetica;Sans-Serif"/>
                                <w:b w:val="false"/>
                                <w:i w:val="false"/>
                                <w:caps w:val="false"/>
                                <w:smallCaps w:val="false"/>
                                <w:color w:val="2864AF"/>
                                <w:sz w:val="18"/>
                                <w:shd w:fill="EBEDF8" w:val="clear"/>
                              </w:rPr>
                              <w:t xml:space="preserve">while also staying true to a pay philosophy designed to </w:t>
                            </w:r>
                            <w:r>
                              <w:rPr>
                                <w:rFonts w:ascii="Arial;Helvetica;Sans-Serif" w:hAnsi="Arial;Helvetica;Sans-Serif"/>
                                <w:b/>
                                <w:i w:val="false"/>
                                <w:caps w:val="false"/>
                                <w:smallCaps w:val="false"/>
                                <w:color w:val="2864AF"/>
                                <w:sz w:val="18"/>
                                <w:shd w:fill="EBEDF8" w:val="clear"/>
                              </w:rPr>
                              <w:t>support the long-term success of Regeneron.</w:t>
                            </w:r>
                          </w:p>
                        </w:txbxContent>
                      </wps:txbx>
                      <wps:bodyPr anchor="t" lIns="0" tIns="0" rIns="0" bIns="0">
                        <a:noAutofit/>
                      </wps:bodyPr>
                    </wps:wsp>
                  </a:graphicData>
                </a:graphic>
                <wp14:sizeRelH relativeFrom="margin">
                  <wp14:pctWidth>27000</wp14:pctWidth>
                </wp14:sizeRelH>
              </wp:anchor>
            </w:drawing>
          </mc:Choice>
          <mc:Fallback>
            <w:pict>
              <v:rect style="position:absolute;rotation:-0;width:137.75pt;height:785.2pt;mso-wrap-distance-left:0pt;mso-wrap-distance-right:0pt;mso-wrap-distance-top:0pt;mso-wrap-distance-bottom:0pt;margin-top:0pt;mso-position-vertical:top;mso-position-vertical-relative:text;margin-left:372.5pt;mso-position-horizontal:right;mso-position-horizontal-relative:text">
                <v:textbox>
                  <w:txbxContent>
                    <w:p>
                      <w:pPr>
                        <w:pStyle w:val="TextBody"/>
                        <w:bidi w:val="0"/>
                        <w:spacing w:before="2400" w:after="2400"/>
                        <w:ind w:left="2400" w:right="2400" w:hanging="0"/>
                        <w:jc w:val="left"/>
                        <w:rPr>
                          <w:rFonts w:ascii="Arial;Helvetica;Sans-Serif" w:hAnsi="Arial;Helvetica;Sans-Serif"/>
                          <w:b w:val="false"/>
                          <w:i w:val="false"/>
                          <w:caps w:val="false"/>
                          <w:smallCaps w:val="false"/>
                          <w:color w:val="2864AF"/>
                          <w:sz w:val="18"/>
                          <w:shd w:fill="EBEDF8" w:val="clear"/>
                        </w:rPr>
                      </w:pPr>
                      <w:r>
                        <w:rPr>
                          <w:rFonts w:ascii="Arial;Helvetica;Sans-Serif" w:hAnsi="Arial;Helvetica;Sans-Serif"/>
                          <w:b w:val="false"/>
                          <w:i w:val="false"/>
                          <w:caps w:val="false"/>
                          <w:smallCaps w:val="false"/>
                          <w:color w:val="2864AF"/>
                          <w:sz w:val="18"/>
                          <w:shd w:fill="EBEDF8" w:val="clear"/>
                        </w:rPr>
                        <w:t xml:space="preserve">The Compensation Committee’s year-end decisions in 2024 reflected </w:t>
                      </w:r>
                      <w:r>
                        <w:rPr>
                          <w:rFonts w:ascii="Arial;Helvetica;Sans-Serif" w:hAnsi="Arial;Helvetica;Sans-Serif"/>
                          <w:b/>
                          <w:i w:val="false"/>
                          <w:caps w:val="false"/>
                          <w:smallCaps w:val="false"/>
                          <w:color w:val="2864AF"/>
                          <w:sz w:val="18"/>
                          <w:shd w:fill="EBEDF8" w:val="clear"/>
                        </w:rPr>
                        <w:t xml:space="preserve">pay-for performance principles </w:t>
                      </w:r>
                      <w:r>
                        <w:rPr>
                          <w:rFonts w:ascii="Arial;Helvetica;Sans-Serif" w:hAnsi="Arial;Helvetica;Sans-Serif"/>
                          <w:b w:val="false"/>
                          <w:i w:val="false"/>
                          <w:caps w:val="false"/>
                          <w:smallCaps w:val="false"/>
                          <w:color w:val="2864AF"/>
                          <w:sz w:val="18"/>
                          <w:shd w:fill="EBEDF8" w:val="clear"/>
                        </w:rPr>
                        <w:t xml:space="preserve">while also staying true to a pay philosophy designed to </w:t>
                      </w:r>
                      <w:r>
                        <w:rPr>
                          <w:rFonts w:ascii="Arial;Helvetica;Sans-Serif" w:hAnsi="Arial;Helvetica;Sans-Serif"/>
                          <w:b/>
                          <w:i w:val="false"/>
                          <w:caps w:val="false"/>
                          <w:smallCaps w:val="false"/>
                          <w:color w:val="2864AF"/>
                          <w:sz w:val="18"/>
                          <w:shd w:fill="EBEDF8" w:val="clear"/>
                        </w:rPr>
                        <w:t>support the long-term success of Regeneron.</w:t>
                      </w:r>
                    </w:p>
                  </w:txbxContent>
                </v:textbox>
                <w10:wrap type="square" side="left"/>
              </v:rect>
            </w:pict>
          </mc:Fallback>
        </mc:AlternateContent>
      </w:r>
    </w:p>
    <w:p>
      <w:pPr>
        <w:pStyle w:val="TextBody"/>
        <w:pBdr>
          <w:top w:val="single" w:sz="2" w:space="1" w:color="939598"/>
        </w:pBdr>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10065" w:type="dxa"/>
            <w:tcBorders/>
            <w:vAlign w:val="center"/>
          </w:tcPr>
          <w:p>
            <w:pPr>
              <w:pStyle w:val="TableContents"/>
              <w:bidi w:val="0"/>
              <w:spacing w:before="0" w:after="283"/>
              <w:jc w:val="left"/>
              <w:rPr>
                <w:color w:val="231F20"/>
              </w:rPr>
            </w:pPr>
            <w:r>
              <w:rPr>
                <w:color w:val="231F20"/>
              </w:rPr>
              <w:t>See “Components of Executive Pay: What We Pay and Why We Pay It—Annual Cash Incentives” for more information on the Committee’s process in setting the Company performance multiplier for 2024.</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10065" w:type="dxa"/>
            <w:tcBorders/>
            <w:vAlign w:val="center"/>
          </w:tcPr>
          <w:p>
            <w:pPr>
              <w:pStyle w:val="TableContents"/>
              <w:bidi w:val="0"/>
              <w:spacing w:before="0" w:after="283"/>
              <w:jc w:val="left"/>
              <w:rPr>
                <w:color w:val="231F20"/>
              </w:rPr>
            </w:pPr>
            <w:r>
              <w:rPr>
                <w:color w:val="231F20"/>
              </w:rPr>
              <w:t>See “Components of Executive Pay: What We Pay and Why We Pay It—Annual Equity Awards” for more information on these past PSU awards.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10065" w:type="dxa"/>
            <w:tcBorders/>
            <w:vAlign w:val="center"/>
          </w:tcPr>
          <w:p>
            <w:pPr>
              <w:pStyle w:val="TableContents"/>
              <w:bidi w:val="0"/>
              <w:spacing w:before="0" w:after="283"/>
              <w:jc w:val="left"/>
              <w:rPr>
                <w:color w:val="231F20"/>
              </w:rPr>
            </w:pPr>
            <w:r>
              <w:rPr>
                <w:color w:val="231F20"/>
              </w:rPr>
              <w:t>See “Components of Executive Pay: What We Pay and Why We Pay It—Annual Equity Awards” for more information on these 2024 equity awards.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81"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62" descr=""/>
                          <pic:cNvPicPr>
                            <a:picLocks noChangeAspect="1" noChangeArrowheads="1"/>
                          </pic:cNvPicPr>
                        </pic:nvPicPr>
                        <pic:blipFill>
                          <a:blip r:embed="rId274"/>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2024 Shareholder Engagement and Feedback</w:t>
      </w:r>
    </w:p>
    <w:p>
      <w:pPr>
        <w:pStyle w:val="TextBody"/>
        <w:bidi w:val="0"/>
        <w:spacing w:before="0" w:after="0"/>
        <w:ind w:left="0" w:right="0" w:firstLine="720"/>
        <w:jc w:val="left"/>
        <w:rPr>
          <w:caps w:val="false"/>
          <w:smallCaps w:val="false"/>
          <w:color w:val="2864AF"/>
        </w:rPr>
      </w:pPr>
      <w:r>
        <w:rPr>
          <w:caps w:val="false"/>
          <w:smallCaps w:val="false"/>
          <w:color w:val="2864AF"/>
        </w:rPr>
        <w:t> </w:t>
      </w:r>
    </w:p>
    <w:p>
      <w:pPr>
        <w:pStyle w:val="TextBody"/>
        <w:bidi w:val="0"/>
        <w:spacing w:before="0" w:after="0"/>
        <w:jc w:val="center"/>
        <w:rPr>
          <w:caps w:val="false"/>
          <w:smallCaps w:val="false"/>
        </w:rPr>
      </w:pPr>
      <w:r>
        <w:rPr>
          <w:caps w:val="false"/>
          <w:smallCaps w:val="false"/>
        </w:rPr>
        <w:drawing>
          <wp:inline distT="0" distB="0" distL="0" distR="0">
            <wp:extent cx="7019925" cy="2752725"/>
            <wp:effectExtent l="0" t="0" r="0" b="0"/>
            <wp:docPr id="282"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63" descr=""/>
                    <pic:cNvPicPr>
                      <a:picLocks noChangeAspect="1" noChangeArrowheads="1"/>
                    </pic:cNvPicPr>
                  </pic:nvPicPr>
                  <pic:blipFill>
                    <a:blip r:embed="rId275"/>
                    <a:stretch>
                      <a:fillRect/>
                    </a:stretch>
                  </pic:blipFill>
                  <pic:spPr bwMode="auto">
                    <a:xfrm>
                      <a:off x="0" y="0"/>
                      <a:ext cx="7019925" cy="27527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i w:val="false"/>
          <w:caps w:val="false"/>
          <w:smallCaps w:val="false"/>
          <w:color w:val="C60C45"/>
          <w:sz w:val="20"/>
          <w:bdr w:val="single" w:sz="2" w:space="10" w:color="3B5AA4"/>
        </w:rPr>
      </w:pPr>
      <w:r>
        <w:rPr>
          <w:rFonts w:ascii="Arial;Helvetica;Sans-Serif" w:hAnsi="Arial;Helvetica;Sans-Serif"/>
          <w:b/>
          <w:i w:val="false"/>
          <w:caps w:val="false"/>
          <w:smallCaps w:val="false"/>
          <w:color w:val="C60C45"/>
          <w:sz w:val="20"/>
          <w:bdr w:val="single" w:sz="2" w:space="10" w:color="3B5AA4"/>
        </w:rPr>
        <w:t>What We Learned About Our Compensation Program</w:t>
      </w:r>
    </w:p>
    <w:p>
      <w:pPr>
        <w:pStyle w:val="TextBody"/>
        <w:bidi w:val="0"/>
        <w:spacing w:before="0" w:after="0"/>
        <w:ind w:left="0" w:right="0" w:hanging="0"/>
        <w:jc w:val="left"/>
        <w:rPr>
          <w:caps w:val="false"/>
          <w:smallCaps w:val="false"/>
          <w:color w:val="C60C45"/>
          <w:bdr w:val="single" w:sz="2" w:space="10" w:color="3B5AA4"/>
        </w:rPr>
      </w:pPr>
      <w:r>
        <w:rPr>
          <w:caps w:val="false"/>
          <w:smallCaps w:val="false"/>
          <w:color w:val="C60C45"/>
          <w:bdr w:val="single" w:sz="2" w:space="10" w:color="3B5AA4"/>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color w:val="231F20"/>
              </w:rPr>
            </w:pPr>
            <w:r>
              <w:rPr>
                <w:color w:val="231F20"/>
              </w:rPr>
              <w:t>Generally positive feedback on executive pay program</w:t>
            </w:r>
          </w:p>
        </w:tc>
      </w:tr>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color w:val="231F20"/>
              </w:rPr>
            </w:pPr>
            <w:r>
              <w:rPr>
                <w:color w:val="231F20"/>
              </w:rPr>
              <w:t>Strong support for Regeneron’s broad-based equity program; broad utilization seen as a mitigating factor for burn rate that is higher compared to the burn rates reported by many similarly sized companies</w:t>
            </w:r>
          </w:p>
        </w:tc>
      </w:tr>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color w:val="231F20"/>
              </w:rPr>
            </w:pPr>
            <w:r>
              <w:rPr>
                <w:color w:val="231F20"/>
              </w:rPr>
              <w:t>Continued preference for large portion of equity grants in the form of performance-based equity awards; several shareholders do not view time-based stock options as performance-based</w:t>
            </w:r>
          </w:p>
        </w:tc>
      </w:tr>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color w:val="231F20"/>
              </w:rPr>
            </w:pPr>
            <w:r>
              <w:rPr>
                <w:color w:val="231F20"/>
              </w:rPr>
              <w:t>Several investors would like to see PSUs utilized as part of the mix of equity grants for senior executives </w:t>
            </w:r>
          </w:p>
        </w:tc>
      </w:tr>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color w:val="231F20"/>
              </w:rPr>
            </w:pPr>
            <w:r>
              <w:rPr>
                <w:color w:val="231F20"/>
              </w:rPr>
              <w:t>Differing views on equity award performance metrics</w:t>
            </w:r>
          </w:p>
        </w:tc>
      </w:tr>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color w:val="231F20"/>
              </w:rPr>
            </w:pPr>
            <w:r>
              <w:rPr>
                <w:color w:val="231F20"/>
              </w:rPr>
              <w:t>Preference for simple, well-explained compensation plan design</w:t>
            </w:r>
          </w:p>
        </w:tc>
      </w:tr>
    </w:tbl>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TextBody"/>
        <w:bidi w:val="0"/>
        <w:spacing w:before="0" w:after="0"/>
        <w:ind w:left="0" w:right="0" w:hanging="0"/>
        <w:jc w:val="left"/>
        <w:rPr>
          <w:rFonts w:ascii="Arial;Helvetica;Sans-Serif" w:hAnsi="Arial;Helvetica;Sans-Serif"/>
          <w:b/>
          <w:i w:val="false"/>
          <w:caps w:val="false"/>
          <w:smallCaps w:val="false"/>
          <w:color w:val="C60C45"/>
          <w:sz w:val="20"/>
          <w:bdr w:val="single" w:sz="2" w:space="10" w:color="3B5AA4"/>
        </w:rPr>
      </w:pPr>
      <w:r>
        <w:rPr>
          <w:rFonts w:ascii="Arial;Helvetica;Sans-Serif" w:hAnsi="Arial;Helvetica;Sans-Serif"/>
          <w:b/>
          <w:i w:val="false"/>
          <w:caps w:val="false"/>
          <w:smallCaps w:val="false"/>
          <w:color w:val="C60C45"/>
          <w:sz w:val="20"/>
          <w:bdr w:val="single" w:sz="2" w:space="10" w:color="3B5AA4"/>
        </w:rPr>
        <w:t>How We Responded</w:t>
      </w:r>
    </w:p>
    <w:p>
      <w:pPr>
        <w:pStyle w:val="TextBody"/>
        <w:bidi w:val="0"/>
        <w:spacing w:before="0" w:after="0"/>
        <w:ind w:left="0" w:right="0" w:hanging="0"/>
        <w:jc w:val="left"/>
        <w:rPr>
          <w:caps w:val="false"/>
          <w:smallCaps w:val="false"/>
          <w:color w:val="C60C45"/>
          <w:bdr w:val="single" w:sz="2" w:space="10" w:color="3B5AA4"/>
        </w:rPr>
      </w:pPr>
      <w:r>
        <w:rPr>
          <w:caps w:val="false"/>
          <w:smallCaps w:val="false"/>
          <w:color w:val="C60C45"/>
          <w:bdr w:val="single" w:sz="2" w:space="10" w:color="3B5AA4"/>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color w:val="231F20"/>
              </w:rPr>
            </w:pPr>
            <w:r>
              <w:rPr>
                <w:color w:val="231F20"/>
              </w:rPr>
              <w:t>No material changes to the executive compensation program in 2024 in light of the program’s continued alignment with business strategy and overall support from our shareholders evidenced by the 2024 say-on-pay vote results</w:t>
            </w:r>
          </w:p>
        </w:tc>
      </w:tr>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pPr>
            <w:r>
              <w:rPr>
                <w:color w:val="231F20"/>
              </w:rPr>
              <w:t>2024 feedback thoroughly discussed by the Compensation Committee and considered for pay decisions and equity compensation design for future years</w:t>
            </w:r>
            <w:r>
              <w:rPr>
                <w:color w:val="010101"/>
                <w:position w:val="8"/>
                <w:sz w:val="19"/>
              </w:rPr>
              <w:t>7</w:t>
            </w:r>
          </w:p>
        </w:tc>
      </w:tr>
      <w:tr>
        <w:trPr/>
        <w:tc>
          <w:tcPr>
            <w:tcW w:w="125" w:type="dxa"/>
            <w:tcBorders/>
            <w:vAlign w:val="center"/>
          </w:tcPr>
          <w:p>
            <w:pPr>
              <w:pStyle w:val="TableContents"/>
              <w:bidi w:val="0"/>
              <w:spacing w:before="0" w:after="283"/>
              <w:jc w:val="left"/>
              <w:rPr>
                <w:color w:val="2864AF"/>
              </w:rPr>
            </w:pPr>
            <w:r>
              <w:rPr>
                <w:color w:val="2864AF"/>
              </w:rPr>
              <w:t>•</w:t>
            </w:r>
          </w:p>
        </w:tc>
        <w:tc>
          <w:tcPr>
            <w:tcW w:w="10080" w:type="dxa"/>
            <w:tcBorders/>
            <w:vAlign w:val="center"/>
          </w:tcPr>
          <w:p>
            <w:pPr>
              <w:pStyle w:val="TableContents"/>
              <w:bidi w:val="0"/>
              <w:spacing w:before="0" w:after="283"/>
              <w:jc w:val="left"/>
              <w:rPr>
                <w:color w:val="231F20"/>
              </w:rPr>
            </w:pPr>
            <w:r>
              <w:rPr>
                <w:color w:val="231F20"/>
              </w:rPr>
              <w:t>Shortened and streamlined CD&amp;A in this proxy statement to respond to demand for simpler, more straightforward disclosure </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top w:val="single" w:sz="2" w:space="1" w:color="939598"/>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6</w:t>
            </w:r>
          </w:p>
        </w:tc>
        <w:tc>
          <w:tcPr>
            <w:tcW w:w="10065" w:type="dxa"/>
            <w:tcBorders/>
            <w:vAlign w:val="center"/>
          </w:tcPr>
          <w:p>
            <w:pPr>
              <w:pStyle w:val="TableContents"/>
              <w:bidi w:val="0"/>
              <w:spacing w:before="0" w:after="283"/>
              <w:jc w:val="left"/>
              <w:rPr>
                <w:color w:val="231F20"/>
              </w:rPr>
            </w:pPr>
            <w:r>
              <w:rPr>
                <w:color w:val="231F20"/>
              </w:rPr>
              <w:t>The term “public shares” refers to the shares of our common stock outstanding as of December 31, 2024, excluding shares held by our directors and executive officers.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7</w:t>
            </w:r>
          </w:p>
        </w:tc>
        <w:tc>
          <w:tcPr>
            <w:tcW w:w="10065" w:type="dxa"/>
            <w:tcBorders/>
            <w:vAlign w:val="center"/>
          </w:tcPr>
          <w:p>
            <w:pPr>
              <w:pStyle w:val="TableContents"/>
              <w:bidi w:val="0"/>
              <w:spacing w:before="0" w:after="283"/>
              <w:jc w:val="left"/>
              <w:rPr>
                <w:color w:val="231F20"/>
              </w:rPr>
            </w:pPr>
            <w:r>
              <w:rPr>
                <w:color w:val="231F20"/>
              </w:rPr>
              <w:t>See the subsection “Compensation Discussion and Analysis—Compensation Processes—Shareholder Input and Outreach and the 2024 Say-on-Pay Vote Result” for a more detailed discussion of our shareholder engagement program as well as a summary of recent actions taken in response to shareholder feedback.</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83"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64" descr=""/>
                          <pic:cNvPicPr>
                            <a:picLocks noChangeAspect="1" noChangeArrowheads="1"/>
                          </pic:cNvPicPr>
                        </pic:nvPicPr>
                        <pic:blipFill>
                          <a:blip r:embed="rId276"/>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74" w:name="regn013211-def14aa054"/>
      <w:bookmarkStart w:id="75" w:name="regn013211-def14aa102"/>
      <w:bookmarkStart w:id="76" w:name="lregnb006"/>
      <w:bookmarkEnd w:id="74"/>
      <w:bookmarkEnd w:id="75"/>
      <w:bookmarkEnd w:id="76"/>
      <w:r>
        <w:rPr>
          <w:rFonts w:ascii="Arial;Helvetica;Sans-Serif" w:hAnsi="Arial;Helvetica;Sans-Serif"/>
          <w:b/>
          <w:i w:val="false"/>
          <w:caps w:val="false"/>
          <w:smallCaps w:val="false"/>
          <w:color w:val="3B5AA4"/>
          <w:sz w:val="32"/>
        </w:rPr>
        <w:t>Compensation Program Overview</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77" w:name="regn013211-def14aa055"/>
      <w:bookmarkStart w:id="78" w:name="lregnb007"/>
      <w:bookmarkEnd w:id="77"/>
      <w:bookmarkEnd w:id="78"/>
      <w:r>
        <w:rPr>
          <w:rFonts w:ascii="Arial;Helvetica;Sans-Serif" w:hAnsi="Arial;Helvetica;Sans-Serif"/>
          <w:b/>
          <w:i w:val="false"/>
          <w:caps w:val="false"/>
          <w:smallCaps w:val="false"/>
          <w:color w:val="C60C45"/>
          <w:sz w:val="28"/>
        </w:rPr>
        <w:t>Compensation Program Objectives and Principles</w:t>
      </w:r>
    </w:p>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Regeneron’s executive compensation program is designed to pay for performance, drive the creation of long-term, sustainable shareholder value, deliver compensation that is competitively positioned amongst Regeneron’s peers, encourage a shareholder mindset, and align with the pursuit and achievement of both our short-term and long-term strategic goals. Managing our business for the long term is core to our culture, as demonstrated by our history of growing through innovation and through a pipeline of internally developed medicines. The pay program at Regeneron must also attract and retain talented leaders who can innovate and execute effectively. The compensation program must further support the board’s and management’s broader objectives, such as those relating to research and product development; access to our medicines; quality and compliance; and human capital management.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strive to achieve these objectives by considering the following core principles when designing and determining appropriate compensation structures: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75"/>
        <w:gridCol w:w="3829"/>
        <w:gridCol w:w="60"/>
        <w:gridCol w:w="60"/>
        <w:gridCol w:w="6105"/>
        <w:gridCol w:w="76"/>
      </w:tblGrid>
      <w:tr>
        <w:trPr/>
        <w:tc>
          <w:tcPr>
            <w:tcW w:w="75" w:type="dxa"/>
            <w:tcBorders/>
            <w:vAlign w:val="center"/>
          </w:tcPr>
          <w:p>
            <w:pPr>
              <w:pStyle w:val="TableContents"/>
              <w:bidi w:val="0"/>
              <w:spacing w:before="0" w:after="283"/>
              <w:jc w:val="left"/>
              <w:rPr/>
            </w:pPr>
            <w:r>
              <w:rPr/>
              <w:t> </w:t>
            </w:r>
          </w:p>
        </w:tc>
        <w:tc>
          <w:tcPr>
            <w:tcW w:w="3829" w:type="dxa"/>
            <w:tcBorders/>
            <w:vAlign w:val="center"/>
          </w:tcPr>
          <w:p>
            <w:pPr>
              <w:pStyle w:val="TableContents"/>
              <w:bidi w:val="0"/>
              <w:spacing w:before="0" w:after="283"/>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Drive innovation through ownership culture</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6105" w:type="dxa"/>
            <w:tcBorders/>
            <w:vAlign w:val="center"/>
          </w:tcPr>
          <w:p>
            <w:pPr>
              <w:pStyle w:val="TableContents"/>
              <w:bidi w:val="0"/>
              <w:spacing w:before="0" w:after="283"/>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Prioritize design simplicity and long-term orientation</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tcBorders/>
            <w:vAlign w:val="center"/>
          </w:tcPr>
          <w:p>
            <w:pPr>
              <w:pStyle w:val="TableContents"/>
              <w:bidi w:val="0"/>
              <w:spacing w:before="0" w:after="283"/>
              <w:jc w:val="left"/>
              <w:rPr/>
            </w:pPr>
            <w:r>
              <w:rPr>
                <w:color w:val="231F20"/>
              </w:rPr>
              <w:t>Our objective is to create and reinforce a culture where</w:t>
            </w:r>
            <w:r>
              <w:rPr/>
              <w:t xml:space="preserve"> </w:t>
            </w:r>
            <w:r>
              <w:rPr>
                <w:color w:val="231F20"/>
              </w:rPr>
              <w:t>employees think and act like owners, are empowered to</w:t>
            </w:r>
            <w:r>
              <w:rPr/>
              <w:t xml:space="preserve"> </w:t>
            </w:r>
            <w:r>
              <w:rPr>
                <w:color w:val="231F20"/>
              </w:rPr>
              <w:t>pursue fulfilling careers, and focus on our mission of drug</w:t>
            </w:r>
            <w:r>
              <w:rPr/>
              <w:t xml:space="preserve"> </w:t>
            </w:r>
            <w:r>
              <w:rPr>
                <w:color w:val="231F20"/>
              </w:rPr>
              <w:t>discovery and development. We believe a broad-based</w:t>
            </w:r>
            <w:r>
              <w:rPr/>
              <w:t xml:space="preserve"> </w:t>
            </w:r>
            <w:r>
              <w:rPr>
                <w:color w:val="231F20"/>
              </w:rPr>
              <w:t>equity program that incentivizes long-term performance</w:t>
            </w:r>
            <w:r>
              <w:rPr/>
              <w:t xml:space="preserve"> </w:t>
            </w:r>
            <w:r>
              <w:rPr>
                <w:color w:val="231F20"/>
              </w:rPr>
              <w:t>and promotes employee retention is a key ingredient in</w:t>
            </w:r>
            <w:r>
              <w:rPr/>
              <w:t xml:space="preserve"> </w:t>
            </w:r>
            <w:r>
              <w:rPr>
                <w:color w:val="231F20"/>
              </w:rPr>
              <w:t>achieving this culture of ownership and innovation. Every</w:t>
            </w:r>
            <w:r>
              <w:rPr/>
              <w:t xml:space="preserve"> </w:t>
            </w:r>
            <w:r>
              <w:rPr>
                <w:color w:val="231F20"/>
              </w:rPr>
              <w:t>one of the more than 15,000 Regeneron full-time</w:t>
            </w:r>
            <w:r>
              <w:rPr/>
              <w:t xml:space="preserve"> </w:t>
            </w:r>
            <w:r>
              <w:rPr>
                <w:color w:val="231F20"/>
              </w:rPr>
              <w:t>employees has an ownership interest in Regeneron.</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6105" w:type="dxa"/>
            <w:tcBorders/>
            <w:vAlign w:val="center"/>
          </w:tcPr>
          <w:p>
            <w:pPr>
              <w:pStyle w:val="TableContents"/>
              <w:bidi w:val="0"/>
              <w:spacing w:before="0" w:after="283"/>
              <w:jc w:val="left"/>
              <w:rPr/>
            </w:pPr>
            <w:r>
              <w:rPr>
                <w:color w:val="231F20"/>
              </w:rPr>
              <w:t>Tying compensation to long-term, Company-wide success and</w:t>
            </w:r>
            <w:r>
              <w:rPr/>
              <w:t xml:space="preserve"> </w:t>
            </w:r>
            <w:r>
              <w:rPr>
                <w:color w:val="231F20"/>
              </w:rPr>
              <w:t>straightforward Company goals has enabled us to encourage</w:t>
            </w:r>
            <w:r>
              <w:rPr/>
              <w:t xml:space="preserve"> </w:t>
            </w:r>
            <w:r>
              <w:rPr>
                <w:color w:val="231F20"/>
              </w:rPr>
              <w:t>decision-making that we believe is consistent with the long-term</w:t>
            </w:r>
            <w:r>
              <w:rPr/>
              <w:t xml:space="preserve"> </w:t>
            </w:r>
            <w:r>
              <w:rPr>
                <w:color w:val="231F20"/>
              </w:rPr>
              <w:t>sustainability of our Company and our reputation. Our objective is to remain nimble, to encourage evolutionary ideas when strategies</w:t>
            </w:r>
            <w:r>
              <w:rPr/>
              <w:t xml:space="preserve"> </w:t>
            </w:r>
            <w:r>
              <w:rPr>
                <w:color w:val="231F20"/>
              </w:rPr>
              <w:t>need to change, and to have the ability to pivot quickly if needed,</w:t>
            </w:r>
            <w:r>
              <w:rPr/>
              <w:t xml:space="preserve"> </w:t>
            </w:r>
            <w:r>
              <w:rPr>
                <w:color w:val="231F20"/>
              </w:rPr>
              <w:t>without being hindered by overly complex compensation</w:t>
            </w:r>
            <w:r>
              <w:rPr/>
              <w:t xml:space="preserve"> </w:t>
            </w:r>
            <w:r>
              <w:rPr>
                <w:color w:val="231F20"/>
              </w:rPr>
              <w:t>structures.</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top w:val="single" w:sz="2" w:space="0" w:color="C60C44"/>
            </w:tcBorders>
            <w:tcMar>
              <w:top w:w="28" w:type="dxa"/>
            </w:tcMar>
            <w:vAlign w:val="center"/>
          </w:tcPr>
          <w:p>
            <w:pPr>
              <w:pStyle w:val="TableContents"/>
              <w:bidi w:val="0"/>
              <w:spacing w:before="0" w:after="283"/>
              <w:jc w:val="left"/>
              <w:rPr/>
            </w:pPr>
            <w:r>
              <w:rPr/>
              <w:t> </w:t>
            </w:r>
          </w:p>
        </w:tc>
        <w:tc>
          <w:tcPr>
            <w:tcW w:w="3829" w:type="dxa"/>
            <w:tcBorders>
              <w:top w:val="single" w:sz="2" w:space="0" w:color="C60C44"/>
            </w:tcBorders>
            <w:tcMar>
              <w:top w:w="28" w:type="dxa"/>
            </w:tcMar>
            <w:vAlign w:val="center"/>
          </w:tcPr>
          <w:p>
            <w:pPr>
              <w:pStyle w:val="TableContents"/>
              <w:bidi w:val="0"/>
              <w:spacing w:before="0" w:after="283"/>
              <w:jc w:val="left"/>
              <w:rPr/>
            </w:pPr>
            <w:r>
              <w:rPr/>
              <w:t> </w:t>
            </w:r>
          </w:p>
        </w:tc>
        <w:tc>
          <w:tcPr>
            <w:tcW w:w="60" w:type="dxa"/>
            <w:tcBorders>
              <w:top w:val="single" w:sz="2" w:space="0" w:color="C60C44"/>
            </w:tcBorders>
            <w:tcMar>
              <w:top w:w="28" w:type="dxa"/>
            </w:tcMar>
            <w:vAlign w:val="center"/>
          </w:tcPr>
          <w:p>
            <w:pPr>
              <w:pStyle w:val="TableContents"/>
              <w:bidi w:val="0"/>
              <w:spacing w:before="0" w:after="283"/>
              <w:jc w:val="left"/>
              <w:rPr/>
            </w:pPr>
            <w:r>
              <w:rPr/>
              <w:t> </w:t>
            </w:r>
          </w:p>
        </w:tc>
        <w:tc>
          <w:tcPr>
            <w:tcW w:w="60" w:type="dxa"/>
            <w:tcBorders>
              <w:top w:val="single" w:sz="2" w:space="0" w:color="C60C44"/>
            </w:tcBorders>
            <w:tcMar>
              <w:top w:w="28" w:type="dxa"/>
            </w:tcMar>
            <w:vAlign w:val="center"/>
          </w:tcPr>
          <w:p>
            <w:pPr>
              <w:pStyle w:val="TableContents"/>
              <w:bidi w:val="0"/>
              <w:spacing w:before="0" w:after="283"/>
              <w:jc w:val="left"/>
              <w:rPr/>
            </w:pPr>
            <w:r>
              <w:rPr/>
              <w:t> </w:t>
            </w:r>
          </w:p>
        </w:tc>
        <w:tc>
          <w:tcPr>
            <w:tcW w:w="6105" w:type="dxa"/>
            <w:tcBorders>
              <w:top w:val="single" w:sz="2" w:space="0" w:color="C60C44"/>
            </w:tcBorders>
            <w:tcMar>
              <w:top w:w="28" w:type="dxa"/>
            </w:tcMar>
            <w:vAlign w:val="center"/>
          </w:tcPr>
          <w:p>
            <w:pPr>
              <w:pStyle w:val="TableContents"/>
              <w:bidi w:val="0"/>
              <w:spacing w:before="0" w:after="283"/>
              <w:jc w:val="left"/>
              <w:rPr/>
            </w:pPr>
            <w:r>
              <w:rPr/>
              <w:t> </w:t>
            </w:r>
          </w:p>
        </w:tc>
        <w:tc>
          <w:tcPr>
            <w:tcW w:w="76" w:type="dxa"/>
            <w:tcBorders>
              <w:top w:val="single" w:sz="2" w:space="0" w:color="C60C44"/>
            </w:tcBorders>
            <w:tcMar>
              <w:top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tcBorders/>
            <w:vAlign w:val="center"/>
          </w:tcPr>
          <w:p>
            <w:pPr>
              <w:pStyle w:val="TableContents"/>
              <w:bidi w:val="0"/>
              <w:spacing w:before="0" w:after="283"/>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Provide at-risk, performance-based equity to all employees</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6105" w:type="dxa"/>
            <w:tcBorders/>
            <w:vAlign w:val="center"/>
          </w:tcPr>
          <w:p>
            <w:pPr>
              <w:pStyle w:val="TableContents"/>
              <w:bidi w:val="0"/>
              <w:spacing w:before="0" w:after="283"/>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Align with shareholder interests</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tcBorders/>
            <w:vAlign w:val="center"/>
          </w:tcPr>
          <w:p>
            <w:pPr>
              <w:pStyle w:val="TableContents"/>
              <w:bidi w:val="0"/>
              <w:spacing w:before="0" w:after="283"/>
              <w:jc w:val="left"/>
              <w:rPr/>
            </w:pPr>
            <w:r>
              <w:rPr>
                <w:color w:val="231F20"/>
              </w:rPr>
              <w:t>A key part of our pay philosophy since our inception has</w:t>
            </w:r>
            <w:r>
              <w:rPr/>
              <w:t xml:space="preserve"> </w:t>
            </w:r>
            <w:r>
              <w:rPr>
                <w:color w:val="231F20"/>
              </w:rPr>
              <w:t>been to award equity-based pay to all employees, not just</w:t>
            </w:r>
            <w:r>
              <w:rPr/>
              <w:t xml:space="preserve"> </w:t>
            </w:r>
            <w:r>
              <w:rPr>
                <w:color w:val="231F20"/>
              </w:rPr>
              <w:t>senior executives, to ensure that when we deliver for</w:t>
            </w:r>
            <w:r>
              <w:rPr/>
              <w:t xml:space="preserve"> </w:t>
            </w:r>
            <w:r>
              <w:rPr>
                <w:color w:val="231F20"/>
              </w:rPr>
              <w:t>patients and for shareholders, everyone shares in our</w:t>
            </w:r>
            <w:r>
              <w:rPr/>
              <w:t xml:space="preserve"> </w:t>
            </w:r>
            <w:r>
              <w:rPr>
                <w:color w:val="231F20"/>
              </w:rPr>
              <w:t>success. In line with this goal, approximately 90% of the</w:t>
            </w:r>
            <w:r>
              <w:rPr/>
              <w:t xml:space="preserve"> </w:t>
            </w:r>
            <w:r>
              <w:rPr>
                <w:color w:val="231F20"/>
              </w:rPr>
              <w:t>employee equity grants in each of the last five years were</w:t>
            </w:r>
            <w:r>
              <w:rPr/>
              <w:t xml:space="preserve"> </w:t>
            </w:r>
            <w:r>
              <w:rPr>
                <w:color w:val="231F20"/>
              </w:rPr>
              <w:t>awarded to our employees other than our NEOs. We</w:t>
            </w:r>
            <w:r>
              <w:rPr/>
              <w:t xml:space="preserve"> </w:t>
            </w:r>
            <w:r>
              <w:rPr>
                <w:color w:val="231F20"/>
              </w:rPr>
              <w:t>believe this approach represents one of our competitive</w:t>
            </w:r>
            <w:r>
              <w:rPr/>
              <w:t xml:space="preserve"> </w:t>
            </w:r>
            <w:r>
              <w:rPr>
                <w:color w:val="231F20"/>
              </w:rPr>
              <w:t>advantages and has resulted in an engaged workforce</w:t>
            </w:r>
            <w:r>
              <w:rPr/>
              <w:t xml:space="preserve"> </w:t>
            </w:r>
            <w:r>
              <w:rPr>
                <w:color w:val="231F20"/>
              </w:rPr>
              <w:t>and high retention rates.</w:t>
            </w:r>
          </w:p>
        </w:tc>
        <w:tc>
          <w:tcPr>
            <w:tcW w:w="60" w:type="dxa"/>
            <w:tcBorders/>
            <w:vAlign w:val="center"/>
          </w:tcPr>
          <w:p>
            <w:pPr>
              <w:pStyle w:val="TableContents"/>
              <w:bidi w:val="0"/>
              <w:spacing w:before="0" w:after="283"/>
              <w:jc w:val="left"/>
              <w:rPr/>
            </w:pPr>
            <w:r>
              <w:rPr/>
              <w:t> </w:t>
            </w:r>
          </w:p>
        </w:tc>
        <w:tc>
          <w:tcPr>
            <w:tcW w:w="60" w:type="dxa"/>
            <w:tcBorders>
              <w:left w:val="single" w:sz="2" w:space="0" w:color="C60C44"/>
            </w:tcBorders>
            <w:tcMar>
              <w:left w:w="28" w:type="dxa"/>
            </w:tcMar>
            <w:vAlign w:val="center"/>
          </w:tcPr>
          <w:p>
            <w:pPr>
              <w:pStyle w:val="TableContents"/>
              <w:bidi w:val="0"/>
              <w:spacing w:before="0" w:after="283"/>
              <w:jc w:val="left"/>
              <w:rPr/>
            </w:pPr>
            <w:r>
              <w:rPr/>
              <w:t> </w:t>
            </w:r>
          </w:p>
        </w:tc>
        <w:tc>
          <w:tcPr>
            <w:tcW w:w="6105" w:type="dxa"/>
            <w:tcBorders/>
            <w:vAlign w:val="center"/>
          </w:tcPr>
          <w:p>
            <w:pPr>
              <w:pStyle w:val="TableContents"/>
              <w:bidi w:val="0"/>
              <w:spacing w:before="0" w:after="283"/>
              <w:jc w:val="left"/>
              <w:rPr/>
            </w:pPr>
            <w:r>
              <w:rPr>
                <w:color w:val="231F20"/>
              </w:rPr>
              <w:t>Our objective has always been to ensure close alignment with  shareholder interests. All of the direct pay of our CEO and CSO,</w:t>
            </w:r>
            <w:r>
              <w:rPr/>
              <w:t xml:space="preserve"> </w:t>
            </w:r>
            <w:r>
              <w:rPr>
                <w:color w:val="231F20"/>
              </w:rPr>
              <w:t>except for base salaries, depends on performance and is “at-risk.”</w:t>
            </w:r>
            <w:r>
              <w:rPr/>
              <w:t xml:space="preserve"> </w:t>
            </w:r>
            <w:r>
              <w:rPr>
                <w:color w:val="231F20"/>
              </w:rPr>
              <w:t>For our CEO, at-risk pay comprised 94% of his direct pay in 2024,</w:t>
            </w:r>
            <w:r>
              <w:rPr/>
              <w:t xml:space="preserve"> </w:t>
            </w:r>
            <w:r>
              <w:rPr>
                <w:color w:val="231F20"/>
              </w:rPr>
              <w:t>which is significantly higher than the percentage of at-risk</w:t>
            </w:r>
            <w:r>
              <w:rPr/>
              <w:t xml:space="preserve"> </w:t>
            </w:r>
            <w:r>
              <w:rPr>
                <w:color w:val="231F20"/>
              </w:rPr>
              <w:t>compensation for CEOs in our Peer Group, as shown in the charts</w:t>
            </w:r>
            <w:r>
              <w:rPr/>
              <w:t xml:space="preserve"> </w:t>
            </w:r>
            <w:r>
              <w:rPr>
                <w:color w:val="231F20"/>
              </w:rPr>
              <w:t>on the following page.</w:t>
            </w:r>
            <w:r>
              <w:rPr>
                <w:color w:val="010101"/>
                <w:position w:val="8"/>
                <w:sz w:val="19"/>
              </w:rPr>
              <w:t xml:space="preserve">8 </w:t>
            </w:r>
            <w:r>
              <w:rPr>
                <w:color w:val="231F20"/>
              </w:rPr>
              <w:t>More broadly, the long-term nature of our</w:t>
            </w:r>
            <w:r>
              <w:rPr/>
              <w:t xml:space="preserve"> </w:t>
            </w:r>
            <w:r>
              <w:rPr>
                <w:color w:val="231F20"/>
              </w:rPr>
              <w:t>equity program is consistent with the drug discovery and</w:t>
            </w:r>
            <w:r>
              <w:rPr/>
              <w:t xml:space="preserve"> </w:t>
            </w:r>
            <w:r>
              <w:rPr>
                <w:color w:val="231F20"/>
              </w:rPr>
              <w:t>development cycle, and, therefore, helps drive the creation of</w:t>
            </w:r>
            <w:r>
              <w:rPr/>
              <w:t xml:space="preserve"> </w:t>
            </w:r>
            <w:r>
              <w:rPr>
                <w:color w:val="231F20"/>
              </w:rPr>
              <w:t>long-term shareholder value. Further information about</w:t>
            </w:r>
            <w:r>
              <w:rPr/>
              <w:t xml:space="preserve"> </w:t>
            </w:r>
            <w:r>
              <w:rPr>
                <w:color w:val="231F20"/>
              </w:rPr>
              <w:t>pay-versus-performance alignment is provided in the subsection</w:t>
            </w:r>
            <w:r>
              <w:rPr/>
              <w:t xml:space="preserve"> </w:t>
            </w:r>
            <w:r>
              <w:rPr>
                <w:color w:val="231F20"/>
              </w:rPr>
              <w:t>“Compensation Dashboard—Additional Compensation Information</w:t>
            </w:r>
            <w:r>
              <w:rPr/>
              <w:t xml:space="preserve"> </w:t>
            </w:r>
            <w:r>
              <w:rPr>
                <w:color w:val="231F20"/>
              </w:rPr>
              <w:t>—Pay Versus Performance.”</w:t>
            </w:r>
          </w:p>
        </w:tc>
        <w:tc>
          <w:tcPr>
            <w:tcW w:w="7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60" w:type="dxa"/>
          <w:left w:w="0" w:type="dxa"/>
          <w:bottom w:w="0" w:type="dxa"/>
          <w:right w:w="0" w:type="dxa"/>
        </w:tblCellMar>
      </w:tblPr>
      <w:tblGrid>
        <w:gridCol w:w="110"/>
        <w:gridCol w:w="10095"/>
      </w:tblGrid>
      <w:tr>
        <w:trPr/>
        <w:tc>
          <w:tcPr>
            <w:tcW w:w="110" w:type="dxa"/>
            <w:tcBorders>
              <w:top w:val="single" w:sz="2" w:space="0" w:color="CCCCCC"/>
            </w:tcBorders>
            <w:vAlign w:val="center"/>
          </w:tcPr>
          <w:p>
            <w:pPr>
              <w:pStyle w:val="TableContents"/>
              <w:bidi w:val="0"/>
              <w:spacing w:before="0" w:after="283"/>
              <w:jc w:val="left"/>
              <w:rPr>
                <w:color w:val="010101"/>
                <w:position w:val="5"/>
                <w:sz w:val="13"/>
                <w:sz w:val="16"/>
              </w:rPr>
            </w:pPr>
            <w:r>
              <w:rPr>
                <w:color w:val="010101"/>
                <w:position w:val="5"/>
                <w:sz w:val="13"/>
                <w:sz w:val="16"/>
              </w:rPr>
              <w:t>8</w:t>
            </w:r>
          </w:p>
        </w:tc>
        <w:tc>
          <w:tcPr>
            <w:tcW w:w="10095" w:type="dxa"/>
            <w:tcBorders>
              <w:top w:val="single" w:sz="2" w:space="0" w:color="CCCCCC"/>
            </w:tcBorders>
            <w:vAlign w:val="center"/>
          </w:tcPr>
          <w:p>
            <w:pPr>
              <w:pStyle w:val="TableContents"/>
              <w:bidi w:val="0"/>
              <w:spacing w:before="0" w:after="283"/>
              <w:jc w:val="left"/>
              <w:rPr>
                <w:color w:val="231F20"/>
                <w:sz w:val="16"/>
              </w:rPr>
            </w:pPr>
            <w:r>
              <w:rPr>
                <w:color w:val="231F20"/>
                <w:sz w:val="16"/>
              </w:rPr>
              <w:t>We define “direct pay” or “direct compensation” as total compensation as reported in the Summary Compensation Table in the applicable proxy statement, other than the amounts reported as “All other compensation” and (if applicable) amounts reported under “Change in pension value and nonqualified deferred compensation earnings.”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84"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65" descr=""/>
                          <pic:cNvPicPr>
                            <a:picLocks noChangeAspect="1" noChangeArrowheads="1"/>
                          </pic:cNvPicPr>
                        </pic:nvPicPr>
                        <pic:blipFill>
                          <a:blip r:embed="rId277"/>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79" w:name="regn013211-def14aa056"/>
      <w:bookmarkStart w:id="80" w:name="lregnb008"/>
      <w:bookmarkEnd w:id="79"/>
      <w:bookmarkEnd w:id="80"/>
      <w:r>
        <w:rPr>
          <w:rFonts w:ascii="Arial;Helvetica;Sans-Serif" w:hAnsi="Arial;Helvetica;Sans-Serif"/>
          <w:b/>
          <w:i w:val="false"/>
          <w:caps w:val="false"/>
          <w:smallCaps w:val="false"/>
          <w:color w:val="C60C45"/>
          <w:sz w:val="28"/>
        </w:rPr>
        <w:t>How Our Pay Program Works</w:t>
      </w:r>
    </w:p>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To create an effective executive compensation structure, the Compensation Committee relied on the following elements of direct pay for our NEOs in 2024. </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28" w:type="dxa"/>
          <w:right w:w="0" w:type="dxa"/>
        </w:tblCellMar>
      </w:tblPr>
      <w:tblGrid>
        <w:gridCol w:w="270"/>
        <w:gridCol w:w="60"/>
        <w:gridCol w:w="1733"/>
        <w:gridCol w:w="60"/>
        <w:gridCol w:w="1943"/>
        <w:gridCol w:w="60"/>
        <w:gridCol w:w="2701"/>
        <w:gridCol w:w="60"/>
        <w:gridCol w:w="3318"/>
      </w:tblGrid>
      <w:tr>
        <w:trPr/>
        <w:tc>
          <w:tcPr>
            <w:tcW w:w="270" w:type="dxa"/>
            <w:tcBorders>
              <w:bottom w:val="single" w:sz="12" w:space="0" w:color="3B5AA4"/>
            </w:tcBorders>
            <w:vAlign w:val="center"/>
          </w:tcPr>
          <w:p>
            <w:pPr>
              <w:pStyle w:val="TableContents"/>
              <w:bidi w:val="0"/>
              <w:spacing w:before="0" w:after="283"/>
              <w:jc w:val="right"/>
              <w:rPr/>
            </w:pPr>
            <w:r>
              <w:rPr/>
              <w:t> </w:t>
            </w:r>
          </w:p>
        </w:tc>
        <w:tc>
          <w:tcPr>
            <w:tcW w:w="60" w:type="dxa"/>
            <w:tcBorders>
              <w:bottom w:val="single" w:sz="12" w:space="0" w:color="3B5AA4"/>
            </w:tcBorders>
            <w:vAlign w:val="center"/>
          </w:tcPr>
          <w:p>
            <w:pPr>
              <w:pStyle w:val="TableContents"/>
              <w:bidi w:val="0"/>
              <w:spacing w:before="0" w:after="283"/>
              <w:jc w:val="left"/>
              <w:rPr/>
            </w:pPr>
            <w:r>
              <w:rPr/>
              <w:t> </w:t>
            </w:r>
          </w:p>
        </w:tc>
        <w:tc>
          <w:tcPr>
            <w:tcW w:w="1733" w:type="dxa"/>
            <w:tcBorders>
              <w:bottom w:val="single" w:sz="12" w:space="0" w:color="3B5AA4"/>
            </w:tcBorders>
            <w:vAlign w:val="center"/>
          </w:tcPr>
          <w:p>
            <w:pPr>
              <w:pStyle w:val="TableContents"/>
              <w:bidi w:val="0"/>
              <w:spacing w:before="0" w:after="283"/>
              <w:jc w:val="left"/>
              <w:rPr>
                <w:b/>
                <w:color w:val="2864AF"/>
              </w:rPr>
            </w:pPr>
            <w:r>
              <w:rPr>
                <w:b/>
                <w:color w:val="2864AF"/>
              </w:rPr>
              <w:t>Element</w:t>
            </w:r>
          </w:p>
        </w:tc>
        <w:tc>
          <w:tcPr>
            <w:tcW w:w="60" w:type="dxa"/>
            <w:tcBorders>
              <w:bottom w:val="single" w:sz="12" w:space="0" w:color="3B5AA4"/>
            </w:tcBorders>
            <w:vAlign w:val="center"/>
          </w:tcPr>
          <w:p>
            <w:pPr>
              <w:pStyle w:val="TableContents"/>
              <w:bidi w:val="0"/>
              <w:spacing w:before="0" w:after="283"/>
              <w:jc w:val="left"/>
              <w:rPr/>
            </w:pPr>
            <w:r>
              <w:rPr/>
              <w:t> </w:t>
            </w:r>
          </w:p>
        </w:tc>
        <w:tc>
          <w:tcPr>
            <w:tcW w:w="1943" w:type="dxa"/>
            <w:tcBorders>
              <w:bottom w:val="single" w:sz="12" w:space="0" w:color="3B5AA4"/>
            </w:tcBorders>
            <w:vAlign w:val="center"/>
          </w:tcPr>
          <w:p>
            <w:pPr>
              <w:pStyle w:val="TableContents"/>
              <w:bidi w:val="0"/>
              <w:spacing w:before="0" w:after="283"/>
              <w:jc w:val="left"/>
              <w:rPr>
                <w:b/>
                <w:color w:val="2864AF"/>
              </w:rPr>
            </w:pPr>
            <w:r>
              <w:rPr>
                <w:b/>
                <w:color w:val="2864AF"/>
              </w:rPr>
              <w:t>Performance Period</w:t>
            </w:r>
          </w:p>
        </w:tc>
        <w:tc>
          <w:tcPr>
            <w:tcW w:w="60" w:type="dxa"/>
            <w:tcBorders>
              <w:bottom w:val="single" w:sz="12" w:space="0" w:color="3B5AA4"/>
            </w:tcBorders>
            <w:vAlign w:val="center"/>
          </w:tcPr>
          <w:p>
            <w:pPr>
              <w:pStyle w:val="TableContents"/>
              <w:bidi w:val="0"/>
              <w:spacing w:before="0" w:after="283"/>
              <w:jc w:val="left"/>
              <w:rPr/>
            </w:pPr>
            <w:r>
              <w:rPr/>
              <w:t> </w:t>
            </w:r>
          </w:p>
        </w:tc>
        <w:tc>
          <w:tcPr>
            <w:tcW w:w="2701" w:type="dxa"/>
            <w:tcBorders>
              <w:bottom w:val="single" w:sz="12" w:space="0" w:color="3B5AA4"/>
            </w:tcBorders>
            <w:vAlign w:val="center"/>
          </w:tcPr>
          <w:p>
            <w:pPr>
              <w:pStyle w:val="TableContents"/>
              <w:bidi w:val="0"/>
              <w:spacing w:before="0" w:after="283"/>
              <w:jc w:val="left"/>
              <w:rPr>
                <w:b/>
                <w:color w:val="2864AF"/>
              </w:rPr>
            </w:pPr>
            <w:r>
              <w:rPr>
                <w:b/>
                <w:color w:val="2864AF"/>
              </w:rPr>
              <w:t>Objective/Link to Shareholder Value</w:t>
            </w:r>
          </w:p>
        </w:tc>
        <w:tc>
          <w:tcPr>
            <w:tcW w:w="60" w:type="dxa"/>
            <w:tcBorders>
              <w:bottom w:val="single" w:sz="12" w:space="0" w:color="3B5AA4"/>
            </w:tcBorders>
            <w:vAlign w:val="center"/>
          </w:tcPr>
          <w:p>
            <w:pPr>
              <w:pStyle w:val="TableContents"/>
              <w:bidi w:val="0"/>
              <w:spacing w:before="0" w:after="283"/>
              <w:jc w:val="left"/>
              <w:rPr/>
            </w:pPr>
            <w:r>
              <w:rPr/>
              <w:t> </w:t>
            </w:r>
          </w:p>
        </w:tc>
        <w:tc>
          <w:tcPr>
            <w:tcW w:w="3318" w:type="dxa"/>
            <w:tcBorders>
              <w:bottom w:val="single" w:sz="12" w:space="0" w:color="3B5AA4"/>
            </w:tcBorders>
            <w:vAlign w:val="center"/>
          </w:tcPr>
          <w:p>
            <w:pPr>
              <w:pStyle w:val="TableContents"/>
              <w:bidi w:val="0"/>
              <w:spacing w:before="0" w:after="283"/>
              <w:jc w:val="left"/>
              <w:rPr/>
            </w:pPr>
            <w:r>
              <w:rPr>
                <w:b/>
                <w:color w:val="2864AF"/>
              </w:rPr>
              <w:t>How We Determine Amount</w:t>
            </w:r>
            <w:r>
              <w:rPr/>
              <w:t xml:space="preserve"> </w:t>
            </w:r>
          </w:p>
        </w:tc>
      </w:tr>
      <w:tr>
        <w:trPr/>
        <w:tc>
          <w:tcPr>
            <w:tcW w:w="270" w:type="dxa"/>
            <w:tcBorders>
              <w:bottom w:val="single" w:sz="12" w:space="0" w:color="3B5AA4"/>
            </w:tcBorders>
            <w:shd w:fill="CCCCCC" w:val="clear"/>
            <w:vAlign w:val="center"/>
          </w:tcPr>
          <w:p>
            <w:pPr>
              <w:pStyle w:val="TableContents"/>
              <w:bidi w:val="0"/>
              <w:spacing w:before="0" w:after="283"/>
              <w:jc w:val="center"/>
              <w:rPr/>
            </w:pPr>
            <w:r>
              <w:rPr/>
              <w:drawing>
                <wp:inline distT="0" distB="0" distL="0" distR="0">
                  <wp:extent cx="133350" cy="342900"/>
                  <wp:effectExtent l="0" t="0" r="0" b="0"/>
                  <wp:docPr id="285"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66" descr=""/>
                          <pic:cNvPicPr>
                            <a:picLocks noChangeAspect="1" noChangeArrowheads="1"/>
                          </pic:cNvPicPr>
                        </pic:nvPicPr>
                        <pic:blipFill>
                          <a:blip r:embed="rId278"/>
                          <a:stretch>
                            <a:fillRect/>
                          </a:stretch>
                        </pic:blipFill>
                        <pic:spPr bwMode="auto">
                          <a:xfrm>
                            <a:off x="0" y="0"/>
                            <a:ext cx="133350" cy="342900"/>
                          </a:xfrm>
                          <a:prstGeom prst="rect">
                            <a:avLst/>
                          </a:prstGeom>
                        </pic:spPr>
                      </pic:pic>
                    </a:graphicData>
                  </a:graphic>
                </wp:inline>
              </w:drawing>
            </w:r>
          </w:p>
        </w:tc>
        <w:tc>
          <w:tcPr>
            <w:tcW w:w="60" w:type="dxa"/>
            <w:tcBorders>
              <w:bottom w:val="single" w:sz="12" w:space="0" w:color="3B5AA4"/>
            </w:tcBorders>
            <w:vAlign w:val="center"/>
          </w:tcPr>
          <w:p>
            <w:pPr>
              <w:pStyle w:val="TableContents"/>
              <w:bidi w:val="0"/>
              <w:spacing w:before="0" w:after="283"/>
              <w:jc w:val="left"/>
              <w:rPr/>
            </w:pPr>
            <w:r>
              <w:rPr/>
              <w:t> </w:t>
            </w:r>
          </w:p>
        </w:tc>
        <w:tc>
          <w:tcPr>
            <w:tcW w:w="1733" w:type="dxa"/>
            <w:tcBorders>
              <w:bottom w:val="single" w:sz="12" w:space="0" w:color="3B5AA4"/>
            </w:tcBorders>
            <w:vAlign w:val="center"/>
          </w:tcPr>
          <w:p>
            <w:pPr>
              <w:pStyle w:val="TableContents"/>
              <w:bidi w:val="0"/>
              <w:spacing w:before="0" w:after="283"/>
              <w:jc w:val="left"/>
              <w:rPr>
                <w:b/>
                <w:color w:val="231F20"/>
              </w:rPr>
            </w:pPr>
            <w:r>
              <w:rPr>
                <w:b/>
                <w:color w:val="231F20"/>
              </w:rPr>
              <w:t>Base Salaries</w:t>
            </w:r>
          </w:p>
        </w:tc>
        <w:tc>
          <w:tcPr>
            <w:tcW w:w="60" w:type="dxa"/>
            <w:tcBorders>
              <w:bottom w:val="single" w:sz="12" w:space="0" w:color="3B5AA4"/>
            </w:tcBorders>
            <w:vAlign w:val="center"/>
          </w:tcPr>
          <w:p>
            <w:pPr>
              <w:pStyle w:val="TableContents"/>
              <w:bidi w:val="0"/>
              <w:spacing w:before="0" w:after="283"/>
              <w:jc w:val="left"/>
              <w:rPr/>
            </w:pPr>
            <w:r>
              <w:rPr/>
              <w:t> </w:t>
            </w:r>
          </w:p>
        </w:tc>
        <w:tc>
          <w:tcPr>
            <w:tcW w:w="1943" w:type="dxa"/>
            <w:tcBorders>
              <w:bottom w:val="single" w:sz="12" w:space="0" w:color="3B5AA4"/>
            </w:tcBorders>
            <w:vAlign w:val="center"/>
          </w:tcPr>
          <w:p>
            <w:pPr>
              <w:pStyle w:val="TableContents"/>
              <w:bidi w:val="0"/>
              <w:spacing w:before="0" w:after="283"/>
              <w:jc w:val="left"/>
              <w:rPr>
                <w:color w:val="231F20"/>
              </w:rPr>
            </w:pPr>
            <w:r>
              <w:rPr>
                <w:color w:val="231F20"/>
              </w:rPr>
              <w:t>Ongoing</w:t>
            </w:r>
          </w:p>
        </w:tc>
        <w:tc>
          <w:tcPr>
            <w:tcW w:w="60" w:type="dxa"/>
            <w:tcBorders>
              <w:bottom w:val="single" w:sz="12" w:space="0" w:color="3B5AA4"/>
            </w:tcBorders>
            <w:vAlign w:val="center"/>
          </w:tcPr>
          <w:p>
            <w:pPr>
              <w:pStyle w:val="TableContents"/>
              <w:bidi w:val="0"/>
              <w:spacing w:before="0" w:after="283"/>
              <w:jc w:val="left"/>
              <w:rPr/>
            </w:pPr>
            <w:r>
              <w:rPr/>
              <w:t> </w:t>
            </w:r>
          </w:p>
        </w:tc>
        <w:tc>
          <w:tcPr>
            <w:tcW w:w="2701" w:type="dxa"/>
            <w:tcBorders>
              <w:bottom w:val="single" w:sz="12" w:space="0" w:color="3B5AA4"/>
            </w:tcBorders>
            <w:vAlign w:val="center"/>
          </w:tcPr>
          <w:p>
            <w:pPr>
              <w:pStyle w:val="TableContents"/>
              <w:bidi w:val="0"/>
              <w:spacing w:before="0" w:after="283"/>
              <w:jc w:val="left"/>
              <w:rPr>
                <w:color w:val="231F20"/>
              </w:rPr>
            </w:pPr>
            <w:r>
              <w:rPr>
                <w:color w:val="231F20"/>
              </w:rPr>
              <w:t>Attract and retain top talent</w:t>
            </w:r>
          </w:p>
        </w:tc>
        <w:tc>
          <w:tcPr>
            <w:tcW w:w="60" w:type="dxa"/>
            <w:tcBorders>
              <w:bottom w:val="single" w:sz="12" w:space="0" w:color="3B5AA4"/>
            </w:tcBorders>
            <w:vAlign w:val="center"/>
          </w:tcPr>
          <w:p>
            <w:pPr>
              <w:pStyle w:val="TableContents"/>
              <w:bidi w:val="0"/>
              <w:spacing w:before="0" w:after="283"/>
              <w:jc w:val="left"/>
              <w:rPr/>
            </w:pPr>
            <w:r>
              <w:rPr/>
              <w:t> </w:t>
            </w:r>
          </w:p>
        </w:tc>
        <w:tc>
          <w:tcPr>
            <w:tcW w:w="3318" w:type="dxa"/>
            <w:tcBorders>
              <w:bottom w:val="single" w:sz="12" w:space="0" w:color="3B5AA4"/>
            </w:tcBorders>
            <w:vAlign w:val="center"/>
          </w:tcPr>
          <w:p>
            <w:pPr>
              <w:pStyle w:val="TableContents"/>
              <w:bidi w:val="0"/>
              <w:spacing w:before="0" w:after="283"/>
              <w:jc w:val="left"/>
              <w:rPr/>
            </w:pPr>
            <w:r>
              <w:rPr>
                <w:color w:val="231F20"/>
              </w:rPr>
              <w:t>Scope of responsibilities, experience,</w:t>
            </w:r>
            <w:r>
              <w:rPr/>
              <w:t xml:space="preserve"> </w:t>
            </w:r>
            <w:r>
              <w:rPr>
                <w:color w:val="231F20"/>
              </w:rPr>
              <w:t>annual performance, significance of </w:t>
            </w:r>
            <w:r>
              <w:rPr/>
              <w:t xml:space="preserve"> </w:t>
            </w:r>
            <w:r>
              <w:rPr>
                <w:color w:val="231F20"/>
              </w:rPr>
              <w:t>the role, and market competitiveness</w:t>
            </w:r>
          </w:p>
        </w:tc>
      </w:tr>
      <w:tr>
        <w:trPr/>
        <w:tc>
          <w:tcPr>
            <w:tcW w:w="270" w:type="dxa"/>
            <w:vMerge w:val="restart"/>
            <w:tcBorders>
              <w:bottom w:val="single" w:sz="2" w:space="0" w:color="CCCCCC"/>
            </w:tcBorders>
            <w:shd w:fill="3B5AA4" w:val="clear"/>
            <w:vAlign w:val="center"/>
          </w:tcPr>
          <w:p>
            <w:pPr>
              <w:pStyle w:val="TableContents"/>
              <w:bidi w:val="0"/>
              <w:spacing w:before="0" w:after="283"/>
              <w:jc w:val="center"/>
              <w:rPr/>
            </w:pPr>
            <w:r>
              <w:rPr/>
              <w:drawing>
                <wp:inline distT="0" distB="0" distL="0" distR="0">
                  <wp:extent cx="123825" cy="552450"/>
                  <wp:effectExtent l="0" t="0" r="0" b="0"/>
                  <wp:docPr id="286"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67" descr=""/>
                          <pic:cNvPicPr>
                            <a:picLocks noChangeAspect="1" noChangeArrowheads="1"/>
                          </pic:cNvPicPr>
                        </pic:nvPicPr>
                        <pic:blipFill>
                          <a:blip r:embed="rId279"/>
                          <a:stretch>
                            <a:fillRect/>
                          </a:stretch>
                        </pic:blipFill>
                        <pic:spPr bwMode="auto">
                          <a:xfrm>
                            <a:off x="0" y="0"/>
                            <a:ext cx="123825" cy="552450"/>
                          </a:xfrm>
                          <a:prstGeom prst="rect">
                            <a:avLst/>
                          </a:prstGeom>
                        </pic:spPr>
                      </pic:pic>
                    </a:graphicData>
                  </a:graphic>
                </wp:inline>
              </w:drawing>
            </w: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733" w:type="dxa"/>
            <w:tcBorders>
              <w:bottom w:val="single" w:sz="2" w:space="0" w:color="CCCCCC"/>
            </w:tcBorders>
            <w:vAlign w:val="center"/>
          </w:tcPr>
          <w:p>
            <w:pPr>
              <w:pStyle w:val="TableContents"/>
              <w:bidi w:val="0"/>
              <w:spacing w:before="0" w:after="283"/>
              <w:jc w:val="left"/>
              <w:rPr/>
            </w:pPr>
            <w:r>
              <w:rPr>
                <w:b/>
                <w:color w:val="231F20"/>
              </w:rPr>
              <w:t>Cash Incentives</w:t>
            </w:r>
            <w:r>
              <w:rPr/>
              <w:t xml:space="preserve"> </w:t>
            </w:r>
            <w:r>
              <w:rPr>
                <w:color w:val="231F20"/>
              </w:rPr>
              <w:t>(Current NEOs)</w:t>
            </w:r>
          </w:p>
        </w:tc>
        <w:tc>
          <w:tcPr>
            <w:tcW w:w="60" w:type="dxa"/>
            <w:tcBorders>
              <w:bottom w:val="single" w:sz="2" w:space="0" w:color="CCCCCC"/>
            </w:tcBorders>
            <w:vAlign w:val="center"/>
          </w:tcPr>
          <w:p>
            <w:pPr>
              <w:pStyle w:val="TableContents"/>
              <w:bidi w:val="0"/>
              <w:spacing w:before="0" w:after="283"/>
              <w:jc w:val="left"/>
              <w:rPr/>
            </w:pPr>
            <w:r>
              <w:rPr/>
              <w:t> </w:t>
            </w:r>
          </w:p>
        </w:tc>
        <w:tc>
          <w:tcPr>
            <w:tcW w:w="1943" w:type="dxa"/>
            <w:tcBorders>
              <w:bottom w:val="single" w:sz="2" w:space="0" w:color="CCCCCC"/>
            </w:tcBorders>
            <w:vAlign w:val="center"/>
          </w:tcPr>
          <w:p>
            <w:pPr>
              <w:pStyle w:val="TableContents"/>
              <w:bidi w:val="0"/>
              <w:spacing w:before="0" w:after="283"/>
              <w:jc w:val="left"/>
              <w:rPr>
                <w:color w:val="231F20"/>
              </w:rPr>
            </w:pPr>
            <w:r>
              <w:rPr>
                <w:color w:val="231F20"/>
              </w:rPr>
              <w:t>Annual</w:t>
            </w:r>
          </w:p>
        </w:tc>
        <w:tc>
          <w:tcPr>
            <w:tcW w:w="60" w:type="dxa"/>
            <w:tcBorders>
              <w:bottom w:val="single" w:sz="2" w:space="0" w:color="CCCCCC"/>
            </w:tcBorders>
            <w:vAlign w:val="center"/>
          </w:tcPr>
          <w:p>
            <w:pPr>
              <w:pStyle w:val="TableContents"/>
              <w:bidi w:val="0"/>
              <w:spacing w:before="0" w:after="283"/>
              <w:jc w:val="left"/>
              <w:rPr/>
            </w:pPr>
            <w:r>
              <w:rPr/>
              <w:t> </w:t>
            </w:r>
          </w:p>
        </w:tc>
        <w:tc>
          <w:tcPr>
            <w:tcW w:w="2701" w:type="dxa"/>
            <w:tcBorders>
              <w:bottom w:val="single" w:sz="2" w:space="0" w:color="CCCCCC"/>
            </w:tcBorders>
            <w:vAlign w:val="center"/>
          </w:tcPr>
          <w:p>
            <w:pPr>
              <w:pStyle w:val="TableContents"/>
              <w:bidi w:val="0"/>
              <w:spacing w:before="0" w:after="283"/>
              <w:jc w:val="left"/>
              <w:rPr/>
            </w:pPr>
            <w:r>
              <w:rPr>
                <w:color w:val="231F20"/>
              </w:rPr>
              <w:t>Motivate and reward our executives</w:t>
            </w:r>
            <w:r>
              <w:rPr/>
              <w:t xml:space="preserve"> </w:t>
            </w:r>
            <w:r>
              <w:rPr>
                <w:color w:val="231F20"/>
              </w:rPr>
              <w:t>for short-term achievements and</w:t>
            </w:r>
            <w:r>
              <w:rPr/>
              <w:t xml:space="preserve"> </w:t>
            </w:r>
            <w:r>
              <w:rPr>
                <w:color w:val="231F20"/>
              </w:rPr>
              <w:t>milestones towards long-term</w:t>
            </w:r>
            <w:r>
              <w:rPr/>
              <w:t xml:space="preserve"> </w:t>
            </w:r>
            <w:r>
              <w:rPr>
                <w:color w:val="231F20"/>
              </w:rPr>
              <w:t>achievements</w:t>
            </w:r>
          </w:p>
        </w:tc>
        <w:tc>
          <w:tcPr>
            <w:tcW w:w="60" w:type="dxa"/>
            <w:tcBorders>
              <w:bottom w:val="single" w:sz="2" w:space="0" w:color="CCCCCC"/>
            </w:tcBorders>
            <w:vAlign w:val="center"/>
          </w:tcPr>
          <w:p>
            <w:pPr>
              <w:pStyle w:val="TableContents"/>
              <w:bidi w:val="0"/>
              <w:spacing w:before="0" w:after="283"/>
              <w:jc w:val="left"/>
              <w:rPr/>
            </w:pPr>
            <w:r>
              <w:rPr/>
              <w:t> </w:t>
            </w:r>
          </w:p>
        </w:tc>
        <w:tc>
          <w:tcPr>
            <w:tcW w:w="3318" w:type="dxa"/>
            <w:tcBorders>
              <w:bottom w:val="single" w:sz="2" w:space="0" w:color="CCCCCC"/>
            </w:tcBorders>
            <w:vAlign w:val="center"/>
          </w:tcPr>
          <w:p>
            <w:pPr>
              <w:pStyle w:val="TableContents"/>
              <w:bidi w:val="0"/>
              <w:spacing w:before="0" w:after="283"/>
              <w:jc w:val="left"/>
              <w:rPr/>
            </w:pPr>
            <w:r>
              <w:rPr>
                <w:color w:val="231F20"/>
              </w:rPr>
              <w:t>Corporate performance (CEO and</w:t>
            </w:r>
            <w:r>
              <w:rPr/>
              <w:t>  </w:t>
            </w:r>
            <w:r>
              <w:rPr>
                <w:color w:val="231F20"/>
              </w:rPr>
              <w:t>CSO); corporate performance and</w:t>
            </w:r>
            <w:r>
              <w:rPr/>
              <w:t>  </w:t>
            </w:r>
            <w:r>
              <w:rPr>
                <w:color w:val="231F20"/>
              </w:rPr>
              <w:t>individual contributions to such</w:t>
            </w:r>
            <w:r>
              <w:rPr/>
              <w:t xml:space="preserve"> </w:t>
            </w:r>
            <w:r>
              <w:rPr>
                <w:color w:val="231F20"/>
              </w:rPr>
              <w:t>performance (other current NEOs)</w:t>
            </w:r>
          </w:p>
        </w:tc>
      </w:tr>
      <w:tr>
        <w:trPr/>
        <w:tc>
          <w:tcPr>
            <w:tcW w:w="270" w:type="dxa"/>
            <w:vMerge w:val="continue"/>
            <w:tcBorders>
              <w:bottom w:val="single" w:sz="2" w:space="0" w:color="CCCCCC"/>
            </w:tcBorders>
            <w:shd w:fill="3B5AA4" w:val="clear"/>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pPr>
            <w:r>
              <w:rPr/>
              <w:t> </w:t>
            </w:r>
          </w:p>
        </w:tc>
        <w:tc>
          <w:tcPr>
            <w:tcW w:w="1733" w:type="dxa"/>
            <w:tcBorders>
              <w:bottom w:val="single" w:sz="2" w:space="0" w:color="CCCCCC"/>
            </w:tcBorders>
            <w:vAlign w:val="center"/>
          </w:tcPr>
          <w:p>
            <w:pPr>
              <w:pStyle w:val="TableContents"/>
              <w:bidi w:val="0"/>
              <w:spacing w:before="0" w:after="283"/>
              <w:jc w:val="left"/>
              <w:rPr/>
            </w:pPr>
            <w:r>
              <w:rPr>
                <w:b/>
                <w:color w:val="231F20"/>
              </w:rPr>
              <w:t>Stock Options</w:t>
            </w:r>
            <w:r>
              <w:rPr/>
              <w:t xml:space="preserve"> </w:t>
            </w:r>
            <w:r>
              <w:rPr>
                <w:color w:val="231F20"/>
              </w:rPr>
              <w:t>(Current NEOs</w:t>
            </w:r>
            <w:r>
              <w:rPr/>
              <w:t xml:space="preserve"> </w:t>
            </w:r>
            <w:r>
              <w:rPr>
                <w:color w:val="231F20"/>
              </w:rPr>
              <w:t>other than CEO</w:t>
            </w:r>
            <w:r>
              <w:rPr/>
              <w:t xml:space="preserve"> </w:t>
            </w:r>
            <w:r>
              <w:rPr>
                <w:color w:val="231F20"/>
              </w:rPr>
              <w:t>and CSO*)</w:t>
            </w:r>
          </w:p>
        </w:tc>
        <w:tc>
          <w:tcPr>
            <w:tcW w:w="60" w:type="dxa"/>
            <w:tcBorders>
              <w:bottom w:val="single" w:sz="2" w:space="0" w:color="CCCCCC"/>
            </w:tcBorders>
            <w:vAlign w:val="center"/>
          </w:tcPr>
          <w:p>
            <w:pPr>
              <w:pStyle w:val="TableContents"/>
              <w:bidi w:val="0"/>
              <w:spacing w:before="0" w:after="283"/>
              <w:jc w:val="left"/>
              <w:rPr/>
            </w:pPr>
            <w:r>
              <w:rPr/>
              <w:t> </w:t>
            </w:r>
          </w:p>
        </w:tc>
        <w:tc>
          <w:tcPr>
            <w:tcW w:w="1943" w:type="dxa"/>
            <w:tcBorders>
              <w:bottom w:val="single" w:sz="2" w:space="0" w:color="CCCCCC"/>
            </w:tcBorders>
            <w:vAlign w:val="center"/>
          </w:tcPr>
          <w:p>
            <w:pPr>
              <w:pStyle w:val="TableContents"/>
              <w:bidi w:val="0"/>
              <w:spacing w:before="0" w:after="283"/>
              <w:jc w:val="left"/>
              <w:rPr/>
            </w:pPr>
            <w:r>
              <w:rPr>
                <w:color w:val="231F20"/>
              </w:rPr>
              <w:t>Four-year vesting</w:t>
            </w:r>
            <w:r>
              <w:rPr/>
              <w:t xml:space="preserve"> </w:t>
            </w:r>
            <w:r>
              <w:rPr>
                <w:color w:val="231F20"/>
              </w:rPr>
              <w:t>schedule (25% per year);</w:t>
            </w:r>
            <w:r>
              <w:rPr/>
              <w:t xml:space="preserve"> </w:t>
            </w:r>
            <w:r>
              <w:rPr>
                <w:color w:val="231F20"/>
              </w:rPr>
              <w:t>10-year term</w:t>
            </w:r>
          </w:p>
        </w:tc>
        <w:tc>
          <w:tcPr>
            <w:tcW w:w="60" w:type="dxa"/>
            <w:tcBorders>
              <w:bottom w:val="single" w:sz="2" w:space="0" w:color="CCCCCC"/>
            </w:tcBorders>
            <w:vAlign w:val="center"/>
          </w:tcPr>
          <w:p>
            <w:pPr>
              <w:pStyle w:val="TableContents"/>
              <w:bidi w:val="0"/>
              <w:spacing w:before="0" w:after="283"/>
              <w:jc w:val="left"/>
              <w:rPr/>
            </w:pPr>
            <w:r>
              <w:rPr/>
              <w:t> </w:t>
            </w:r>
          </w:p>
        </w:tc>
        <w:tc>
          <w:tcPr>
            <w:tcW w:w="2701" w:type="dxa"/>
            <w:tcBorders>
              <w:bottom w:val="single" w:sz="2" w:space="0" w:color="CCCCCC"/>
            </w:tcBorders>
            <w:vAlign w:val="center"/>
          </w:tcPr>
          <w:p>
            <w:pPr>
              <w:pStyle w:val="TableContents"/>
              <w:bidi w:val="0"/>
              <w:spacing w:before="0" w:after="283"/>
              <w:jc w:val="left"/>
              <w:rPr/>
            </w:pPr>
            <w:r>
              <w:rPr>
                <w:color w:val="231F20"/>
              </w:rPr>
              <w:t>Motivate and reward our executives</w:t>
            </w:r>
            <w:r>
              <w:rPr/>
              <w:t xml:space="preserve"> </w:t>
            </w:r>
            <w:r>
              <w:rPr>
                <w:color w:val="231F20"/>
              </w:rPr>
              <w:t>for long-term achievements and</w:t>
            </w:r>
            <w:r>
              <w:rPr/>
              <w:t xml:space="preserve"> </w:t>
            </w:r>
            <w:r>
              <w:rPr>
                <w:color w:val="231F20"/>
              </w:rPr>
              <w:t>shareholder value creation</w:t>
            </w:r>
          </w:p>
        </w:tc>
        <w:tc>
          <w:tcPr>
            <w:tcW w:w="60" w:type="dxa"/>
            <w:tcBorders/>
            <w:tcMar>
              <w:bottom w:w="0" w:type="dxa"/>
            </w:tcMar>
            <w:vAlign w:val="center"/>
          </w:tcPr>
          <w:p>
            <w:pPr>
              <w:pStyle w:val="TableContents"/>
              <w:bidi w:val="0"/>
              <w:spacing w:before="0" w:after="283"/>
              <w:jc w:val="left"/>
              <w:rPr/>
            </w:pPr>
            <w:r>
              <w:rPr/>
              <w:t> </w:t>
            </w:r>
          </w:p>
        </w:tc>
        <w:tc>
          <w:tcPr>
            <w:tcW w:w="3318" w:type="dxa"/>
            <w:vMerge w:val="restart"/>
            <w:tcBorders>
              <w:bottom w:val="single" w:sz="2" w:space="0" w:color="CCCCCC"/>
            </w:tcBorders>
            <w:vAlign w:val="center"/>
          </w:tcPr>
          <w:p>
            <w:pPr>
              <w:pStyle w:val="TableContents"/>
              <w:bidi w:val="0"/>
              <w:spacing w:before="0" w:after="283"/>
              <w:jc w:val="left"/>
              <w:rPr/>
            </w:pPr>
            <w:r>
              <w:rPr>
                <w:color w:val="231F20"/>
              </w:rPr>
              <w:t>Past and expected future individual</w:t>
            </w:r>
            <w:r>
              <w:rPr/>
              <w:t xml:space="preserve"> </w:t>
            </w:r>
            <w:r>
              <w:rPr>
                <w:color w:val="231F20"/>
              </w:rPr>
              <w:t>contributions to corporate</w:t>
            </w:r>
            <w:r>
              <w:rPr/>
              <w:t xml:space="preserve"> </w:t>
            </w:r>
            <w:r>
              <w:rPr>
                <w:color w:val="231F20"/>
              </w:rPr>
              <w:t>performance, retention considerations, market data, and historical grant amounts</w:t>
            </w:r>
          </w:p>
        </w:tc>
      </w:tr>
      <w:tr>
        <w:trPr/>
        <w:tc>
          <w:tcPr>
            <w:tcW w:w="270" w:type="dxa"/>
            <w:vMerge w:val="continue"/>
            <w:tcBorders>
              <w:bottom w:val="single" w:sz="2" w:space="0" w:color="CCCCCC"/>
            </w:tcBorders>
            <w:shd w:fill="3B5AA4" w:val="clear"/>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pPr>
            <w:r>
              <w:rPr/>
              <w:t> </w:t>
            </w:r>
          </w:p>
        </w:tc>
        <w:tc>
          <w:tcPr>
            <w:tcW w:w="1733" w:type="dxa"/>
            <w:tcBorders>
              <w:bottom w:val="single" w:sz="2" w:space="0" w:color="CCCCCC"/>
            </w:tcBorders>
            <w:vAlign w:val="center"/>
          </w:tcPr>
          <w:p>
            <w:pPr>
              <w:pStyle w:val="TableContents"/>
              <w:bidi w:val="0"/>
              <w:spacing w:before="0" w:after="283"/>
              <w:jc w:val="left"/>
              <w:rPr/>
            </w:pPr>
            <w:r>
              <w:rPr>
                <w:b/>
                <w:color w:val="231F20"/>
              </w:rPr>
              <w:t xml:space="preserve">RSAs </w:t>
            </w:r>
            <w:r>
              <w:rPr>
                <w:color w:val="231F20"/>
              </w:rPr>
              <w:t>(Current</w:t>
            </w:r>
            <w:r>
              <w:rPr/>
              <w:t xml:space="preserve"> </w:t>
            </w:r>
            <w:r>
              <w:rPr>
                <w:color w:val="231F20"/>
              </w:rPr>
              <w:t>NEOs other than</w:t>
            </w:r>
            <w:r>
              <w:rPr/>
              <w:t xml:space="preserve"> </w:t>
            </w:r>
            <w:r>
              <w:rPr>
                <w:color w:val="231F20"/>
              </w:rPr>
              <w:t>CEO and CSO*)</w:t>
            </w:r>
          </w:p>
        </w:tc>
        <w:tc>
          <w:tcPr>
            <w:tcW w:w="60" w:type="dxa"/>
            <w:tcBorders>
              <w:bottom w:val="single" w:sz="2" w:space="0" w:color="CCCCCC"/>
            </w:tcBorders>
            <w:vAlign w:val="center"/>
          </w:tcPr>
          <w:p>
            <w:pPr>
              <w:pStyle w:val="TableContents"/>
              <w:bidi w:val="0"/>
              <w:spacing w:before="0" w:after="283"/>
              <w:jc w:val="left"/>
              <w:rPr/>
            </w:pPr>
            <w:r>
              <w:rPr/>
              <w:t> </w:t>
            </w:r>
          </w:p>
        </w:tc>
        <w:tc>
          <w:tcPr>
            <w:tcW w:w="1943" w:type="dxa"/>
            <w:tcBorders>
              <w:bottom w:val="single" w:sz="2" w:space="0" w:color="CCCCCC"/>
            </w:tcBorders>
            <w:vAlign w:val="center"/>
          </w:tcPr>
          <w:p>
            <w:pPr>
              <w:pStyle w:val="TableContents"/>
              <w:bidi w:val="0"/>
              <w:spacing w:before="0" w:after="283"/>
              <w:jc w:val="left"/>
              <w:rPr/>
            </w:pPr>
            <w:r>
              <w:rPr>
                <w:color w:val="231F20"/>
              </w:rPr>
              <w:t>Four-year vesting</w:t>
            </w:r>
            <w:r>
              <w:rPr/>
              <w:t xml:space="preserve"> </w:t>
            </w:r>
            <w:r>
              <w:rPr>
                <w:color w:val="231F20"/>
              </w:rPr>
              <w:t>schedule (50% every</w:t>
            </w:r>
            <w:r>
              <w:rPr/>
              <w:t xml:space="preserve"> </w:t>
            </w:r>
            <w:r>
              <w:rPr>
                <w:color w:val="231F20"/>
              </w:rPr>
              <w:t>two years)</w:t>
            </w:r>
          </w:p>
        </w:tc>
        <w:tc>
          <w:tcPr>
            <w:tcW w:w="60" w:type="dxa"/>
            <w:tcBorders>
              <w:bottom w:val="single" w:sz="2" w:space="0" w:color="CCCCCC"/>
            </w:tcBorders>
            <w:vAlign w:val="center"/>
          </w:tcPr>
          <w:p>
            <w:pPr>
              <w:pStyle w:val="TableContents"/>
              <w:bidi w:val="0"/>
              <w:spacing w:before="0" w:after="283"/>
              <w:jc w:val="left"/>
              <w:rPr/>
            </w:pPr>
            <w:r>
              <w:rPr/>
              <w:t> </w:t>
            </w:r>
          </w:p>
        </w:tc>
        <w:tc>
          <w:tcPr>
            <w:tcW w:w="2701" w:type="dxa"/>
            <w:tcBorders>
              <w:bottom w:val="single" w:sz="2" w:space="0" w:color="CCCCCC"/>
            </w:tcBorders>
            <w:vAlign w:val="center"/>
          </w:tcPr>
          <w:p>
            <w:pPr>
              <w:pStyle w:val="TableContents"/>
              <w:bidi w:val="0"/>
              <w:spacing w:before="0" w:after="283"/>
              <w:jc w:val="left"/>
              <w:rPr/>
            </w:pPr>
            <w:r>
              <w:rPr>
                <w:color w:val="231F20"/>
              </w:rPr>
              <w:t>Reinforce long-term focus, reward</w:t>
            </w:r>
            <w:r>
              <w:rPr/>
              <w:t xml:space="preserve"> </w:t>
            </w:r>
            <w:r>
              <w:rPr>
                <w:color w:val="231F20"/>
              </w:rPr>
              <w:t>high performance, and promote</w:t>
            </w:r>
            <w:r>
              <w:rPr/>
              <w:t xml:space="preserve"> </w:t>
            </w:r>
            <w:r>
              <w:rPr>
                <w:color w:val="231F20"/>
              </w:rPr>
              <w:t>long-term retention</w:t>
            </w:r>
          </w:p>
        </w:tc>
        <w:tc>
          <w:tcPr>
            <w:tcW w:w="60" w:type="dxa"/>
            <w:tcBorders>
              <w:bottom w:val="single" w:sz="2" w:space="0" w:color="CCCCCC"/>
            </w:tcBorders>
            <w:vAlign w:val="center"/>
          </w:tcPr>
          <w:p>
            <w:pPr>
              <w:pStyle w:val="TableContents"/>
              <w:bidi w:val="0"/>
              <w:spacing w:before="0" w:after="283"/>
              <w:jc w:val="left"/>
              <w:rPr/>
            </w:pPr>
            <w:r>
              <w:rPr/>
              <w:t> </w:t>
            </w:r>
          </w:p>
        </w:tc>
        <w:tc>
          <w:tcPr>
            <w:tcW w:w="3318" w:type="dxa"/>
            <w:vMerge w:val="continue"/>
            <w:tcBorders>
              <w:bottom w:val="single" w:sz="2" w:space="0" w:color="CCCCCC"/>
            </w:tcBorders>
            <w:vAlign w:val="center"/>
          </w:tcPr>
          <w:p>
            <w:pPr>
              <w:pStyle w:val="Normal"/>
              <w:bidi w:val="0"/>
              <w:jc w:val="left"/>
              <w:rPr/>
            </w:pPr>
            <w:r>
              <w:rPr/>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231F20"/>
              </w:rPr>
            </w:pPr>
            <w:r>
              <w:rPr>
                <w:color w:val="231F20"/>
              </w:rPr>
              <w:t>*</w:t>
            </w:r>
          </w:p>
        </w:tc>
        <w:tc>
          <w:tcPr>
            <w:tcW w:w="10050" w:type="dxa"/>
            <w:tcBorders/>
            <w:vAlign w:val="center"/>
          </w:tcPr>
          <w:p>
            <w:pPr>
              <w:pStyle w:val="TableContents"/>
              <w:bidi w:val="0"/>
              <w:spacing w:before="0" w:after="283"/>
              <w:jc w:val="left"/>
              <w:rPr>
                <w:color w:val="231F20"/>
              </w:rPr>
            </w:pPr>
            <w:r>
              <w:rPr>
                <w:color w:val="231F20"/>
              </w:rPr>
              <w:t xml:space="preserve">Drs. Schleifer and Yancopoulos did not receive any equity awards in 2024 in light of their five-year, front-loaded PSU awards granted in 2020. See “Update on 2020 PSU Awards” below for more information.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executive compensation structure emphasizes at-risk, performance-based pay, with increased performance accountability as responsibility increases. In the case of our CEO and CSO, all of their direct pay, except for base salaries, depends on performance and is “at-risk.”</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470" w:type="dxa"/>
        <w:jc w:val="left"/>
        <w:tblInd w:w="0" w:type="dxa"/>
        <w:tblLayout w:type="fixed"/>
        <w:tblCellMar>
          <w:top w:w="0" w:type="dxa"/>
          <w:left w:w="0" w:type="dxa"/>
          <w:bottom w:w="0" w:type="dxa"/>
          <w:right w:w="0" w:type="dxa"/>
        </w:tblCellMar>
      </w:tblPr>
      <w:tblGrid>
        <w:gridCol w:w="4950"/>
        <w:gridCol w:w="180"/>
        <w:gridCol w:w="5340"/>
      </w:tblGrid>
      <w:tr>
        <w:trPr/>
        <w:tc>
          <w:tcPr>
            <w:tcW w:w="4950" w:type="dxa"/>
            <w:tcBorders/>
            <w:vAlign w:val="center"/>
          </w:tcPr>
          <w:p>
            <w:pPr>
              <w:pStyle w:val="TableContents"/>
              <w:bidi w:val="0"/>
              <w:spacing w:before="0" w:after="283"/>
              <w:jc w:val="center"/>
              <w:rPr>
                <w:b/>
                <w:color w:val="3B5AA4"/>
              </w:rPr>
            </w:pPr>
            <w:r>
              <w:rPr>
                <w:b/>
                <w:color w:val="3B5AA4"/>
              </w:rPr>
              <w:t>Regeneron CEO Pay Mix*</w:t>
            </w:r>
          </w:p>
        </w:tc>
        <w:tc>
          <w:tcPr>
            <w:tcW w:w="180" w:type="dxa"/>
            <w:tcBorders/>
            <w:vAlign w:val="center"/>
          </w:tcPr>
          <w:p>
            <w:pPr>
              <w:pStyle w:val="TableContents"/>
              <w:bidi w:val="0"/>
              <w:spacing w:before="0" w:after="283"/>
              <w:jc w:val="left"/>
              <w:rPr/>
            </w:pPr>
            <w:r>
              <w:rPr/>
              <w:t>   </w:t>
            </w:r>
          </w:p>
        </w:tc>
        <w:tc>
          <w:tcPr>
            <w:tcW w:w="5340" w:type="dxa"/>
            <w:tcBorders/>
            <w:vAlign w:val="center"/>
          </w:tcPr>
          <w:p>
            <w:pPr>
              <w:pStyle w:val="TableContents"/>
              <w:bidi w:val="0"/>
              <w:spacing w:before="0" w:after="283"/>
              <w:jc w:val="center"/>
              <w:rPr>
                <w:b/>
                <w:color w:val="3B5AA4"/>
              </w:rPr>
            </w:pPr>
            <w:r>
              <w:rPr>
                <w:b/>
                <w:color w:val="3B5AA4"/>
              </w:rPr>
              <w:t>Peer Group Average CEO Pay Mix*</w:t>
            </w:r>
          </w:p>
        </w:tc>
      </w:tr>
      <w:tr>
        <w:trPr/>
        <w:tc>
          <w:tcPr>
            <w:tcW w:w="4950" w:type="dxa"/>
            <w:tcBorders/>
            <w:vAlign w:val="center"/>
          </w:tcPr>
          <w:p>
            <w:pPr>
              <w:pStyle w:val="TableContents"/>
              <w:bidi w:val="0"/>
              <w:spacing w:before="0" w:after="283"/>
              <w:jc w:val="center"/>
              <w:rPr/>
            </w:pPr>
            <w:r>
              <w:rPr/>
              <w:drawing>
                <wp:inline distT="0" distB="0" distL="0" distR="0">
                  <wp:extent cx="3133725" cy="2639695"/>
                  <wp:effectExtent l="0" t="0" r="0" b="0"/>
                  <wp:docPr id="287"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68" descr=""/>
                          <pic:cNvPicPr>
                            <a:picLocks noChangeAspect="1" noChangeArrowheads="1"/>
                          </pic:cNvPicPr>
                        </pic:nvPicPr>
                        <pic:blipFill>
                          <a:blip r:embed="rId280"/>
                          <a:stretch>
                            <a:fillRect/>
                          </a:stretch>
                        </pic:blipFill>
                        <pic:spPr bwMode="auto">
                          <a:xfrm>
                            <a:off x="0" y="0"/>
                            <a:ext cx="3133725" cy="2639695"/>
                          </a:xfrm>
                          <a:prstGeom prst="rect">
                            <a:avLst/>
                          </a:prstGeom>
                        </pic:spPr>
                      </pic:pic>
                    </a:graphicData>
                  </a:graphic>
                </wp:inline>
              </w:drawing>
            </w:r>
          </w:p>
        </w:tc>
        <w:tc>
          <w:tcPr>
            <w:tcW w:w="180" w:type="dxa"/>
            <w:tcBorders/>
            <w:vAlign w:val="center"/>
          </w:tcPr>
          <w:p>
            <w:pPr>
              <w:pStyle w:val="TableContents"/>
              <w:bidi w:val="0"/>
              <w:spacing w:before="0" w:after="283"/>
              <w:jc w:val="left"/>
              <w:rPr/>
            </w:pPr>
            <w:r>
              <w:rPr/>
              <w:t> </w:t>
            </w:r>
          </w:p>
        </w:tc>
        <w:tc>
          <w:tcPr>
            <w:tcW w:w="5340" w:type="dxa"/>
            <w:tcBorders/>
            <w:vAlign w:val="center"/>
          </w:tcPr>
          <w:p>
            <w:pPr>
              <w:pStyle w:val="TableContents"/>
              <w:bidi w:val="0"/>
              <w:spacing w:before="0" w:after="283"/>
              <w:jc w:val="center"/>
              <w:rPr/>
            </w:pPr>
            <w:r>
              <w:rPr/>
              <w:drawing>
                <wp:inline distT="0" distB="0" distL="0" distR="0">
                  <wp:extent cx="3381375" cy="2639695"/>
                  <wp:effectExtent l="0" t="0" r="0" b="0"/>
                  <wp:docPr id="288"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69" descr=""/>
                          <pic:cNvPicPr>
                            <a:picLocks noChangeAspect="1" noChangeArrowheads="1"/>
                          </pic:cNvPicPr>
                        </pic:nvPicPr>
                        <pic:blipFill>
                          <a:blip r:embed="rId281"/>
                          <a:stretch>
                            <a:fillRect/>
                          </a:stretch>
                        </pic:blipFill>
                        <pic:spPr bwMode="auto">
                          <a:xfrm>
                            <a:off x="0" y="0"/>
                            <a:ext cx="3381375" cy="2639695"/>
                          </a:xfrm>
                          <a:prstGeom prst="rect">
                            <a:avLst/>
                          </a:prstGeom>
                        </pic:spPr>
                      </pic:pic>
                    </a:graphicData>
                  </a:graphic>
                </wp:inline>
              </w:drawing>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231F20"/>
              </w:rPr>
            </w:pPr>
            <w:r>
              <w:rPr>
                <w:color w:val="231F20"/>
              </w:rPr>
              <w:t>*</w:t>
            </w:r>
          </w:p>
        </w:tc>
        <w:tc>
          <w:tcPr>
            <w:tcW w:w="10050" w:type="dxa"/>
            <w:tcBorders/>
            <w:vAlign w:val="center"/>
          </w:tcPr>
          <w:p>
            <w:pPr>
              <w:pStyle w:val="TableContents"/>
              <w:bidi w:val="0"/>
              <w:spacing w:before="0" w:after="283"/>
              <w:jc w:val="left"/>
              <w:rPr>
                <w:color w:val="231F20"/>
              </w:rPr>
            </w:pPr>
            <w:r>
              <w:rPr>
                <w:color w:val="231F20"/>
              </w:rPr>
              <w:t>“</w:t>
            </w:r>
            <w:r>
              <w:rPr>
                <w:color w:val="231F20"/>
              </w:rPr>
              <w:t>At-risk Equity” consists of stock options and any equity awards with performance-based vesting conditions (such as PSUs). For purposes of this chart, we annualized the five-year, front-loaded PSU award that was granted to our CEO in 2020. “Other Equity” consists of all other equity awards, such as time-based RSAs and RSUs. “At-risk Equity” and “Other Equity” reflect the grant date fair value of such equity awards. “STIP” consists of bonus and/or other applicable compensation provided under short-term, non-equity incentive plans. “At-risk” compensation consists of STIP and At-risk Equity. Total compensation amounts reflect direct compensation (total reported compensation, other than amounts reported as “All other compensation” and (if applicable) amounts reported under “Change in pension value and nonqualified deferred compensation earnings”). “Peer Group Average CEO Pay Mix” is based on the median for each compensation component using data reported for 2023.</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289"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70" descr=""/>
                          <pic:cNvPicPr>
                            <a:picLocks noChangeAspect="1" noChangeArrowheads="1"/>
                          </pic:cNvPicPr>
                        </pic:nvPicPr>
                        <pic:blipFill>
                          <a:blip r:embed="rId282"/>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81" w:name="regn013211-def14aa057"/>
      <w:bookmarkStart w:id="82" w:name="lregnb009"/>
      <w:bookmarkEnd w:id="81"/>
      <w:bookmarkEnd w:id="82"/>
      <w:r>
        <w:rPr>
          <w:rFonts w:ascii="Arial;Helvetica;Sans-Serif" w:hAnsi="Arial;Helvetica;Sans-Serif"/>
          <w:b/>
          <w:i w:val="false"/>
          <w:caps w:val="false"/>
          <w:smallCaps w:val="false"/>
          <w:color w:val="C60C45"/>
          <w:sz w:val="28"/>
        </w:rPr>
        <w:t>Key Governance Features</w:t>
      </w:r>
    </w:p>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Compensation Committee oversees the executive compensation program with the support of an independent compensation consultant and management. Our compensation program demonstrates strong governance, minimizing inappropriate risk-taking behavior while protecting shareholder rights and interests. The following is a summary of Regeneron’s key executive compensation best practices and policies.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firstLine="6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What We Do</w:t>
      </w:r>
    </w:p>
    <w:p>
      <w:pPr>
        <w:pStyle w:val="TextBody"/>
        <w:bidi w:val="0"/>
        <w:spacing w:before="0" w:after="0"/>
        <w:ind w:left="0" w:right="0" w:firstLine="60"/>
        <w:jc w:val="left"/>
        <w:rPr>
          <w:caps w:val="false"/>
          <w:smallCaps w:val="false"/>
          <w:color w:val="3B5AA4"/>
        </w:rPr>
      </w:pPr>
      <w:r>
        <w:rPr>
          <w:caps w:val="false"/>
          <w:smallCaps w:val="false"/>
          <w:color w:val="3B5AA4"/>
        </w:rPr>
        <w:t> </w:t>
      </w:r>
    </w:p>
    <w:p>
      <w:pPr>
        <w:pStyle w:val="TextBody"/>
        <w:pBdr>
          <w:top w:val="single" w:sz="12" w:space="1" w:color="3B5AA4"/>
        </w:pBdr>
        <w:bidi w:val="0"/>
        <w:spacing w:before="0" w:after="0"/>
        <w:ind w:left="0" w:right="0" w:hanging="0"/>
        <w:jc w:val="left"/>
        <w:rPr>
          <w:caps w:val="false"/>
          <w:smallCaps w:val="false"/>
          <w:color w:val="3B5AA4"/>
        </w:rPr>
      </w:pPr>
      <w:r>
        <w:rPr>
          <w:caps w:val="false"/>
          <w:smallCaps w:val="false"/>
          <w:color w:val="3B5AA4"/>
        </w:rPr>
        <w:t> </w:t>
      </w:r>
    </w:p>
    <w:tbl>
      <w:tblPr>
        <w:tblW w:w="10205" w:type="dxa"/>
        <w:jc w:val="left"/>
        <w:tblInd w:w="0" w:type="dxa"/>
        <w:tblLayout w:type="fixed"/>
        <w:tblCellMar>
          <w:top w:w="0" w:type="dxa"/>
          <w:left w:w="0" w:type="dxa"/>
          <w:bottom w:w="0" w:type="dxa"/>
          <w:right w:w="0" w:type="dxa"/>
        </w:tblCellMar>
      </w:tblPr>
      <w:tblGrid>
        <w:gridCol w:w="195"/>
        <w:gridCol w:w="3840"/>
        <w:gridCol w:w="180"/>
        <w:gridCol w:w="5990"/>
      </w:tblGrid>
      <w:tr>
        <w:trPr/>
        <w:tc>
          <w:tcPr>
            <w:tcW w:w="195" w:type="dxa"/>
            <w:tcBorders/>
            <w:vAlign w:val="center"/>
          </w:tcPr>
          <w:p>
            <w:pPr>
              <w:pStyle w:val="TableContents"/>
              <w:bidi w:val="0"/>
              <w:spacing w:before="0" w:after="283"/>
              <w:jc w:val="center"/>
              <w:rPr/>
            </w:pPr>
            <w:r>
              <w:rPr/>
              <w:drawing>
                <wp:inline distT="0" distB="0" distL="0" distR="0">
                  <wp:extent cx="114300" cy="76200"/>
                  <wp:effectExtent l="0" t="0" r="0" b="0"/>
                  <wp:docPr id="290"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71" descr=""/>
                          <pic:cNvPicPr>
                            <a:picLocks noChangeAspect="1" noChangeArrowheads="1"/>
                          </pic:cNvPicPr>
                        </pic:nvPicPr>
                        <pic:blipFill>
                          <a:blip r:embed="rId283"/>
                          <a:stretch>
                            <a:fillRect/>
                          </a:stretch>
                        </pic:blipFill>
                        <pic:spPr bwMode="auto">
                          <a:xfrm>
                            <a:off x="0" y="0"/>
                            <a:ext cx="114300" cy="76200"/>
                          </a:xfrm>
                          <a:prstGeom prst="rect">
                            <a:avLst/>
                          </a:prstGeom>
                        </pic:spPr>
                      </pic:pic>
                    </a:graphicData>
                  </a:graphic>
                </wp:inline>
              </w:drawing>
            </w:r>
          </w:p>
        </w:tc>
        <w:tc>
          <w:tcPr>
            <w:tcW w:w="3840" w:type="dxa"/>
            <w:tcBorders/>
            <w:vAlign w:val="center"/>
          </w:tcPr>
          <w:p>
            <w:pPr>
              <w:pStyle w:val="TableContents"/>
              <w:bidi w:val="0"/>
              <w:spacing w:before="0" w:after="283"/>
              <w:jc w:val="left"/>
              <w:rPr>
                <w:b/>
                <w:color w:val="3B5AA4"/>
              </w:rPr>
            </w:pPr>
            <w:r>
              <w:rPr>
                <w:b/>
                <w:color w:val="3B5AA4"/>
              </w:rPr>
              <w:t>Align pay with performance</w:t>
            </w:r>
          </w:p>
        </w:tc>
        <w:tc>
          <w:tcPr>
            <w:tcW w:w="180" w:type="dxa"/>
            <w:tcBorders/>
            <w:vAlign w:val="center"/>
          </w:tcPr>
          <w:p>
            <w:pPr>
              <w:pStyle w:val="TableContents"/>
              <w:bidi w:val="0"/>
              <w:spacing w:before="0" w:after="283"/>
              <w:jc w:val="center"/>
              <w:rPr/>
            </w:pPr>
            <w:r>
              <w:rPr/>
              <w:drawing>
                <wp:inline distT="0" distB="0" distL="0" distR="0">
                  <wp:extent cx="114300" cy="76200"/>
                  <wp:effectExtent l="0" t="0" r="0" b="0"/>
                  <wp:docPr id="291"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72" descr=""/>
                          <pic:cNvPicPr>
                            <a:picLocks noChangeAspect="1" noChangeArrowheads="1"/>
                          </pic:cNvPicPr>
                        </pic:nvPicPr>
                        <pic:blipFill>
                          <a:blip r:embed="rId284"/>
                          <a:stretch>
                            <a:fillRect/>
                          </a:stretch>
                        </pic:blipFill>
                        <pic:spPr bwMode="auto">
                          <a:xfrm>
                            <a:off x="0" y="0"/>
                            <a:ext cx="114300" cy="76200"/>
                          </a:xfrm>
                          <a:prstGeom prst="rect">
                            <a:avLst/>
                          </a:prstGeom>
                        </pic:spPr>
                      </pic:pic>
                    </a:graphicData>
                  </a:graphic>
                </wp:inline>
              </w:drawing>
            </w:r>
          </w:p>
        </w:tc>
        <w:tc>
          <w:tcPr>
            <w:tcW w:w="5990" w:type="dxa"/>
            <w:vMerge w:val="restart"/>
            <w:tcBorders/>
            <w:vAlign w:val="center"/>
          </w:tcPr>
          <w:p>
            <w:pPr>
              <w:pStyle w:val="TableContents"/>
              <w:bidi w:val="0"/>
              <w:spacing w:before="0" w:after="283"/>
              <w:jc w:val="left"/>
              <w:rPr/>
            </w:pPr>
            <w:r>
              <w:rPr>
                <w:b/>
                <w:color w:val="3B5AA4"/>
              </w:rPr>
              <w:t>Align our compensation philosophy and program</w:t>
            </w:r>
            <w:r>
              <w:rPr/>
              <w:t xml:space="preserve"> </w:t>
            </w:r>
            <w:r>
              <w:rPr>
                <w:b/>
                <w:color w:val="3B5AA4"/>
              </w:rPr>
              <w:t>design with our culture and business strategy</w:t>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center"/>
              <w:rPr/>
            </w:pPr>
            <w:r>
              <w:rPr/>
              <w:t> </w:t>
            </w:r>
          </w:p>
        </w:tc>
        <w:tc>
          <w:tcPr>
            <w:tcW w:w="5990" w:type="dxa"/>
            <w:vMerge w:val="continue"/>
            <w:tcBorders/>
            <w:vAlign w:val="center"/>
          </w:tcPr>
          <w:p>
            <w:pPr>
              <w:pStyle w:val="Normal"/>
              <w:bidi w:val="0"/>
              <w:jc w:val="left"/>
              <w:rPr/>
            </w:pPr>
            <w:r>
              <w:rPr/>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pPr>
            <w:r>
              <w:rPr>
                <w:color w:val="231F20"/>
              </w:rPr>
              <w:t>All CEO and CSO direct pay is performance-based</w:t>
            </w:r>
            <w:r>
              <w:rPr/>
              <w:t xml:space="preserve"> </w:t>
            </w:r>
            <w:r>
              <w:rPr>
                <w:color w:val="231F20"/>
              </w:rPr>
              <w:t>and “at-risk” (except for base salaries)</w:t>
            </w:r>
          </w:p>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pPr>
            <w:r>
              <w:rPr>
                <w:color w:val="231F20"/>
              </w:rPr>
              <w:t>94% of CEO direct pay was “at-risk” in 2024 (see</w:t>
            </w:r>
            <w:r>
              <w:rPr/>
              <w:t xml:space="preserve"> </w:t>
            </w:r>
            <w:r>
              <w:rPr>
                <w:color w:val="231F20"/>
              </w:rPr>
              <w:t>previous page)</w:t>
            </w:r>
          </w:p>
        </w:tc>
        <w:tc>
          <w:tcPr>
            <w:tcW w:w="180" w:type="dxa"/>
            <w:tcBorders/>
            <w:vAlign w:val="center"/>
          </w:tcPr>
          <w:p>
            <w:pPr>
              <w:pStyle w:val="TableContents"/>
              <w:bidi w:val="0"/>
              <w:spacing w:before="0" w:after="283"/>
              <w:jc w:val="center"/>
              <w:rPr/>
            </w:pPr>
            <w:r>
              <w:rPr/>
              <w:t> </w:t>
            </w:r>
          </w:p>
        </w:tc>
        <w:tc>
          <w:tcPr>
            <w:tcW w:w="5990" w:type="dxa"/>
            <w:tcBorders/>
            <w:vAlign w:val="center"/>
          </w:tcPr>
          <w:p>
            <w:pPr>
              <w:pStyle w:val="TableContents"/>
              <w:bidi w:val="0"/>
              <w:spacing w:before="0" w:after="0"/>
              <w:ind w:left="0" w:right="0" w:hanging="0"/>
              <w:jc w:val="left"/>
              <w:rPr>
                <w:color w:val="3B5AA4"/>
              </w:rPr>
            </w:pPr>
            <w:r>
              <w:rPr>
                <w:color w:val="3B5AA4"/>
              </w:rPr>
              <w:t xml:space="preserve">• </w:t>
            </w:r>
          </w:p>
          <w:p>
            <w:pPr>
              <w:pStyle w:val="TableContents"/>
              <w:bidi w:val="0"/>
              <w:spacing w:before="0" w:after="0"/>
              <w:ind w:left="200" w:right="0" w:hanging="0"/>
              <w:jc w:val="left"/>
              <w:rPr>
                <w:color w:val="231F20"/>
              </w:rPr>
            </w:pPr>
            <w:r>
              <w:rPr>
                <w:color w:val="231F20"/>
              </w:rPr>
              <w:t>Long-term oriented</w:t>
            </w:r>
          </w:p>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color w:val="231F20"/>
              </w:rPr>
            </w:pPr>
            <w:r>
              <w:rPr>
                <w:color w:val="231F20"/>
              </w:rPr>
              <w:t>Focused on product pipeline</w:t>
            </w:r>
          </w:p>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color w:val="231F20"/>
              </w:rPr>
            </w:pPr>
            <w:r>
              <w:rPr>
                <w:color w:val="231F20"/>
              </w:rPr>
              <w:t>Employee/shareholder mindset</w:t>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center"/>
              <w:rPr/>
            </w:pPr>
            <w:r>
              <w:rPr/>
              <w:t> </w:t>
            </w:r>
          </w:p>
        </w:tc>
        <w:tc>
          <w:tcPr>
            <w:tcW w:w="5990"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center"/>
              <w:rPr/>
            </w:pPr>
            <w:r>
              <w:rPr/>
              <w:drawing>
                <wp:inline distT="0" distB="0" distL="0" distR="0">
                  <wp:extent cx="114300" cy="76200"/>
                  <wp:effectExtent l="0" t="0" r="0" b="0"/>
                  <wp:docPr id="292"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73" descr=""/>
                          <pic:cNvPicPr>
                            <a:picLocks noChangeAspect="1" noChangeArrowheads="1"/>
                          </pic:cNvPicPr>
                        </pic:nvPicPr>
                        <pic:blipFill>
                          <a:blip r:embed="rId285"/>
                          <a:stretch>
                            <a:fillRect/>
                          </a:stretch>
                        </pic:blipFill>
                        <pic:spPr bwMode="auto">
                          <a:xfrm>
                            <a:off x="0" y="0"/>
                            <a:ext cx="114300" cy="76200"/>
                          </a:xfrm>
                          <a:prstGeom prst="rect">
                            <a:avLst/>
                          </a:prstGeom>
                        </pic:spPr>
                      </pic:pic>
                    </a:graphicData>
                  </a:graphic>
                </wp:inline>
              </w:drawing>
            </w:r>
          </w:p>
        </w:tc>
        <w:tc>
          <w:tcPr>
            <w:tcW w:w="3840" w:type="dxa"/>
            <w:tcBorders/>
            <w:vAlign w:val="center"/>
          </w:tcPr>
          <w:p>
            <w:pPr>
              <w:pStyle w:val="TableContents"/>
              <w:bidi w:val="0"/>
              <w:spacing w:before="0" w:after="283"/>
              <w:jc w:val="left"/>
              <w:rPr>
                <w:b/>
                <w:color w:val="3B5AA4"/>
              </w:rPr>
            </w:pPr>
            <w:r>
              <w:rPr>
                <w:b/>
                <w:color w:val="3B5AA4"/>
              </w:rPr>
              <w:t>Align management and shareholder interests</w:t>
            </w:r>
          </w:p>
        </w:tc>
        <w:tc>
          <w:tcPr>
            <w:tcW w:w="180" w:type="dxa"/>
            <w:tcBorders/>
            <w:vAlign w:val="center"/>
          </w:tcPr>
          <w:p>
            <w:pPr>
              <w:pStyle w:val="TableContents"/>
              <w:bidi w:val="0"/>
              <w:spacing w:before="0" w:after="283"/>
              <w:jc w:val="center"/>
              <w:rPr/>
            </w:pPr>
            <w:r>
              <w:rPr/>
              <w:drawing>
                <wp:inline distT="0" distB="0" distL="0" distR="0">
                  <wp:extent cx="114300" cy="76200"/>
                  <wp:effectExtent l="0" t="0" r="0" b="0"/>
                  <wp:docPr id="293"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74" descr=""/>
                          <pic:cNvPicPr>
                            <a:picLocks noChangeAspect="1" noChangeArrowheads="1"/>
                          </pic:cNvPicPr>
                        </pic:nvPicPr>
                        <pic:blipFill>
                          <a:blip r:embed="rId286"/>
                          <a:stretch>
                            <a:fillRect/>
                          </a:stretch>
                        </pic:blipFill>
                        <pic:spPr bwMode="auto">
                          <a:xfrm>
                            <a:off x="0" y="0"/>
                            <a:ext cx="114300" cy="76200"/>
                          </a:xfrm>
                          <a:prstGeom prst="rect">
                            <a:avLst/>
                          </a:prstGeom>
                        </pic:spPr>
                      </pic:pic>
                    </a:graphicData>
                  </a:graphic>
                </wp:inline>
              </w:drawing>
            </w:r>
          </w:p>
        </w:tc>
        <w:tc>
          <w:tcPr>
            <w:tcW w:w="5990" w:type="dxa"/>
            <w:tcBorders/>
            <w:vAlign w:val="center"/>
          </w:tcPr>
          <w:p>
            <w:pPr>
              <w:pStyle w:val="TableContents"/>
              <w:bidi w:val="0"/>
              <w:spacing w:before="0" w:after="283"/>
              <w:jc w:val="left"/>
              <w:rPr>
                <w:b/>
                <w:color w:val="3B5AA4"/>
              </w:rPr>
            </w:pPr>
            <w:r>
              <w:rPr>
                <w:b/>
                <w:color w:val="3B5AA4"/>
              </w:rPr>
              <w:t>Maintain a strong recoupment (clawback) policy</w:t>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center"/>
              <w:rPr/>
            </w:pPr>
            <w:r>
              <w:rPr/>
              <w:t> </w:t>
            </w:r>
          </w:p>
        </w:tc>
        <w:tc>
          <w:tcPr>
            <w:tcW w:w="5990"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0"/>
              <w:ind w:left="0" w:right="0" w:hanging="0"/>
              <w:jc w:val="left"/>
              <w:rPr/>
            </w:pPr>
            <w:r>
              <w:rPr>
                <w:color w:val="3B5AA4"/>
              </w:rPr>
              <w:t>•</w:t>
            </w:r>
            <w:r>
              <w:rPr/>
              <w:t xml:space="preserve"> </w:t>
            </w:r>
          </w:p>
          <w:p>
            <w:pPr>
              <w:pStyle w:val="TableContents"/>
              <w:bidi w:val="0"/>
              <w:spacing w:before="0" w:after="0"/>
              <w:ind w:left="200" w:right="0" w:hanging="0"/>
              <w:jc w:val="left"/>
              <w:rPr/>
            </w:pPr>
            <w:r>
              <w:rPr>
                <w:color w:val="231F20"/>
              </w:rPr>
              <w:t>Equity compensation is a key component of our</w:t>
            </w:r>
            <w:r>
              <w:rPr/>
              <w:t xml:space="preserve"> </w:t>
            </w:r>
            <w:r>
              <w:rPr>
                <w:color w:val="231F20"/>
              </w:rPr>
              <w:t>compensation program</w:t>
            </w:r>
          </w:p>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color w:val="231F20"/>
              </w:rPr>
            </w:pPr>
            <w:r>
              <w:rPr>
                <w:color w:val="231F20"/>
              </w:rPr>
              <w:t>Designed for long-term alignment:</w:t>
            </w:r>
          </w:p>
          <w:p>
            <w:pPr>
              <w:pStyle w:val="TableContents"/>
              <w:bidi w:val="0"/>
              <w:spacing w:before="0" w:after="0"/>
              <w:ind w:left="200" w:right="0" w:hanging="0"/>
              <w:jc w:val="left"/>
              <w:rPr>
                <w:color w:val="3B5AA4"/>
              </w:rPr>
            </w:pPr>
            <w:r>
              <w:rPr>
                <w:color w:val="3B5AA4"/>
              </w:rPr>
              <w:t xml:space="preserve">• </w:t>
            </w:r>
          </w:p>
          <w:p>
            <w:pPr>
              <w:pStyle w:val="TableContents"/>
              <w:bidi w:val="0"/>
              <w:spacing w:before="0" w:after="0"/>
              <w:ind w:left="400" w:right="0" w:hanging="0"/>
              <w:jc w:val="left"/>
              <w:rPr/>
            </w:pPr>
            <w:r>
              <w:rPr>
                <w:color w:val="231F20"/>
              </w:rPr>
              <w:t>Stock options vest over four years with a ten-year</w:t>
            </w:r>
            <w:r>
              <w:rPr/>
              <w:t xml:space="preserve"> </w:t>
            </w:r>
            <w:r>
              <w:rPr>
                <w:color w:val="231F20"/>
              </w:rPr>
              <w:t>term and only deliver value if Regeneron achieves</w:t>
            </w:r>
            <w:r>
              <w:rPr/>
              <w:t xml:space="preserve"> </w:t>
            </w:r>
            <w:r>
              <w:rPr>
                <w:color w:val="231F20"/>
              </w:rPr>
              <w:t>stock price appreciation after grant</w:t>
            </w:r>
          </w:p>
          <w:p>
            <w:pPr>
              <w:pStyle w:val="TableContents"/>
              <w:bidi w:val="0"/>
              <w:spacing w:before="0" w:after="0"/>
              <w:ind w:left="200" w:right="0" w:hanging="0"/>
              <w:jc w:val="left"/>
              <w:rPr>
                <w:color w:val="3B5AA4"/>
              </w:rPr>
            </w:pPr>
            <w:r>
              <w:rPr>
                <w:color w:val="3B5AA4"/>
              </w:rPr>
              <w:t xml:space="preserve">• </w:t>
            </w:r>
          </w:p>
          <w:p>
            <w:pPr>
              <w:pStyle w:val="TableContents"/>
              <w:bidi w:val="0"/>
              <w:spacing w:before="0" w:after="0"/>
              <w:ind w:left="400" w:right="0" w:hanging="0"/>
              <w:jc w:val="left"/>
              <w:rPr>
                <w:color w:val="231F20"/>
              </w:rPr>
            </w:pPr>
            <w:r>
              <w:rPr>
                <w:color w:val="231F20"/>
              </w:rPr>
              <w:t>RSAs vest over four years</w:t>
            </w:r>
          </w:p>
          <w:p>
            <w:pPr>
              <w:pStyle w:val="TableContents"/>
              <w:bidi w:val="0"/>
              <w:spacing w:before="0" w:after="0"/>
              <w:ind w:left="200" w:right="0" w:hanging="0"/>
              <w:jc w:val="left"/>
              <w:rPr>
                <w:color w:val="3B5AA4"/>
              </w:rPr>
            </w:pPr>
            <w:r>
              <w:rPr>
                <w:color w:val="3B5AA4"/>
              </w:rPr>
              <w:t xml:space="preserve">• </w:t>
            </w:r>
          </w:p>
          <w:p>
            <w:pPr>
              <w:pStyle w:val="TableContents"/>
              <w:bidi w:val="0"/>
              <w:spacing w:before="0" w:after="0"/>
              <w:ind w:left="400" w:right="0" w:hanging="0"/>
              <w:jc w:val="left"/>
              <w:rPr/>
            </w:pPr>
            <w:r>
              <w:rPr>
                <w:color w:val="231F20"/>
              </w:rPr>
              <w:t>2020 PSUs (granted to CEO and CSO) include</w:t>
            </w:r>
            <w:r>
              <w:rPr/>
              <w:t xml:space="preserve"> </w:t>
            </w:r>
            <w:r>
              <w:rPr>
                <w:color w:val="231F20"/>
              </w:rPr>
              <w:t>five-year performance and vesting periods and a</w:t>
            </w:r>
            <w:r>
              <w:rPr/>
              <w:t xml:space="preserve"> </w:t>
            </w:r>
            <w:r>
              <w:rPr>
                <w:color w:val="231F20"/>
              </w:rPr>
              <w:t>three-year post-vesting holding period</w:t>
            </w:r>
          </w:p>
        </w:tc>
        <w:tc>
          <w:tcPr>
            <w:tcW w:w="180" w:type="dxa"/>
            <w:tcBorders/>
            <w:vAlign w:val="center"/>
          </w:tcPr>
          <w:p>
            <w:pPr>
              <w:pStyle w:val="TableContents"/>
              <w:bidi w:val="0"/>
              <w:spacing w:before="0" w:after="283"/>
              <w:jc w:val="center"/>
              <w:rPr/>
            </w:pPr>
            <w:r>
              <w:rPr/>
              <w:t> </w:t>
            </w:r>
          </w:p>
        </w:tc>
        <w:tc>
          <w:tcPr>
            <w:tcW w:w="5990" w:type="dxa"/>
            <w:tcBorders/>
            <w:vAlign w:val="center"/>
          </w:tcPr>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pPr>
            <w:r>
              <w:rPr>
                <w:color w:val="231F20"/>
              </w:rPr>
              <w:t>Primary policy applies to bonus and other incentive</w:t>
            </w:r>
            <w:r>
              <w:rPr/>
              <w:t xml:space="preserve"> </w:t>
            </w:r>
            <w:r>
              <w:rPr>
                <w:color w:val="231F20"/>
              </w:rPr>
              <w:t>compensation of our officers and certain other</w:t>
            </w:r>
            <w:r>
              <w:rPr/>
              <w:t xml:space="preserve"> </w:t>
            </w:r>
            <w:r>
              <w:rPr>
                <w:color w:val="231F20"/>
              </w:rPr>
              <w:t>specified employees, regardless of whether paid or</w:t>
            </w:r>
            <w:r>
              <w:rPr/>
              <w:t xml:space="preserve"> </w:t>
            </w:r>
            <w:r>
              <w:rPr>
                <w:color w:val="231F20"/>
              </w:rPr>
              <w:t>payable in cash, equity, or otherwise and regardless</w:t>
            </w:r>
            <w:r>
              <w:rPr/>
              <w:t xml:space="preserve"> </w:t>
            </w:r>
            <w:r>
              <w:rPr>
                <w:color w:val="231F20"/>
              </w:rPr>
              <w:t>of whether earned or vested</w:t>
            </w:r>
          </w:p>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pPr>
            <w:r>
              <w:rPr>
                <w:color w:val="231F20"/>
              </w:rPr>
              <w:t>Supplemented in 2023 (as required by amended</w:t>
            </w:r>
            <w:r>
              <w:rPr/>
              <w:t xml:space="preserve"> </w:t>
            </w:r>
            <w:r>
              <w:rPr>
                <w:color w:val="231F20"/>
              </w:rPr>
              <w:t>listing standards of the Nasdaq Stock Market LLC) to provide for recovery of incentive-based</w:t>
            </w:r>
            <w:r>
              <w:rPr/>
              <w:t xml:space="preserve"> </w:t>
            </w:r>
            <w:r>
              <w:rPr>
                <w:color w:val="231F20"/>
              </w:rPr>
              <w:t>compensation of specified officers in the event an</w:t>
            </w:r>
            <w:r>
              <w:rPr/>
              <w:t xml:space="preserve"> </w:t>
            </w:r>
            <w:r>
              <w:rPr>
                <w:color w:val="231F20"/>
              </w:rPr>
              <w:t>accounting restatement renders such compensation</w:t>
            </w:r>
            <w:r>
              <w:rPr/>
              <w:t xml:space="preserve"> </w:t>
            </w:r>
            <w:r>
              <w:rPr>
                <w:color w:val="231F20"/>
              </w:rPr>
              <w:t>erroneously received</w:t>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center"/>
              <w:rPr/>
            </w:pPr>
            <w:r>
              <w:rPr/>
              <w:t> </w:t>
            </w:r>
          </w:p>
        </w:tc>
        <w:tc>
          <w:tcPr>
            <w:tcW w:w="5990"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center"/>
              <w:rPr/>
            </w:pPr>
            <w:r>
              <w:rPr/>
              <w:drawing>
                <wp:inline distT="0" distB="0" distL="0" distR="0">
                  <wp:extent cx="114300" cy="76200"/>
                  <wp:effectExtent l="0" t="0" r="0" b="0"/>
                  <wp:docPr id="294"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75" descr=""/>
                          <pic:cNvPicPr>
                            <a:picLocks noChangeAspect="1" noChangeArrowheads="1"/>
                          </pic:cNvPicPr>
                        </pic:nvPicPr>
                        <pic:blipFill>
                          <a:blip r:embed="rId287"/>
                          <a:stretch>
                            <a:fillRect/>
                          </a:stretch>
                        </pic:blipFill>
                        <pic:spPr bwMode="auto">
                          <a:xfrm>
                            <a:off x="0" y="0"/>
                            <a:ext cx="114300" cy="76200"/>
                          </a:xfrm>
                          <a:prstGeom prst="rect">
                            <a:avLst/>
                          </a:prstGeom>
                        </pic:spPr>
                      </pic:pic>
                    </a:graphicData>
                  </a:graphic>
                </wp:inline>
              </w:drawing>
            </w:r>
          </w:p>
        </w:tc>
        <w:tc>
          <w:tcPr>
            <w:tcW w:w="3840" w:type="dxa"/>
            <w:tcBorders/>
            <w:vAlign w:val="center"/>
          </w:tcPr>
          <w:p>
            <w:pPr>
              <w:pStyle w:val="TableContents"/>
              <w:bidi w:val="0"/>
              <w:spacing w:before="0" w:after="283"/>
              <w:jc w:val="left"/>
              <w:rPr>
                <w:b/>
                <w:color w:val="3B5AA4"/>
              </w:rPr>
            </w:pPr>
            <w:r>
              <w:rPr>
                <w:b/>
                <w:color w:val="3B5AA4"/>
              </w:rPr>
              <w:t>Maintain robust stock ownership guidelines</w:t>
            </w:r>
          </w:p>
        </w:tc>
        <w:tc>
          <w:tcPr>
            <w:tcW w:w="180" w:type="dxa"/>
            <w:tcBorders/>
            <w:vAlign w:val="center"/>
          </w:tcPr>
          <w:p>
            <w:pPr>
              <w:pStyle w:val="TableContents"/>
              <w:bidi w:val="0"/>
              <w:spacing w:before="0" w:after="283"/>
              <w:jc w:val="center"/>
              <w:rPr/>
            </w:pPr>
            <w:r>
              <w:rPr/>
              <w:drawing>
                <wp:inline distT="0" distB="0" distL="0" distR="0">
                  <wp:extent cx="114300" cy="76200"/>
                  <wp:effectExtent l="0" t="0" r="0" b="0"/>
                  <wp:docPr id="295"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76" descr=""/>
                          <pic:cNvPicPr>
                            <a:picLocks noChangeAspect="1" noChangeArrowheads="1"/>
                          </pic:cNvPicPr>
                        </pic:nvPicPr>
                        <pic:blipFill>
                          <a:blip r:embed="rId288"/>
                          <a:stretch>
                            <a:fillRect/>
                          </a:stretch>
                        </pic:blipFill>
                        <pic:spPr bwMode="auto">
                          <a:xfrm>
                            <a:off x="0" y="0"/>
                            <a:ext cx="114300" cy="76200"/>
                          </a:xfrm>
                          <a:prstGeom prst="rect">
                            <a:avLst/>
                          </a:prstGeom>
                        </pic:spPr>
                      </pic:pic>
                    </a:graphicData>
                  </a:graphic>
                </wp:inline>
              </w:drawing>
            </w:r>
          </w:p>
        </w:tc>
        <w:tc>
          <w:tcPr>
            <w:tcW w:w="5990" w:type="dxa"/>
            <w:tcBorders/>
            <w:vAlign w:val="center"/>
          </w:tcPr>
          <w:p>
            <w:pPr>
              <w:pStyle w:val="TableContents"/>
              <w:bidi w:val="0"/>
              <w:spacing w:before="0" w:after="283"/>
              <w:jc w:val="left"/>
              <w:rPr>
                <w:b/>
                <w:color w:val="3B5AA4"/>
              </w:rPr>
            </w:pPr>
            <w:r>
              <w:rPr>
                <w:b/>
                <w:color w:val="3B5AA4"/>
              </w:rPr>
              <w:t>Retain an independent compensation consultant</w:t>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center"/>
              <w:rPr/>
            </w:pPr>
            <w:r>
              <w:rPr/>
              <w:t> </w:t>
            </w:r>
          </w:p>
        </w:tc>
        <w:tc>
          <w:tcPr>
            <w:tcW w:w="5990"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0"/>
              <w:ind w:left="0" w:right="0" w:hanging="0"/>
              <w:jc w:val="left"/>
              <w:rPr/>
            </w:pPr>
            <w:r>
              <w:rPr>
                <w:color w:val="3B5AA4"/>
              </w:rPr>
              <w:t>•</w:t>
            </w:r>
            <w:r>
              <w:rPr/>
              <w:t xml:space="preserve"> </w:t>
            </w:r>
          </w:p>
          <w:p>
            <w:pPr>
              <w:pStyle w:val="TableContents"/>
              <w:bidi w:val="0"/>
              <w:spacing w:before="0" w:after="0"/>
              <w:ind w:left="200" w:right="0" w:hanging="0"/>
              <w:jc w:val="left"/>
              <w:rPr/>
            </w:pPr>
            <w:r>
              <w:rPr>
                <w:color w:val="231F20"/>
              </w:rPr>
              <w:t>CEO and CSO: Shares with a value at least 6x</w:t>
            </w:r>
            <w:r>
              <w:rPr/>
              <w:t xml:space="preserve"> </w:t>
            </w:r>
            <w:r>
              <w:rPr>
                <w:color w:val="231F20"/>
              </w:rPr>
              <w:t>base salary</w:t>
            </w:r>
          </w:p>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pPr>
            <w:r>
              <w:rPr>
                <w:color w:val="231F20"/>
              </w:rPr>
              <w:t>Other NEOs: Shares with a value at least 2x base</w:t>
            </w:r>
            <w:r>
              <w:rPr/>
              <w:t xml:space="preserve"> </w:t>
            </w:r>
            <w:r>
              <w:rPr>
                <w:color w:val="231F20"/>
              </w:rPr>
              <w:t>salary</w:t>
            </w:r>
          </w:p>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pPr>
            <w:r>
              <w:rPr>
                <w:color w:val="231F20"/>
              </w:rPr>
              <w:t>See “Corporate Governance—Certain Governance</w:t>
            </w:r>
            <w:r>
              <w:rPr/>
              <w:t xml:space="preserve"> </w:t>
            </w:r>
            <w:r>
              <w:rPr>
                <w:color w:val="231F20"/>
              </w:rPr>
              <w:t>Policies—Stock Ownership Guidelines” for more</w:t>
            </w:r>
            <w:r>
              <w:rPr/>
              <w:t xml:space="preserve"> </w:t>
            </w:r>
            <w:r>
              <w:rPr>
                <w:color w:val="231F20"/>
              </w:rPr>
              <w:t>information</w:t>
            </w:r>
          </w:p>
        </w:tc>
        <w:tc>
          <w:tcPr>
            <w:tcW w:w="180" w:type="dxa"/>
            <w:tcBorders/>
            <w:vAlign w:val="center"/>
          </w:tcPr>
          <w:p>
            <w:pPr>
              <w:pStyle w:val="TableContents"/>
              <w:bidi w:val="0"/>
              <w:spacing w:before="0" w:after="283"/>
              <w:jc w:val="center"/>
              <w:rPr/>
            </w:pPr>
            <w:r>
              <w:rPr/>
              <w:t> </w:t>
            </w:r>
          </w:p>
        </w:tc>
        <w:tc>
          <w:tcPr>
            <w:tcW w:w="5990" w:type="dxa"/>
            <w:tcBorders/>
            <w:vAlign w:val="center"/>
          </w:tcPr>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pPr>
            <w:r>
              <w:rPr>
                <w:color w:val="231F20"/>
              </w:rPr>
              <w:t>Independent compensation consultant provides</w:t>
            </w:r>
            <w:r>
              <w:rPr/>
              <w:t xml:space="preserve"> </w:t>
            </w:r>
            <w:r>
              <w:rPr>
                <w:color w:val="231F20"/>
              </w:rPr>
              <w:t>advice directly to the Compensation Committee on</w:t>
            </w:r>
            <w:r>
              <w:rPr/>
              <w:t xml:space="preserve"> </w:t>
            </w:r>
            <w:r>
              <w:rPr>
                <w:color w:val="231F20"/>
              </w:rPr>
              <w:t>all key compensation decisions, as well as</w:t>
            </w:r>
            <w:r>
              <w:rPr/>
              <w:t xml:space="preserve"> </w:t>
            </w:r>
            <w:r>
              <w:rPr>
                <w:color w:val="231F20"/>
              </w:rPr>
              <w:t>recommendations for compensation plans, budgets, and strategies</w:t>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center"/>
              <w:rPr/>
            </w:pPr>
            <w:r>
              <w:rPr/>
              <w:t> </w:t>
            </w:r>
          </w:p>
        </w:tc>
        <w:tc>
          <w:tcPr>
            <w:tcW w:w="5990"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center"/>
              <w:rPr/>
            </w:pPr>
            <w:r>
              <w:rPr/>
              <w:drawing>
                <wp:inline distT="0" distB="0" distL="0" distR="0">
                  <wp:extent cx="114300" cy="76200"/>
                  <wp:effectExtent l="0" t="0" r="0" b="0"/>
                  <wp:docPr id="296"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77" descr=""/>
                          <pic:cNvPicPr>
                            <a:picLocks noChangeAspect="1" noChangeArrowheads="1"/>
                          </pic:cNvPicPr>
                        </pic:nvPicPr>
                        <pic:blipFill>
                          <a:blip r:embed="rId289"/>
                          <a:stretch>
                            <a:fillRect/>
                          </a:stretch>
                        </pic:blipFill>
                        <pic:spPr bwMode="auto">
                          <a:xfrm>
                            <a:off x="0" y="0"/>
                            <a:ext cx="114300" cy="76200"/>
                          </a:xfrm>
                          <a:prstGeom prst="rect">
                            <a:avLst/>
                          </a:prstGeom>
                        </pic:spPr>
                      </pic:pic>
                    </a:graphicData>
                  </a:graphic>
                </wp:inline>
              </w:drawing>
            </w:r>
          </w:p>
        </w:tc>
        <w:tc>
          <w:tcPr>
            <w:tcW w:w="3840" w:type="dxa"/>
            <w:tcBorders/>
            <w:vAlign w:val="center"/>
          </w:tcPr>
          <w:p>
            <w:pPr>
              <w:pStyle w:val="TableContents"/>
              <w:bidi w:val="0"/>
              <w:spacing w:before="0" w:after="283"/>
              <w:jc w:val="left"/>
              <w:rPr>
                <w:b/>
                <w:color w:val="3B5AA4"/>
              </w:rPr>
            </w:pPr>
            <w:r>
              <w:rPr>
                <w:b/>
                <w:color w:val="3B5AA4"/>
              </w:rPr>
              <w:t>Annual say-on-pay votes</w:t>
            </w:r>
          </w:p>
        </w:tc>
        <w:tc>
          <w:tcPr>
            <w:tcW w:w="180" w:type="dxa"/>
            <w:tcBorders/>
            <w:vAlign w:val="center"/>
          </w:tcPr>
          <w:p>
            <w:pPr>
              <w:pStyle w:val="TableContents"/>
              <w:bidi w:val="0"/>
              <w:spacing w:before="0" w:after="283"/>
              <w:jc w:val="center"/>
              <w:rPr/>
            </w:pPr>
            <w:r>
              <w:rPr/>
              <w:drawing>
                <wp:inline distT="0" distB="0" distL="0" distR="0">
                  <wp:extent cx="114300" cy="76200"/>
                  <wp:effectExtent l="0" t="0" r="0" b="0"/>
                  <wp:docPr id="297"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78" descr=""/>
                          <pic:cNvPicPr>
                            <a:picLocks noChangeAspect="1" noChangeArrowheads="1"/>
                          </pic:cNvPicPr>
                        </pic:nvPicPr>
                        <pic:blipFill>
                          <a:blip r:embed="rId290"/>
                          <a:stretch>
                            <a:fillRect/>
                          </a:stretch>
                        </pic:blipFill>
                        <pic:spPr bwMode="auto">
                          <a:xfrm>
                            <a:off x="0" y="0"/>
                            <a:ext cx="114300" cy="76200"/>
                          </a:xfrm>
                          <a:prstGeom prst="rect">
                            <a:avLst/>
                          </a:prstGeom>
                        </pic:spPr>
                      </pic:pic>
                    </a:graphicData>
                  </a:graphic>
                </wp:inline>
              </w:drawing>
            </w:r>
          </w:p>
        </w:tc>
        <w:tc>
          <w:tcPr>
            <w:tcW w:w="5990" w:type="dxa"/>
            <w:vMerge w:val="restart"/>
            <w:tcBorders/>
            <w:vAlign w:val="center"/>
          </w:tcPr>
          <w:p>
            <w:pPr>
              <w:pStyle w:val="TableContents"/>
              <w:bidi w:val="0"/>
              <w:spacing w:before="0" w:after="283"/>
              <w:jc w:val="left"/>
              <w:rPr>
                <w:b/>
                <w:color w:val="3B5AA4"/>
              </w:rPr>
            </w:pPr>
            <w:r>
              <w:rPr>
                <w:b/>
                <w:color w:val="3B5AA4"/>
              </w:rPr>
              <w:t>Actively and regularly engage with shareholders on executive compensation matters</w:t>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center"/>
              <w:rPr/>
            </w:pPr>
            <w:r>
              <w:rPr/>
              <w:t> </w:t>
            </w:r>
          </w:p>
        </w:tc>
        <w:tc>
          <w:tcPr>
            <w:tcW w:w="5990" w:type="dxa"/>
            <w:vMerge w:val="continue"/>
            <w:tcBorders/>
            <w:vAlign w:val="center"/>
          </w:tcPr>
          <w:p>
            <w:pPr>
              <w:pStyle w:val="Normal"/>
              <w:bidi w:val="0"/>
              <w:jc w:val="left"/>
              <w:rPr/>
            </w:pPr>
            <w:r>
              <w:rPr/>
            </w:r>
          </w:p>
        </w:tc>
      </w:tr>
      <w:tr>
        <w:trPr/>
        <w:tc>
          <w:tcPr>
            <w:tcW w:w="195" w:type="dxa"/>
            <w:tcBorders/>
            <w:vAlign w:val="center"/>
          </w:tcPr>
          <w:p>
            <w:pPr>
              <w:pStyle w:val="TableContents"/>
              <w:bidi w:val="0"/>
              <w:spacing w:before="0" w:after="283"/>
              <w:jc w:val="center"/>
              <w:rPr/>
            </w:pPr>
            <w:r>
              <w:rPr/>
              <w:t> </w:t>
            </w:r>
          </w:p>
        </w:tc>
        <w:tc>
          <w:tcPr>
            <w:tcW w:w="3840" w:type="dxa"/>
            <w:tcBorders/>
            <w:vAlign w:val="center"/>
          </w:tcPr>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pPr>
            <w:r>
              <w:rPr>
                <w:color w:val="231F20"/>
              </w:rPr>
              <w:t>Say-on-pay votes held annually in recognition of</w:t>
            </w:r>
            <w:r>
              <w:rPr/>
              <w:t xml:space="preserve"> </w:t>
            </w:r>
            <w:r>
              <w:rPr>
                <w:color w:val="231F20"/>
              </w:rPr>
              <w:t>shareholder feedback and preference</w:t>
            </w:r>
          </w:p>
        </w:tc>
        <w:tc>
          <w:tcPr>
            <w:tcW w:w="180" w:type="dxa"/>
            <w:tcBorders/>
            <w:vAlign w:val="center"/>
          </w:tcPr>
          <w:p>
            <w:pPr>
              <w:pStyle w:val="TableContents"/>
              <w:bidi w:val="0"/>
              <w:spacing w:before="0" w:after="283"/>
              <w:jc w:val="center"/>
              <w:rPr/>
            </w:pPr>
            <w:r>
              <w:rPr/>
              <w:t> </w:t>
            </w:r>
          </w:p>
        </w:tc>
        <w:tc>
          <w:tcPr>
            <w:tcW w:w="5990" w:type="dxa"/>
            <w:tcBorders/>
            <w:vAlign w:val="center"/>
          </w:tcPr>
          <w:p>
            <w:pPr>
              <w:pStyle w:val="TableContents"/>
              <w:bidi w:val="0"/>
              <w:spacing w:before="0" w:after="0"/>
              <w:ind w:left="0" w:right="0" w:hanging="0"/>
              <w:jc w:val="left"/>
              <w:rPr>
                <w:color w:val="3B5AA4"/>
              </w:rPr>
            </w:pPr>
            <w:r>
              <w:rPr>
                <w:color w:val="3B5AA4"/>
              </w:rPr>
              <w:t>•</w:t>
            </w:r>
          </w:p>
          <w:p>
            <w:pPr>
              <w:pStyle w:val="TableContents"/>
              <w:bidi w:val="0"/>
              <w:spacing w:before="0" w:after="0"/>
              <w:ind w:left="200" w:right="0" w:hanging="0"/>
              <w:jc w:val="left"/>
              <w:rPr>
                <w:color w:val="231F20"/>
              </w:rPr>
            </w:pPr>
            <w:r>
              <w:rPr>
                <w:color w:val="231F20"/>
              </w:rPr>
              <w:t>Robust engagement program in the last decade</w:t>
            </w:r>
          </w:p>
          <w:p>
            <w:pPr>
              <w:pStyle w:val="TableContents"/>
              <w:bidi w:val="0"/>
              <w:jc w:val="left"/>
              <w:rPr/>
            </w:pPr>
            <w:r>
              <w:rPr>
                <w:color w:val="3B5AA4"/>
              </w:rPr>
              <w:t>•</w:t>
            </w:r>
            <w:r>
              <w:rPr/>
              <w:t xml:space="preserve"> </w:t>
            </w:r>
          </w:p>
          <w:p>
            <w:pPr>
              <w:pStyle w:val="TableContents"/>
              <w:bidi w:val="0"/>
              <w:spacing w:before="0" w:after="0"/>
              <w:ind w:left="200" w:right="0" w:hanging="0"/>
              <w:jc w:val="left"/>
              <w:rPr/>
            </w:pPr>
            <w:r>
              <w:rPr>
                <w:color w:val="231F20"/>
              </w:rPr>
              <w:t>In 2024, reached out to shareholders collectively</w:t>
            </w:r>
            <w:r>
              <w:rPr/>
              <w:t xml:space="preserve"> </w:t>
            </w:r>
            <w:r>
              <w:rPr>
                <w:color w:val="231F20"/>
              </w:rPr>
              <w:t>representing nearly 60% of public shares and held one-on-one discussions with shareholders</w:t>
            </w:r>
            <w:r>
              <w:rPr/>
              <w:t xml:space="preserve"> </w:t>
            </w:r>
            <w:r>
              <w:rPr>
                <w:color w:val="231F20"/>
              </w:rPr>
              <w:t>representing approximately 55% of public shares</w:t>
            </w:r>
          </w:p>
        </w:tc>
      </w:tr>
    </w:tbl>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Heading5"/>
        <w:bidi w:val="0"/>
        <w:spacing w:before="0" w:after="0"/>
        <w:ind w:left="100" w:right="0" w:hanging="0"/>
        <w:jc w:val="left"/>
        <w:rPr>
          <w:rFonts w:ascii="Arial;Helvetica;Sans-Serif" w:hAnsi="Arial;Helvetica;Sans-Serif"/>
          <w:b/>
          <w:i w:val="false"/>
          <w:caps w:val="false"/>
          <w:smallCaps w:val="false"/>
          <w:color w:val="C60C45"/>
          <w:sz w:val="24"/>
        </w:rPr>
      </w:pPr>
      <w:r>
        <w:rPr>
          <w:rFonts w:ascii="Arial;Helvetica;Sans-Serif" w:hAnsi="Arial;Helvetica;Sans-Serif"/>
          <w:b/>
          <w:i w:val="false"/>
          <w:caps w:val="false"/>
          <w:smallCaps w:val="false"/>
          <w:color w:val="C60C45"/>
          <w:sz w:val="24"/>
        </w:rPr>
        <w:t>What We Don’t Do</w:t>
      </w:r>
    </w:p>
    <w:p>
      <w:pPr>
        <w:pStyle w:val="TextBody"/>
        <w:bidi w:val="0"/>
        <w:spacing w:before="0" w:after="0"/>
        <w:ind w:left="0" w:right="0" w:hanging="0"/>
        <w:jc w:val="left"/>
        <w:rPr>
          <w:caps w:val="false"/>
          <w:smallCaps w:val="false"/>
          <w:color w:val="ED0775"/>
        </w:rPr>
      </w:pPr>
      <w:r>
        <w:rPr>
          <w:caps w:val="false"/>
          <w:smallCaps w:val="false"/>
          <w:color w:val="ED0775"/>
        </w:rPr>
        <w:t> </w:t>
      </w:r>
    </w:p>
    <w:tbl>
      <w:tblPr>
        <w:tblW w:w="10205" w:type="dxa"/>
        <w:jc w:val="left"/>
        <w:tblInd w:w="0" w:type="dxa"/>
        <w:tblLayout w:type="fixed"/>
        <w:tblCellMar>
          <w:top w:w="40" w:type="dxa"/>
          <w:left w:w="0" w:type="dxa"/>
          <w:bottom w:w="0" w:type="dxa"/>
          <w:right w:w="0" w:type="dxa"/>
        </w:tblCellMar>
      </w:tblPr>
      <w:tblGrid>
        <w:gridCol w:w="150"/>
        <w:gridCol w:w="4637"/>
        <w:gridCol w:w="135"/>
        <w:gridCol w:w="5283"/>
      </w:tblGrid>
      <w:tr>
        <w:trPr/>
        <w:tc>
          <w:tcPr>
            <w:tcW w:w="150" w:type="dxa"/>
            <w:tcBorders>
              <w:top w:val="single" w:sz="2" w:space="0" w:color="C60C44"/>
            </w:tcBorders>
            <w:vAlign w:val="center"/>
          </w:tcPr>
          <w:p>
            <w:pPr>
              <w:pStyle w:val="TableContents"/>
              <w:bidi w:val="0"/>
              <w:spacing w:before="0" w:after="283"/>
              <w:jc w:val="center"/>
              <w:rPr>
                <w:color w:val="3B5AA4"/>
              </w:rPr>
            </w:pPr>
            <w:r>
              <w:rPr>
                <w:color w:val="3B5AA4"/>
              </w:rPr>
              <w:drawing>
                <wp:inline distT="0" distB="0" distL="0" distR="0">
                  <wp:extent cx="85725" cy="85725"/>
                  <wp:effectExtent l="0" t="0" r="0" b="0"/>
                  <wp:docPr id="298"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79" descr=""/>
                          <pic:cNvPicPr>
                            <a:picLocks noChangeAspect="1" noChangeArrowheads="1"/>
                          </pic:cNvPicPr>
                        </pic:nvPicPr>
                        <pic:blipFill>
                          <a:blip r:embed="rId291"/>
                          <a:stretch>
                            <a:fillRect/>
                          </a:stretch>
                        </pic:blipFill>
                        <pic:spPr bwMode="auto">
                          <a:xfrm>
                            <a:off x="0" y="0"/>
                            <a:ext cx="85725" cy="85725"/>
                          </a:xfrm>
                          <a:prstGeom prst="rect">
                            <a:avLst/>
                          </a:prstGeom>
                        </pic:spPr>
                      </pic:pic>
                    </a:graphicData>
                  </a:graphic>
                </wp:inline>
              </w:drawing>
            </w:r>
          </w:p>
        </w:tc>
        <w:tc>
          <w:tcPr>
            <w:tcW w:w="4637" w:type="dxa"/>
            <w:tcBorders>
              <w:top w:val="single" w:sz="2" w:space="0" w:color="C60C44"/>
            </w:tcBorders>
            <w:vAlign w:val="center"/>
          </w:tcPr>
          <w:p>
            <w:pPr>
              <w:pStyle w:val="TableContents"/>
              <w:bidi w:val="0"/>
              <w:spacing w:before="0" w:after="283"/>
              <w:jc w:val="left"/>
              <w:rPr>
                <w:b/>
                <w:color w:val="C60C45"/>
              </w:rPr>
            </w:pPr>
            <w:r>
              <w:rPr>
                <w:b/>
                <w:color w:val="C60C45"/>
              </w:rPr>
              <w:t>Reprice, exchange, or “spring-load” stock options</w:t>
            </w:r>
          </w:p>
        </w:tc>
        <w:tc>
          <w:tcPr>
            <w:tcW w:w="135" w:type="dxa"/>
            <w:tcBorders>
              <w:top w:val="single" w:sz="2" w:space="0" w:color="C60C44"/>
            </w:tcBorders>
            <w:vAlign w:val="center"/>
          </w:tcPr>
          <w:p>
            <w:pPr>
              <w:pStyle w:val="TableContents"/>
              <w:bidi w:val="0"/>
              <w:spacing w:before="0" w:after="283"/>
              <w:jc w:val="center"/>
              <w:rPr>
                <w:color w:val="3B5AA4"/>
              </w:rPr>
            </w:pPr>
            <w:r>
              <w:rPr>
                <w:color w:val="3B5AA4"/>
              </w:rPr>
              <w:drawing>
                <wp:inline distT="0" distB="0" distL="0" distR="0">
                  <wp:extent cx="85725" cy="85725"/>
                  <wp:effectExtent l="0" t="0" r="0" b="0"/>
                  <wp:docPr id="299"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80" descr=""/>
                          <pic:cNvPicPr>
                            <a:picLocks noChangeAspect="1" noChangeArrowheads="1"/>
                          </pic:cNvPicPr>
                        </pic:nvPicPr>
                        <pic:blipFill>
                          <a:blip r:embed="rId292"/>
                          <a:stretch>
                            <a:fillRect/>
                          </a:stretch>
                        </pic:blipFill>
                        <pic:spPr bwMode="auto">
                          <a:xfrm>
                            <a:off x="0" y="0"/>
                            <a:ext cx="85725" cy="85725"/>
                          </a:xfrm>
                          <a:prstGeom prst="rect">
                            <a:avLst/>
                          </a:prstGeom>
                        </pic:spPr>
                      </pic:pic>
                    </a:graphicData>
                  </a:graphic>
                </wp:inline>
              </w:drawing>
            </w:r>
          </w:p>
        </w:tc>
        <w:tc>
          <w:tcPr>
            <w:tcW w:w="5283" w:type="dxa"/>
            <w:tcBorders>
              <w:top w:val="single" w:sz="2" w:space="0" w:color="C60C44"/>
            </w:tcBorders>
            <w:vAlign w:val="center"/>
          </w:tcPr>
          <w:p>
            <w:pPr>
              <w:pStyle w:val="TableContents"/>
              <w:bidi w:val="0"/>
              <w:spacing w:before="0" w:after="283"/>
              <w:jc w:val="left"/>
              <w:rPr/>
            </w:pPr>
            <w:r>
              <w:rPr>
                <w:b/>
                <w:color w:val="C60C45"/>
              </w:rPr>
              <w:t>Provide excise tax gross-ups in any new</w:t>
            </w:r>
            <w:r>
              <w:rPr/>
              <w:t xml:space="preserve"> </w:t>
            </w:r>
            <w:r>
              <w:rPr>
                <w:b/>
                <w:color w:val="C60C45"/>
              </w:rPr>
              <w:t>compensation plans or arrangements</w:t>
            </w:r>
          </w:p>
        </w:tc>
      </w:tr>
      <w:tr>
        <w:trPr/>
        <w:tc>
          <w:tcPr>
            <w:tcW w:w="150" w:type="dxa"/>
            <w:tcBorders/>
            <w:tcMar>
              <w:top w:w="0" w:type="dxa"/>
            </w:tcMar>
            <w:vAlign w:val="center"/>
          </w:tcPr>
          <w:p>
            <w:pPr>
              <w:pStyle w:val="TableContents"/>
              <w:bidi w:val="0"/>
              <w:spacing w:before="0" w:after="283"/>
              <w:jc w:val="center"/>
              <w:rPr>
                <w:color w:val="3B5AA4"/>
              </w:rPr>
            </w:pPr>
            <w:r>
              <w:rPr>
                <w:color w:val="3B5AA4"/>
              </w:rPr>
              <w:drawing>
                <wp:inline distT="0" distB="0" distL="0" distR="0">
                  <wp:extent cx="85725" cy="85725"/>
                  <wp:effectExtent l="0" t="0" r="0" b="0"/>
                  <wp:docPr id="300"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81" descr=""/>
                          <pic:cNvPicPr>
                            <a:picLocks noChangeAspect="1" noChangeArrowheads="1"/>
                          </pic:cNvPicPr>
                        </pic:nvPicPr>
                        <pic:blipFill>
                          <a:blip r:embed="rId293"/>
                          <a:stretch>
                            <a:fillRect/>
                          </a:stretch>
                        </pic:blipFill>
                        <pic:spPr bwMode="auto">
                          <a:xfrm>
                            <a:off x="0" y="0"/>
                            <a:ext cx="85725" cy="85725"/>
                          </a:xfrm>
                          <a:prstGeom prst="rect">
                            <a:avLst/>
                          </a:prstGeom>
                        </pic:spPr>
                      </pic:pic>
                    </a:graphicData>
                  </a:graphic>
                </wp:inline>
              </w:drawing>
            </w:r>
          </w:p>
        </w:tc>
        <w:tc>
          <w:tcPr>
            <w:tcW w:w="4637" w:type="dxa"/>
            <w:tcBorders/>
            <w:tcMar>
              <w:top w:w="0" w:type="dxa"/>
            </w:tcMar>
            <w:vAlign w:val="center"/>
          </w:tcPr>
          <w:p>
            <w:pPr>
              <w:pStyle w:val="TableContents"/>
              <w:bidi w:val="0"/>
              <w:spacing w:before="0" w:after="283"/>
              <w:jc w:val="left"/>
              <w:rPr/>
            </w:pPr>
            <w:r>
              <w:rPr>
                <w:b/>
                <w:color w:val="C60C45"/>
              </w:rPr>
              <w:t>Provide excessive perquisites without a compelling</w:t>
            </w:r>
            <w:r>
              <w:rPr/>
              <w:t xml:space="preserve"> </w:t>
            </w:r>
            <w:r>
              <w:rPr>
                <w:b/>
                <w:color w:val="C60C45"/>
              </w:rPr>
              <w:t>business rationale</w:t>
            </w:r>
          </w:p>
        </w:tc>
        <w:tc>
          <w:tcPr>
            <w:tcW w:w="135" w:type="dxa"/>
            <w:tcBorders/>
            <w:tcMar>
              <w:top w:w="0" w:type="dxa"/>
            </w:tcMar>
            <w:vAlign w:val="center"/>
          </w:tcPr>
          <w:p>
            <w:pPr>
              <w:pStyle w:val="TableContents"/>
              <w:bidi w:val="0"/>
              <w:spacing w:before="0" w:after="283"/>
              <w:jc w:val="center"/>
              <w:rPr>
                <w:color w:val="3B5AA4"/>
              </w:rPr>
            </w:pPr>
            <w:r>
              <w:rPr>
                <w:color w:val="3B5AA4"/>
              </w:rPr>
              <w:drawing>
                <wp:inline distT="0" distB="0" distL="0" distR="0">
                  <wp:extent cx="85725" cy="85725"/>
                  <wp:effectExtent l="0" t="0" r="0" b="0"/>
                  <wp:docPr id="301"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82" descr=""/>
                          <pic:cNvPicPr>
                            <a:picLocks noChangeAspect="1" noChangeArrowheads="1"/>
                          </pic:cNvPicPr>
                        </pic:nvPicPr>
                        <pic:blipFill>
                          <a:blip r:embed="rId294"/>
                          <a:stretch>
                            <a:fillRect/>
                          </a:stretch>
                        </pic:blipFill>
                        <pic:spPr bwMode="auto">
                          <a:xfrm>
                            <a:off x="0" y="0"/>
                            <a:ext cx="85725" cy="85725"/>
                          </a:xfrm>
                          <a:prstGeom prst="rect">
                            <a:avLst/>
                          </a:prstGeom>
                        </pic:spPr>
                      </pic:pic>
                    </a:graphicData>
                  </a:graphic>
                </wp:inline>
              </w:drawing>
            </w:r>
          </w:p>
        </w:tc>
        <w:tc>
          <w:tcPr>
            <w:tcW w:w="5283" w:type="dxa"/>
            <w:tcBorders/>
            <w:tcMar>
              <w:top w:w="0" w:type="dxa"/>
            </w:tcMar>
            <w:vAlign w:val="center"/>
          </w:tcPr>
          <w:p>
            <w:pPr>
              <w:pStyle w:val="TableContents"/>
              <w:bidi w:val="0"/>
              <w:spacing w:before="0" w:after="283"/>
              <w:jc w:val="left"/>
              <w:rPr>
                <w:b/>
                <w:color w:val="C60C45"/>
              </w:rPr>
            </w:pPr>
            <w:r>
              <w:rPr>
                <w:b/>
                <w:color w:val="C60C45"/>
              </w:rPr>
              <w:t>Allow hedging or pledging of securities</w:t>
            </w:r>
          </w:p>
        </w:tc>
      </w:tr>
    </w:tbl>
    <w:p>
      <w:pPr>
        <w:pStyle w:val="TextBody"/>
        <w:bidi w:val="0"/>
        <w:spacing w:before="0" w:after="0"/>
        <w:ind w:left="0" w:right="0" w:hanging="0"/>
        <w:jc w:val="left"/>
        <w:rPr>
          <w:caps w:val="false"/>
          <w:smallCaps w:val="false"/>
          <w:color w:val="ED0775"/>
        </w:rPr>
      </w:pPr>
      <w:r>
        <w:rPr>
          <w:caps w:val="false"/>
          <w:smallCaps w:val="false"/>
          <w:color w:val="ED0775"/>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02"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83" descr=""/>
                          <pic:cNvPicPr>
                            <a:picLocks noChangeAspect="1" noChangeArrowheads="1"/>
                          </pic:cNvPicPr>
                        </pic:nvPicPr>
                        <pic:blipFill>
                          <a:blip r:embed="rId295"/>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83" w:name="regn013211-def14aa058"/>
      <w:bookmarkStart w:id="84" w:name="lregnb010"/>
      <w:bookmarkEnd w:id="83"/>
      <w:bookmarkEnd w:id="84"/>
      <w:r>
        <w:rPr>
          <w:rFonts w:ascii="Arial;Helvetica;Sans-Serif" w:hAnsi="Arial;Helvetica;Sans-Serif"/>
          <w:b/>
          <w:i w:val="false"/>
          <w:caps w:val="false"/>
          <w:smallCaps w:val="false"/>
          <w:color w:val="3B5AA4"/>
          <w:sz w:val="32"/>
        </w:rPr>
        <w:t>Components of Executive Pay: What We Pay and Why We Pay It</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85" w:name="regn013211-def14aa059"/>
      <w:bookmarkStart w:id="86" w:name="lregnb011"/>
      <w:bookmarkEnd w:id="85"/>
      <w:bookmarkEnd w:id="86"/>
      <w:r>
        <w:rPr>
          <w:rFonts w:ascii="Arial;Helvetica;Sans-Serif" w:hAnsi="Arial;Helvetica;Sans-Serif"/>
          <w:b/>
          <w:i w:val="false"/>
          <w:caps w:val="false"/>
          <w:smallCaps w:val="false"/>
          <w:color w:val="C60C45"/>
          <w:sz w:val="28"/>
        </w:rPr>
        <w:t>Base Salaries</w:t>
      </w:r>
    </w:p>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provide competitive base salaries for our NEOs to ensure we attract and retain talented leaders. The base salary component of NEO pay represents the only fixed component of their direct pay and generally comprises a steadily smaller percentage of overall compensation as the executive’s level of responsibility rises.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consider factors including the executive’s scope of responsibilities, significance of the role, experience, and annual performance when setting base salaries. We also consider base salaries of comparable positions among our peers and in the broader biopharmaceutical industry. See the subsections “Compensation Processes—Independent Compensation Consultant” and “Compensation Processes—Peer and Other Market Data” for further information regarding the role of the Compensation Committee’s independent compensation consultant and our use of Peer Group and other market data for purposes of setting compensation of our NEOs.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2024 – 2025 Base Salaries</w:t>
      </w:r>
    </w:p>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7880" w:type="dxa"/>
        <w:jc w:val="left"/>
        <w:tblInd w:w="0" w:type="dxa"/>
        <w:tblLayout w:type="fixed"/>
        <w:tblCellMar>
          <w:top w:w="0" w:type="dxa"/>
          <w:left w:w="0" w:type="dxa"/>
          <w:bottom w:w="28" w:type="dxa"/>
          <w:right w:w="0" w:type="dxa"/>
        </w:tblCellMar>
      </w:tblPr>
      <w:tblGrid>
        <w:gridCol w:w="3800"/>
        <w:gridCol w:w="60"/>
        <w:gridCol w:w="1040"/>
        <w:gridCol w:w="185"/>
        <w:gridCol w:w="1040"/>
        <w:gridCol w:w="185"/>
        <w:gridCol w:w="1370"/>
        <w:gridCol w:w="200"/>
      </w:tblGrid>
      <w:tr>
        <w:trPr/>
        <w:tc>
          <w:tcPr>
            <w:tcW w:w="3800" w:type="dxa"/>
            <w:tcBorders>
              <w:bottom w:val="single" w:sz="12" w:space="0" w:color="3B59A4"/>
            </w:tcBorders>
            <w:vAlign w:val="center"/>
          </w:tcPr>
          <w:p>
            <w:pPr>
              <w:pStyle w:val="TableContents"/>
              <w:bidi w:val="0"/>
              <w:spacing w:before="0" w:after="283"/>
              <w:jc w:val="left"/>
              <w:rPr>
                <w:color w:val="3B5AA4"/>
              </w:rPr>
            </w:pPr>
            <w:r>
              <w:rPr>
                <w:color w:val="3B5AA4"/>
              </w:rPr>
              <w:t>Named Executive Officer</w:t>
            </w:r>
          </w:p>
        </w:tc>
        <w:tc>
          <w:tcPr>
            <w:tcW w:w="60" w:type="dxa"/>
            <w:tcBorders>
              <w:bottom w:val="single" w:sz="12" w:space="0" w:color="3B59A4"/>
            </w:tcBorders>
            <w:vAlign w:val="center"/>
          </w:tcPr>
          <w:p>
            <w:pPr>
              <w:pStyle w:val="TableContents"/>
              <w:bidi w:val="0"/>
              <w:spacing w:before="0" w:after="283"/>
              <w:jc w:val="left"/>
              <w:rPr/>
            </w:pPr>
            <w:r>
              <w:rPr/>
              <w:t> </w:t>
            </w:r>
          </w:p>
        </w:tc>
        <w:tc>
          <w:tcPr>
            <w:tcW w:w="1040" w:type="dxa"/>
            <w:tcBorders>
              <w:bottom w:val="single" w:sz="12" w:space="0" w:color="3B59A4"/>
            </w:tcBorders>
            <w:vAlign w:val="center"/>
          </w:tcPr>
          <w:p>
            <w:pPr>
              <w:pStyle w:val="TableContents"/>
              <w:bidi w:val="0"/>
              <w:spacing w:before="0" w:after="283"/>
              <w:jc w:val="right"/>
              <w:rPr/>
            </w:pPr>
            <w:r>
              <w:rPr>
                <w:color w:val="3B5AA4"/>
              </w:rPr>
              <w:t>2024 Base</w:t>
            </w:r>
            <w:r>
              <w:rPr/>
              <w:br/>
            </w:r>
            <w:r>
              <w:rPr>
                <w:color w:val="3B5AA4"/>
              </w:rPr>
              <w:t>Salary ($)</w:t>
            </w:r>
          </w:p>
        </w:tc>
        <w:tc>
          <w:tcPr>
            <w:tcW w:w="185" w:type="dxa"/>
            <w:tcBorders>
              <w:bottom w:val="single" w:sz="12" w:space="0" w:color="3B59A4"/>
            </w:tcBorders>
            <w:vAlign w:val="center"/>
          </w:tcPr>
          <w:p>
            <w:pPr>
              <w:pStyle w:val="TableContents"/>
              <w:bidi w:val="0"/>
              <w:spacing w:before="0" w:after="283"/>
              <w:jc w:val="left"/>
              <w:rPr/>
            </w:pPr>
            <w:r>
              <w:rPr/>
              <w:t> </w:t>
            </w:r>
          </w:p>
        </w:tc>
        <w:tc>
          <w:tcPr>
            <w:tcW w:w="1040" w:type="dxa"/>
            <w:tcBorders>
              <w:bottom w:val="single" w:sz="12" w:space="0" w:color="3B59A4"/>
            </w:tcBorders>
            <w:vAlign w:val="center"/>
          </w:tcPr>
          <w:p>
            <w:pPr>
              <w:pStyle w:val="TableContents"/>
              <w:bidi w:val="0"/>
              <w:spacing w:before="0" w:after="283"/>
              <w:jc w:val="right"/>
              <w:rPr/>
            </w:pPr>
            <w:r>
              <w:rPr>
                <w:color w:val="3B5AA4"/>
              </w:rPr>
              <w:t>2025 Base</w:t>
            </w:r>
            <w:r>
              <w:rPr/>
              <w:br/>
            </w:r>
            <w:r>
              <w:rPr>
                <w:color w:val="3B5AA4"/>
              </w:rPr>
              <w:t>Salary ($)</w:t>
            </w:r>
          </w:p>
        </w:tc>
        <w:tc>
          <w:tcPr>
            <w:tcW w:w="185" w:type="dxa"/>
            <w:tcBorders>
              <w:bottom w:val="single" w:sz="12" w:space="0" w:color="3B59A4"/>
            </w:tcBorders>
            <w:vAlign w:val="center"/>
          </w:tcPr>
          <w:p>
            <w:pPr>
              <w:pStyle w:val="TableContents"/>
              <w:bidi w:val="0"/>
              <w:spacing w:before="0" w:after="283"/>
              <w:jc w:val="left"/>
              <w:rPr/>
            </w:pPr>
            <w:r>
              <w:rPr/>
              <w:t> </w:t>
            </w:r>
          </w:p>
        </w:tc>
        <w:tc>
          <w:tcPr>
            <w:tcW w:w="1370" w:type="dxa"/>
            <w:tcBorders>
              <w:bottom w:val="single" w:sz="12" w:space="0" w:color="3B59A4"/>
            </w:tcBorders>
            <w:vAlign w:val="center"/>
          </w:tcPr>
          <w:p>
            <w:pPr>
              <w:pStyle w:val="TableContents"/>
              <w:bidi w:val="0"/>
              <w:spacing w:before="0" w:after="283"/>
              <w:jc w:val="right"/>
              <w:rPr/>
            </w:pPr>
            <w:r>
              <w:rPr>
                <w:color w:val="3B5AA4"/>
              </w:rPr>
              <w:t>2025 vs. 2024</w:t>
            </w:r>
            <w:r>
              <w:rPr/>
              <w:br/>
            </w:r>
            <w:r>
              <w:rPr>
                <w:color w:val="3B5AA4"/>
              </w:rPr>
              <w:t>Change (%)</w:t>
            </w:r>
          </w:p>
        </w:tc>
        <w:tc>
          <w:tcPr>
            <w:tcW w:w="200" w:type="dxa"/>
            <w:tcBorders>
              <w:bottom w:val="single" w:sz="12" w:space="0" w:color="3B59A4"/>
            </w:tcBorders>
            <w:vAlign w:val="center"/>
          </w:tcPr>
          <w:p>
            <w:pPr>
              <w:pStyle w:val="TableContents"/>
              <w:bidi w:val="0"/>
              <w:spacing w:before="0" w:after="283"/>
              <w:jc w:val="left"/>
              <w:rPr/>
            </w:pPr>
            <w:r>
              <w:rPr/>
              <w:t> </w:t>
            </w:r>
          </w:p>
        </w:tc>
      </w:tr>
      <w:tr>
        <w:trPr/>
        <w:tc>
          <w:tcPr>
            <w:tcW w:w="3800" w:type="dxa"/>
            <w:tcBorders>
              <w:bottom w:val="single" w:sz="2" w:space="0" w:color="808080"/>
            </w:tcBorders>
            <w:tcMar>
              <w:bottom w:w="40" w:type="dxa"/>
            </w:tcMar>
            <w:vAlign w:val="center"/>
          </w:tcPr>
          <w:p>
            <w:pPr>
              <w:pStyle w:val="TableContents"/>
              <w:bidi w:val="0"/>
              <w:spacing w:before="0" w:after="283"/>
              <w:jc w:val="left"/>
              <w:rPr>
                <w:b/>
                <w:color w:val="3B5AA4"/>
              </w:rPr>
            </w:pPr>
            <w:r>
              <w:rPr>
                <w:b/>
                <w:color w:val="3B5AA4"/>
              </w:rPr>
              <w:t>Leonard S. Schleifer, M.D., Ph.D.</w:t>
            </w:r>
          </w:p>
        </w:tc>
        <w:tc>
          <w:tcPr>
            <w:tcW w:w="60" w:type="dxa"/>
            <w:tcBorders>
              <w:bottom w:val="single" w:sz="2" w:space="0" w:color="808080"/>
            </w:tcBorders>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tcMar>
              <w:bottom w:w="40" w:type="dxa"/>
            </w:tcMar>
            <w:vAlign w:val="center"/>
          </w:tcPr>
          <w:p>
            <w:pPr>
              <w:pStyle w:val="TableContents"/>
              <w:bidi w:val="0"/>
              <w:spacing w:before="0" w:after="283"/>
              <w:jc w:val="right"/>
              <w:rPr>
                <w:color w:val="231F20"/>
              </w:rPr>
            </w:pPr>
            <w:r>
              <w:rPr>
                <w:color w:val="231F20"/>
              </w:rPr>
              <w:t>1,941,100</w:t>
            </w:r>
          </w:p>
        </w:tc>
        <w:tc>
          <w:tcPr>
            <w:tcW w:w="185" w:type="dxa"/>
            <w:tcBorders>
              <w:bottom w:val="single" w:sz="2" w:space="0" w:color="808080"/>
            </w:tcBorders>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tcMar>
              <w:bottom w:w="40" w:type="dxa"/>
            </w:tcMar>
            <w:vAlign w:val="center"/>
          </w:tcPr>
          <w:p>
            <w:pPr>
              <w:pStyle w:val="TableContents"/>
              <w:bidi w:val="0"/>
              <w:spacing w:before="0" w:after="283"/>
              <w:jc w:val="right"/>
              <w:rPr>
                <w:color w:val="231F20"/>
              </w:rPr>
            </w:pPr>
            <w:r>
              <w:rPr>
                <w:color w:val="231F20"/>
              </w:rPr>
              <w:t>1,979,922</w:t>
            </w:r>
          </w:p>
        </w:tc>
        <w:tc>
          <w:tcPr>
            <w:tcW w:w="185" w:type="dxa"/>
            <w:tcBorders>
              <w:bottom w:val="single" w:sz="2" w:space="0" w:color="808080"/>
            </w:tcBorders>
            <w:tcMar>
              <w:bottom w:w="40" w:type="dxa"/>
            </w:tcMar>
            <w:vAlign w:val="center"/>
          </w:tcPr>
          <w:p>
            <w:pPr>
              <w:pStyle w:val="TableContents"/>
              <w:bidi w:val="0"/>
              <w:spacing w:before="0" w:after="283"/>
              <w:jc w:val="left"/>
              <w:rPr/>
            </w:pPr>
            <w:r>
              <w:rPr/>
              <w:t> </w:t>
            </w:r>
          </w:p>
        </w:tc>
        <w:tc>
          <w:tcPr>
            <w:tcW w:w="1370" w:type="dxa"/>
            <w:tcBorders>
              <w:bottom w:val="single" w:sz="2" w:space="0" w:color="808080"/>
            </w:tcBorders>
            <w:tcMar>
              <w:bottom w:w="40" w:type="dxa"/>
            </w:tcMar>
            <w:vAlign w:val="center"/>
          </w:tcPr>
          <w:p>
            <w:pPr>
              <w:pStyle w:val="TableContents"/>
              <w:bidi w:val="0"/>
              <w:spacing w:before="0" w:after="283"/>
              <w:jc w:val="right"/>
              <w:rPr>
                <w:color w:val="231F20"/>
              </w:rPr>
            </w:pPr>
            <w:r>
              <w:rPr>
                <w:color w:val="231F20"/>
              </w:rPr>
              <w:t>2.0</w:t>
            </w:r>
          </w:p>
        </w:tc>
        <w:tc>
          <w:tcPr>
            <w:tcW w:w="200" w:type="dxa"/>
            <w:tcBorders>
              <w:bottom w:val="single" w:sz="2" w:space="0" w:color="808080"/>
            </w:tcBorders>
            <w:vAlign w:val="center"/>
          </w:tcPr>
          <w:p>
            <w:pPr>
              <w:pStyle w:val="TableContents"/>
              <w:bidi w:val="0"/>
              <w:spacing w:before="0" w:after="283"/>
              <w:jc w:val="left"/>
              <w:rPr/>
            </w:pPr>
            <w:r>
              <w:rPr>
                <w:position w:val="8"/>
                <w:sz w:val="19"/>
              </w:rPr>
              <w:t>1</w:t>
            </w:r>
            <w:r>
              <w:rPr/>
              <w:t> </w:t>
            </w:r>
          </w:p>
        </w:tc>
      </w:tr>
      <w:tr>
        <w:trPr/>
        <w:tc>
          <w:tcPr>
            <w:tcW w:w="3800" w:type="dxa"/>
            <w:tcBorders>
              <w:bottom w:val="single" w:sz="2" w:space="0" w:color="808080"/>
            </w:tcBorders>
            <w:shd w:fill="EBECEC" w:val="clear"/>
            <w:tcMar>
              <w:bottom w:w="40" w:type="dxa"/>
            </w:tcMar>
            <w:vAlign w:val="center"/>
          </w:tcPr>
          <w:p>
            <w:pPr>
              <w:pStyle w:val="TableContents"/>
              <w:bidi w:val="0"/>
              <w:spacing w:before="0" w:after="283"/>
              <w:jc w:val="left"/>
              <w:rPr>
                <w:b/>
                <w:color w:val="3B5AA4"/>
              </w:rPr>
            </w:pPr>
            <w:r>
              <w:rPr>
                <w:b/>
                <w:color w:val="3B5AA4"/>
              </w:rPr>
              <w:t>George D. Yancopoulos, M.D., Ph.D.</w:t>
            </w:r>
          </w:p>
        </w:tc>
        <w:tc>
          <w:tcPr>
            <w:tcW w:w="60" w:type="dxa"/>
            <w:tcBorders>
              <w:bottom w:val="single" w:sz="2" w:space="0" w:color="808080"/>
            </w:tcBorders>
            <w:shd w:fill="EBECEC" w:val="clear"/>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shd w:fill="EBECEC" w:val="clear"/>
            <w:tcMar>
              <w:bottom w:w="40" w:type="dxa"/>
            </w:tcMar>
            <w:vAlign w:val="center"/>
          </w:tcPr>
          <w:p>
            <w:pPr>
              <w:pStyle w:val="TableContents"/>
              <w:bidi w:val="0"/>
              <w:spacing w:before="0" w:after="283"/>
              <w:jc w:val="right"/>
              <w:rPr>
                <w:color w:val="231F20"/>
              </w:rPr>
            </w:pPr>
            <w:r>
              <w:rPr>
                <w:color w:val="231F20"/>
              </w:rPr>
              <w:t xml:space="preserve">1,941,100 </w:t>
            </w:r>
          </w:p>
        </w:tc>
        <w:tc>
          <w:tcPr>
            <w:tcW w:w="185" w:type="dxa"/>
            <w:tcBorders>
              <w:bottom w:val="single" w:sz="2" w:space="0" w:color="808080"/>
            </w:tcBorders>
            <w:shd w:fill="EBECEC" w:val="clear"/>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shd w:fill="EBECEC" w:val="clear"/>
            <w:tcMar>
              <w:bottom w:w="40" w:type="dxa"/>
            </w:tcMar>
            <w:vAlign w:val="center"/>
          </w:tcPr>
          <w:p>
            <w:pPr>
              <w:pStyle w:val="TableContents"/>
              <w:bidi w:val="0"/>
              <w:spacing w:before="0" w:after="283"/>
              <w:jc w:val="right"/>
              <w:rPr>
                <w:color w:val="231F20"/>
              </w:rPr>
            </w:pPr>
            <w:r>
              <w:rPr>
                <w:color w:val="231F20"/>
              </w:rPr>
              <w:t xml:space="preserve">1,979,922 </w:t>
            </w:r>
          </w:p>
        </w:tc>
        <w:tc>
          <w:tcPr>
            <w:tcW w:w="185" w:type="dxa"/>
            <w:tcBorders>
              <w:bottom w:val="single" w:sz="2" w:space="0" w:color="808080"/>
            </w:tcBorders>
            <w:shd w:fill="EBECEC" w:val="clear"/>
            <w:tcMar>
              <w:bottom w:w="40" w:type="dxa"/>
            </w:tcMar>
            <w:vAlign w:val="center"/>
          </w:tcPr>
          <w:p>
            <w:pPr>
              <w:pStyle w:val="TableContents"/>
              <w:bidi w:val="0"/>
              <w:spacing w:before="0" w:after="283"/>
              <w:jc w:val="left"/>
              <w:rPr/>
            </w:pPr>
            <w:r>
              <w:rPr/>
              <w:t> </w:t>
            </w:r>
          </w:p>
        </w:tc>
        <w:tc>
          <w:tcPr>
            <w:tcW w:w="1370" w:type="dxa"/>
            <w:tcBorders>
              <w:bottom w:val="single" w:sz="2" w:space="0" w:color="808080"/>
            </w:tcBorders>
            <w:shd w:fill="EBECEC" w:val="clear"/>
            <w:tcMar>
              <w:bottom w:w="40" w:type="dxa"/>
            </w:tcMar>
            <w:vAlign w:val="center"/>
          </w:tcPr>
          <w:p>
            <w:pPr>
              <w:pStyle w:val="TableContents"/>
              <w:bidi w:val="0"/>
              <w:spacing w:before="0" w:after="283"/>
              <w:jc w:val="right"/>
              <w:rPr>
                <w:color w:val="231F20"/>
              </w:rPr>
            </w:pPr>
            <w:r>
              <w:rPr>
                <w:color w:val="231F20"/>
              </w:rPr>
              <w:t>2.0</w:t>
            </w:r>
          </w:p>
        </w:tc>
        <w:tc>
          <w:tcPr>
            <w:tcW w:w="200" w:type="dxa"/>
            <w:tcBorders>
              <w:bottom w:val="single" w:sz="2" w:space="0" w:color="808080"/>
            </w:tcBorders>
            <w:shd w:fill="EBECEC" w:val="clear"/>
            <w:vAlign w:val="center"/>
          </w:tcPr>
          <w:p>
            <w:pPr>
              <w:pStyle w:val="TableContents"/>
              <w:bidi w:val="0"/>
              <w:spacing w:before="0" w:after="283"/>
              <w:jc w:val="left"/>
              <w:rPr/>
            </w:pPr>
            <w:r>
              <w:rPr>
                <w:position w:val="8"/>
                <w:sz w:val="19"/>
              </w:rPr>
              <w:t>1</w:t>
            </w:r>
            <w:r>
              <w:rPr/>
              <w:t> </w:t>
            </w:r>
          </w:p>
        </w:tc>
      </w:tr>
      <w:tr>
        <w:trPr/>
        <w:tc>
          <w:tcPr>
            <w:tcW w:w="3800" w:type="dxa"/>
            <w:tcBorders>
              <w:bottom w:val="single" w:sz="2" w:space="0" w:color="808080"/>
            </w:tcBorders>
            <w:shd w:fill="FFFFFF" w:val="clear"/>
            <w:tcMar>
              <w:bottom w:w="40" w:type="dxa"/>
            </w:tcMar>
            <w:vAlign w:val="center"/>
          </w:tcPr>
          <w:p>
            <w:pPr>
              <w:pStyle w:val="TableContents"/>
              <w:bidi w:val="0"/>
              <w:spacing w:before="0" w:after="283"/>
              <w:jc w:val="left"/>
              <w:rPr>
                <w:b/>
                <w:color w:val="3B5AA4"/>
              </w:rPr>
            </w:pPr>
            <w:r>
              <w:rPr>
                <w:b/>
                <w:color w:val="3B5AA4"/>
              </w:rPr>
              <w:t>Christopher Fenimore</w:t>
            </w:r>
          </w:p>
        </w:tc>
        <w:tc>
          <w:tcPr>
            <w:tcW w:w="60" w:type="dxa"/>
            <w:tcBorders>
              <w:bottom w:val="single" w:sz="2" w:space="0" w:color="808080"/>
            </w:tcBorders>
            <w:shd w:fill="FFFFFF" w:val="clear"/>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shd w:fill="FFFFFF" w:val="clear"/>
            <w:tcMar>
              <w:bottom w:w="40" w:type="dxa"/>
            </w:tcMar>
            <w:vAlign w:val="center"/>
          </w:tcPr>
          <w:p>
            <w:pPr>
              <w:pStyle w:val="TableContents"/>
              <w:bidi w:val="0"/>
              <w:spacing w:before="0" w:after="283"/>
              <w:jc w:val="right"/>
              <w:rPr>
                <w:color w:val="231F20"/>
              </w:rPr>
            </w:pPr>
            <w:r>
              <w:rPr>
                <w:color w:val="231F20"/>
              </w:rPr>
              <w:t xml:space="preserve">660,000 </w:t>
            </w:r>
          </w:p>
        </w:tc>
        <w:tc>
          <w:tcPr>
            <w:tcW w:w="185" w:type="dxa"/>
            <w:tcBorders>
              <w:bottom w:val="single" w:sz="2" w:space="0" w:color="808080"/>
            </w:tcBorders>
            <w:shd w:fill="FFFFFF" w:val="clear"/>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shd w:fill="FFFFFF" w:val="clear"/>
            <w:tcMar>
              <w:bottom w:w="40" w:type="dxa"/>
            </w:tcMar>
            <w:vAlign w:val="center"/>
          </w:tcPr>
          <w:p>
            <w:pPr>
              <w:pStyle w:val="TableContents"/>
              <w:bidi w:val="0"/>
              <w:spacing w:before="0" w:after="283"/>
              <w:jc w:val="right"/>
              <w:rPr>
                <w:color w:val="231F20"/>
              </w:rPr>
            </w:pPr>
            <w:r>
              <w:rPr>
                <w:color w:val="231F20"/>
              </w:rPr>
              <w:t xml:space="preserve">725,000 </w:t>
            </w:r>
          </w:p>
        </w:tc>
        <w:tc>
          <w:tcPr>
            <w:tcW w:w="185" w:type="dxa"/>
            <w:tcBorders>
              <w:bottom w:val="single" w:sz="2" w:space="0" w:color="808080"/>
            </w:tcBorders>
            <w:shd w:fill="FFFFFF" w:val="clear"/>
            <w:tcMar>
              <w:bottom w:w="40" w:type="dxa"/>
            </w:tcMar>
            <w:vAlign w:val="center"/>
          </w:tcPr>
          <w:p>
            <w:pPr>
              <w:pStyle w:val="TableContents"/>
              <w:bidi w:val="0"/>
              <w:spacing w:before="0" w:after="283"/>
              <w:jc w:val="left"/>
              <w:rPr/>
            </w:pPr>
            <w:r>
              <w:rPr/>
              <w:t> </w:t>
            </w:r>
          </w:p>
        </w:tc>
        <w:tc>
          <w:tcPr>
            <w:tcW w:w="1370" w:type="dxa"/>
            <w:tcBorders>
              <w:bottom w:val="single" w:sz="2" w:space="0" w:color="808080"/>
            </w:tcBorders>
            <w:shd w:fill="FFFFFF" w:val="clear"/>
            <w:tcMar>
              <w:bottom w:w="40" w:type="dxa"/>
            </w:tcMar>
            <w:vAlign w:val="center"/>
          </w:tcPr>
          <w:p>
            <w:pPr>
              <w:pStyle w:val="TableContents"/>
              <w:bidi w:val="0"/>
              <w:spacing w:before="0" w:after="283"/>
              <w:jc w:val="right"/>
              <w:rPr>
                <w:color w:val="231F20"/>
              </w:rPr>
            </w:pPr>
            <w:r>
              <w:rPr>
                <w:color w:val="231F20"/>
              </w:rPr>
              <w:t>9.8</w:t>
            </w:r>
          </w:p>
        </w:tc>
        <w:tc>
          <w:tcPr>
            <w:tcW w:w="200" w:type="dxa"/>
            <w:tcBorders>
              <w:bottom w:val="single" w:sz="2" w:space="0" w:color="808080"/>
            </w:tcBorders>
            <w:shd w:fill="FFFFFF" w:val="clear"/>
            <w:vAlign w:val="center"/>
          </w:tcPr>
          <w:p>
            <w:pPr>
              <w:pStyle w:val="TableContents"/>
              <w:bidi w:val="0"/>
              <w:spacing w:before="0" w:after="283"/>
              <w:jc w:val="left"/>
              <w:rPr/>
            </w:pPr>
            <w:r>
              <w:rPr>
                <w:position w:val="8"/>
                <w:sz w:val="19"/>
              </w:rPr>
              <w:t>2</w:t>
            </w:r>
            <w:r>
              <w:rPr/>
              <w:t> </w:t>
            </w:r>
          </w:p>
        </w:tc>
      </w:tr>
      <w:tr>
        <w:trPr/>
        <w:tc>
          <w:tcPr>
            <w:tcW w:w="3800" w:type="dxa"/>
            <w:tcBorders>
              <w:bottom w:val="single" w:sz="2" w:space="0" w:color="808080"/>
            </w:tcBorders>
            <w:shd w:fill="EBECEC" w:val="clear"/>
            <w:tcMar>
              <w:bottom w:w="40" w:type="dxa"/>
            </w:tcMar>
            <w:vAlign w:val="center"/>
          </w:tcPr>
          <w:p>
            <w:pPr>
              <w:pStyle w:val="TableContents"/>
              <w:bidi w:val="0"/>
              <w:spacing w:before="0" w:after="283"/>
              <w:jc w:val="left"/>
              <w:rPr>
                <w:b/>
                <w:color w:val="3B5AA4"/>
              </w:rPr>
            </w:pPr>
            <w:r>
              <w:rPr>
                <w:b/>
                <w:color w:val="3B5AA4"/>
              </w:rPr>
              <w:t>Daniel P. Van Plew</w:t>
            </w:r>
          </w:p>
        </w:tc>
        <w:tc>
          <w:tcPr>
            <w:tcW w:w="60" w:type="dxa"/>
            <w:tcBorders>
              <w:bottom w:val="single" w:sz="2" w:space="0" w:color="808080"/>
            </w:tcBorders>
            <w:shd w:fill="EBECEC" w:val="clear"/>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shd w:fill="EBECEC" w:val="clear"/>
            <w:tcMar>
              <w:bottom w:w="40" w:type="dxa"/>
            </w:tcMar>
            <w:vAlign w:val="center"/>
          </w:tcPr>
          <w:p>
            <w:pPr>
              <w:pStyle w:val="TableContents"/>
              <w:bidi w:val="0"/>
              <w:spacing w:before="0" w:after="283"/>
              <w:jc w:val="right"/>
              <w:rPr>
                <w:color w:val="231F20"/>
              </w:rPr>
            </w:pPr>
            <w:r>
              <w:rPr>
                <w:color w:val="231F20"/>
              </w:rPr>
              <w:t xml:space="preserve">964,100 </w:t>
            </w:r>
          </w:p>
        </w:tc>
        <w:tc>
          <w:tcPr>
            <w:tcW w:w="185" w:type="dxa"/>
            <w:tcBorders>
              <w:bottom w:val="single" w:sz="2" w:space="0" w:color="808080"/>
            </w:tcBorders>
            <w:shd w:fill="EBECEC" w:val="clear"/>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shd w:fill="EBECEC" w:val="clear"/>
            <w:tcMar>
              <w:bottom w:w="40" w:type="dxa"/>
            </w:tcMar>
            <w:vAlign w:val="center"/>
          </w:tcPr>
          <w:p>
            <w:pPr>
              <w:pStyle w:val="TableContents"/>
              <w:bidi w:val="0"/>
              <w:spacing w:before="0" w:after="283"/>
              <w:jc w:val="right"/>
              <w:rPr>
                <w:color w:val="231F20"/>
              </w:rPr>
            </w:pPr>
            <w:r>
              <w:rPr>
                <w:color w:val="231F20"/>
              </w:rPr>
              <w:t xml:space="preserve">983,382 </w:t>
            </w:r>
          </w:p>
        </w:tc>
        <w:tc>
          <w:tcPr>
            <w:tcW w:w="185" w:type="dxa"/>
            <w:tcBorders>
              <w:bottom w:val="single" w:sz="2" w:space="0" w:color="808080"/>
            </w:tcBorders>
            <w:shd w:fill="EBECEC" w:val="clear"/>
            <w:tcMar>
              <w:bottom w:w="40" w:type="dxa"/>
            </w:tcMar>
            <w:vAlign w:val="center"/>
          </w:tcPr>
          <w:p>
            <w:pPr>
              <w:pStyle w:val="TableContents"/>
              <w:bidi w:val="0"/>
              <w:spacing w:before="0" w:after="283"/>
              <w:jc w:val="left"/>
              <w:rPr/>
            </w:pPr>
            <w:r>
              <w:rPr/>
              <w:t> </w:t>
            </w:r>
          </w:p>
        </w:tc>
        <w:tc>
          <w:tcPr>
            <w:tcW w:w="1370" w:type="dxa"/>
            <w:tcBorders>
              <w:bottom w:val="single" w:sz="2" w:space="0" w:color="808080"/>
            </w:tcBorders>
            <w:shd w:fill="EBECEC" w:val="clear"/>
            <w:tcMar>
              <w:bottom w:w="40" w:type="dxa"/>
            </w:tcMar>
            <w:vAlign w:val="center"/>
          </w:tcPr>
          <w:p>
            <w:pPr>
              <w:pStyle w:val="TableContents"/>
              <w:bidi w:val="0"/>
              <w:spacing w:before="0" w:after="283"/>
              <w:jc w:val="right"/>
              <w:rPr>
                <w:color w:val="231F20"/>
              </w:rPr>
            </w:pPr>
            <w:r>
              <w:rPr>
                <w:color w:val="231F20"/>
              </w:rPr>
              <w:t>2.0</w:t>
            </w:r>
          </w:p>
        </w:tc>
        <w:tc>
          <w:tcPr>
            <w:tcW w:w="200" w:type="dxa"/>
            <w:tcBorders>
              <w:bottom w:val="single" w:sz="2" w:space="0" w:color="808080"/>
            </w:tcBorders>
            <w:shd w:fill="EBECEC" w:val="clear"/>
            <w:vAlign w:val="center"/>
          </w:tcPr>
          <w:p>
            <w:pPr>
              <w:pStyle w:val="TableContents"/>
              <w:bidi w:val="0"/>
              <w:spacing w:before="0" w:after="283"/>
              <w:jc w:val="left"/>
              <w:rPr/>
            </w:pPr>
            <w:r>
              <w:rPr>
                <w:position w:val="8"/>
                <w:sz w:val="19"/>
              </w:rPr>
              <w:t>1</w:t>
            </w:r>
            <w:r>
              <w:rPr/>
              <w:t> </w:t>
            </w:r>
          </w:p>
        </w:tc>
      </w:tr>
      <w:tr>
        <w:trPr/>
        <w:tc>
          <w:tcPr>
            <w:tcW w:w="3800" w:type="dxa"/>
            <w:tcBorders>
              <w:bottom w:val="single" w:sz="2" w:space="0" w:color="808080"/>
            </w:tcBorders>
            <w:shd w:fill="FFFFFF" w:val="clear"/>
            <w:tcMar>
              <w:bottom w:w="40" w:type="dxa"/>
            </w:tcMar>
            <w:vAlign w:val="center"/>
          </w:tcPr>
          <w:p>
            <w:pPr>
              <w:pStyle w:val="TableContents"/>
              <w:bidi w:val="0"/>
              <w:spacing w:before="0" w:after="283"/>
              <w:jc w:val="left"/>
              <w:rPr>
                <w:b/>
                <w:color w:val="3B5AA4"/>
              </w:rPr>
            </w:pPr>
            <w:r>
              <w:rPr>
                <w:b/>
                <w:color w:val="3B5AA4"/>
              </w:rPr>
              <w:t>Andrew J. Murphy, Ph.D.</w:t>
            </w:r>
          </w:p>
        </w:tc>
        <w:tc>
          <w:tcPr>
            <w:tcW w:w="60" w:type="dxa"/>
            <w:tcBorders>
              <w:bottom w:val="single" w:sz="2" w:space="0" w:color="808080"/>
            </w:tcBorders>
            <w:shd w:fill="FFFFFF" w:val="clear"/>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shd w:fill="FFFFFF" w:val="clear"/>
            <w:tcMar>
              <w:bottom w:w="40" w:type="dxa"/>
            </w:tcMar>
            <w:vAlign w:val="center"/>
          </w:tcPr>
          <w:p>
            <w:pPr>
              <w:pStyle w:val="TableContents"/>
              <w:bidi w:val="0"/>
              <w:spacing w:before="0" w:after="283"/>
              <w:jc w:val="right"/>
              <w:rPr>
                <w:color w:val="231F20"/>
              </w:rPr>
            </w:pPr>
            <w:r>
              <w:rPr>
                <w:color w:val="231F20"/>
              </w:rPr>
              <w:t xml:space="preserve">803,600 </w:t>
            </w:r>
          </w:p>
        </w:tc>
        <w:tc>
          <w:tcPr>
            <w:tcW w:w="185" w:type="dxa"/>
            <w:tcBorders>
              <w:bottom w:val="single" w:sz="2" w:space="0" w:color="808080"/>
            </w:tcBorders>
            <w:shd w:fill="FFFFFF" w:val="clear"/>
            <w:tcMar>
              <w:bottom w:w="40" w:type="dxa"/>
            </w:tcMar>
            <w:vAlign w:val="center"/>
          </w:tcPr>
          <w:p>
            <w:pPr>
              <w:pStyle w:val="TableContents"/>
              <w:bidi w:val="0"/>
              <w:spacing w:before="0" w:after="283"/>
              <w:jc w:val="left"/>
              <w:rPr/>
            </w:pPr>
            <w:r>
              <w:rPr/>
              <w:t> </w:t>
            </w:r>
          </w:p>
        </w:tc>
        <w:tc>
          <w:tcPr>
            <w:tcW w:w="1040" w:type="dxa"/>
            <w:tcBorders>
              <w:bottom w:val="single" w:sz="2" w:space="0" w:color="808080"/>
            </w:tcBorders>
            <w:shd w:fill="FFFFFF" w:val="clear"/>
            <w:tcMar>
              <w:bottom w:w="40" w:type="dxa"/>
            </w:tcMar>
            <w:vAlign w:val="center"/>
          </w:tcPr>
          <w:p>
            <w:pPr>
              <w:pStyle w:val="TableContents"/>
              <w:bidi w:val="0"/>
              <w:spacing w:before="0" w:after="283"/>
              <w:jc w:val="right"/>
              <w:rPr>
                <w:color w:val="231F20"/>
              </w:rPr>
            </w:pPr>
            <w:r>
              <w:rPr>
                <w:color w:val="231F20"/>
              </w:rPr>
              <w:t xml:space="preserve">819,672 </w:t>
            </w:r>
          </w:p>
        </w:tc>
        <w:tc>
          <w:tcPr>
            <w:tcW w:w="185" w:type="dxa"/>
            <w:tcBorders>
              <w:bottom w:val="single" w:sz="2" w:space="0" w:color="808080"/>
            </w:tcBorders>
            <w:shd w:fill="FFFFFF" w:val="clear"/>
            <w:tcMar>
              <w:bottom w:w="40" w:type="dxa"/>
            </w:tcMar>
            <w:vAlign w:val="center"/>
          </w:tcPr>
          <w:p>
            <w:pPr>
              <w:pStyle w:val="TableContents"/>
              <w:bidi w:val="0"/>
              <w:spacing w:before="0" w:after="283"/>
              <w:jc w:val="left"/>
              <w:rPr/>
            </w:pPr>
            <w:r>
              <w:rPr/>
              <w:t> </w:t>
            </w:r>
          </w:p>
        </w:tc>
        <w:tc>
          <w:tcPr>
            <w:tcW w:w="1370" w:type="dxa"/>
            <w:tcBorders>
              <w:bottom w:val="single" w:sz="2" w:space="0" w:color="808080"/>
            </w:tcBorders>
            <w:shd w:fill="FFFFFF" w:val="clear"/>
            <w:tcMar>
              <w:bottom w:w="40" w:type="dxa"/>
            </w:tcMar>
            <w:vAlign w:val="center"/>
          </w:tcPr>
          <w:p>
            <w:pPr>
              <w:pStyle w:val="TableContents"/>
              <w:bidi w:val="0"/>
              <w:spacing w:before="0" w:after="283"/>
              <w:jc w:val="right"/>
              <w:rPr>
                <w:color w:val="231F20"/>
              </w:rPr>
            </w:pPr>
            <w:r>
              <w:rPr>
                <w:color w:val="231F20"/>
              </w:rPr>
              <w:t>2.0</w:t>
            </w:r>
          </w:p>
        </w:tc>
        <w:tc>
          <w:tcPr>
            <w:tcW w:w="200" w:type="dxa"/>
            <w:tcBorders>
              <w:bottom w:val="single" w:sz="2" w:space="0" w:color="808080"/>
            </w:tcBorders>
            <w:shd w:fill="FFFFFF" w:val="clear"/>
            <w:vAlign w:val="center"/>
          </w:tcPr>
          <w:p>
            <w:pPr>
              <w:pStyle w:val="TableContents"/>
              <w:bidi w:val="0"/>
              <w:spacing w:before="0" w:after="283"/>
              <w:jc w:val="left"/>
              <w:rPr/>
            </w:pPr>
            <w:r>
              <w:rPr>
                <w:position w:val="8"/>
                <w:sz w:val="19"/>
              </w:rPr>
              <w:t>1</w:t>
            </w:r>
            <w:r>
              <w:rPr/>
              <w:t> </w:t>
            </w:r>
          </w:p>
        </w:tc>
      </w:tr>
      <w:tr>
        <w:trPr/>
        <w:tc>
          <w:tcPr>
            <w:tcW w:w="3800" w:type="dxa"/>
            <w:tcBorders>
              <w:bottom w:val="single" w:sz="12" w:space="0" w:color="3B5AA4"/>
            </w:tcBorders>
            <w:shd w:fill="EBECEC" w:val="clear"/>
            <w:tcMar>
              <w:bottom w:w="40" w:type="dxa"/>
            </w:tcMar>
            <w:vAlign w:val="center"/>
          </w:tcPr>
          <w:p>
            <w:pPr>
              <w:pStyle w:val="TableContents"/>
              <w:bidi w:val="0"/>
              <w:spacing w:before="0" w:after="283"/>
              <w:jc w:val="left"/>
              <w:rPr>
                <w:b/>
                <w:color w:val="3B5AA4"/>
              </w:rPr>
            </w:pPr>
            <w:r>
              <w:rPr>
                <w:b/>
                <w:color w:val="3B5AA4"/>
              </w:rPr>
              <w:t xml:space="preserve">Robert E. Landry </w:t>
            </w:r>
            <w:r>
              <w:rPr>
                <w:b/>
                <w:i/>
                <w:color w:val="3B5AA4"/>
              </w:rPr>
              <w:t>(retired)</w:t>
            </w:r>
          </w:p>
        </w:tc>
        <w:tc>
          <w:tcPr>
            <w:tcW w:w="60" w:type="dxa"/>
            <w:tcBorders>
              <w:bottom w:val="single" w:sz="12" w:space="0" w:color="3B5AA4"/>
            </w:tcBorders>
            <w:shd w:fill="EBECEC" w:val="clear"/>
            <w:tcMar>
              <w:bottom w:w="40" w:type="dxa"/>
            </w:tcMar>
            <w:vAlign w:val="center"/>
          </w:tcPr>
          <w:p>
            <w:pPr>
              <w:pStyle w:val="TableContents"/>
              <w:bidi w:val="0"/>
              <w:spacing w:before="0" w:after="283"/>
              <w:jc w:val="left"/>
              <w:rPr/>
            </w:pPr>
            <w:r>
              <w:rPr/>
              <w:t> </w:t>
            </w:r>
          </w:p>
        </w:tc>
        <w:tc>
          <w:tcPr>
            <w:tcW w:w="1040" w:type="dxa"/>
            <w:tcBorders>
              <w:bottom w:val="single" w:sz="12" w:space="0" w:color="3B5AA4"/>
            </w:tcBorders>
            <w:shd w:fill="EBECEC" w:val="clear"/>
            <w:tcMar>
              <w:bottom w:w="40" w:type="dxa"/>
            </w:tcMar>
            <w:vAlign w:val="center"/>
          </w:tcPr>
          <w:p>
            <w:pPr>
              <w:pStyle w:val="TableContents"/>
              <w:bidi w:val="0"/>
              <w:spacing w:before="0" w:after="283"/>
              <w:jc w:val="right"/>
              <w:rPr>
                <w:color w:val="231F20"/>
              </w:rPr>
            </w:pPr>
            <w:r>
              <w:rPr>
                <w:color w:val="231F20"/>
              </w:rPr>
              <w:t>255,530</w:t>
            </w:r>
          </w:p>
        </w:tc>
        <w:tc>
          <w:tcPr>
            <w:tcW w:w="185" w:type="dxa"/>
            <w:tcBorders>
              <w:bottom w:val="single" w:sz="12" w:space="0" w:color="3B5AA4"/>
            </w:tcBorders>
            <w:shd w:fill="EBECEC" w:val="clear"/>
            <w:tcMar>
              <w:bottom w:w="40" w:type="dxa"/>
            </w:tcMar>
            <w:vAlign w:val="center"/>
          </w:tcPr>
          <w:p>
            <w:pPr>
              <w:pStyle w:val="TableContents"/>
              <w:bidi w:val="0"/>
              <w:spacing w:before="0" w:after="283"/>
              <w:jc w:val="left"/>
              <w:rPr/>
            </w:pPr>
            <w:r>
              <w:rPr>
                <w:position w:val="8"/>
                <w:sz w:val="19"/>
              </w:rPr>
              <w:t>3</w:t>
            </w:r>
            <w:r>
              <w:rPr/>
              <w:t> </w:t>
            </w:r>
          </w:p>
        </w:tc>
        <w:tc>
          <w:tcPr>
            <w:tcW w:w="1040" w:type="dxa"/>
            <w:tcBorders>
              <w:bottom w:val="single" w:sz="12" w:space="0" w:color="3B5AA4"/>
            </w:tcBorders>
            <w:shd w:fill="EBECEC" w:val="clear"/>
            <w:tcMar>
              <w:bottom w:w="40" w:type="dxa"/>
            </w:tcMar>
            <w:vAlign w:val="center"/>
          </w:tcPr>
          <w:p>
            <w:pPr>
              <w:pStyle w:val="TableContents"/>
              <w:bidi w:val="0"/>
              <w:spacing w:before="0" w:after="283"/>
              <w:jc w:val="right"/>
              <w:rPr>
                <w:color w:val="231F20"/>
              </w:rPr>
            </w:pPr>
            <w:r>
              <w:rPr>
                <w:color w:val="231F20"/>
              </w:rPr>
              <w:t>N/A</w:t>
            </w:r>
          </w:p>
        </w:tc>
        <w:tc>
          <w:tcPr>
            <w:tcW w:w="185" w:type="dxa"/>
            <w:tcBorders>
              <w:bottom w:val="single" w:sz="12" w:space="0" w:color="3B5AA4"/>
            </w:tcBorders>
            <w:shd w:fill="EBECEC" w:val="clear"/>
            <w:tcMar>
              <w:bottom w:w="40" w:type="dxa"/>
            </w:tcMar>
            <w:vAlign w:val="center"/>
          </w:tcPr>
          <w:p>
            <w:pPr>
              <w:pStyle w:val="TableContents"/>
              <w:bidi w:val="0"/>
              <w:spacing w:before="0" w:after="283"/>
              <w:jc w:val="left"/>
              <w:rPr/>
            </w:pPr>
            <w:r>
              <w:rPr>
                <w:position w:val="8"/>
                <w:sz w:val="19"/>
              </w:rPr>
              <w:t>3</w:t>
            </w:r>
            <w:r>
              <w:rPr/>
              <w:t> </w:t>
            </w:r>
          </w:p>
        </w:tc>
        <w:tc>
          <w:tcPr>
            <w:tcW w:w="1370" w:type="dxa"/>
            <w:tcBorders>
              <w:bottom w:val="single" w:sz="12" w:space="0" w:color="3B5AA4"/>
            </w:tcBorders>
            <w:shd w:fill="EBECEC" w:val="clear"/>
            <w:tcMar>
              <w:bottom w:w="40" w:type="dxa"/>
            </w:tcMar>
            <w:vAlign w:val="center"/>
          </w:tcPr>
          <w:p>
            <w:pPr>
              <w:pStyle w:val="TableContents"/>
              <w:bidi w:val="0"/>
              <w:spacing w:before="0" w:after="283"/>
              <w:jc w:val="right"/>
              <w:rPr>
                <w:color w:val="231F20"/>
              </w:rPr>
            </w:pPr>
            <w:r>
              <w:rPr>
                <w:color w:val="231F20"/>
              </w:rPr>
              <w:t>N/A</w:t>
            </w:r>
          </w:p>
        </w:tc>
        <w:tc>
          <w:tcPr>
            <w:tcW w:w="200" w:type="dxa"/>
            <w:tcBorders>
              <w:bottom w:val="single" w:sz="12" w:space="0" w:color="3B5AA4"/>
            </w:tcBorders>
            <w:shd w:fill="EBECEC" w:val="clear"/>
            <w:vAlign w:val="center"/>
          </w:tcPr>
          <w:p>
            <w:pPr>
              <w:pStyle w:val="TableContents"/>
              <w:bidi w:val="0"/>
              <w:spacing w:before="0" w:after="283"/>
              <w:jc w:val="left"/>
              <w:rPr/>
            </w:pPr>
            <w:r>
              <w:rPr>
                <w:position w:val="8"/>
                <w:sz w:val="19"/>
              </w:rPr>
              <w:t>3</w:t>
            </w:r>
            <w:r>
              <w:rPr/>
              <w:t> </w:t>
            </w:r>
          </w:p>
        </w:tc>
      </w:tr>
    </w:tbl>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Reflects a 2.0% merit increase consistent with the Company’s salary budget for officers.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Reflects (i) a 2.0% merit increase consistent with the Company’s salary budget for officers and (ii) a base salary adjustment of $51,800 in connection with Mr. Fenimore’s promotion to Executive Vice President to ensure greater competitiveness and alignment with relevant market metrics.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10065" w:type="dxa"/>
            <w:tcBorders/>
            <w:vAlign w:val="center"/>
          </w:tcPr>
          <w:p>
            <w:pPr>
              <w:pStyle w:val="TableContents"/>
              <w:bidi w:val="0"/>
              <w:spacing w:before="0" w:after="283"/>
              <w:jc w:val="left"/>
              <w:rPr>
                <w:color w:val="231F20"/>
              </w:rPr>
            </w:pPr>
            <w:r>
              <w:rPr>
                <w:color w:val="231F20"/>
              </w:rPr>
              <w:t>Mr. Landry retired from full-time employment with the Company effective February 2024. See footnote 9 to the Summary Compensation Table for more information on the amount reported in the “2024 Base Salary” column of this table.</w:t>
            </w:r>
          </w:p>
        </w:tc>
      </w:tr>
    </w:tbl>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03"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84" descr=""/>
                          <pic:cNvPicPr>
                            <a:picLocks noChangeAspect="1" noChangeArrowheads="1"/>
                          </pic:cNvPicPr>
                        </pic:nvPicPr>
                        <pic:blipFill>
                          <a:blip r:embed="rId296"/>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87" w:name="regn013211-def14aa060"/>
      <w:bookmarkStart w:id="88" w:name="lregnb012"/>
      <w:bookmarkEnd w:id="87"/>
      <w:bookmarkEnd w:id="88"/>
      <w:r>
        <w:rPr>
          <w:rFonts w:ascii="Arial;Helvetica;Sans-Serif" w:hAnsi="Arial;Helvetica;Sans-Serif"/>
          <w:b/>
          <w:i w:val="false"/>
          <w:caps w:val="false"/>
          <w:smallCaps w:val="false"/>
          <w:color w:val="C60C45"/>
          <w:sz w:val="28"/>
        </w:rPr>
        <w:t>Annual Cash Incentives</w:t>
      </w:r>
    </w:p>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NEOs are eligible for cash incentives based on annual performance. We use these annual incentive opportunities to reward short-term achievements and milestones towards our long-term goals.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focus on our overall corporate performance to determine the cash incentive payouts of our CEO and our CSO. Our other NEOs’ cash incentive payouts are assessed on both our overall corporate performance and on their individual contributions. As shown in the table below, the annual cash incentive opportunity for each NEO in 2024 was a function of the NEO’s cash incentive target (as a percentage of base salary); the weight and multiplier for the corporate performance component; and, if applicable, the weight and multiplier for the individual performance component. Each NEO’s cash incentive target as a percentage of base salary has remained the same for the last three years.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How We Calculate Our Cash Incentive Awards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jc w:val="center"/>
        <w:rPr>
          <w:caps w:val="false"/>
          <w:smallCaps w:val="false"/>
          <w:color w:val="3B5AA4"/>
        </w:rPr>
      </w:pPr>
      <w:r>
        <w:rPr>
          <w:caps w:val="false"/>
          <w:smallCaps w:val="false"/>
          <w:color w:val="3B5AA4"/>
        </w:rPr>
        <w:drawing>
          <wp:inline distT="0" distB="0" distL="0" distR="0">
            <wp:extent cx="7019925" cy="2019300"/>
            <wp:effectExtent l="0" t="0" r="0" b="0"/>
            <wp:docPr id="304"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85" descr=""/>
                    <pic:cNvPicPr>
                      <a:picLocks noChangeAspect="1" noChangeArrowheads="1"/>
                    </pic:cNvPicPr>
                  </pic:nvPicPr>
                  <pic:blipFill>
                    <a:blip r:embed="rId297"/>
                    <a:stretch>
                      <a:fillRect/>
                    </a:stretch>
                  </pic:blipFill>
                  <pic:spPr bwMode="auto">
                    <a:xfrm>
                      <a:off x="0" y="0"/>
                      <a:ext cx="7019925" cy="2019300"/>
                    </a:xfrm>
                    <a:prstGeom prst="rect">
                      <a:avLst/>
                    </a:prstGeom>
                  </pic:spPr>
                </pic:pic>
              </a:graphicData>
            </a:graphic>
          </wp:inline>
        </w:drawing>
      </w:r>
    </w:p>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231F20"/>
              </w:rPr>
            </w:pPr>
            <w:r>
              <w:rPr>
                <w:color w:val="231F20"/>
              </w:rPr>
              <w:t>*</w:t>
            </w:r>
          </w:p>
        </w:tc>
        <w:tc>
          <w:tcPr>
            <w:tcW w:w="10050" w:type="dxa"/>
            <w:tcBorders/>
            <w:vAlign w:val="center"/>
          </w:tcPr>
          <w:p>
            <w:pPr>
              <w:pStyle w:val="TableContents"/>
              <w:bidi w:val="0"/>
              <w:spacing w:before="0" w:after="283"/>
              <w:jc w:val="left"/>
              <w:rPr>
                <w:color w:val="231F20"/>
              </w:rPr>
            </w:pPr>
            <w:r>
              <w:rPr>
                <w:color w:val="231F20"/>
              </w:rPr>
              <w:t>Reflects the historical range used by the Compensation Committee. In extraordinary cases, the Committee may exceed this range. The range for the corporate performance multiplier shown above has been exceeded only once in the last decade.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Using this formula, cash incentives are typically capped at 200% of target for our CEO and CSO and 180% of target for our other NEOs. </w:t>
      </w:r>
      <w:r>
        <w:rPr>
          <w:rFonts w:ascii="Arial;Helvetica;Sans-Serif" w:hAnsi="Arial;Helvetica;Sans-Serif"/>
          <w:b w:val="false"/>
          <w:i w:val="false"/>
          <w:caps w:val="false"/>
          <w:smallCaps w:val="false"/>
          <w:color w:val="231F20"/>
          <w:sz w:val="18"/>
        </w:rPr>
        <w:t>In addition, cash incentives for each NEO and certain other senior executives are capped at the amounts previously allocated to such executives by the Compensation Committee when setting up the cash incentive pool under the Cash Incentive Bonus Plan toward the beginning of every calendar year. See “Compensation Dashboard—Additional Compensation Information—Annual Cash Incentives.”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Corporate Performance</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Compensation Committee utilizes an in-depth process to review the Company’s performance every year, culminating in the Committee’s determination of the Company performance multiplier for cash incentives awarded at year-end. This process (enhanced in 2023 in response to shareholder feedback to provide more rigor to the Committee’s decision-making process and to foster consistency in its decisions year to year) is detailed below.</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6324600" cy="2409825"/>
            <wp:effectExtent l="0" t="0" r="0" b="0"/>
            <wp:docPr id="305"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86" descr=""/>
                    <pic:cNvPicPr>
                      <a:picLocks noChangeAspect="1" noChangeArrowheads="1"/>
                    </pic:cNvPicPr>
                  </pic:nvPicPr>
                  <pic:blipFill>
                    <a:blip r:embed="rId298"/>
                    <a:stretch>
                      <a:fillRect/>
                    </a:stretch>
                  </pic:blipFill>
                  <pic:spPr bwMode="auto">
                    <a:xfrm>
                      <a:off x="0" y="0"/>
                      <a:ext cx="6324600" cy="2409825"/>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06"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87" descr=""/>
                          <pic:cNvPicPr>
                            <a:picLocks noChangeAspect="1" noChangeArrowheads="1"/>
                          </pic:cNvPicPr>
                        </pic:nvPicPr>
                        <pic:blipFill>
                          <a:blip r:embed="rId29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C60C45"/>
          <w:sz w:val="18"/>
        </w:rPr>
        <w:t>Pre-Set Performance Milestones</w:t>
      </w:r>
      <w:r>
        <w:rPr>
          <w:rFonts w:ascii="Arial;Helvetica;Sans-Serif" w:hAnsi="Arial;Helvetica;Sans-Serif"/>
          <w:b w:val="false"/>
          <w:i w:val="false"/>
          <w:caps w:val="false"/>
          <w:smallCaps w:val="false"/>
          <w:color w:val="231F20"/>
          <w:sz w:val="18"/>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At the regularly scheduled meeting of the board of directors in January of each year, management presents a targeted selection of potential milestones for the upcoming year that, if achieved, would have a substantial impact on the short-, medium-, and/or long-term success of the Company. These milestones are generally focused on our product pipeline and development in recognition of the importance of innovation as a key component of the Company’s business strategy and valuation, as well as the critical role of the development pipeline in the Company’s long-term success. Throughout the year, the board of directors is apprised of key developments related to these milestones. At the end of the year, the Committee receives a final presentation on Company performance for the year, which includes a discussion of whether and to what extent the select milestones have been achieved in the given year as well as a more detailed overview of achievements and developments across the organization. This presentation is accompanied by management’s assessment of Company performance for the year. The Committee then conducts its own assessment of the Company’s performance and determines the Company performance multiplier for the year.</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C60C45"/>
          <w:sz w:val="18"/>
        </w:rPr>
        <w:t>Initial Assessment – Review of Performance Across Organization</w:t>
      </w:r>
      <w:r>
        <w:rPr>
          <w:rFonts w:ascii="Arial;Helvetica;Sans-Serif" w:hAnsi="Arial;Helvetica;Sans-Serif"/>
          <w:b w:val="false"/>
          <w:i w:val="false"/>
          <w:caps w:val="false"/>
          <w:smallCaps w:val="false"/>
          <w:color w:val="231F20"/>
          <w:sz w:val="18"/>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Committee begins its assessment with a review of performance across the entire organization to establish a baseline for the Company performance multiplier, taking into account the Company milestones for the year in review. As part of the baseline assessment, the Committee also considers additional performance factors in the following three categories: (i) product pipeline and development (primary factors); (ii) finance and operations (secondary factors); and (iii) talent, culture, and corporate responsibility (secondary factors) (see the subsection “Compensation Dashboard—Additional Compensation Information—Annual Cash Incentives” for additional information regarding the types of additional performance factors considered). This process is designed to ensure that the Committee’s initial assessment encompasses not only the Company’s progress toward the milestone goals set at the beginning of the year but also other relevant factors and new developments (both positive and negative), including their impact on the milestone goals. In the Committee’s view, this approach is appropriate given the dynamic nature of the industry in which Regeneron operates and the Company’s need for flexibility to “follow the science” while pursuing its mission over the course of a given year.</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C60C45"/>
          <w:sz w:val="18"/>
        </w:rPr>
        <w:t>Potential Upward/Downward Adjustment for “Transformational” Achievements/Significant Underperformance</w:t>
      </w:r>
      <w:r>
        <w:rPr>
          <w:rFonts w:ascii="Arial;Helvetica;Sans-Serif" w:hAnsi="Arial;Helvetica;Sans-Serif"/>
          <w:b w:val="false"/>
          <w:i w:val="false"/>
          <w:caps w:val="false"/>
          <w:smallCaps w:val="false"/>
          <w:color w:val="231F20"/>
          <w:sz w:val="18"/>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Committee then applies the framework’s criteria for upward or downward adjustments to the baseline multiplier. In general, the framework provides for an upward adjustment for “transformational” achievements – i.e., those the Committee considers to have significantly impacted, or which the Committee expects will significantly impact, the practice of medicine or standard of care, patient access to medicine, or the ability to treat or cure patients of disease for which no such treatment or cure currently exists. The framework also generally requires that the Committee make a downward adjustment in the event the Company underperforms in an area that adversely affects the business in a significant manner. While the milestones presented to the board of directors every January serve as a reference point for the Committee in identifying potential “transformational” achievements, the framework does not limit the Committee’s consideration to those milestones for the reasons discussed in connection with the initial assessment above.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7067550" cy="2781300"/>
            <wp:effectExtent l="0" t="0" r="0" b="0"/>
            <wp:docPr id="307"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88" descr=""/>
                    <pic:cNvPicPr>
                      <a:picLocks noChangeAspect="1" noChangeArrowheads="1"/>
                    </pic:cNvPicPr>
                  </pic:nvPicPr>
                  <pic:blipFill>
                    <a:blip r:embed="rId300"/>
                    <a:stretch>
                      <a:fillRect/>
                    </a:stretch>
                  </pic:blipFill>
                  <pic:spPr bwMode="auto">
                    <a:xfrm>
                      <a:off x="0" y="0"/>
                      <a:ext cx="7067550" cy="2781300"/>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08"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89" descr=""/>
                          <pic:cNvPicPr>
                            <a:picLocks noChangeAspect="1" noChangeArrowheads="1"/>
                          </pic:cNvPicPr>
                        </pic:nvPicPr>
                        <pic:blipFill>
                          <a:blip r:embed="rId30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Shown below are the most significant of the 2024 milestones identified at the beginning of the year and Regeneron’s 2024 progress toward achieving them.</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28" w:type="dxa"/>
          <w:right w:w="0" w:type="dxa"/>
        </w:tblCellMar>
      </w:tblPr>
      <w:tblGrid>
        <w:gridCol w:w="1350"/>
        <w:gridCol w:w="60"/>
        <w:gridCol w:w="7142"/>
        <w:gridCol w:w="60"/>
        <w:gridCol w:w="1593"/>
      </w:tblGrid>
      <w:tr>
        <w:trPr/>
        <w:tc>
          <w:tcPr>
            <w:tcW w:w="1350" w:type="dxa"/>
            <w:tcBorders>
              <w:bottom w:val="single" w:sz="12" w:space="0" w:color="3B5AA4"/>
            </w:tcBorders>
            <w:vAlign w:val="center"/>
          </w:tcPr>
          <w:p>
            <w:pPr>
              <w:pStyle w:val="TableContents"/>
              <w:bidi w:val="0"/>
              <w:spacing w:before="0" w:after="283"/>
              <w:jc w:val="left"/>
              <w:rPr>
                <w:color w:val="3B5AA4"/>
              </w:rPr>
            </w:pPr>
            <w:r>
              <w:rPr>
                <w:color w:val="3B5AA4"/>
              </w:rPr>
              <w:t>Program(s)</w:t>
            </w:r>
          </w:p>
        </w:tc>
        <w:tc>
          <w:tcPr>
            <w:tcW w:w="60" w:type="dxa"/>
            <w:tcBorders>
              <w:bottom w:val="single" w:sz="12" w:space="0" w:color="3B5AA4"/>
            </w:tcBorders>
            <w:vAlign w:val="center"/>
          </w:tcPr>
          <w:p>
            <w:pPr>
              <w:pStyle w:val="TableContents"/>
              <w:bidi w:val="0"/>
              <w:spacing w:before="0" w:after="283"/>
              <w:jc w:val="left"/>
              <w:rPr/>
            </w:pPr>
            <w:r>
              <w:rPr/>
              <w:t> </w:t>
            </w:r>
          </w:p>
        </w:tc>
        <w:tc>
          <w:tcPr>
            <w:tcW w:w="7142" w:type="dxa"/>
            <w:tcBorders>
              <w:bottom w:val="single" w:sz="12" w:space="0" w:color="3B5AA4"/>
            </w:tcBorders>
            <w:vAlign w:val="center"/>
          </w:tcPr>
          <w:p>
            <w:pPr>
              <w:pStyle w:val="TableContents"/>
              <w:bidi w:val="0"/>
              <w:spacing w:before="0" w:after="283"/>
              <w:jc w:val="left"/>
              <w:rPr>
                <w:color w:val="3B5AA4"/>
              </w:rPr>
            </w:pPr>
            <w:r>
              <w:rPr>
                <w:color w:val="3B5AA4"/>
              </w:rPr>
              <w:t>Milestone(s)</w:t>
            </w:r>
          </w:p>
        </w:tc>
        <w:tc>
          <w:tcPr>
            <w:tcW w:w="60" w:type="dxa"/>
            <w:tcBorders>
              <w:bottom w:val="single" w:sz="12" w:space="0" w:color="3B5AA4"/>
            </w:tcBorders>
            <w:shd w:fill="E8EAF6" w:val="clear"/>
            <w:vAlign w:val="center"/>
          </w:tcPr>
          <w:p>
            <w:pPr>
              <w:pStyle w:val="TableContents"/>
              <w:bidi w:val="0"/>
              <w:spacing w:before="0" w:after="283"/>
              <w:jc w:val="right"/>
              <w:rPr/>
            </w:pPr>
            <w:r>
              <w:rPr/>
              <w:t> </w:t>
            </w:r>
          </w:p>
        </w:tc>
        <w:tc>
          <w:tcPr>
            <w:tcW w:w="1593" w:type="dxa"/>
            <w:tcBorders>
              <w:bottom w:val="single" w:sz="12" w:space="0" w:color="3B5AA4"/>
            </w:tcBorders>
            <w:shd w:fill="E8EAF6" w:val="clear"/>
            <w:vAlign w:val="center"/>
          </w:tcPr>
          <w:p>
            <w:pPr>
              <w:pStyle w:val="TableContents"/>
              <w:bidi w:val="0"/>
              <w:spacing w:before="0" w:after="283"/>
              <w:jc w:val="left"/>
              <w:rPr/>
            </w:pPr>
            <w:r>
              <w:rPr/>
              <w:t>Status</w:t>
            </w:r>
          </w:p>
        </w:tc>
      </w:tr>
      <w:tr>
        <w:trPr/>
        <w:tc>
          <w:tcPr>
            <w:tcW w:w="1350" w:type="dxa"/>
            <w:vMerge w:val="restart"/>
            <w:tcBorders>
              <w:bottom w:val="single" w:sz="2" w:space="0" w:color="939598"/>
            </w:tcBorders>
            <w:tcMar>
              <w:bottom w:w="40" w:type="dxa"/>
            </w:tcMar>
            <w:vAlign w:val="center"/>
          </w:tcPr>
          <w:p>
            <w:pPr>
              <w:pStyle w:val="TableContents"/>
              <w:bidi w:val="0"/>
              <w:spacing w:before="0" w:after="283"/>
              <w:jc w:val="left"/>
              <w:rPr/>
            </w:pPr>
            <w:r>
              <w:rPr>
                <w:b/>
                <w:color w:val="231F20"/>
              </w:rPr>
              <w:t>EYLEA HD</w:t>
            </w:r>
            <w:r>
              <w:rPr/>
              <w:br/>
            </w:r>
            <w:r>
              <w:rPr>
                <w:b/>
                <w:color w:val="231F20"/>
              </w:rPr>
              <w:t>and EYLEA</w:t>
            </w:r>
          </w:p>
        </w:tc>
        <w:tc>
          <w:tcPr>
            <w:tcW w:w="60" w:type="dxa"/>
            <w:tcBorders/>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color w:val="231F20"/>
              </w:rPr>
            </w:pPr>
            <w:r>
              <w:rPr>
                <w:color w:val="231F20"/>
              </w:rPr>
              <w:t>Obtain permanent J-code for EYLEA HD</w:t>
            </w:r>
          </w:p>
        </w:tc>
        <w:tc>
          <w:tcPr>
            <w:tcW w:w="60" w:type="dxa"/>
            <w:tcBorders>
              <w:bottom w:val="single" w:sz="2" w:space="0" w:color="939598"/>
            </w:tcBorders>
            <w:shd w:fill="E8EAF6" w:val="clear"/>
            <w:tcMar>
              <w:bottom w:w="40" w:type="dxa"/>
            </w:tcMar>
            <w:vAlign w:val="center"/>
          </w:tcPr>
          <w:p>
            <w:pPr>
              <w:pStyle w:val="TableContents"/>
              <w:bidi w:val="0"/>
              <w:spacing w:before="0" w:after="283"/>
              <w:jc w:val="righ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p>
        </w:tc>
      </w:tr>
      <w:tr>
        <w:trPr/>
        <w:tc>
          <w:tcPr>
            <w:tcW w:w="1350" w:type="dxa"/>
            <w:vMerge w:val="continue"/>
            <w:tcBorders>
              <w:bottom w:val="single" w:sz="2" w:space="0" w:color="939598"/>
            </w:tcBorders>
            <w:tcMar>
              <w:bottom w:w="4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color w:val="231F20"/>
              </w:rPr>
            </w:pPr>
            <w:r>
              <w:rPr>
                <w:color w:val="231F20"/>
              </w:rPr>
              <w:t>Achieve pre-set internal goal for full-year U.S. net product sales of EYLEA HD  </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sz w:val="4"/>
                <w:szCs w:val="4"/>
              </w:rPr>
            </w:pPr>
            <w:r>
              <w:rPr>
                <w:sz w:val="4"/>
                <w:szCs w:val="4"/>
              </w:rPr>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231F20"/>
              </w:rPr>
            </w:pPr>
            <w:r>
              <w:rPr>
                <w:b/>
                <w:color w:val="231F20"/>
              </w:rPr>
              <w:t>Not Achieved</w:t>
            </w:r>
          </w:p>
        </w:tc>
      </w:tr>
      <w:tr>
        <w:trPr/>
        <w:tc>
          <w:tcPr>
            <w:tcW w:w="1350" w:type="dxa"/>
            <w:vMerge w:val="continue"/>
            <w:tcBorders>
              <w:bottom w:val="single" w:sz="2" w:space="0" w:color="939598"/>
            </w:tcBorders>
            <w:tcMar>
              <w:bottom w:w="40" w:type="dxa"/>
            </w:tcMar>
            <w:vAlign w:val="center"/>
          </w:tcPr>
          <w:p>
            <w:pPr>
              <w:pStyle w:val="Normal"/>
              <w:bidi w:val="0"/>
              <w:jc w:val="left"/>
              <w:rPr/>
            </w:pPr>
            <w:r>
              <w:rPr/>
            </w:r>
          </w:p>
        </w:tc>
        <w:tc>
          <w:tcPr>
            <w:tcW w:w="60" w:type="dxa"/>
            <w:tcBorders>
              <w:bottom w:val="single" w:sz="2" w:space="0" w:color="939598"/>
            </w:tcBorders>
            <w:tcMar>
              <w:bottom w:w="4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color w:val="231F20"/>
              </w:rPr>
            </w:pPr>
            <w:r>
              <w:rPr>
                <w:color w:val="231F20"/>
              </w:rPr>
              <w:t>Achieve pre-set internal goal for full-year U.S. net product sales of EYLEA</w:t>
            </w:r>
          </w:p>
        </w:tc>
        <w:tc>
          <w:tcPr>
            <w:tcW w:w="60" w:type="dxa"/>
            <w:tcBorders>
              <w:bottom w:val="single" w:sz="2" w:space="0" w:color="939598"/>
            </w:tcBorders>
            <w:shd w:fill="E8EAF6" w:val="clear"/>
            <w:tcMar>
              <w:bottom w:w="40" w:type="dxa"/>
            </w:tcMar>
            <w:vAlign w:val="center"/>
          </w:tcPr>
          <w:p>
            <w:pPr>
              <w:pStyle w:val="TableContents"/>
              <w:bidi w:val="0"/>
              <w:spacing w:before="0" w:after="283"/>
              <w:jc w:val="righ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r>
              <w:rPr>
                <w:b/>
                <w:color w:val="C60C45"/>
                <w:position w:val="8"/>
                <w:sz w:val="19"/>
              </w:rPr>
              <w:t>1</w:t>
            </w:r>
          </w:p>
        </w:tc>
      </w:tr>
      <w:tr>
        <w:trPr/>
        <w:tc>
          <w:tcPr>
            <w:tcW w:w="1350" w:type="dxa"/>
            <w:vMerge w:val="restart"/>
            <w:tcBorders>
              <w:bottom w:val="single" w:sz="2" w:space="0" w:color="939598"/>
            </w:tcBorders>
            <w:shd w:fill="E4E5E6" w:val="clear"/>
            <w:tcMar>
              <w:bottom w:w="40" w:type="dxa"/>
            </w:tcMar>
            <w:vAlign w:val="center"/>
          </w:tcPr>
          <w:p>
            <w:pPr>
              <w:pStyle w:val="TableContents"/>
              <w:bidi w:val="0"/>
              <w:spacing w:before="0" w:after="283"/>
              <w:jc w:val="left"/>
              <w:rPr>
                <w:b/>
                <w:color w:val="231F20"/>
              </w:rPr>
            </w:pPr>
            <w:r>
              <w:rPr>
                <w:b/>
                <w:color w:val="231F20"/>
              </w:rPr>
              <w:t>Dupixent</w:t>
            </w:r>
          </w:p>
        </w:tc>
        <w:tc>
          <w:tcPr>
            <w:tcW w:w="60" w:type="dxa"/>
            <w:tcBorders/>
            <w:shd w:fill="E4E5E6" w:val="clear"/>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shd w:fill="E4E5E6" w:val="clear"/>
            <w:tcMar>
              <w:bottom w:w="40" w:type="dxa"/>
            </w:tcMar>
            <w:vAlign w:val="center"/>
          </w:tcPr>
          <w:p>
            <w:pPr>
              <w:pStyle w:val="TableContents"/>
              <w:bidi w:val="0"/>
              <w:spacing w:before="0" w:after="283"/>
              <w:jc w:val="left"/>
              <w:rPr>
                <w:color w:val="231F20"/>
              </w:rPr>
            </w:pPr>
            <w:r>
              <w:rPr>
                <w:color w:val="231F20"/>
              </w:rPr>
              <w:t>Achieve pre-set internal goal for global net product sales</w:t>
            </w:r>
          </w:p>
        </w:tc>
        <w:tc>
          <w:tcPr>
            <w:tcW w:w="60" w:type="dxa"/>
            <w:tcBorders>
              <w:bottom w:val="single" w:sz="2" w:space="0" w:color="939598"/>
            </w:tcBorders>
            <w:shd w:fill="E8EAF6" w:val="clear"/>
            <w:tcMar>
              <w:bottom w:w="40" w:type="dxa"/>
            </w:tcMar>
            <w:vAlign w:val="center"/>
          </w:tcPr>
          <w:p>
            <w:pPr>
              <w:pStyle w:val="TableContents"/>
              <w:bidi w:val="0"/>
              <w:spacing w:before="0" w:after="283"/>
              <w:jc w:val="righ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r>
              <w:rPr>
                <w:b/>
                <w:color w:val="C60C45"/>
                <w:position w:val="8"/>
                <w:sz w:val="19"/>
              </w:rPr>
              <w:t>1</w:t>
            </w:r>
          </w:p>
        </w:tc>
      </w:tr>
      <w:tr>
        <w:trPr/>
        <w:tc>
          <w:tcPr>
            <w:tcW w:w="1350" w:type="dxa"/>
            <w:vMerge w:val="continue"/>
            <w:tcBorders>
              <w:bottom w:val="single" w:sz="2" w:space="0" w:color="939598"/>
            </w:tcBorders>
            <w:shd w:fill="E4E5E6" w:val="clear"/>
            <w:tcMar>
              <w:bottom w:w="40" w:type="dxa"/>
            </w:tcMar>
            <w:vAlign w:val="center"/>
          </w:tcPr>
          <w:p>
            <w:pPr>
              <w:pStyle w:val="Normal"/>
              <w:bidi w:val="0"/>
              <w:jc w:val="left"/>
              <w:rPr/>
            </w:pPr>
            <w:r>
              <w:rPr/>
            </w:r>
          </w:p>
        </w:tc>
        <w:tc>
          <w:tcPr>
            <w:tcW w:w="60" w:type="dxa"/>
            <w:tcBorders>
              <w:bottom w:val="single" w:sz="2" w:space="0" w:color="939598"/>
            </w:tcBorders>
            <w:shd w:fill="E4E5E6" w:val="clear"/>
            <w:tcMar>
              <w:bottom w:w="40" w:type="dxa"/>
            </w:tcMar>
            <w:vAlign w:val="center"/>
          </w:tcPr>
          <w:p>
            <w:pPr>
              <w:pStyle w:val="TableContents"/>
              <w:bidi w:val="0"/>
              <w:spacing w:before="0" w:after="283"/>
              <w:jc w:val="left"/>
              <w:rPr/>
            </w:pPr>
            <w:r>
              <w:rPr/>
              <w:t> </w:t>
            </w:r>
          </w:p>
        </w:tc>
        <w:tc>
          <w:tcPr>
            <w:tcW w:w="7142" w:type="dxa"/>
            <w:tcBorders>
              <w:bottom w:val="single" w:sz="2" w:space="0" w:color="939598"/>
            </w:tcBorders>
            <w:shd w:fill="E4E5E6" w:val="clear"/>
            <w:tcMar>
              <w:bottom w:w="40" w:type="dxa"/>
            </w:tcMar>
            <w:vAlign w:val="center"/>
          </w:tcPr>
          <w:p>
            <w:pPr>
              <w:pStyle w:val="TableContents"/>
              <w:bidi w:val="0"/>
              <w:spacing w:before="0" w:after="283"/>
              <w:jc w:val="left"/>
              <w:rPr>
                <w:color w:val="231F20"/>
              </w:rPr>
            </w:pPr>
            <w:r>
              <w:rPr>
                <w:color w:val="231F20"/>
              </w:rPr>
              <w:t>Obtain FDA approval for, and launch, Dupixent in eosinophilic COPD</w:t>
            </w:r>
          </w:p>
        </w:tc>
        <w:tc>
          <w:tcPr>
            <w:tcW w:w="60" w:type="dxa"/>
            <w:tcBorders>
              <w:bottom w:val="single" w:sz="2" w:space="0" w:color="939598"/>
            </w:tcBorders>
            <w:shd w:fill="E8EAF6" w:val="clear"/>
            <w:tcMar>
              <w:bottom w:w="40" w:type="dxa"/>
            </w:tcMar>
            <w:vAlign w:val="center"/>
          </w:tcPr>
          <w:p>
            <w:pPr>
              <w:pStyle w:val="TableContents"/>
              <w:bidi w:val="0"/>
              <w:spacing w:before="0" w:after="283"/>
              <w:jc w:val="righ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p>
        </w:tc>
      </w:tr>
      <w:tr>
        <w:trPr/>
        <w:tc>
          <w:tcPr>
            <w:tcW w:w="1350" w:type="dxa"/>
            <w:tcBorders>
              <w:bottom w:val="single" w:sz="2" w:space="0" w:color="939598"/>
            </w:tcBorders>
            <w:tcMar>
              <w:bottom w:w="40" w:type="dxa"/>
            </w:tcMar>
            <w:vAlign w:val="center"/>
          </w:tcPr>
          <w:p>
            <w:pPr>
              <w:pStyle w:val="TableContents"/>
              <w:bidi w:val="0"/>
              <w:spacing w:before="0" w:after="283"/>
              <w:jc w:val="left"/>
              <w:rPr>
                <w:b/>
                <w:color w:val="231F20"/>
              </w:rPr>
            </w:pPr>
            <w:r>
              <w:rPr>
                <w:b/>
                <w:color w:val="231F20"/>
              </w:rPr>
              <w:t>Libtayo</w:t>
            </w:r>
          </w:p>
        </w:tc>
        <w:tc>
          <w:tcPr>
            <w:tcW w:w="60" w:type="dxa"/>
            <w:tcBorders>
              <w:bottom w:val="single" w:sz="2" w:space="0" w:color="939598"/>
            </w:tcBorders>
            <w:tcMar>
              <w:bottom w:w="4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color w:val="231F20"/>
              </w:rPr>
            </w:pPr>
            <w:r>
              <w:rPr>
                <w:color w:val="231F20"/>
              </w:rPr>
              <w:t>Achieve pre-set internal goal for global net product sales</w:t>
            </w:r>
          </w:p>
        </w:tc>
        <w:tc>
          <w:tcPr>
            <w:tcW w:w="60" w:type="dxa"/>
            <w:tcBorders>
              <w:bottom w:val="single" w:sz="2" w:space="0" w:color="939598"/>
            </w:tcBorders>
            <w:shd w:fill="E8EAF6" w:val="clear"/>
            <w:tcMar>
              <w:bottom w:w="40" w:type="dxa"/>
            </w:tcMar>
            <w:vAlign w:val="center"/>
          </w:tcPr>
          <w:p>
            <w:pPr>
              <w:pStyle w:val="TableContents"/>
              <w:bidi w:val="0"/>
              <w:spacing w:before="0" w:after="283"/>
              <w:jc w:val="righ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r>
              <w:rPr>
                <w:b/>
                <w:color w:val="C60C45"/>
                <w:position w:val="8"/>
                <w:sz w:val="19"/>
              </w:rPr>
              <w:t>1</w:t>
            </w:r>
          </w:p>
        </w:tc>
      </w:tr>
      <w:tr>
        <w:trPr/>
        <w:tc>
          <w:tcPr>
            <w:tcW w:w="1350" w:type="dxa"/>
            <w:vMerge w:val="restart"/>
            <w:tcBorders>
              <w:bottom w:val="single" w:sz="2" w:space="0" w:color="939598"/>
            </w:tcBorders>
            <w:shd w:fill="E4E5E6" w:val="clear"/>
            <w:tcMar>
              <w:bottom w:w="40" w:type="dxa"/>
            </w:tcMar>
            <w:vAlign w:val="center"/>
          </w:tcPr>
          <w:p>
            <w:pPr>
              <w:pStyle w:val="TableContents"/>
              <w:bidi w:val="0"/>
              <w:spacing w:before="0" w:after="283"/>
              <w:jc w:val="left"/>
              <w:rPr>
                <w:b/>
                <w:color w:val="231F20"/>
              </w:rPr>
            </w:pPr>
            <w:r>
              <w:rPr>
                <w:b/>
                <w:color w:val="231F20"/>
              </w:rPr>
              <w:t>Oncology Programs</w:t>
            </w:r>
          </w:p>
        </w:tc>
        <w:tc>
          <w:tcPr>
            <w:tcW w:w="60" w:type="dxa"/>
            <w:tcBorders/>
            <w:shd w:fill="E4E5E6" w:val="clear"/>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shd w:fill="E4E5E6" w:val="clear"/>
            <w:tcMar>
              <w:bottom w:w="40" w:type="dxa"/>
            </w:tcMar>
            <w:vAlign w:val="center"/>
          </w:tcPr>
          <w:p>
            <w:pPr>
              <w:pStyle w:val="TableContents"/>
              <w:bidi w:val="0"/>
              <w:spacing w:before="0" w:after="283"/>
              <w:jc w:val="left"/>
              <w:rPr>
                <w:color w:val="231F20"/>
              </w:rPr>
            </w:pPr>
            <w:r>
              <w:rPr>
                <w:color w:val="231F20"/>
              </w:rPr>
              <w:t>Obtain FDA approval for, and launch, odronextamab in advanced lymphoma</w:t>
            </w:r>
          </w:p>
        </w:tc>
        <w:tc>
          <w:tcPr>
            <w:tcW w:w="60" w:type="dxa"/>
            <w:tcBorders>
              <w:bottom w:val="single" w:sz="2" w:space="0" w:color="939598"/>
            </w:tcBorders>
            <w:shd w:fill="E8EAF6" w:val="clear"/>
            <w:tcMar>
              <w:bottom w:w="40" w:type="dxa"/>
            </w:tcMar>
            <w:vAlign w:val="center"/>
          </w:tcPr>
          <w:p>
            <w:pPr>
              <w:pStyle w:val="TableContents"/>
              <w:bidi w:val="0"/>
              <w:spacing w:before="0" w:after="283"/>
              <w:jc w:val="righ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pPr>
            <w:r>
              <w:rPr>
                <w:b/>
                <w:color w:val="231F20"/>
              </w:rPr>
              <w:t>Not Achieved</w:t>
            </w:r>
            <w:r>
              <w:rPr>
                <w:b/>
                <w:color w:val="010101"/>
                <w:position w:val="8"/>
                <w:sz w:val="19"/>
              </w:rPr>
              <w:t>2</w:t>
            </w:r>
          </w:p>
        </w:tc>
      </w:tr>
      <w:tr>
        <w:trPr/>
        <w:tc>
          <w:tcPr>
            <w:tcW w:w="1350" w:type="dxa"/>
            <w:vMerge w:val="continue"/>
            <w:tcBorders>
              <w:bottom w:val="single" w:sz="2" w:space="0" w:color="939598"/>
            </w:tcBorders>
            <w:shd w:fill="E4E5E6" w:val="clear"/>
            <w:tcMar>
              <w:bottom w:w="40" w:type="dxa"/>
            </w:tcMar>
            <w:vAlign w:val="center"/>
          </w:tcPr>
          <w:p>
            <w:pPr>
              <w:pStyle w:val="Normal"/>
              <w:bidi w:val="0"/>
              <w:jc w:val="left"/>
              <w:rPr/>
            </w:pPr>
            <w:r>
              <w:rPr/>
            </w:r>
          </w:p>
        </w:tc>
        <w:tc>
          <w:tcPr>
            <w:tcW w:w="60" w:type="dxa"/>
            <w:tcBorders/>
            <w:shd w:fill="E4E5E6" w:val="clear"/>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shd w:fill="E4E5E6" w:val="clear"/>
            <w:tcMar>
              <w:bottom w:w="40" w:type="dxa"/>
            </w:tcMar>
            <w:vAlign w:val="center"/>
          </w:tcPr>
          <w:p>
            <w:pPr>
              <w:pStyle w:val="TableContents"/>
              <w:bidi w:val="0"/>
              <w:spacing w:before="0" w:after="283"/>
              <w:jc w:val="left"/>
              <w:rPr>
                <w:color w:val="231F20"/>
              </w:rPr>
            </w:pPr>
            <w:r>
              <w:rPr>
                <w:color w:val="231F20"/>
              </w:rPr>
              <w:t>Obtain FDA approval for, and launch, linvoseltamab in relapsed/refractory multiple myeloma</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pPr>
            <w:r>
              <w:rPr>
                <w:b/>
                <w:color w:val="231F20"/>
              </w:rPr>
              <w:t>Not Achieved</w:t>
            </w:r>
            <w:r>
              <w:rPr>
                <w:b/>
                <w:color w:val="010101"/>
                <w:position w:val="8"/>
                <w:sz w:val="19"/>
              </w:rPr>
              <w:t>3</w:t>
            </w:r>
          </w:p>
        </w:tc>
      </w:tr>
      <w:tr>
        <w:trPr/>
        <w:tc>
          <w:tcPr>
            <w:tcW w:w="1350" w:type="dxa"/>
            <w:vMerge w:val="continue"/>
            <w:tcBorders>
              <w:bottom w:val="single" w:sz="2" w:space="0" w:color="939598"/>
            </w:tcBorders>
            <w:shd w:fill="E4E5E6" w:val="clear"/>
            <w:tcMar>
              <w:bottom w:w="40" w:type="dxa"/>
            </w:tcMar>
            <w:vAlign w:val="center"/>
          </w:tcPr>
          <w:p>
            <w:pPr>
              <w:pStyle w:val="Normal"/>
              <w:bidi w:val="0"/>
              <w:jc w:val="left"/>
              <w:rPr/>
            </w:pPr>
            <w:r>
              <w:rPr/>
            </w:r>
          </w:p>
        </w:tc>
        <w:tc>
          <w:tcPr>
            <w:tcW w:w="60" w:type="dxa"/>
            <w:tcBorders/>
            <w:shd w:fill="E4E5E6" w:val="clear"/>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shd w:fill="E4E5E6" w:val="clear"/>
            <w:tcMar>
              <w:bottom w:w="40" w:type="dxa"/>
            </w:tcMar>
            <w:vAlign w:val="center"/>
          </w:tcPr>
          <w:p>
            <w:pPr>
              <w:pStyle w:val="TableContents"/>
              <w:bidi w:val="0"/>
              <w:spacing w:before="0" w:after="283"/>
              <w:jc w:val="left"/>
              <w:rPr/>
            </w:pPr>
            <w:r>
              <w:rPr>
                <w:color w:val="231F20"/>
              </w:rPr>
              <w:t>Report potentially pivotal results from Phase 3 study of Libtayo in</w:t>
            </w:r>
            <w:r>
              <w:rPr/>
              <w:t xml:space="preserve"> </w:t>
            </w:r>
            <w:r>
              <w:rPr>
                <w:color w:val="231F20"/>
              </w:rPr>
              <w:t>adjuvant CSCC</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r>
              <w:rPr>
                <w:b/>
                <w:color w:val="C60C45"/>
                <w:position w:val="8"/>
                <w:sz w:val="19"/>
              </w:rPr>
              <w:t>1</w:t>
            </w:r>
          </w:p>
        </w:tc>
      </w:tr>
      <w:tr>
        <w:trPr/>
        <w:tc>
          <w:tcPr>
            <w:tcW w:w="1350" w:type="dxa"/>
            <w:vMerge w:val="continue"/>
            <w:tcBorders>
              <w:bottom w:val="single" w:sz="2" w:space="0" w:color="939598"/>
            </w:tcBorders>
            <w:shd w:fill="E4E5E6" w:val="clear"/>
            <w:tcMar>
              <w:bottom w:w="40" w:type="dxa"/>
            </w:tcMar>
            <w:vAlign w:val="center"/>
          </w:tcPr>
          <w:p>
            <w:pPr>
              <w:pStyle w:val="Normal"/>
              <w:bidi w:val="0"/>
              <w:jc w:val="left"/>
              <w:rPr/>
            </w:pPr>
            <w:r>
              <w:rPr/>
            </w:r>
          </w:p>
        </w:tc>
        <w:tc>
          <w:tcPr>
            <w:tcW w:w="60" w:type="dxa"/>
            <w:tcBorders/>
            <w:shd w:fill="E4E5E6" w:val="clear"/>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shd w:fill="E4E5E6" w:val="clear"/>
            <w:tcMar>
              <w:bottom w:w="40" w:type="dxa"/>
            </w:tcMar>
            <w:vAlign w:val="center"/>
          </w:tcPr>
          <w:p>
            <w:pPr>
              <w:pStyle w:val="TableContents"/>
              <w:bidi w:val="0"/>
              <w:spacing w:before="0" w:after="283"/>
              <w:jc w:val="left"/>
              <w:rPr/>
            </w:pPr>
            <w:r>
              <w:rPr>
                <w:color w:val="231F20"/>
              </w:rPr>
              <w:t>Report potentially pivotal results from Phase 2/3 study of fianlimab in</w:t>
            </w:r>
            <w:r>
              <w:rPr/>
              <w:t xml:space="preserve"> </w:t>
            </w:r>
            <w:r>
              <w:rPr>
                <w:color w:val="231F20"/>
              </w:rPr>
              <w:t>combination with Libtayo in first-line metastatic melanoma</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pPr>
            <w:r>
              <w:rPr>
                <w:b/>
                <w:color w:val="231F20"/>
              </w:rPr>
              <w:t>No Longer</w:t>
            </w:r>
            <w:r>
              <w:rPr/>
              <w:t xml:space="preserve"> </w:t>
            </w:r>
            <w:r>
              <w:rPr>
                <w:b/>
                <w:color w:val="231F20"/>
              </w:rPr>
              <w:t>Applicable</w:t>
            </w:r>
            <w:r>
              <w:rPr>
                <w:b/>
                <w:color w:val="010101"/>
                <w:position w:val="8"/>
                <w:sz w:val="19"/>
              </w:rPr>
              <w:t>4</w:t>
            </w:r>
          </w:p>
        </w:tc>
      </w:tr>
      <w:tr>
        <w:trPr/>
        <w:tc>
          <w:tcPr>
            <w:tcW w:w="1350" w:type="dxa"/>
            <w:vMerge w:val="continue"/>
            <w:tcBorders>
              <w:bottom w:val="single" w:sz="2" w:space="0" w:color="939598"/>
            </w:tcBorders>
            <w:shd w:fill="E4E5E6" w:val="clear"/>
            <w:tcMar>
              <w:bottom w:w="40" w:type="dxa"/>
            </w:tcMar>
            <w:vAlign w:val="center"/>
          </w:tcPr>
          <w:p>
            <w:pPr>
              <w:pStyle w:val="Normal"/>
              <w:bidi w:val="0"/>
              <w:jc w:val="left"/>
              <w:rPr/>
            </w:pPr>
            <w:r>
              <w:rPr/>
            </w:r>
          </w:p>
        </w:tc>
        <w:tc>
          <w:tcPr>
            <w:tcW w:w="60" w:type="dxa"/>
            <w:tcBorders>
              <w:bottom w:val="single" w:sz="2" w:space="0" w:color="939598"/>
            </w:tcBorders>
            <w:shd w:fill="E4E5E6" w:val="clear"/>
            <w:tcMar>
              <w:bottom w:w="40" w:type="dxa"/>
            </w:tcMar>
            <w:vAlign w:val="center"/>
          </w:tcPr>
          <w:p>
            <w:pPr>
              <w:pStyle w:val="TableContents"/>
              <w:bidi w:val="0"/>
              <w:spacing w:before="0" w:after="283"/>
              <w:jc w:val="left"/>
              <w:rPr/>
            </w:pPr>
            <w:r>
              <w:rPr/>
              <w:t> </w:t>
            </w:r>
          </w:p>
        </w:tc>
        <w:tc>
          <w:tcPr>
            <w:tcW w:w="7142" w:type="dxa"/>
            <w:tcBorders>
              <w:bottom w:val="single" w:sz="2" w:space="0" w:color="939598"/>
            </w:tcBorders>
            <w:shd w:fill="E4E5E6" w:val="clear"/>
            <w:tcMar>
              <w:bottom w:w="40" w:type="dxa"/>
            </w:tcMar>
            <w:vAlign w:val="center"/>
          </w:tcPr>
          <w:p>
            <w:pPr>
              <w:pStyle w:val="TableContents"/>
              <w:bidi w:val="0"/>
              <w:spacing w:before="0" w:after="283"/>
              <w:jc w:val="left"/>
              <w:rPr/>
            </w:pPr>
            <w:r>
              <w:rPr>
                <w:color w:val="231F20"/>
              </w:rPr>
              <w:t>Confirm initial activity and tolerability/safety in dose-escalation portion of</w:t>
            </w:r>
            <w:r>
              <w:rPr/>
              <w:t xml:space="preserve"> </w:t>
            </w:r>
            <w:r>
              <w:rPr>
                <w:color w:val="231F20"/>
              </w:rPr>
              <w:t>Phase 1/2 study of REGN7075 (bispecific antibody targeting EGFR and</w:t>
            </w:r>
            <w:r>
              <w:rPr/>
              <w:t xml:space="preserve"> </w:t>
            </w:r>
            <w:r>
              <w:rPr>
                <w:color w:val="231F20"/>
              </w:rPr>
              <w:t>CD28) in combination with Libtayo in advanced solid tumors</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p>
        </w:tc>
      </w:tr>
      <w:tr>
        <w:trPr/>
        <w:tc>
          <w:tcPr>
            <w:tcW w:w="1350" w:type="dxa"/>
            <w:vMerge w:val="restart"/>
            <w:tcBorders>
              <w:bottom w:val="single" w:sz="12" w:space="0" w:color="3B5AA4"/>
            </w:tcBorders>
            <w:tcMar>
              <w:bottom w:w="40" w:type="dxa"/>
            </w:tcMar>
            <w:vAlign w:val="center"/>
          </w:tcPr>
          <w:p>
            <w:pPr>
              <w:pStyle w:val="TableContents"/>
              <w:bidi w:val="0"/>
              <w:spacing w:before="0" w:after="283"/>
              <w:jc w:val="left"/>
              <w:rPr>
                <w:b/>
                <w:color w:val="231F20"/>
              </w:rPr>
            </w:pPr>
            <w:r>
              <w:rPr>
                <w:b/>
                <w:color w:val="231F20"/>
              </w:rPr>
              <w:t>Other Programs</w:t>
            </w:r>
          </w:p>
        </w:tc>
        <w:tc>
          <w:tcPr>
            <w:tcW w:w="60" w:type="dxa"/>
            <w:tcBorders/>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pPr>
            <w:r>
              <w:rPr>
                <w:color w:val="231F20"/>
              </w:rPr>
              <w:t>Obtain proof of concept for linvoseltamab in monoclonal gammopathy of</w:t>
            </w:r>
            <w:r>
              <w:rPr/>
              <w:t xml:space="preserve"> </w:t>
            </w:r>
            <w:r>
              <w:rPr>
                <w:color w:val="231F20"/>
              </w:rPr>
              <w:t>undetermined significance</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231F20"/>
              </w:rPr>
            </w:pPr>
            <w:r>
              <w:rPr>
                <w:b/>
                <w:color w:val="231F20"/>
              </w:rPr>
              <w:t>Not Achieved</w:t>
            </w:r>
          </w:p>
        </w:tc>
      </w:tr>
      <w:tr>
        <w:trPr/>
        <w:tc>
          <w:tcPr>
            <w:tcW w:w="1350" w:type="dxa"/>
            <w:vMerge w:val="continue"/>
            <w:tcBorders>
              <w:bottom w:val="single" w:sz="12" w:space="0" w:color="3B5AA4"/>
            </w:tcBorders>
            <w:tcMar>
              <w:bottom w:w="4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pPr>
            <w:r>
              <w:rPr>
                <w:color w:val="231F20"/>
              </w:rPr>
              <w:t>Initiate and fully enroll Phase 2 study of trevogrumab (antibody to</w:t>
            </w:r>
            <w:r>
              <w:rPr/>
              <w:t xml:space="preserve"> </w:t>
            </w:r>
            <w:r>
              <w:rPr>
                <w:color w:val="231F20"/>
              </w:rPr>
              <w:t>myostatin) in combination with semaglutide with and without garetosmab</w:t>
            </w:r>
            <w:r>
              <w:rPr/>
              <w:t xml:space="preserve"> </w:t>
            </w:r>
            <w:r>
              <w:rPr>
                <w:color w:val="231F20"/>
              </w:rPr>
              <w:t>(antibody to Activin A) in obesity</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r>
              <w:rPr>
                <w:b/>
                <w:color w:val="C60C45"/>
                <w:position w:val="8"/>
                <w:sz w:val="19"/>
              </w:rPr>
              <w:t>1</w:t>
            </w:r>
          </w:p>
        </w:tc>
      </w:tr>
      <w:tr>
        <w:trPr/>
        <w:tc>
          <w:tcPr>
            <w:tcW w:w="1350" w:type="dxa"/>
            <w:vMerge w:val="continue"/>
            <w:tcBorders>
              <w:bottom w:val="single" w:sz="12" w:space="0" w:color="3B5AA4"/>
            </w:tcBorders>
            <w:tcMar>
              <w:bottom w:w="4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pPr>
            <w:r>
              <w:rPr>
                <w:color w:val="231F20"/>
              </w:rPr>
              <w:t>Report positive results from Phase 2 proof-of-concept trials of REGN9933</w:t>
            </w:r>
            <w:r>
              <w:rPr/>
              <w:t xml:space="preserve"> </w:t>
            </w:r>
            <w:r>
              <w:rPr>
                <w:color w:val="231F20"/>
              </w:rPr>
              <w:t>and REGN7508 (antibodies to Factor XI) in thrombosis to support initiation of Phase 3 trials</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pPr>
            <w:r>
              <w:rPr>
                <w:b/>
                <w:color w:val="C60C45"/>
              </w:rPr>
              <w:t>Achieved</w:t>
            </w:r>
            <w:r>
              <w:rPr>
                <w:b/>
                <w:color w:val="C60C45"/>
                <w:position w:val="8"/>
                <w:sz w:val="19"/>
              </w:rPr>
              <w:t>1</w:t>
            </w:r>
            <w:r>
              <w:rPr/>
              <w:t xml:space="preserve">  </w:t>
            </w:r>
          </w:p>
        </w:tc>
      </w:tr>
      <w:tr>
        <w:trPr/>
        <w:tc>
          <w:tcPr>
            <w:tcW w:w="1350" w:type="dxa"/>
            <w:vMerge w:val="continue"/>
            <w:tcBorders>
              <w:bottom w:val="single" w:sz="12" w:space="0" w:color="3B5AA4"/>
            </w:tcBorders>
            <w:tcMar>
              <w:bottom w:w="4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pPr>
            <w:r>
              <w:rPr>
                <w:color w:val="231F20"/>
              </w:rPr>
              <w:t>Complete enrollment of Phase 3 studies of itepekimab (antibody to</w:t>
            </w:r>
            <w:r>
              <w:rPr/>
              <w:t xml:space="preserve"> </w:t>
            </w:r>
            <w:r>
              <w:rPr>
                <w:color w:val="231F20"/>
              </w:rPr>
              <w:t>IL-33) in COPD</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p>
        </w:tc>
      </w:tr>
      <w:tr>
        <w:trPr/>
        <w:tc>
          <w:tcPr>
            <w:tcW w:w="1350" w:type="dxa"/>
            <w:vMerge w:val="continue"/>
            <w:tcBorders>
              <w:bottom w:val="single" w:sz="12" w:space="0" w:color="3B5AA4"/>
            </w:tcBorders>
            <w:tcMar>
              <w:bottom w:w="4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color w:val="231F20"/>
              </w:rPr>
            </w:pPr>
            <w:r>
              <w:rPr>
                <w:color w:val="231F20"/>
              </w:rPr>
              <w:t>Initiate Phase 1 study of Dupixent following transient linvoseltamab treatment in severe allergy</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w:t>
            </w:r>
          </w:p>
        </w:tc>
      </w:tr>
      <w:tr>
        <w:trPr/>
        <w:tc>
          <w:tcPr>
            <w:tcW w:w="1350" w:type="dxa"/>
            <w:vMerge w:val="continue"/>
            <w:tcBorders>
              <w:bottom w:val="single" w:sz="12" w:space="0" w:color="3B5AA4"/>
            </w:tcBorders>
            <w:tcMar>
              <w:bottom w:w="4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pPr>
            <w:r>
              <w:rPr>
                <w:color w:val="231F20"/>
              </w:rPr>
              <w:t>Obtain proof of concept for central nervous system siRNA program for a</w:t>
            </w:r>
            <w:r>
              <w:rPr/>
              <w:t xml:space="preserve"> </w:t>
            </w:r>
            <w:r>
              <w:rPr>
                <w:color w:val="231F20"/>
              </w:rPr>
              <w:t>biomarker of degeneration</w:t>
            </w:r>
          </w:p>
        </w:tc>
        <w:tc>
          <w:tcPr>
            <w:tcW w:w="60" w:type="dxa"/>
            <w:tcBorders>
              <w:bottom w:val="single" w:sz="2" w:space="0" w:color="939598"/>
            </w:tcBorders>
            <w:shd w:fill="E8EAF6" w:val="clear"/>
            <w:tcMar>
              <w:bottom w:w="40" w:type="dxa"/>
            </w:tcMar>
            <w:vAlign w:val="center"/>
          </w:tcPr>
          <w:p>
            <w:pPr>
              <w:pStyle w:val="TableContents"/>
              <w:bidi w:val="0"/>
              <w:spacing w:before="0" w:after="283"/>
              <w:jc w:val="lef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C60C45"/>
              </w:rPr>
            </w:pPr>
            <w:r>
              <w:rPr>
                <w:b/>
                <w:color w:val="C60C45"/>
              </w:rPr>
              <w:t>Achieved In Part</w:t>
            </w:r>
            <w:r>
              <w:rPr>
                <w:b/>
                <w:color w:val="C60C45"/>
                <w:position w:val="8"/>
                <w:sz w:val="19"/>
              </w:rPr>
              <w:t>5</w:t>
            </w:r>
          </w:p>
        </w:tc>
      </w:tr>
      <w:tr>
        <w:trPr/>
        <w:tc>
          <w:tcPr>
            <w:tcW w:w="1350" w:type="dxa"/>
            <w:vMerge w:val="continue"/>
            <w:tcBorders>
              <w:bottom w:val="single" w:sz="12" w:space="0" w:color="3B5AA4"/>
            </w:tcBorders>
            <w:tcMar>
              <w:bottom w:w="4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7142" w:type="dxa"/>
            <w:tcBorders>
              <w:bottom w:val="single" w:sz="2" w:space="0" w:color="939598"/>
            </w:tcBorders>
            <w:tcMar>
              <w:bottom w:w="40" w:type="dxa"/>
            </w:tcMar>
            <w:vAlign w:val="center"/>
          </w:tcPr>
          <w:p>
            <w:pPr>
              <w:pStyle w:val="TableContents"/>
              <w:bidi w:val="0"/>
              <w:spacing w:before="0" w:after="283"/>
              <w:jc w:val="left"/>
              <w:rPr>
                <w:color w:val="231F20"/>
              </w:rPr>
            </w:pPr>
            <w:r>
              <w:rPr>
                <w:color w:val="231F20"/>
              </w:rPr>
              <w:t>Obtain proof of concept for first-in-class Factor 9 gene insertion program</w:t>
            </w:r>
          </w:p>
        </w:tc>
        <w:tc>
          <w:tcPr>
            <w:tcW w:w="60" w:type="dxa"/>
            <w:tcBorders>
              <w:bottom w:val="single" w:sz="2" w:space="0" w:color="939598"/>
            </w:tcBorders>
            <w:shd w:fill="E8EAF6" w:val="clear"/>
            <w:tcMar>
              <w:bottom w:w="40" w:type="dxa"/>
            </w:tcMar>
            <w:vAlign w:val="center"/>
          </w:tcPr>
          <w:p>
            <w:pPr>
              <w:pStyle w:val="TableContents"/>
              <w:bidi w:val="0"/>
              <w:spacing w:before="0" w:after="283"/>
              <w:jc w:val="right"/>
              <w:rPr/>
            </w:pPr>
            <w:r>
              <w:rPr/>
              <w:t> </w:t>
            </w:r>
          </w:p>
        </w:tc>
        <w:tc>
          <w:tcPr>
            <w:tcW w:w="1593" w:type="dxa"/>
            <w:tcBorders>
              <w:bottom w:val="single" w:sz="2" w:space="0" w:color="939598"/>
            </w:tcBorders>
            <w:shd w:fill="E8EAF6" w:val="clear"/>
            <w:tcMar>
              <w:bottom w:w="40" w:type="dxa"/>
            </w:tcMar>
            <w:vAlign w:val="center"/>
          </w:tcPr>
          <w:p>
            <w:pPr>
              <w:pStyle w:val="TableContents"/>
              <w:bidi w:val="0"/>
              <w:spacing w:before="0" w:after="283"/>
              <w:jc w:val="left"/>
              <w:rPr>
                <w:b/>
                <w:color w:val="231F20"/>
              </w:rPr>
            </w:pPr>
            <w:r>
              <w:rPr>
                <w:b/>
                <w:color w:val="231F20"/>
              </w:rPr>
              <w:t>Not Achieved</w:t>
            </w:r>
          </w:p>
        </w:tc>
      </w:tr>
      <w:tr>
        <w:trPr/>
        <w:tc>
          <w:tcPr>
            <w:tcW w:w="1350" w:type="dxa"/>
            <w:vMerge w:val="continue"/>
            <w:tcBorders>
              <w:bottom w:val="single" w:sz="12" w:space="0" w:color="3B5AA4"/>
            </w:tcBorders>
            <w:tcMar>
              <w:bottom w:w="40" w:type="dxa"/>
            </w:tcMar>
            <w:vAlign w:val="center"/>
          </w:tcPr>
          <w:p>
            <w:pPr>
              <w:pStyle w:val="Normal"/>
              <w:bidi w:val="0"/>
              <w:jc w:val="left"/>
              <w:rPr/>
            </w:pPr>
            <w:r>
              <w:rPr/>
            </w:r>
          </w:p>
        </w:tc>
        <w:tc>
          <w:tcPr>
            <w:tcW w:w="60" w:type="dxa"/>
            <w:tcBorders>
              <w:bottom w:val="single" w:sz="12" w:space="0" w:color="3B5AA4"/>
            </w:tcBorders>
            <w:tcMar>
              <w:bottom w:w="40" w:type="dxa"/>
            </w:tcMar>
            <w:vAlign w:val="center"/>
          </w:tcPr>
          <w:p>
            <w:pPr>
              <w:pStyle w:val="TableContents"/>
              <w:bidi w:val="0"/>
              <w:spacing w:before="0" w:after="283"/>
              <w:jc w:val="left"/>
              <w:rPr/>
            </w:pPr>
            <w:r>
              <w:rPr/>
              <w:t> </w:t>
            </w:r>
          </w:p>
        </w:tc>
        <w:tc>
          <w:tcPr>
            <w:tcW w:w="7142" w:type="dxa"/>
            <w:tcBorders>
              <w:bottom w:val="single" w:sz="12" w:space="0" w:color="3B5AA4"/>
            </w:tcBorders>
            <w:tcMar>
              <w:bottom w:w="40" w:type="dxa"/>
            </w:tcMar>
            <w:vAlign w:val="center"/>
          </w:tcPr>
          <w:p>
            <w:pPr>
              <w:pStyle w:val="TableContents"/>
              <w:bidi w:val="0"/>
              <w:spacing w:before="0" w:after="283"/>
              <w:jc w:val="left"/>
              <w:rPr>
                <w:color w:val="231F20"/>
              </w:rPr>
            </w:pPr>
            <w:r>
              <w:rPr>
                <w:color w:val="231F20"/>
              </w:rPr>
              <w:t>Initiate CAR-T program for MUC16 in ovarian cancer</w:t>
            </w:r>
          </w:p>
        </w:tc>
        <w:tc>
          <w:tcPr>
            <w:tcW w:w="60" w:type="dxa"/>
            <w:tcBorders>
              <w:bottom w:val="single" w:sz="12" w:space="0" w:color="3B5AA4"/>
            </w:tcBorders>
            <w:shd w:fill="E8EAF6" w:val="clear"/>
            <w:tcMar>
              <w:bottom w:w="40" w:type="dxa"/>
            </w:tcMar>
            <w:vAlign w:val="center"/>
          </w:tcPr>
          <w:p>
            <w:pPr>
              <w:pStyle w:val="TableContents"/>
              <w:bidi w:val="0"/>
              <w:spacing w:before="0" w:after="283"/>
              <w:jc w:val="right"/>
              <w:rPr/>
            </w:pPr>
            <w:r>
              <w:rPr/>
              <w:t> </w:t>
            </w:r>
          </w:p>
        </w:tc>
        <w:tc>
          <w:tcPr>
            <w:tcW w:w="1593" w:type="dxa"/>
            <w:tcBorders>
              <w:bottom w:val="single" w:sz="12" w:space="0" w:color="3B5AA4"/>
            </w:tcBorders>
            <w:shd w:fill="E8EAF6" w:val="clear"/>
            <w:tcMar>
              <w:bottom w:w="40" w:type="dxa"/>
            </w:tcMar>
            <w:vAlign w:val="center"/>
          </w:tcPr>
          <w:p>
            <w:pPr>
              <w:pStyle w:val="TableContents"/>
              <w:bidi w:val="0"/>
              <w:spacing w:before="0" w:after="283"/>
              <w:jc w:val="left"/>
              <w:rPr>
                <w:b/>
                <w:color w:val="C60C45"/>
              </w:rPr>
            </w:pPr>
            <w:r>
              <w:rPr>
                <w:b/>
                <w:color w:val="C60C45"/>
              </w:rPr>
              <w:t>Achieved</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On track to be achieved by year-end as of the time the Committee made its final assessment of Company performance; actually achieved in 2024.</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The FDA issued Complete Response Letters for the applicable BLA; however, the sole approvability issue related to the enrollment status of the confirmatory trials. While regulatory approval was not achieved in the United States in 2024, regulatory approval in the European Union was obtained in August 2024. A BLA for odronextamab in R/R FL was resubmitted to, and accepted by, the FDA for review in the first quarter of 2025.</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10065" w:type="dxa"/>
            <w:tcBorders/>
            <w:vAlign w:val="center"/>
          </w:tcPr>
          <w:p>
            <w:pPr>
              <w:pStyle w:val="TableContents"/>
              <w:bidi w:val="0"/>
              <w:spacing w:before="0" w:after="283"/>
              <w:jc w:val="left"/>
              <w:rPr>
                <w:color w:val="231F20"/>
              </w:rPr>
            </w:pPr>
            <w:r>
              <w:rPr>
                <w:color w:val="231F20"/>
              </w:rPr>
              <w:t>The FDA issued a Complete Response Letter for the applicable BLA; however, the sole approvability issue related to findings from a pre-approval inspection at a third-party fill/finish manufacturer. A BLA for linvoseltamab in R/R multiple myeloma was resubmitted to, and accepted by, the FDA for review in the first quarter of 2025.</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10065" w:type="dxa"/>
            <w:tcBorders/>
            <w:vAlign w:val="center"/>
          </w:tcPr>
          <w:p>
            <w:pPr>
              <w:pStyle w:val="TableContents"/>
              <w:bidi w:val="0"/>
              <w:spacing w:before="0" w:after="283"/>
              <w:jc w:val="left"/>
              <w:rPr>
                <w:color w:val="231F20"/>
              </w:rPr>
            </w:pPr>
            <w:r>
              <w:rPr>
                <w:color w:val="231F20"/>
              </w:rPr>
              <w:t>The Company elected to forego the Phase 2 portion of this study in order to continue rapid enrollment and accelerate a pivotal data readout.</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10065" w:type="dxa"/>
            <w:tcBorders/>
            <w:vAlign w:val="center"/>
          </w:tcPr>
          <w:p>
            <w:pPr>
              <w:pStyle w:val="TableContents"/>
              <w:bidi w:val="0"/>
              <w:spacing w:before="0" w:after="283"/>
              <w:jc w:val="left"/>
              <w:rPr>
                <w:color w:val="231F20"/>
              </w:rPr>
            </w:pPr>
            <w:r>
              <w:rPr>
                <w:color w:val="231F20"/>
              </w:rPr>
              <w:t>This milestone was on track to be achieved in part by year-end as of the time the Committee made its final assessment of Company performance. The Committee also took into account that the program had been placed on a clinical hold by the FDA.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09"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90" descr=""/>
                          <pic:cNvPicPr>
                            <a:picLocks noChangeAspect="1" noChangeArrowheads="1"/>
                          </pic:cNvPicPr>
                        </pic:nvPicPr>
                        <pic:blipFill>
                          <a:blip r:embed="rId302"/>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Applying the framework described above, the Compensation Committee first established a baseline Company performance multiplier of 1.5 for 2024 based on the Company’s progress toward achieving the key milestones shown in the table above and the additional performance factors reviewed by the Committee. The Committee then applied the framework’s criteria for upward and downward adjustments to the baseline multiplier and concluded that any potential upward adjustments to the baseline multiplier on account of the Company’s “transformational” accomplishments (particularly those relating to the Company’s product pipeline) were offset by not achieving certain commercial, regulatory, and manufacturing goals (such as those relating to EYLEA HD 2024 U.S. net product sales and the delay in potential FDA approval of odronextamab and linvoseltamab). As a result, the Committee set the final Company performance multiplier for 2024 at 1.5. See the subsection “Compensation Dashboard—Additional Compensation Information—Annual Cash Incentives” for additional information.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Individual Performance</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personal performance multiplier may range from 0 to 1.5 for the NEOs with a personal performance component. For the explanation of individual factors considered in the cash incentive decisions, see the subsection “Compensation Dashboard—Additional Compensation Information—Annual Cash Incentives.”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2024 Earned Cash Incentives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determining the level of 2024 cash incentives earned, we calculated the NEOs’ respective target cash incentive amounts (which, for our CEO, represented approximately the median of the Peer Group) and applied the Company performance multiplier as determined by the Compensation Committee based on the Company’s 2024 performance. For the three current NEOs who also have a personal performance component, we also applied a personal performance multiplier. For these executives, the personal performance component had a 40% weighting and the Company performance component had a 60% weighting, consistent with prior years.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Based on the assessment of the degree of achievement of corporate goals and, where applicable, individual goals (discussed above and in the subsection “Compensation Dashboard—Additional Compensation Information—Annual Cash Incentives”) in the past year, our NEOs earned the followed cash incentives in 2024:</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2029"/>
        <w:gridCol w:w="60"/>
        <w:gridCol w:w="980"/>
        <w:gridCol w:w="185"/>
        <w:gridCol w:w="1141"/>
        <w:gridCol w:w="60"/>
        <w:gridCol w:w="950"/>
        <w:gridCol w:w="185"/>
        <w:gridCol w:w="1010"/>
        <w:gridCol w:w="215"/>
        <w:gridCol w:w="950"/>
        <w:gridCol w:w="185"/>
        <w:gridCol w:w="1010"/>
        <w:gridCol w:w="215"/>
        <w:gridCol w:w="1030"/>
      </w:tblGrid>
      <w:tr>
        <w:trPr/>
        <w:tc>
          <w:tcPr>
            <w:tcW w:w="20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vMerge w:val="restart"/>
            <w:tcBorders>
              <w:bottom w:val="single" w:sz="12" w:space="0" w:color="3B59A4"/>
            </w:tcBorders>
            <w:tcMar>
              <w:bottom w:w="28" w:type="dxa"/>
            </w:tcMar>
            <w:vAlign w:val="center"/>
          </w:tcPr>
          <w:p>
            <w:pPr>
              <w:pStyle w:val="TableContents"/>
              <w:bidi w:val="0"/>
              <w:spacing w:before="0" w:after="283"/>
              <w:jc w:val="right"/>
              <w:rPr/>
            </w:pPr>
            <w:r>
              <w:rPr>
                <w:color w:val="3B5AA4"/>
              </w:rPr>
              <w:t>2024</w:t>
            </w:r>
            <w:r>
              <w:rPr/>
              <w:t xml:space="preserve"> </w:t>
              <w:br/>
            </w:r>
            <w:r>
              <w:rPr>
                <w:color w:val="3B5AA4"/>
              </w:rPr>
              <w:t>Base</w:t>
              <w:br/>
              <w:t>Salary</w:t>
              <w:br/>
              <w:t>($)</w:t>
            </w:r>
          </w:p>
        </w:tc>
        <w:tc>
          <w:tcPr>
            <w:tcW w:w="185" w:type="dxa"/>
            <w:tcBorders/>
            <w:vAlign w:val="center"/>
          </w:tcPr>
          <w:p>
            <w:pPr>
              <w:pStyle w:val="TableContents"/>
              <w:bidi w:val="0"/>
              <w:spacing w:before="0" w:after="283"/>
              <w:jc w:val="center"/>
              <w:rPr/>
            </w:pPr>
            <w:r>
              <w:rPr/>
              <w:t> </w:t>
            </w:r>
          </w:p>
        </w:tc>
        <w:tc>
          <w:tcPr>
            <w:tcW w:w="1141" w:type="dxa"/>
            <w:vMerge w:val="restart"/>
            <w:tcBorders>
              <w:bottom w:val="single" w:sz="12" w:space="0" w:color="3B59A4"/>
            </w:tcBorders>
            <w:tcMar>
              <w:bottom w:w="28" w:type="dxa"/>
            </w:tcMar>
            <w:vAlign w:val="center"/>
          </w:tcPr>
          <w:p>
            <w:pPr>
              <w:pStyle w:val="TableContents"/>
              <w:bidi w:val="0"/>
              <w:spacing w:before="0" w:after="283"/>
              <w:jc w:val="center"/>
              <w:rPr/>
            </w:pPr>
            <w:r>
              <w:rPr>
                <w:color w:val="3B5AA4"/>
              </w:rPr>
              <w:t>Cash Incentive</w:t>
            </w:r>
            <w:r>
              <w:rPr/>
              <w:br/>
            </w:r>
            <w:r>
              <w:rPr>
                <w:color w:val="3B5AA4"/>
              </w:rPr>
              <w:t>Target</w:t>
              <w:br/>
              <w:t>(as percentage</w:t>
              <w:br/>
              <w:t>of base  salary)</w:t>
            </w:r>
          </w:p>
        </w:tc>
        <w:tc>
          <w:tcPr>
            <w:tcW w:w="60" w:type="dxa"/>
            <w:tcBorders/>
            <w:vAlign w:val="center"/>
          </w:tcPr>
          <w:p>
            <w:pPr>
              <w:pStyle w:val="TableContents"/>
              <w:bidi w:val="0"/>
              <w:spacing w:before="0" w:after="283"/>
              <w:jc w:val="center"/>
              <w:rPr/>
            </w:pPr>
            <w:r>
              <w:rPr/>
              <w:t> </w:t>
            </w:r>
          </w:p>
        </w:tc>
        <w:tc>
          <w:tcPr>
            <w:tcW w:w="2145" w:type="dxa"/>
            <w:gridSpan w:val="3"/>
            <w:tcBorders>
              <w:bottom w:val="single" w:sz="2" w:space="0" w:color="3B59A4"/>
            </w:tcBorders>
            <w:tcMar>
              <w:bottom w:w="28" w:type="dxa"/>
            </w:tcMar>
            <w:vAlign w:val="center"/>
          </w:tcPr>
          <w:p>
            <w:pPr>
              <w:pStyle w:val="TableContents"/>
              <w:bidi w:val="0"/>
              <w:spacing w:before="0" w:after="283"/>
              <w:jc w:val="center"/>
              <w:rPr/>
            </w:pPr>
            <w:r>
              <w:rPr>
                <w:color w:val="3B5AA4"/>
              </w:rPr>
              <w:t>Personal</w:t>
            </w:r>
            <w:r>
              <w:rPr/>
              <w:br/>
            </w:r>
            <w:r>
              <w:rPr>
                <w:color w:val="3B5AA4"/>
              </w:rPr>
              <w:t>Performance</w:t>
            </w:r>
            <w:r>
              <w:rPr/>
              <w:br/>
            </w:r>
            <w:r>
              <w:rPr>
                <w:color w:val="3B5AA4"/>
              </w:rPr>
              <w:t>Component</w:t>
            </w:r>
          </w:p>
        </w:tc>
        <w:tc>
          <w:tcPr>
            <w:tcW w:w="215" w:type="dxa"/>
            <w:tcBorders/>
            <w:vAlign w:val="center"/>
          </w:tcPr>
          <w:p>
            <w:pPr>
              <w:pStyle w:val="TableContents"/>
              <w:bidi w:val="0"/>
              <w:spacing w:before="0" w:after="283"/>
              <w:jc w:val="left"/>
              <w:rPr/>
            </w:pPr>
            <w:r>
              <w:rPr/>
              <w:t> </w:t>
            </w:r>
          </w:p>
        </w:tc>
        <w:tc>
          <w:tcPr>
            <w:tcW w:w="2145" w:type="dxa"/>
            <w:gridSpan w:val="3"/>
            <w:tcBorders>
              <w:bottom w:val="single" w:sz="2" w:space="0" w:color="3B59A4"/>
            </w:tcBorders>
            <w:tcMar>
              <w:bottom w:w="28" w:type="dxa"/>
            </w:tcMar>
            <w:vAlign w:val="center"/>
          </w:tcPr>
          <w:p>
            <w:pPr>
              <w:pStyle w:val="TableContents"/>
              <w:bidi w:val="0"/>
              <w:spacing w:before="0" w:after="283"/>
              <w:jc w:val="center"/>
              <w:rPr/>
            </w:pPr>
            <w:r>
              <w:rPr>
                <w:color w:val="3B5AA4"/>
              </w:rPr>
              <w:t>Company</w:t>
            </w:r>
            <w:r>
              <w:rPr/>
              <w:br/>
            </w:r>
            <w:r>
              <w:rPr>
                <w:color w:val="3B5AA4"/>
              </w:rPr>
              <w:t>Performance</w:t>
            </w:r>
            <w:r>
              <w:rPr/>
              <w:br/>
            </w:r>
            <w:r>
              <w:rPr>
                <w:color w:val="3B5AA4"/>
              </w:rPr>
              <w:t>Component</w:t>
            </w:r>
          </w:p>
        </w:tc>
        <w:tc>
          <w:tcPr>
            <w:tcW w:w="215" w:type="dxa"/>
            <w:tcBorders/>
            <w:vAlign w:val="center"/>
          </w:tcPr>
          <w:p>
            <w:pPr>
              <w:pStyle w:val="TableContents"/>
              <w:bidi w:val="0"/>
              <w:spacing w:before="0" w:after="283"/>
              <w:jc w:val="center"/>
              <w:rPr/>
            </w:pPr>
            <w:r>
              <w:rPr/>
              <w:t> </w:t>
            </w:r>
          </w:p>
        </w:tc>
        <w:tc>
          <w:tcPr>
            <w:tcW w:w="1030" w:type="dxa"/>
            <w:vMerge w:val="restart"/>
            <w:tcBorders>
              <w:bottom w:val="single" w:sz="12" w:space="0" w:color="3B59A4"/>
            </w:tcBorders>
            <w:shd w:fill="3B5AA4" w:val="clear"/>
            <w:tcMar>
              <w:bottom w:w="28" w:type="dxa"/>
            </w:tcMar>
            <w:vAlign w:val="center"/>
          </w:tcPr>
          <w:p>
            <w:pPr>
              <w:pStyle w:val="TableContents"/>
              <w:bidi w:val="0"/>
              <w:spacing w:before="0" w:after="283"/>
              <w:jc w:val="center"/>
              <w:rPr>
                <w:color w:val="FFFFFF"/>
              </w:rPr>
            </w:pPr>
            <w:r>
              <w:rPr>
                <w:color w:val="FFFFFF"/>
              </w:rPr>
              <w:t xml:space="preserve">2024 Total </w:t>
              <w:br/>
              <w:t>Cash</w:t>
              <w:br/>
              <w:t>Incentive</w:t>
              <w:br/>
              <w:t>($)</w:t>
            </w:r>
          </w:p>
        </w:tc>
      </w:tr>
      <w:tr>
        <w:trPr/>
        <w:tc>
          <w:tcPr>
            <w:tcW w:w="2029" w:type="dxa"/>
            <w:tcBorders>
              <w:bottom w:val="single" w:sz="12" w:space="0" w:color="3B5AA4"/>
            </w:tcBorders>
            <w:tcMar>
              <w:bottom w:w="28" w:type="dxa"/>
            </w:tcMar>
            <w:vAlign w:val="center"/>
          </w:tcPr>
          <w:p>
            <w:pPr>
              <w:pStyle w:val="TableContents"/>
              <w:bidi w:val="0"/>
              <w:spacing w:before="0" w:after="283"/>
              <w:jc w:val="left"/>
              <w:rPr>
                <w:color w:val="3B5AA4"/>
              </w:rPr>
            </w:pPr>
            <w:r>
              <w:rPr>
                <w:color w:val="3B5AA4"/>
              </w:rPr>
              <w:t>Named Executive Officer</w:t>
            </w:r>
          </w:p>
        </w:tc>
        <w:tc>
          <w:tcPr>
            <w:tcW w:w="60" w:type="dxa"/>
            <w:tcBorders>
              <w:bottom w:val="single" w:sz="12" w:space="0" w:color="3B5AA4"/>
            </w:tcBorders>
            <w:tcMar>
              <w:bottom w:w="28" w:type="dxa"/>
            </w:tcMar>
            <w:vAlign w:val="center"/>
          </w:tcPr>
          <w:p>
            <w:pPr>
              <w:pStyle w:val="TableContents"/>
              <w:bidi w:val="0"/>
              <w:spacing w:before="0" w:after="283"/>
              <w:jc w:val="center"/>
              <w:rPr/>
            </w:pPr>
            <w:r>
              <w:rPr/>
              <w:t> </w:t>
            </w:r>
          </w:p>
        </w:tc>
        <w:tc>
          <w:tcPr>
            <w:tcW w:w="980" w:type="dxa"/>
            <w:vMerge w:val="continue"/>
            <w:tcBorders>
              <w:bottom w:val="single" w:sz="12" w:space="0" w:color="3B59A4"/>
            </w:tcBorders>
            <w:tcMar>
              <w:bottom w:w="28" w:type="dxa"/>
            </w:tcMar>
            <w:vAlign w:val="center"/>
          </w:tcPr>
          <w:p>
            <w:pPr>
              <w:pStyle w:val="Normal"/>
              <w:bidi w:val="0"/>
              <w:jc w:val="left"/>
              <w:rPr/>
            </w:pPr>
            <w:r>
              <w:rPr/>
            </w:r>
          </w:p>
        </w:tc>
        <w:tc>
          <w:tcPr>
            <w:tcW w:w="185" w:type="dxa"/>
            <w:tcBorders>
              <w:bottom w:val="single" w:sz="12" w:space="0" w:color="3B5AA4"/>
            </w:tcBorders>
            <w:tcMar>
              <w:bottom w:w="28" w:type="dxa"/>
            </w:tcMar>
            <w:vAlign w:val="center"/>
          </w:tcPr>
          <w:p>
            <w:pPr>
              <w:pStyle w:val="TableContents"/>
              <w:bidi w:val="0"/>
              <w:spacing w:before="0" w:after="283"/>
              <w:jc w:val="center"/>
              <w:rPr/>
            </w:pPr>
            <w:r>
              <w:rPr/>
              <w:t> </w:t>
            </w:r>
          </w:p>
        </w:tc>
        <w:tc>
          <w:tcPr>
            <w:tcW w:w="1141" w:type="dxa"/>
            <w:vMerge w:val="continue"/>
            <w:tcBorders>
              <w:bottom w:val="single" w:sz="12" w:space="0" w:color="3B59A4"/>
            </w:tcBorders>
            <w:tcMar>
              <w:bottom w:w="28" w:type="dxa"/>
            </w:tcMar>
            <w:vAlign w:val="center"/>
          </w:tcPr>
          <w:p>
            <w:pPr>
              <w:pStyle w:val="Normal"/>
              <w:bidi w:val="0"/>
              <w:jc w:val="left"/>
              <w:rPr/>
            </w:pPr>
            <w:r>
              <w:rPr/>
            </w:r>
          </w:p>
        </w:tc>
        <w:tc>
          <w:tcPr>
            <w:tcW w:w="60" w:type="dxa"/>
            <w:tcBorders>
              <w:bottom w:val="single" w:sz="12" w:space="0" w:color="3B5AA4"/>
            </w:tcBorders>
            <w:tcMar>
              <w:bottom w:w="28" w:type="dxa"/>
            </w:tcMar>
            <w:vAlign w:val="center"/>
          </w:tcPr>
          <w:p>
            <w:pPr>
              <w:pStyle w:val="TableContents"/>
              <w:bidi w:val="0"/>
              <w:spacing w:before="0" w:after="283"/>
              <w:jc w:val="center"/>
              <w:rPr/>
            </w:pPr>
            <w:r>
              <w:rPr/>
              <w:t> </w:t>
            </w:r>
          </w:p>
        </w:tc>
        <w:tc>
          <w:tcPr>
            <w:tcW w:w="950" w:type="dxa"/>
            <w:tcBorders>
              <w:bottom w:val="single" w:sz="12" w:space="0" w:color="3B5AA4"/>
            </w:tcBorders>
            <w:tcMar>
              <w:bottom w:w="28" w:type="dxa"/>
            </w:tcMar>
            <w:vAlign w:val="center"/>
          </w:tcPr>
          <w:p>
            <w:pPr>
              <w:pStyle w:val="TableContents"/>
              <w:bidi w:val="0"/>
              <w:spacing w:before="0" w:after="283"/>
              <w:jc w:val="right"/>
              <w:rPr>
                <w:color w:val="3B5AA4"/>
              </w:rPr>
            </w:pPr>
            <w:r>
              <w:rPr>
                <w:color w:val="3B5AA4"/>
              </w:rPr>
              <w:t>Multiplier</w:t>
            </w:r>
          </w:p>
        </w:tc>
        <w:tc>
          <w:tcPr>
            <w:tcW w:w="185" w:type="dxa"/>
            <w:tcBorders>
              <w:bottom w:val="single" w:sz="12" w:space="0" w:color="3B5AA4"/>
            </w:tcBorders>
            <w:tcMar>
              <w:bottom w:w="28" w:type="dxa"/>
            </w:tcMar>
            <w:vAlign w:val="center"/>
          </w:tcPr>
          <w:p>
            <w:pPr>
              <w:pStyle w:val="TableContents"/>
              <w:bidi w:val="0"/>
              <w:spacing w:before="0" w:after="283"/>
              <w:jc w:val="left"/>
              <w:rPr/>
            </w:pPr>
            <w:r>
              <w:rPr/>
              <w:t> </w:t>
            </w:r>
          </w:p>
        </w:tc>
        <w:tc>
          <w:tcPr>
            <w:tcW w:w="1010" w:type="dxa"/>
            <w:tcBorders>
              <w:bottom w:val="single" w:sz="12" w:space="0" w:color="3B5AA4"/>
            </w:tcBorders>
            <w:tcMar>
              <w:bottom w:w="28" w:type="dxa"/>
            </w:tcMar>
            <w:vAlign w:val="center"/>
          </w:tcPr>
          <w:p>
            <w:pPr>
              <w:pStyle w:val="TableContents"/>
              <w:bidi w:val="0"/>
              <w:spacing w:before="0" w:after="283"/>
              <w:jc w:val="right"/>
              <w:rPr>
                <w:color w:val="3B5AA4"/>
              </w:rPr>
            </w:pPr>
            <w:r>
              <w:rPr>
                <w:color w:val="3B5AA4"/>
              </w:rPr>
              <w:t>Weighting</w:t>
            </w:r>
          </w:p>
        </w:tc>
        <w:tc>
          <w:tcPr>
            <w:tcW w:w="215" w:type="dxa"/>
            <w:tcBorders>
              <w:bottom w:val="single" w:sz="12" w:space="0" w:color="3B5AA4"/>
            </w:tcBorders>
            <w:tcMar>
              <w:bottom w:w="28" w:type="dxa"/>
            </w:tcMar>
            <w:vAlign w:val="center"/>
          </w:tcPr>
          <w:p>
            <w:pPr>
              <w:pStyle w:val="TableContents"/>
              <w:bidi w:val="0"/>
              <w:spacing w:before="0" w:after="283"/>
              <w:jc w:val="left"/>
              <w:rPr/>
            </w:pPr>
            <w:r>
              <w:rPr/>
              <w:t> </w:t>
            </w:r>
          </w:p>
        </w:tc>
        <w:tc>
          <w:tcPr>
            <w:tcW w:w="950" w:type="dxa"/>
            <w:tcBorders>
              <w:bottom w:val="single" w:sz="12" w:space="0" w:color="3B5AA4"/>
            </w:tcBorders>
            <w:tcMar>
              <w:bottom w:w="28" w:type="dxa"/>
            </w:tcMar>
            <w:vAlign w:val="center"/>
          </w:tcPr>
          <w:p>
            <w:pPr>
              <w:pStyle w:val="TableContents"/>
              <w:bidi w:val="0"/>
              <w:spacing w:before="0" w:after="283"/>
              <w:jc w:val="right"/>
              <w:rPr>
                <w:color w:val="3B5AA4"/>
              </w:rPr>
            </w:pPr>
            <w:r>
              <w:rPr>
                <w:color w:val="3B5AA4"/>
              </w:rPr>
              <w:t>Multiplier</w:t>
            </w:r>
          </w:p>
        </w:tc>
        <w:tc>
          <w:tcPr>
            <w:tcW w:w="185" w:type="dxa"/>
            <w:tcBorders>
              <w:bottom w:val="single" w:sz="12" w:space="0" w:color="3B5AA4"/>
            </w:tcBorders>
            <w:tcMar>
              <w:bottom w:w="28" w:type="dxa"/>
            </w:tcMar>
            <w:vAlign w:val="center"/>
          </w:tcPr>
          <w:p>
            <w:pPr>
              <w:pStyle w:val="TableContents"/>
              <w:bidi w:val="0"/>
              <w:spacing w:before="0" w:after="283"/>
              <w:jc w:val="left"/>
              <w:rPr/>
            </w:pPr>
            <w:r>
              <w:rPr/>
              <w:t> </w:t>
            </w:r>
          </w:p>
        </w:tc>
        <w:tc>
          <w:tcPr>
            <w:tcW w:w="1010" w:type="dxa"/>
            <w:tcBorders>
              <w:bottom w:val="single" w:sz="12" w:space="0" w:color="3B5AA4"/>
            </w:tcBorders>
            <w:tcMar>
              <w:bottom w:w="28" w:type="dxa"/>
            </w:tcMar>
            <w:vAlign w:val="center"/>
          </w:tcPr>
          <w:p>
            <w:pPr>
              <w:pStyle w:val="TableContents"/>
              <w:bidi w:val="0"/>
              <w:spacing w:before="0" w:after="283"/>
              <w:jc w:val="right"/>
              <w:rPr>
                <w:color w:val="3B5AA4"/>
              </w:rPr>
            </w:pPr>
            <w:r>
              <w:rPr>
                <w:color w:val="3B5AA4"/>
              </w:rPr>
              <w:t>Weighting</w:t>
            </w:r>
          </w:p>
        </w:tc>
        <w:tc>
          <w:tcPr>
            <w:tcW w:w="215" w:type="dxa"/>
            <w:tcBorders>
              <w:bottom w:val="single" w:sz="12" w:space="0" w:color="3B5AA4"/>
            </w:tcBorders>
            <w:tcMar>
              <w:bottom w:w="28" w:type="dxa"/>
            </w:tcMar>
            <w:vAlign w:val="center"/>
          </w:tcPr>
          <w:p>
            <w:pPr>
              <w:pStyle w:val="TableContents"/>
              <w:bidi w:val="0"/>
              <w:spacing w:before="0" w:after="283"/>
              <w:jc w:val="center"/>
              <w:rPr/>
            </w:pPr>
            <w:r>
              <w:rPr/>
              <w:t> </w:t>
            </w:r>
          </w:p>
        </w:tc>
        <w:tc>
          <w:tcPr>
            <w:tcW w:w="1030" w:type="dxa"/>
            <w:vMerge w:val="continue"/>
            <w:tcBorders>
              <w:bottom w:val="single" w:sz="12" w:space="0" w:color="3B59A4"/>
            </w:tcBorders>
            <w:shd w:fill="3B5AA4" w:val="clear"/>
            <w:tcMar>
              <w:bottom w:w="28" w:type="dxa"/>
            </w:tcMar>
            <w:vAlign w:val="center"/>
          </w:tcPr>
          <w:p>
            <w:pPr>
              <w:pStyle w:val="Normal"/>
              <w:bidi w:val="0"/>
              <w:jc w:val="left"/>
              <w:rPr/>
            </w:pPr>
            <w:r>
              <w:rPr/>
            </w:r>
          </w:p>
        </w:tc>
      </w:tr>
      <w:tr>
        <w:trPr/>
        <w:tc>
          <w:tcPr>
            <w:tcW w:w="2029" w:type="dxa"/>
            <w:tcBorders>
              <w:bottom w:val="single" w:sz="2" w:space="0" w:color="CCCCCC"/>
            </w:tcBorders>
            <w:tcMar>
              <w:bottom w:w="40" w:type="dxa"/>
            </w:tcMar>
            <w:vAlign w:val="center"/>
          </w:tcPr>
          <w:p>
            <w:pPr>
              <w:pStyle w:val="TableContents"/>
              <w:bidi w:val="0"/>
              <w:spacing w:before="0" w:after="283"/>
              <w:jc w:val="left"/>
              <w:rPr>
                <w:b/>
                <w:color w:val="3B5AA4"/>
              </w:rPr>
            </w:pPr>
            <w:r>
              <w:rPr>
                <w:b/>
                <w:color w:val="3B5AA4"/>
              </w:rPr>
              <w:t>Leonard S. Schleifer, M.D., Ph.D.</w:t>
            </w:r>
          </w:p>
        </w:tc>
        <w:tc>
          <w:tcPr>
            <w:tcW w:w="60" w:type="dxa"/>
            <w:tcBorders>
              <w:bottom w:val="single" w:sz="2" w:space="0" w:color="CCCCCC"/>
            </w:tcBorders>
            <w:tcMar>
              <w:bottom w:w="40" w:type="dxa"/>
            </w:tcMar>
            <w:vAlign w:val="center"/>
          </w:tcPr>
          <w:p>
            <w:pPr>
              <w:pStyle w:val="TableContents"/>
              <w:bidi w:val="0"/>
              <w:spacing w:before="0" w:after="283"/>
              <w:jc w:val="left"/>
              <w:rPr/>
            </w:pPr>
            <w:r>
              <w:rPr/>
              <w:t> </w:t>
            </w:r>
          </w:p>
        </w:tc>
        <w:tc>
          <w:tcPr>
            <w:tcW w:w="980" w:type="dxa"/>
            <w:tcBorders>
              <w:bottom w:val="single" w:sz="2" w:space="0" w:color="CCCCCC"/>
            </w:tcBorders>
            <w:tcMar>
              <w:bottom w:w="40" w:type="dxa"/>
            </w:tcMar>
            <w:vAlign w:val="center"/>
          </w:tcPr>
          <w:p>
            <w:pPr>
              <w:pStyle w:val="TableContents"/>
              <w:bidi w:val="0"/>
              <w:spacing w:before="0" w:after="283"/>
              <w:jc w:val="right"/>
              <w:rPr>
                <w:color w:val="231F20"/>
              </w:rPr>
            </w:pPr>
            <w:r>
              <w:rPr>
                <w:color w:val="231F20"/>
              </w:rPr>
              <w:t>1,941,100</w:t>
            </w:r>
          </w:p>
        </w:tc>
        <w:tc>
          <w:tcPr>
            <w:tcW w:w="185" w:type="dxa"/>
            <w:tcBorders>
              <w:bottom w:val="single" w:sz="2" w:space="0" w:color="CCCCCC"/>
            </w:tcBorders>
            <w:tcMar>
              <w:bottom w:w="40" w:type="dxa"/>
            </w:tcMar>
            <w:vAlign w:val="center"/>
          </w:tcPr>
          <w:p>
            <w:pPr>
              <w:pStyle w:val="TableContents"/>
              <w:bidi w:val="0"/>
              <w:spacing w:before="0" w:after="283"/>
              <w:jc w:val="left"/>
              <w:rPr/>
            </w:pPr>
            <w:r>
              <w:rPr/>
              <w:t> </w:t>
            </w:r>
          </w:p>
        </w:tc>
        <w:tc>
          <w:tcPr>
            <w:tcW w:w="1141" w:type="dxa"/>
            <w:tcBorders>
              <w:bottom w:val="single" w:sz="2" w:space="0" w:color="CCCCCC"/>
            </w:tcBorders>
            <w:tcMar>
              <w:bottom w:w="40" w:type="dxa"/>
            </w:tcMar>
            <w:vAlign w:val="center"/>
          </w:tcPr>
          <w:p>
            <w:pPr>
              <w:pStyle w:val="TableContents"/>
              <w:bidi w:val="0"/>
              <w:spacing w:before="0" w:after="283"/>
              <w:jc w:val="right"/>
              <w:rPr>
                <w:color w:val="231F20"/>
              </w:rPr>
            </w:pPr>
            <w:r>
              <w:rPr>
                <w:color w:val="231F20"/>
              </w:rPr>
              <w:t>120%</w:t>
            </w:r>
          </w:p>
        </w:tc>
        <w:tc>
          <w:tcPr>
            <w:tcW w:w="60" w:type="dxa"/>
            <w:tcBorders>
              <w:bottom w:val="single" w:sz="2" w:space="0" w:color="CCCCCC"/>
            </w:tcBorders>
            <w:tcMar>
              <w:bottom w:w="40" w:type="dxa"/>
            </w:tcMar>
            <w:vAlign w:val="center"/>
          </w:tcPr>
          <w:p>
            <w:pPr>
              <w:pStyle w:val="TableContents"/>
              <w:bidi w:val="0"/>
              <w:spacing w:before="0" w:after="283"/>
              <w:jc w:val="left"/>
              <w:rPr/>
            </w:pPr>
            <w:r>
              <w:rPr/>
              <w:t> </w:t>
            </w:r>
          </w:p>
        </w:tc>
        <w:tc>
          <w:tcPr>
            <w:tcW w:w="950" w:type="dxa"/>
            <w:tcBorders>
              <w:bottom w:val="single" w:sz="2" w:space="0" w:color="CCCCCC"/>
            </w:tcBorders>
            <w:tcMar>
              <w:bottom w:w="40" w:type="dxa"/>
            </w:tcMar>
            <w:vAlign w:val="center"/>
          </w:tcPr>
          <w:p>
            <w:pPr>
              <w:pStyle w:val="TableContents"/>
              <w:bidi w:val="0"/>
              <w:spacing w:before="0" w:after="283"/>
              <w:jc w:val="right"/>
              <w:rPr>
                <w:color w:val="231F20"/>
              </w:rPr>
            </w:pPr>
            <w:r>
              <w:rPr>
                <w:color w:val="231F20"/>
              </w:rPr>
              <w:t>N/A</w:t>
            </w:r>
          </w:p>
        </w:tc>
        <w:tc>
          <w:tcPr>
            <w:tcW w:w="185" w:type="dxa"/>
            <w:tcBorders>
              <w:bottom w:val="single" w:sz="2" w:space="0" w:color="CCCCCC"/>
            </w:tcBorders>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tcMar>
              <w:bottom w:w="40" w:type="dxa"/>
            </w:tcMar>
            <w:vAlign w:val="center"/>
          </w:tcPr>
          <w:p>
            <w:pPr>
              <w:pStyle w:val="TableContents"/>
              <w:bidi w:val="0"/>
              <w:spacing w:before="0" w:after="283"/>
              <w:jc w:val="right"/>
              <w:rPr>
                <w:color w:val="231F20"/>
              </w:rPr>
            </w:pPr>
            <w:r>
              <w:rPr>
                <w:color w:val="231F20"/>
              </w:rPr>
              <w:t>N/A</w:t>
            </w:r>
          </w:p>
        </w:tc>
        <w:tc>
          <w:tcPr>
            <w:tcW w:w="215" w:type="dxa"/>
            <w:tcBorders>
              <w:bottom w:val="single" w:sz="2" w:space="0" w:color="CCCCCC"/>
            </w:tcBorders>
            <w:tcMar>
              <w:bottom w:w="40" w:type="dxa"/>
            </w:tcMar>
            <w:vAlign w:val="center"/>
          </w:tcPr>
          <w:p>
            <w:pPr>
              <w:pStyle w:val="TableContents"/>
              <w:bidi w:val="0"/>
              <w:spacing w:before="0" w:after="283"/>
              <w:jc w:val="left"/>
              <w:rPr/>
            </w:pPr>
            <w:r>
              <w:rPr/>
              <w:t> </w:t>
            </w:r>
          </w:p>
        </w:tc>
        <w:tc>
          <w:tcPr>
            <w:tcW w:w="950" w:type="dxa"/>
            <w:tcBorders>
              <w:bottom w:val="single" w:sz="2" w:space="0" w:color="CCCCCC"/>
            </w:tcBorders>
            <w:tcMar>
              <w:bottom w:w="40" w:type="dxa"/>
            </w:tcMar>
            <w:vAlign w:val="center"/>
          </w:tcPr>
          <w:p>
            <w:pPr>
              <w:pStyle w:val="TableContents"/>
              <w:bidi w:val="0"/>
              <w:spacing w:before="0" w:after="283"/>
              <w:jc w:val="right"/>
              <w:rPr>
                <w:color w:val="231F20"/>
              </w:rPr>
            </w:pPr>
            <w:r>
              <w:rPr>
                <w:color w:val="231F20"/>
              </w:rPr>
              <w:t>1.5</w:t>
            </w:r>
          </w:p>
        </w:tc>
        <w:tc>
          <w:tcPr>
            <w:tcW w:w="185" w:type="dxa"/>
            <w:tcBorders>
              <w:bottom w:val="single" w:sz="2" w:space="0" w:color="CCCCCC"/>
            </w:tcBorders>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tcMar>
              <w:bottom w:w="40" w:type="dxa"/>
            </w:tcMar>
            <w:vAlign w:val="center"/>
          </w:tcPr>
          <w:p>
            <w:pPr>
              <w:pStyle w:val="TableContents"/>
              <w:bidi w:val="0"/>
              <w:spacing w:before="0" w:after="283"/>
              <w:jc w:val="right"/>
              <w:rPr>
                <w:color w:val="231F20"/>
              </w:rPr>
            </w:pPr>
            <w:r>
              <w:rPr>
                <w:color w:val="231F20"/>
              </w:rPr>
              <w:t>100</w:t>
            </w:r>
          </w:p>
        </w:tc>
        <w:tc>
          <w:tcPr>
            <w:tcW w:w="215" w:type="dxa"/>
            <w:tcBorders>
              <w:bottom w:val="single" w:sz="2" w:space="0" w:color="CCCCCC"/>
            </w:tcBorders>
            <w:tcMar>
              <w:bottom w:w="40" w:type="dxa"/>
            </w:tcMar>
            <w:vAlign w:val="center"/>
          </w:tcPr>
          <w:p>
            <w:pPr>
              <w:pStyle w:val="TableContents"/>
              <w:bidi w:val="0"/>
              <w:spacing w:before="0" w:after="283"/>
              <w:jc w:val="left"/>
              <w:rPr>
                <w:color w:val="231F20"/>
              </w:rPr>
            </w:pPr>
            <w:r>
              <w:rPr>
                <w:color w:val="231F20"/>
              </w:rPr>
              <w:t>%</w:t>
            </w:r>
          </w:p>
        </w:tc>
        <w:tc>
          <w:tcPr>
            <w:tcW w:w="1030" w:type="dxa"/>
            <w:tcBorders>
              <w:bottom w:val="single" w:sz="2" w:space="0" w:color="CCCCCC"/>
            </w:tcBorders>
            <w:tcMar>
              <w:bottom w:w="40" w:type="dxa"/>
            </w:tcMar>
            <w:vAlign w:val="center"/>
          </w:tcPr>
          <w:p>
            <w:pPr>
              <w:pStyle w:val="TableContents"/>
              <w:bidi w:val="0"/>
              <w:spacing w:before="0" w:after="283"/>
              <w:jc w:val="right"/>
              <w:rPr>
                <w:color w:val="231F20"/>
              </w:rPr>
            </w:pPr>
            <w:r>
              <w:rPr>
                <w:color w:val="231F20"/>
              </w:rPr>
              <w:t>3,493,980</w:t>
            </w:r>
          </w:p>
        </w:tc>
      </w:tr>
      <w:tr>
        <w:trPr/>
        <w:tc>
          <w:tcPr>
            <w:tcW w:w="2029" w:type="dxa"/>
            <w:tcBorders>
              <w:bottom w:val="single" w:sz="2" w:space="0" w:color="CCCCCC"/>
            </w:tcBorders>
            <w:shd w:fill="EBECEC" w:val="clear"/>
            <w:tcMar>
              <w:bottom w:w="40" w:type="dxa"/>
            </w:tcMar>
            <w:vAlign w:val="center"/>
          </w:tcPr>
          <w:p>
            <w:pPr>
              <w:pStyle w:val="TableContents"/>
              <w:bidi w:val="0"/>
              <w:spacing w:before="0" w:after="283"/>
              <w:jc w:val="left"/>
              <w:rPr>
                <w:b/>
                <w:color w:val="3B5AA4"/>
              </w:rPr>
            </w:pPr>
            <w:r>
              <w:rPr>
                <w:b/>
                <w:color w:val="3B5AA4"/>
              </w:rPr>
              <w:t xml:space="preserve">George D. Yancopoulos, M.D., Ph.D. </w:t>
            </w:r>
          </w:p>
        </w:tc>
        <w:tc>
          <w:tcPr>
            <w:tcW w:w="60"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980" w:type="dxa"/>
            <w:tcBorders>
              <w:bottom w:val="single" w:sz="2" w:space="0" w:color="CCCCCC"/>
            </w:tcBorders>
            <w:shd w:fill="EBECEC" w:val="clear"/>
            <w:tcMar>
              <w:bottom w:w="40" w:type="dxa"/>
            </w:tcMar>
            <w:vAlign w:val="center"/>
          </w:tcPr>
          <w:p>
            <w:pPr>
              <w:pStyle w:val="TableContents"/>
              <w:bidi w:val="0"/>
              <w:spacing w:before="0" w:after="283"/>
              <w:jc w:val="right"/>
              <w:rPr/>
            </w:pPr>
            <w:r>
              <w:rPr/>
              <w:t>1,941,100</w:t>
            </w:r>
          </w:p>
        </w:tc>
        <w:tc>
          <w:tcPr>
            <w:tcW w:w="185"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1141"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120%</w:t>
            </w:r>
          </w:p>
        </w:tc>
        <w:tc>
          <w:tcPr>
            <w:tcW w:w="60"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95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N/A</w:t>
            </w:r>
          </w:p>
        </w:tc>
        <w:tc>
          <w:tcPr>
            <w:tcW w:w="185"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N/A</w:t>
            </w:r>
          </w:p>
        </w:tc>
        <w:tc>
          <w:tcPr>
            <w:tcW w:w="215"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95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1.5</w:t>
            </w:r>
          </w:p>
        </w:tc>
        <w:tc>
          <w:tcPr>
            <w:tcW w:w="185"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100</w:t>
            </w:r>
          </w:p>
        </w:tc>
        <w:tc>
          <w:tcPr>
            <w:tcW w:w="215" w:type="dxa"/>
            <w:tcBorders>
              <w:bottom w:val="single" w:sz="2" w:space="0" w:color="CCCCCC"/>
            </w:tcBorders>
            <w:shd w:fill="EBECEC" w:val="clear"/>
            <w:tcMar>
              <w:bottom w:w="40" w:type="dxa"/>
            </w:tcMar>
            <w:vAlign w:val="center"/>
          </w:tcPr>
          <w:p>
            <w:pPr>
              <w:pStyle w:val="TableContents"/>
              <w:bidi w:val="0"/>
              <w:spacing w:before="0" w:after="283"/>
              <w:jc w:val="left"/>
              <w:rPr>
                <w:color w:val="231F20"/>
              </w:rPr>
            </w:pPr>
            <w:r>
              <w:rPr>
                <w:color w:val="231F20"/>
              </w:rPr>
              <w:t>%</w:t>
            </w:r>
          </w:p>
        </w:tc>
        <w:tc>
          <w:tcPr>
            <w:tcW w:w="103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3,493,980</w:t>
            </w:r>
          </w:p>
        </w:tc>
      </w:tr>
      <w:tr>
        <w:trPr/>
        <w:tc>
          <w:tcPr>
            <w:tcW w:w="2029" w:type="dxa"/>
            <w:tcBorders>
              <w:bottom w:val="single" w:sz="2" w:space="0" w:color="CCCCCC"/>
            </w:tcBorders>
            <w:shd w:fill="FFFFFF" w:val="clear"/>
            <w:tcMar>
              <w:bottom w:w="40" w:type="dxa"/>
            </w:tcMar>
            <w:vAlign w:val="center"/>
          </w:tcPr>
          <w:p>
            <w:pPr>
              <w:pStyle w:val="TableContents"/>
              <w:bidi w:val="0"/>
              <w:spacing w:before="0" w:after="283"/>
              <w:jc w:val="left"/>
              <w:rPr>
                <w:b/>
                <w:color w:val="3B5AA4"/>
              </w:rPr>
            </w:pPr>
            <w:r>
              <w:rPr>
                <w:b/>
                <w:color w:val="3B5AA4"/>
              </w:rPr>
              <w:t>Christopher Fenimore</w:t>
            </w:r>
          </w:p>
        </w:tc>
        <w:tc>
          <w:tcPr>
            <w:tcW w:w="60"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98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660,000</w:t>
            </w:r>
          </w:p>
        </w:tc>
        <w:tc>
          <w:tcPr>
            <w:tcW w:w="185"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1141"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60%</w:t>
            </w:r>
          </w:p>
        </w:tc>
        <w:tc>
          <w:tcPr>
            <w:tcW w:w="60"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95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1.5</w:t>
            </w:r>
          </w:p>
        </w:tc>
        <w:tc>
          <w:tcPr>
            <w:tcW w:w="185"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40</w:t>
            </w:r>
          </w:p>
        </w:tc>
        <w:tc>
          <w:tcPr>
            <w:tcW w:w="215" w:type="dxa"/>
            <w:tcBorders>
              <w:bottom w:val="single" w:sz="2" w:space="0" w:color="CCCCCC"/>
            </w:tcBorders>
            <w:shd w:fill="FFFFFF" w:val="clear"/>
            <w:tcMar>
              <w:bottom w:w="40" w:type="dxa"/>
            </w:tcMar>
            <w:vAlign w:val="center"/>
          </w:tcPr>
          <w:p>
            <w:pPr>
              <w:pStyle w:val="TableContents"/>
              <w:bidi w:val="0"/>
              <w:spacing w:before="0" w:after="283"/>
              <w:jc w:val="left"/>
              <w:rPr>
                <w:color w:val="231F20"/>
              </w:rPr>
            </w:pPr>
            <w:r>
              <w:rPr>
                <w:color w:val="231F20"/>
              </w:rPr>
              <w:t>%</w:t>
            </w:r>
          </w:p>
        </w:tc>
        <w:tc>
          <w:tcPr>
            <w:tcW w:w="95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1.5</w:t>
            </w:r>
          </w:p>
        </w:tc>
        <w:tc>
          <w:tcPr>
            <w:tcW w:w="185"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60</w:t>
            </w:r>
          </w:p>
        </w:tc>
        <w:tc>
          <w:tcPr>
            <w:tcW w:w="215" w:type="dxa"/>
            <w:tcBorders>
              <w:bottom w:val="single" w:sz="2" w:space="0" w:color="CCCCCC"/>
            </w:tcBorders>
            <w:shd w:fill="FFFFFF" w:val="clear"/>
            <w:tcMar>
              <w:bottom w:w="40" w:type="dxa"/>
            </w:tcMar>
            <w:vAlign w:val="center"/>
          </w:tcPr>
          <w:p>
            <w:pPr>
              <w:pStyle w:val="TableContents"/>
              <w:bidi w:val="0"/>
              <w:spacing w:before="0" w:after="283"/>
              <w:jc w:val="left"/>
              <w:rPr>
                <w:color w:val="231F20"/>
              </w:rPr>
            </w:pPr>
            <w:r>
              <w:rPr>
                <w:color w:val="231F20"/>
              </w:rPr>
              <w:t>%</w:t>
            </w:r>
          </w:p>
        </w:tc>
        <w:tc>
          <w:tcPr>
            <w:tcW w:w="103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594,000</w:t>
            </w:r>
          </w:p>
        </w:tc>
      </w:tr>
      <w:tr>
        <w:trPr/>
        <w:tc>
          <w:tcPr>
            <w:tcW w:w="2029" w:type="dxa"/>
            <w:tcBorders>
              <w:bottom w:val="single" w:sz="2" w:space="0" w:color="CCCCCC"/>
            </w:tcBorders>
            <w:shd w:fill="EBECEC" w:val="clear"/>
            <w:tcMar>
              <w:bottom w:w="40" w:type="dxa"/>
            </w:tcMar>
            <w:vAlign w:val="center"/>
          </w:tcPr>
          <w:p>
            <w:pPr>
              <w:pStyle w:val="TableContents"/>
              <w:bidi w:val="0"/>
              <w:spacing w:before="0" w:after="283"/>
              <w:jc w:val="left"/>
              <w:rPr>
                <w:b/>
                <w:color w:val="3B5AA4"/>
              </w:rPr>
            </w:pPr>
            <w:r>
              <w:rPr>
                <w:b/>
                <w:color w:val="3B5AA4"/>
              </w:rPr>
              <w:t>Daniel P. Van Plew</w:t>
            </w:r>
          </w:p>
        </w:tc>
        <w:tc>
          <w:tcPr>
            <w:tcW w:w="60"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98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964,100</w:t>
            </w:r>
          </w:p>
        </w:tc>
        <w:tc>
          <w:tcPr>
            <w:tcW w:w="185"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1141"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65%</w:t>
            </w:r>
          </w:p>
        </w:tc>
        <w:tc>
          <w:tcPr>
            <w:tcW w:w="60"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95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1.4</w:t>
            </w:r>
          </w:p>
        </w:tc>
        <w:tc>
          <w:tcPr>
            <w:tcW w:w="185"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40</w:t>
            </w:r>
          </w:p>
        </w:tc>
        <w:tc>
          <w:tcPr>
            <w:tcW w:w="215" w:type="dxa"/>
            <w:tcBorders>
              <w:bottom w:val="single" w:sz="2" w:space="0" w:color="CCCCCC"/>
            </w:tcBorders>
            <w:shd w:fill="EBECEC" w:val="clear"/>
            <w:tcMar>
              <w:bottom w:w="40" w:type="dxa"/>
            </w:tcMar>
            <w:vAlign w:val="center"/>
          </w:tcPr>
          <w:p>
            <w:pPr>
              <w:pStyle w:val="TableContents"/>
              <w:bidi w:val="0"/>
              <w:spacing w:before="0" w:after="283"/>
              <w:jc w:val="left"/>
              <w:rPr>
                <w:color w:val="231F20"/>
              </w:rPr>
            </w:pPr>
            <w:r>
              <w:rPr>
                <w:color w:val="231F20"/>
              </w:rPr>
              <w:t>%</w:t>
            </w:r>
          </w:p>
        </w:tc>
        <w:tc>
          <w:tcPr>
            <w:tcW w:w="95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1.5</w:t>
            </w:r>
          </w:p>
        </w:tc>
        <w:tc>
          <w:tcPr>
            <w:tcW w:w="185" w:type="dxa"/>
            <w:tcBorders>
              <w:bottom w:val="single" w:sz="2" w:space="0" w:color="CCCCCC"/>
            </w:tcBorders>
            <w:shd w:fill="EBECEC" w:val="clear"/>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60</w:t>
            </w:r>
          </w:p>
        </w:tc>
        <w:tc>
          <w:tcPr>
            <w:tcW w:w="215" w:type="dxa"/>
            <w:tcBorders>
              <w:bottom w:val="single" w:sz="2" w:space="0" w:color="CCCCCC"/>
            </w:tcBorders>
            <w:shd w:fill="EBECEC" w:val="clear"/>
            <w:tcMar>
              <w:bottom w:w="40" w:type="dxa"/>
            </w:tcMar>
            <w:vAlign w:val="center"/>
          </w:tcPr>
          <w:p>
            <w:pPr>
              <w:pStyle w:val="TableContents"/>
              <w:bidi w:val="0"/>
              <w:spacing w:before="0" w:after="283"/>
              <w:jc w:val="left"/>
              <w:rPr>
                <w:color w:val="231F20"/>
              </w:rPr>
            </w:pPr>
            <w:r>
              <w:rPr>
                <w:color w:val="231F20"/>
              </w:rPr>
              <w:t>%</w:t>
            </w:r>
          </w:p>
        </w:tc>
        <w:tc>
          <w:tcPr>
            <w:tcW w:w="1030" w:type="dxa"/>
            <w:tcBorders>
              <w:bottom w:val="single" w:sz="2" w:space="0" w:color="CCCCCC"/>
            </w:tcBorders>
            <w:shd w:fill="EBECEC" w:val="clear"/>
            <w:tcMar>
              <w:bottom w:w="40" w:type="dxa"/>
            </w:tcMar>
            <w:vAlign w:val="center"/>
          </w:tcPr>
          <w:p>
            <w:pPr>
              <w:pStyle w:val="TableContents"/>
              <w:bidi w:val="0"/>
              <w:spacing w:before="0" w:after="283"/>
              <w:jc w:val="right"/>
              <w:rPr>
                <w:color w:val="231F20"/>
              </w:rPr>
            </w:pPr>
            <w:r>
              <w:rPr>
                <w:color w:val="231F20"/>
              </w:rPr>
              <w:t>914,931</w:t>
            </w:r>
          </w:p>
        </w:tc>
      </w:tr>
      <w:tr>
        <w:trPr/>
        <w:tc>
          <w:tcPr>
            <w:tcW w:w="2029" w:type="dxa"/>
            <w:tcBorders>
              <w:bottom w:val="single" w:sz="2" w:space="0" w:color="CCCCCC"/>
            </w:tcBorders>
            <w:shd w:fill="FFFFFF" w:val="clear"/>
            <w:tcMar>
              <w:bottom w:w="40" w:type="dxa"/>
            </w:tcMar>
            <w:vAlign w:val="center"/>
          </w:tcPr>
          <w:p>
            <w:pPr>
              <w:pStyle w:val="TableContents"/>
              <w:bidi w:val="0"/>
              <w:spacing w:before="0" w:after="283"/>
              <w:jc w:val="left"/>
              <w:rPr>
                <w:b/>
                <w:color w:val="3B5AA4"/>
              </w:rPr>
            </w:pPr>
            <w:r>
              <w:rPr>
                <w:b/>
                <w:color w:val="3B5AA4"/>
              </w:rPr>
              <w:t>Andrew J. Murphy, Ph.D.</w:t>
            </w:r>
          </w:p>
        </w:tc>
        <w:tc>
          <w:tcPr>
            <w:tcW w:w="60"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98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803,600</w:t>
            </w:r>
          </w:p>
        </w:tc>
        <w:tc>
          <w:tcPr>
            <w:tcW w:w="185"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1141"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65%</w:t>
            </w:r>
          </w:p>
        </w:tc>
        <w:tc>
          <w:tcPr>
            <w:tcW w:w="60"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95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1.5</w:t>
            </w:r>
          </w:p>
        </w:tc>
        <w:tc>
          <w:tcPr>
            <w:tcW w:w="185"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40</w:t>
            </w:r>
          </w:p>
        </w:tc>
        <w:tc>
          <w:tcPr>
            <w:tcW w:w="215" w:type="dxa"/>
            <w:tcBorders>
              <w:bottom w:val="single" w:sz="2" w:space="0" w:color="CCCCCC"/>
            </w:tcBorders>
            <w:shd w:fill="FFFFFF" w:val="clear"/>
            <w:tcMar>
              <w:bottom w:w="40" w:type="dxa"/>
            </w:tcMar>
            <w:vAlign w:val="center"/>
          </w:tcPr>
          <w:p>
            <w:pPr>
              <w:pStyle w:val="TableContents"/>
              <w:bidi w:val="0"/>
              <w:spacing w:before="0" w:after="283"/>
              <w:jc w:val="left"/>
              <w:rPr>
                <w:color w:val="231F20"/>
              </w:rPr>
            </w:pPr>
            <w:r>
              <w:rPr>
                <w:color w:val="231F20"/>
              </w:rPr>
              <w:t>%</w:t>
            </w:r>
          </w:p>
        </w:tc>
        <w:tc>
          <w:tcPr>
            <w:tcW w:w="95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1.5</w:t>
            </w:r>
          </w:p>
        </w:tc>
        <w:tc>
          <w:tcPr>
            <w:tcW w:w="185" w:type="dxa"/>
            <w:tcBorders>
              <w:bottom w:val="single" w:sz="2" w:space="0" w:color="CCCCCC"/>
            </w:tcBorders>
            <w:shd w:fill="FFFFFF" w:val="clear"/>
            <w:tcMar>
              <w:bottom w:w="40" w:type="dxa"/>
            </w:tcMar>
            <w:vAlign w:val="center"/>
          </w:tcPr>
          <w:p>
            <w:pPr>
              <w:pStyle w:val="TableContents"/>
              <w:bidi w:val="0"/>
              <w:spacing w:before="0" w:after="283"/>
              <w:jc w:val="left"/>
              <w:rPr/>
            </w:pPr>
            <w:r>
              <w:rPr/>
              <w:t> </w:t>
            </w:r>
          </w:p>
        </w:tc>
        <w:tc>
          <w:tcPr>
            <w:tcW w:w="101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60</w:t>
            </w:r>
          </w:p>
        </w:tc>
        <w:tc>
          <w:tcPr>
            <w:tcW w:w="215" w:type="dxa"/>
            <w:tcBorders>
              <w:bottom w:val="single" w:sz="2" w:space="0" w:color="CCCCCC"/>
            </w:tcBorders>
            <w:shd w:fill="FFFFFF" w:val="clear"/>
            <w:tcMar>
              <w:bottom w:w="40" w:type="dxa"/>
            </w:tcMar>
            <w:vAlign w:val="center"/>
          </w:tcPr>
          <w:p>
            <w:pPr>
              <w:pStyle w:val="TableContents"/>
              <w:bidi w:val="0"/>
              <w:spacing w:before="0" w:after="283"/>
              <w:jc w:val="left"/>
              <w:rPr>
                <w:color w:val="231F20"/>
              </w:rPr>
            </w:pPr>
            <w:r>
              <w:rPr>
                <w:color w:val="231F20"/>
              </w:rPr>
              <w:t>%</w:t>
            </w:r>
          </w:p>
        </w:tc>
        <w:tc>
          <w:tcPr>
            <w:tcW w:w="1030" w:type="dxa"/>
            <w:tcBorders>
              <w:bottom w:val="single" w:sz="2" w:space="0" w:color="CCCCCC"/>
            </w:tcBorders>
            <w:shd w:fill="FFFFFF" w:val="clear"/>
            <w:tcMar>
              <w:bottom w:w="40" w:type="dxa"/>
            </w:tcMar>
            <w:vAlign w:val="center"/>
          </w:tcPr>
          <w:p>
            <w:pPr>
              <w:pStyle w:val="TableContents"/>
              <w:bidi w:val="0"/>
              <w:spacing w:before="0" w:after="283"/>
              <w:jc w:val="right"/>
              <w:rPr>
                <w:color w:val="231F20"/>
              </w:rPr>
            </w:pPr>
            <w:r>
              <w:rPr>
                <w:color w:val="231F20"/>
              </w:rPr>
              <w:t>783,510</w:t>
            </w:r>
          </w:p>
        </w:tc>
      </w:tr>
      <w:tr>
        <w:trPr/>
        <w:tc>
          <w:tcPr>
            <w:tcW w:w="2029" w:type="dxa"/>
            <w:tcBorders>
              <w:bottom w:val="single" w:sz="12" w:space="0" w:color="3B5AA4"/>
            </w:tcBorders>
            <w:shd w:fill="EBECEC" w:val="clear"/>
            <w:tcMar>
              <w:bottom w:w="40" w:type="dxa"/>
            </w:tcMar>
            <w:vAlign w:val="center"/>
          </w:tcPr>
          <w:p>
            <w:pPr>
              <w:pStyle w:val="TableContents"/>
              <w:bidi w:val="0"/>
              <w:spacing w:before="0" w:after="283"/>
              <w:jc w:val="left"/>
              <w:rPr>
                <w:b/>
                <w:color w:val="3B5AA4"/>
              </w:rPr>
            </w:pPr>
            <w:r>
              <w:rPr>
                <w:b/>
                <w:color w:val="3B5AA4"/>
              </w:rPr>
              <w:t xml:space="preserve">Robert E. Landry </w:t>
            </w:r>
            <w:r>
              <w:rPr>
                <w:b/>
                <w:i/>
                <w:color w:val="3B5AA4"/>
              </w:rPr>
              <w:t>(retired)</w:t>
            </w:r>
          </w:p>
        </w:tc>
        <w:tc>
          <w:tcPr>
            <w:tcW w:w="60" w:type="dxa"/>
            <w:tcBorders>
              <w:bottom w:val="single" w:sz="12" w:space="0" w:color="3B5AA4"/>
            </w:tcBorders>
            <w:shd w:fill="EBECEC" w:val="clear"/>
            <w:tcMar>
              <w:bottom w:w="40" w:type="dxa"/>
            </w:tcMar>
            <w:vAlign w:val="center"/>
          </w:tcPr>
          <w:p>
            <w:pPr>
              <w:pStyle w:val="TableContents"/>
              <w:bidi w:val="0"/>
              <w:spacing w:before="0" w:after="283"/>
              <w:jc w:val="left"/>
              <w:rPr/>
            </w:pPr>
            <w:r>
              <w:rPr/>
              <w:t> </w:t>
            </w:r>
          </w:p>
        </w:tc>
        <w:tc>
          <w:tcPr>
            <w:tcW w:w="980" w:type="dxa"/>
            <w:tcBorders>
              <w:bottom w:val="single" w:sz="12" w:space="0" w:color="3B5AA4"/>
            </w:tcBorders>
            <w:shd w:fill="EBECEC" w:val="clear"/>
            <w:tcMar>
              <w:bottom w:w="40" w:type="dxa"/>
            </w:tcMar>
            <w:vAlign w:val="center"/>
          </w:tcPr>
          <w:p>
            <w:pPr>
              <w:pStyle w:val="TableContents"/>
              <w:bidi w:val="0"/>
              <w:spacing w:before="0" w:after="283"/>
              <w:jc w:val="right"/>
              <w:rPr>
                <w:color w:val="231F20"/>
              </w:rPr>
            </w:pPr>
            <w:r>
              <w:rPr>
                <w:color w:val="231F20"/>
              </w:rPr>
              <w:t>255,530</w:t>
            </w:r>
          </w:p>
        </w:tc>
        <w:tc>
          <w:tcPr>
            <w:tcW w:w="185" w:type="dxa"/>
            <w:tcBorders>
              <w:bottom w:val="single" w:sz="12" w:space="0" w:color="3B5AA4"/>
            </w:tcBorders>
            <w:shd w:fill="EBECEC" w:val="clear"/>
            <w:tcMar>
              <w:bottom w:w="40" w:type="dxa"/>
            </w:tcMar>
            <w:vAlign w:val="center"/>
          </w:tcPr>
          <w:p>
            <w:pPr>
              <w:pStyle w:val="TableContents"/>
              <w:bidi w:val="0"/>
              <w:spacing w:before="0" w:after="283"/>
              <w:jc w:val="left"/>
              <w:rPr/>
            </w:pPr>
            <w:r>
              <w:rPr>
                <w:position w:val="8"/>
                <w:sz w:val="19"/>
              </w:rPr>
              <w:t>1</w:t>
            </w:r>
            <w:r>
              <w:rPr/>
              <w:t> </w:t>
            </w:r>
          </w:p>
        </w:tc>
        <w:tc>
          <w:tcPr>
            <w:tcW w:w="1141" w:type="dxa"/>
            <w:tcBorders>
              <w:bottom w:val="single" w:sz="12" w:space="0" w:color="3B5AA4"/>
            </w:tcBorders>
            <w:shd w:fill="EBECEC" w:val="clear"/>
            <w:tcMar>
              <w:bottom w:w="40" w:type="dxa"/>
            </w:tcMar>
            <w:vAlign w:val="center"/>
          </w:tcPr>
          <w:p>
            <w:pPr>
              <w:pStyle w:val="TableContents"/>
              <w:bidi w:val="0"/>
              <w:spacing w:before="0" w:after="283"/>
              <w:jc w:val="right"/>
              <w:rPr/>
            </w:pPr>
            <w:r>
              <w:rPr>
                <w:color w:val="231F20"/>
              </w:rPr>
              <w:t>N/A</w:t>
            </w:r>
            <w:r>
              <w:rPr>
                <w:color w:val="010101"/>
                <w:position w:val="8"/>
                <w:sz w:val="19"/>
              </w:rPr>
              <w:t>1</w:t>
            </w:r>
          </w:p>
        </w:tc>
        <w:tc>
          <w:tcPr>
            <w:tcW w:w="60" w:type="dxa"/>
            <w:tcBorders>
              <w:bottom w:val="single" w:sz="12" w:space="0" w:color="3B5AA4"/>
            </w:tcBorders>
            <w:shd w:fill="EBECEC" w:val="clear"/>
            <w:tcMar>
              <w:bottom w:w="40" w:type="dxa"/>
            </w:tcMar>
            <w:vAlign w:val="center"/>
          </w:tcPr>
          <w:p>
            <w:pPr>
              <w:pStyle w:val="TableContents"/>
              <w:bidi w:val="0"/>
              <w:spacing w:before="0" w:after="283"/>
              <w:jc w:val="left"/>
              <w:rPr/>
            </w:pPr>
            <w:r>
              <w:rPr/>
              <w:t> </w:t>
            </w:r>
          </w:p>
        </w:tc>
        <w:tc>
          <w:tcPr>
            <w:tcW w:w="950" w:type="dxa"/>
            <w:tcBorders>
              <w:bottom w:val="single" w:sz="12" w:space="0" w:color="3B5AA4"/>
            </w:tcBorders>
            <w:shd w:fill="EBECEC" w:val="clear"/>
            <w:tcMar>
              <w:bottom w:w="40" w:type="dxa"/>
            </w:tcMar>
            <w:vAlign w:val="center"/>
          </w:tcPr>
          <w:p>
            <w:pPr>
              <w:pStyle w:val="TableContents"/>
              <w:bidi w:val="0"/>
              <w:spacing w:before="0" w:after="283"/>
              <w:jc w:val="right"/>
              <w:rPr>
                <w:color w:val="231F20"/>
              </w:rPr>
            </w:pPr>
            <w:r>
              <w:rPr>
                <w:color w:val="231F20"/>
              </w:rPr>
              <w:t>N/A</w:t>
            </w:r>
          </w:p>
        </w:tc>
        <w:tc>
          <w:tcPr>
            <w:tcW w:w="185" w:type="dxa"/>
            <w:tcBorders>
              <w:bottom w:val="single" w:sz="12" w:space="0" w:color="3B5AA4"/>
            </w:tcBorders>
            <w:shd w:fill="EBECEC" w:val="clear"/>
            <w:tcMar>
              <w:bottom w:w="40" w:type="dxa"/>
            </w:tcMar>
            <w:vAlign w:val="center"/>
          </w:tcPr>
          <w:p>
            <w:pPr>
              <w:pStyle w:val="TableContents"/>
              <w:bidi w:val="0"/>
              <w:spacing w:before="0" w:after="283"/>
              <w:jc w:val="left"/>
              <w:rPr/>
            </w:pPr>
            <w:r>
              <w:rPr>
                <w:position w:val="8"/>
                <w:sz w:val="19"/>
              </w:rPr>
              <w:t>1</w:t>
            </w:r>
            <w:r>
              <w:rPr/>
              <w:t> </w:t>
            </w:r>
          </w:p>
        </w:tc>
        <w:tc>
          <w:tcPr>
            <w:tcW w:w="1010" w:type="dxa"/>
            <w:tcBorders>
              <w:bottom w:val="single" w:sz="12" w:space="0" w:color="3B5AA4"/>
            </w:tcBorders>
            <w:shd w:fill="EBECEC" w:val="clear"/>
            <w:tcMar>
              <w:bottom w:w="40" w:type="dxa"/>
            </w:tcMar>
            <w:vAlign w:val="center"/>
          </w:tcPr>
          <w:p>
            <w:pPr>
              <w:pStyle w:val="TableContents"/>
              <w:bidi w:val="0"/>
              <w:spacing w:before="0" w:after="283"/>
              <w:jc w:val="right"/>
              <w:rPr>
                <w:color w:val="231F20"/>
              </w:rPr>
            </w:pPr>
            <w:r>
              <w:rPr>
                <w:color w:val="231F20"/>
              </w:rPr>
              <w:t>N/A</w:t>
            </w:r>
          </w:p>
        </w:tc>
        <w:tc>
          <w:tcPr>
            <w:tcW w:w="215" w:type="dxa"/>
            <w:tcBorders>
              <w:bottom w:val="single" w:sz="12" w:space="0" w:color="3B5AA4"/>
            </w:tcBorders>
            <w:shd w:fill="EBECEC" w:val="clear"/>
            <w:tcMar>
              <w:bottom w:w="40" w:type="dxa"/>
            </w:tcMar>
            <w:vAlign w:val="center"/>
          </w:tcPr>
          <w:p>
            <w:pPr>
              <w:pStyle w:val="TableContents"/>
              <w:bidi w:val="0"/>
              <w:spacing w:before="0" w:after="283"/>
              <w:jc w:val="left"/>
              <w:rPr>
                <w:color w:val="010101"/>
              </w:rPr>
            </w:pPr>
            <w:r>
              <w:rPr>
                <w:color w:val="010101"/>
                <w:position w:val="8"/>
                <w:sz w:val="19"/>
              </w:rPr>
              <w:t>1</w:t>
            </w:r>
            <w:r>
              <w:rPr>
                <w:color w:val="010101"/>
              </w:rPr>
              <w:t> </w:t>
            </w:r>
          </w:p>
        </w:tc>
        <w:tc>
          <w:tcPr>
            <w:tcW w:w="950" w:type="dxa"/>
            <w:tcBorders>
              <w:bottom w:val="single" w:sz="12" w:space="0" w:color="3B5AA4"/>
            </w:tcBorders>
            <w:shd w:fill="EBECEC" w:val="clear"/>
            <w:tcMar>
              <w:bottom w:w="40" w:type="dxa"/>
            </w:tcMar>
            <w:vAlign w:val="center"/>
          </w:tcPr>
          <w:p>
            <w:pPr>
              <w:pStyle w:val="TableContents"/>
              <w:bidi w:val="0"/>
              <w:spacing w:before="0" w:after="283"/>
              <w:jc w:val="right"/>
              <w:rPr>
                <w:color w:val="231F20"/>
              </w:rPr>
            </w:pPr>
            <w:r>
              <w:rPr>
                <w:color w:val="231F20"/>
              </w:rPr>
              <w:t>N/A</w:t>
            </w:r>
          </w:p>
        </w:tc>
        <w:tc>
          <w:tcPr>
            <w:tcW w:w="185" w:type="dxa"/>
            <w:tcBorders>
              <w:bottom w:val="single" w:sz="12" w:space="0" w:color="3B5AA4"/>
            </w:tcBorders>
            <w:shd w:fill="EBECEC" w:val="clear"/>
            <w:tcMar>
              <w:bottom w:w="40" w:type="dxa"/>
            </w:tcMar>
            <w:vAlign w:val="center"/>
          </w:tcPr>
          <w:p>
            <w:pPr>
              <w:pStyle w:val="TableContents"/>
              <w:bidi w:val="0"/>
              <w:spacing w:before="0" w:after="283"/>
              <w:jc w:val="left"/>
              <w:rPr>
                <w:color w:val="010101"/>
              </w:rPr>
            </w:pPr>
            <w:r>
              <w:rPr>
                <w:color w:val="010101"/>
                <w:position w:val="8"/>
                <w:sz w:val="19"/>
              </w:rPr>
              <w:t>1</w:t>
            </w:r>
            <w:r>
              <w:rPr>
                <w:color w:val="010101"/>
              </w:rPr>
              <w:t> </w:t>
            </w:r>
          </w:p>
        </w:tc>
        <w:tc>
          <w:tcPr>
            <w:tcW w:w="1010" w:type="dxa"/>
            <w:tcBorders>
              <w:bottom w:val="single" w:sz="12" w:space="0" w:color="3B5AA4"/>
            </w:tcBorders>
            <w:shd w:fill="EBECEC" w:val="clear"/>
            <w:tcMar>
              <w:bottom w:w="40" w:type="dxa"/>
            </w:tcMar>
            <w:vAlign w:val="center"/>
          </w:tcPr>
          <w:p>
            <w:pPr>
              <w:pStyle w:val="TableContents"/>
              <w:bidi w:val="0"/>
              <w:spacing w:before="0" w:after="283"/>
              <w:jc w:val="right"/>
              <w:rPr>
                <w:color w:val="231F20"/>
              </w:rPr>
            </w:pPr>
            <w:r>
              <w:rPr>
                <w:color w:val="231F20"/>
              </w:rPr>
              <w:t>N/A</w:t>
            </w:r>
          </w:p>
        </w:tc>
        <w:tc>
          <w:tcPr>
            <w:tcW w:w="215" w:type="dxa"/>
            <w:tcBorders>
              <w:bottom w:val="single" w:sz="12" w:space="0" w:color="3B5AA4"/>
            </w:tcBorders>
            <w:shd w:fill="EBECEC" w:val="clear"/>
            <w:tcMar>
              <w:bottom w:w="40" w:type="dxa"/>
            </w:tcMar>
            <w:vAlign w:val="center"/>
          </w:tcPr>
          <w:p>
            <w:pPr>
              <w:pStyle w:val="TableContents"/>
              <w:bidi w:val="0"/>
              <w:spacing w:before="0" w:after="283"/>
              <w:jc w:val="left"/>
              <w:rPr>
                <w:color w:val="010101"/>
              </w:rPr>
            </w:pPr>
            <w:r>
              <w:rPr>
                <w:color w:val="010101"/>
                <w:position w:val="8"/>
                <w:sz w:val="19"/>
              </w:rPr>
              <w:t>1</w:t>
            </w:r>
            <w:r>
              <w:rPr>
                <w:color w:val="010101"/>
              </w:rPr>
              <w:t> </w:t>
            </w:r>
          </w:p>
        </w:tc>
        <w:tc>
          <w:tcPr>
            <w:tcW w:w="1030" w:type="dxa"/>
            <w:tcBorders>
              <w:bottom w:val="single" w:sz="12" w:space="0" w:color="3B5AA4"/>
            </w:tcBorders>
            <w:shd w:fill="EBECEC" w:val="clear"/>
            <w:tcMar>
              <w:bottom w:w="40" w:type="dxa"/>
            </w:tcMar>
            <w:vAlign w:val="center"/>
          </w:tcPr>
          <w:p>
            <w:pPr>
              <w:pStyle w:val="TableContents"/>
              <w:bidi w:val="0"/>
              <w:spacing w:before="0" w:after="283"/>
              <w:jc w:val="right"/>
              <w:rPr/>
            </w:pPr>
            <w:r>
              <w:rPr>
                <w:color w:val="231F20"/>
              </w:rPr>
              <w:t>N/A</w:t>
            </w:r>
            <w:r>
              <w:rPr>
                <w:color w:val="010101"/>
                <w:position w:val="8"/>
                <w:sz w:val="19"/>
              </w:rPr>
              <w:t>1</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Mr. Landry did not receive an annual cash incentive in 2024 in light of his retirement from full-time employment with the Company effective February 2024. See footnote 9 to the Summary Compensation Table for more information on the amount reported in the “2024 Base Salary” column of this table.</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10"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91" descr=""/>
                          <pic:cNvPicPr>
                            <a:picLocks noChangeAspect="1" noChangeArrowheads="1"/>
                          </pic:cNvPicPr>
                        </pic:nvPicPr>
                        <pic:blipFill>
                          <a:blip r:embed="rId303"/>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89" w:name="regn013211-def14aa061"/>
      <w:bookmarkStart w:id="90" w:name="lregnb013"/>
      <w:bookmarkEnd w:id="89"/>
      <w:bookmarkEnd w:id="90"/>
      <w:r>
        <w:rPr>
          <w:rFonts w:ascii="Arial;Helvetica;Sans-Serif" w:hAnsi="Arial;Helvetica;Sans-Serif"/>
          <w:b/>
          <w:i w:val="false"/>
          <w:caps w:val="false"/>
          <w:smallCaps w:val="false"/>
          <w:color w:val="C60C44"/>
          <w:sz w:val="28"/>
        </w:rPr>
        <w:t>Annual Equity Awards</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Equity grants generally represent the largest portion of the compensation opportunity awarded annually to our NEOs. These awards are designed to incentivize delivery of sustainable long-term value, which we believe is created by focusing on the discovery, development, and commercialization of new medicines. Our Compensation Committee utilizes a customized framework for determining the size and mix of the annual equity awards of our NEOs and other senior executives, which is periodically reassessed in light of our business objectives, feedback from our shareholders, and market practices.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determining the size of the annual equity awards for each of our NEOs, the Compensation Committee balances an assessment of how each NEO’s individual performance contributed to the Company’s performance for the year with an assessment of such NEO’s importance to future Company performance. These assessments are then reviewed in light of market positioning and the Company’s equity award guidelines.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determining the mix of annual equity awards of each of our NEOs, the Compensation Committee seeks to balance incentivizing long-term performance with promoting long-term employee retention. The relevant considerations underlying our equity program and the types of awards we have utilized in recent years are summarized below.</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28" w:type="dxa"/>
          <w:right w:w="0" w:type="dxa"/>
        </w:tblCellMar>
      </w:tblPr>
      <w:tblGrid>
        <w:gridCol w:w="5966"/>
        <w:gridCol w:w="300"/>
        <w:gridCol w:w="300"/>
        <w:gridCol w:w="3639"/>
      </w:tblGrid>
      <w:tr>
        <w:trPr/>
        <w:tc>
          <w:tcPr>
            <w:tcW w:w="5966" w:type="dxa"/>
            <w:tcBorders>
              <w:bottom w:val="single" w:sz="2" w:space="0" w:color="3B5AA4"/>
            </w:tcBorders>
            <w:vAlign w:val="center"/>
          </w:tcPr>
          <w:p>
            <w:pPr>
              <w:pStyle w:val="TableContents"/>
              <w:bidi w:val="0"/>
              <w:spacing w:before="0" w:after="0"/>
              <w:ind w:left="0" w:right="0" w:hanging="0"/>
              <w:jc w:val="left"/>
              <w:rPr>
                <w:color w:val="C60C44"/>
              </w:rPr>
            </w:pPr>
            <w:r>
              <w:rPr>
                <w:color w:val="C60C44"/>
              </w:rPr>
              <w:drawing>
                <wp:inline distT="0" distB="0" distL="0" distR="0">
                  <wp:extent cx="257175" cy="276225"/>
                  <wp:effectExtent l="0" t="0" r="0" b="0"/>
                  <wp:docPr id="311"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92" descr=""/>
                          <pic:cNvPicPr>
                            <a:picLocks noChangeAspect="1" noChangeArrowheads="1"/>
                          </pic:cNvPicPr>
                        </pic:nvPicPr>
                        <pic:blipFill>
                          <a:blip r:embed="rId304"/>
                          <a:stretch>
                            <a:fillRect/>
                          </a:stretch>
                        </pic:blipFill>
                        <pic:spPr bwMode="auto">
                          <a:xfrm>
                            <a:off x="0" y="0"/>
                            <a:ext cx="257175" cy="276225"/>
                          </a:xfrm>
                          <a:prstGeom prst="rect">
                            <a:avLst/>
                          </a:prstGeom>
                        </pic:spPr>
                      </pic:pic>
                    </a:graphicData>
                  </a:graphic>
                </wp:inline>
              </w:drawing>
            </w:r>
            <w:r>
              <w:rPr>
                <w:color w:val="C60C44"/>
              </w:rPr>
              <w:t>          </w:t>
            </w:r>
            <w:r>
              <w:rPr>
                <w:b/>
                <w:color w:val="C60C44"/>
              </w:rPr>
              <w:t>Performance-Based Value Delivery</w:t>
            </w:r>
          </w:p>
          <w:p>
            <w:pPr>
              <w:pStyle w:val="TableContents"/>
              <w:bidi w:val="0"/>
              <w:spacing w:before="0" w:after="0"/>
              <w:ind w:left="0" w:right="0" w:hanging="0"/>
              <w:jc w:val="left"/>
              <w:rPr>
                <w:color w:val="C60C44"/>
              </w:rPr>
            </w:pPr>
            <w:r>
              <w:rPr>
                <w:color w:val="C60C44"/>
              </w:rPr>
              <w:t> </w:t>
            </w:r>
          </w:p>
          <w:p>
            <w:pPr>
              <w:pStyle w:val="TableContents"/>
              <w:bidi w:val="0"/>
              <w:spacing w:before="0" w:after="0"/>
              <w:ind w:left="0" w:right="0" w:hanging="0"/>
              <w:jc w:val="left"/>
              <w:rPr>
                <w:color w:val="3B5AA4"/>
              </w:rPr>
            </w:pPr>
            <w:r>
              <w:rPr>
                <w:color w:val="3B5AA4"/>
              </w:rPr>
              <w:t>•   </w:t>
            </w:r>
            <w:r>
              <w:rPr>
                <w:b/>
                <w:color w:val="3B5AA4"/>
              </w:rPr>
              <w:t>Both stock options and PSUs are performance-based:</w:t>
            </w:r>
          </w:p>
          <w:p>
            <w:pPr>
              <w:pStyle w:val="TableContents"/>
              <w:bidi w:val="0"/>
              <w:spacing w:before="0" w:after="0"/>
              <w:ind w:left="0" w:right="0" w:hanging="0"/>
              <w:jc w:val="left"/>
              <w:rPr>
                <w:color w:val="3B5AA4"/>
              </w:rPr>
            </w:pPr>
            <w:r>
              <w:rPr>
                <w:color w:val="3B5AA4"/>
              </w:rPr>
              <w:t> </w:t>
            </w:r>
          </w:p>
          <w:p>
            <w:pPr>
              <w:pStyle w:val="TableContents"/>
              <w:bidi w:val="0"/>
              <w:spacing w:before="0" w:after="0"/>
              <w:ind w:left="400" w:right="0" w:hanging="200"/>
              <w:jc w:val="left"/>
              <w:rPr/>
            </w:pPr>
            <w:r>
              <w:rPr>
                <w:color w:val="3B5AA4"/>
              </w:rPr>
              <w:t>•</w:t>
            </w:r>
            <w:r>
              <w:rPr>
                <w:color w:val="231F20"/>
              </w:rPr>
              <w:t>   </w:t>
            </w:r>
            <w:r>
              <w:rPr>
                <w:color w:val="231F20"/>
              </w:rPr>
              <w:t>Regeneron’s long-held view is that stock options are</w:t>
            </w:r>
            <w:r>
              <w:rPr/>
              <w:t xml:space="preserve"> </w:t>
            </w:r>
            <w:r>
              <w:rPr>
                <w:color w:val="231F20"/>
              </w:rPr>
              <w:t>performance-based and, when used thoughtfully, are a great</w:t>
            </w:r>
            <w:r>
              <w:rPr/>
              <w:t xml:space="preserve"> </w:t>
            </w:r>
            <w:r>
              <w:rPr>
                <w:color w:val="231F20"/>
              </w:rPr>
              <w:t>compensation tool to incentivize employees while ensuring</w:t>
            </w:r>
            <w:r>
              <w:rPr/>
              <w:t xml:space="preserve"> </w:t>
            </w:r>
            <w:r>
              <w:rPr>
                <w:color w:val="231F20"/>
              </w:rPr>
              <w:t>alignment with shareholder interests. This view is</w:t>
            </w:r>
            <w:r>
              <w:rPr/>
              <w:t xml:space="preserve"> </w:t>
            </w:r>
            <w:r>
              <w:rPr>
                <w:color w:val="231F20"/>
              </w:rPr>
              <w:t>commonly shared amongst biotechnology companies and</w:t>
            </w:r>
            <w:r>
              <w:rPr/>
              <w:t xml:space="preserve"> </w:t>
            </w:r>
            <w:r>
              <w:rPr>
                <w:color w:val="231F20"/>
              </w:rPr>
              <w:t>reflects the unique dynamics of the industry. Stock options</w:t>
            </w:r>
            <w:r>
              <w:rPr/>
              <w:t xml:space="preserve"> </w:t>
            </w:r>
            <w:r>
              <w:rPr>
                <w:color w:val="231F20"/>
              </w:rPr>
              <w:t>only deliver value if we deliver stock price appreciation for</w:t>
            </w:r>
            <w:r>
              <w:rPr/>
              <w:t xml:space="preserve"> </w:t>
            </w:r>
            <w:r>
              <w:rPr>
                <w:color w:val="231F20"/>
              </w:rPr>
              <w:t>shareholders after grant. No amount of time will make a</w:t>
            </w:r>
            <w:r>
              <w:rPr/>
              <w:t xml:space="preserve"> </w:t>
            </w:r>
            <w:r>
              <w:rPr>
                <w:color w:val="231F20"/>
              </w:rPr>
              <w:t>stock option deliver any value unless the company’s stock</w:t>
            </w:r>
            <w:r>
              <w:rPr/>
              <w:t xml:space="preserve"> </w:t>
            </w:r>
            <w:r>
              <w:rPr>
                <w:color w:val="231F20"/>
              </w:rPr>
              <w:t>price increases, and no sustainable stock price appreciation</w:t>
            </w:r>
            <w:r>
              <w:rPr/>
              <w:t xml:space="preserve"> </w:t>
            </w:r>
            <w:r>
              <w:rPr>
                <w:color w:val="231F20"/>
              </w:rPr>
              <w:t>can be achieved by Regeneron without a productive pipeline</w:t>
            </w:r>
            <w:r>
              <w:rPr/>
              <w:t xml:space="preserve"> </w:t>
            </w:r>
            <w:r>
              <w:rPr>
                <w:color w:val="231F20"/>
              </w:rPr>
              <w:t>of potential new medicines.</w:t>
            </w:r>
          </w:p>
          <w:p>
            <w:pPr>
              <w:pStyle w:val="TableContents"/>
              <w:bidi w:val="0"/>
              <w:spacing w:before="0" w:after="0"/>
              <w:ind w:left="0" w:right="0" w:hanging="0"/>
              <w:jc w:val="left"/>
              <w:rPr/>
            </w:pPr>
            <w:r>
              <w:rPr/>
              <w:t> </w:t>
            </w:r>
          </w:p>
          <w:p>
            <w:pPr>
              <w:pStyle w:val="TableContents"/>
              <w:bidi w:val="0"/>
              <w:spacing w:before="0" w:after="0"/>
              <w:ind w:left="400" w:right="0" w:hanging="200"/>
              <w:jc w:val="left"/>
              <w:rPr/>
            </w:pPr>
            <w:r>
              <w:rPr>
                <w:color w:val="3B5AA4"/>
              </w:rPr>
              <w:t>•   </w:t>
            </w:r>
            <w:r>
              <w:rPr>
                <w:color w:val="231F20"/>
              </w:rPr>
              <w:t>PSUs (which were most recently granted in 2020 but not utilized for any NEOs in 2021-2024) only vest if the relevant TSR-based performance criteria are satisfied. They are designed to reward top performance; reward exceptional long-term shareholder value creation; and ensure stability and continuity of leadership to support the achievement of the next phase of Regeneron’s ambitious product, pipeline, and talent development plans.</w:t>
            </w:r>
          </w:p>
          <w:p>
            <w:pPr>
              <w:pStyle w:val="TableContents"/>
              <w:bidi w:val="0"/>
              <w:spacing w:before="0" w:after="0"/>
              <w:ind w:left="360" w:right="0" w:hanging="200"/>
              <w:jc w:val="left"/>
              <w:rPr>
                <w:color w:val="231F20"/>
              </w:rPr>
            </w:pPr>
            <w:r>
              <w:rPr>
                <w:color w:val="231F20"/>
              </w:rPr>
              <w:t> </w:t>
            </w:r>
          </w:p>
        </w:tc>
        <w:tc>
          <w:tcPr>
            <w:tcW w:w="300" w:type="dxa"/>
            <w:tcBorders/>
            <w:tcMar>
              <w:bottom w:w="0" w:type="dxa"/>
            </w:tcMar>
            <w:vAlign w:val="center"/>
          </w:tcPr>
          <w:p>
            <w:pPr>
              <w:pStyle w:val="TableContents"/>
              <w:bidi w:val="0"/>
              <w:spacing w:before="0" w:after="283"/>
              <w:jc w:val="left"/>
              <w:rPr/>
            </w:pPr>
            <w:r>
              <w:rPr/>
              <w:t>     </w:t>
            </w:r>
          </w:p>
        </w:tc>
        <w:tc>
          <w:tcPr>
            <w:tcW w:w="300" w:type="dxa"/>
            <w:tcBorders>
              <w:left w:val="single" w:sz="2" w:space="0" w:color="3B5AA4"/>
            </w:tcBorders>
            <w:tcMar>
              <w:left w:w="28" w:type="dxa"/>
              <w:bottom w:w="0" w:type="dxa"/>
            </w:tcMar>
            <w:vAlign w:val="center"/>
          </w:tcPr>
          <w:p>
            <w:pPr>
              <w:pStyle w:val="TableContents"/>
              <w:bidi w:val="0"/>
              <w:spacing w:before="0" w:after="283"/>
              <w:jc w:val="left"/>
              <w:rPr/>
            </w:pPr>
            <w:r>
              <w:rPr/>
              <w:t>     </w:t>
            </w:r>
          </w:p>
        </w:tc>
        <w:tc>
          <w:tcPr>
            <w:tcW w:w="3639" w:type="dxa"/>
            <w:tcBorders>
              <w:bottom w:val="single" w:sz="2" w:space="0" w:color="3B5AA4"/>
            </w:tcBorders>
            <w:vAlign w:val="center"/>
          </w:tcPr>
          <w:p>
            <w:pPr>
              <w:pStyle w:val="TableContents"/>
              <w:bidi w:val="0"/>
              <w:spacing w:before="0" w:after="0"/>
              <w:ind w:left="0" w:right="0" w:hanging="0"/>
              <w:jc w:val="left"/>
              <w:rPr>
                <w:color w:val="C60C44"/>
              </w:rPr>
            </w:pPr>
            <w:r>
              <w:rPr>
                <w:color w:val="C60C44"/>
              </w:rPr>
              <w:drawing>
                <wp:inline distT="0" distB="0" distL="0" distR="0">
                  <wp:extent cx="276225" cy="285750"/>
                  <wp:effectExtent l="0" t="0" r="0" b="0"/>
                  <wp:docPr id="312"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93" descr=""/>
                          <pic:cNvPicPr>
                            <a:picLocks noChangeAspect="1" noChangeArrowheads="1"/>
                          </pic:cNvPicPr>
                        </pic:nvPicPr>
                        <pic:blipFill>
                          <a:blip r:embed="rId305"/>
                          <a:stretch>
                            <a:fillRect/>
                          </a:stretch>
                        </pic:blipFill>
                        <pic:spPr bwMode="auto">
                          <a:xfrm>
                            <a:off x="0" y="0"/>
                            <a:ext cx="276225" cy="285750"/>
                          </a:xfrm>
                          <a:prstGeom prst="rect">
                            <a:avLst/>
                          </a:prstGeom>
                        </pic:spPr>
                      </pic:pic>
                    </a:graphicData>
                  </a:graphic>
                </wp:inline>
              </w:drawing>
            </w:r>
            <w:r>
              <w:rPr>
                <w:color w:val="C60C44"/>
              </w:rPr>
              <w:t>          </w:t>
            </w:r>
            <w:r>
              <w:rPr>
                <w:b/>
                <w:color w:val="C60C44"/>
              </w:rPr>
              <w:t>Long-Term Value Creation</w:t>
            </w:r>
          </w:p>
          <w:p>
            <w:pPr>
              <w:pStyle w:val="TableContents"/>
              <w:bidi w:val="0"/>
              <w:spacing w:before="0" w:after="0"/>
              <w:ind w:left="0" w:right="0" w:hanging="0"/>
              <w:jc w:val="left"/>
              <w:rPr>
                <w:color w:val="C60C44"/>
              </w:rPr>
            </w:pPr>
            <w:r>
              <w:rPr>
                <w:color w:val="C60C44"/>
              </w:rPr>
              <w:t> </w:t>
            </w:r>
          </w:p>
          <w:p>
            <w:pPr>
              <w:pStyle w:val="TableContents"/>
              <w:bidi w:val="0"/>
              <w:spacing w:before="0" w:after="0"/>
              <w:ind w:left="200" w:right="0" w:hanging="200"/>
              <w:jc w:val="left"/>
              <w:rPr/>
            </w:pPr>
            <w:r>
              <w:rPr>
                <w:color w:val="3B5AA4"/>
              </w:rPr>
              <w:t>•   </w:t>
            </w:r>
            <w:r>
              <w:rPr>
                <w:b/>
                <w:color w:val="3B5AA4"/>
              </w:rPr>
              <w:t>Stock option grants have ten-year terms and four-year</w:t>
            </w:r>
            <w:r>
              <w:rPr/>
              <w:t xml:space="preserve"> </w:t>
            </w:r>
            <w:r>
              <w:rPr>
                <w:b/>
                <w:color w:val="3B5AA4"/>
              </w:rPr>
              <w:t>vesting provisions:</w:t>
            </w:r>
          </w:p>
          <w:p>
            <w:pPr>
              <w:pStyle w:val="TableContents"/>
              <w:bidi w:val="0"/>
              <w:spacing w:before="0" w:after="0"/>
              <w:ind w:left="0" w:right="0" w:hanging="0"/>
              <w:jc w:val="left"/>
              <w:rPr/>
            </w:pPr>
            <w:r>
              <w:rPr/>
              <w:t> </w:t>
            </w:r>
          </w:p>
          <w:p>
            <w:pPr>
              <w:pStyle w:val="TableContents"/>
              <w:bidi w:val="0"/>
              <w:spacing w:before="0" w:after="0"/>
              <w:ind w:left="400" w:right="0" w:hanging="200"/>
              <w:jc w:val="left"/>
              <w:rPr/>
            </w:pPr>
            <w:r>
              <w:rPr>
                <w:color w:val="3B5AA4"/>
              </w:rPr>
              <w:t>•   </w:t>
            </w:r>
            <w:r>
              <w:rPr>
                <w:color w:val="231F20"/>
              </w:rPr>
              <w:t>Designed to align with long-term value creation and the development cycle of our products.</w:t>
            </w:r>
          </w:p>
          <w:p>
            <w:pPr>
              <w:pStyle w:val="TableContents"/>
              <w:bidi w:val="0"/>
              <w:spacing w:before="0" w:after="0"/>
              <w:ind w:left="0" w:right="0" w:hanging="0"/>
              <w:jc w:val="left"/>
              <w:rPr/>
            </w:pPr>
            <w:r>
              <w:rPr/>
              <w:t> </w:t>
            </w:r>
          </w:p>
          <w:p>
            <w:pPr>
              <w:pStyle w:val="TableContents"/>
              <w:bidi w:val="0"/>
              <w:spacing w:before="0" w:after="0"/>
              <w:ind w:left="200" w:right="0" w:hanging="200"/>
              <w:jc w:val="left"/>
              <w:rPr/>
            </w:pPr>
            <w:r>
              <w:rPr>
                <w:color w:val="3B5AA4"/>
              </w:rPr>
              <w:t>•   </w:t>
            </w:r>
            <w:r>
              <w:rPr>
                <w:b/>
                <w:color w:val="3B5AA4"/>
              </w:rPr>
              <w:t>PSUs granted in 2020 incorporate a long-term, five-year</w:t>
            </w:r>
            <w:r>
              <w:rPr/>
              <w:t xml:space="preserve"> </w:t>
            </w:r>
            <w:r>
              <w:rPr>
                <w:b/>
                <w:color w:val="3B5AA4"/>
              </w:rPr>
              <w:t>performance period and require an additional three-year</w:t>
            </w:r>
            <w:r>
              <w:rPr/>
              <w:t xml:space="preserve"> </w:t>
            </w:r>
            <w:r>
              <w:rPr>
                <w:b/>
                <w:color w:val="3B5AA4"/>
              </w:rPr>
              <w:t>deferral and holding period:</w:t>
            </w:r>
          </w:p>
          <w:p>
            <w:pPr>
              <w:pStyle w:val="TableContents"/>
              <w:bidi w:val="0"/>
              <w:spacing w:before="0" w:after="0"/>
              <w:ind w:left="0" w:right="0" w:hanging="0"/>
              <w:jc w:val="left"/>
              <w:rPr/>
            </w:pPr>
            <w:r>
              <w:rPr/>
              <w:t> </w:t>
            </w:r>
          </w:p>
          <w:p>
            <w:pPr>
              <w:pStyle w:val="TableContents"/>
              <w:bidi w:val="0"/>
              <w:spacing w:before="0" w:after="0"/>
              <w:ind w:left="400" w:right="0" w:hanging="200"/>
              <w:jc w:val="left"/>
              <w:rPr/>
            </w:pPr>
            <w:r>
              <w:rPr>
                <w:color w:val="3B5AA4"/>
              </w:rPr>
              <w:t>•   </w:t>
            </w:r>
            <w:r>
              <w:rPr>
                <w:color w:val="231F20"/>
              </w:rPr>
              <w:t>Designed to promote and reward value creation, retention, and shareholder alignment over eight years.</w:t>
            </w:r>
          </w:p>
          <w:p>
            <w:pPr>
              <w:pStyle w:val="TableContents"/>
              <w:bidi w:val="0"/>
              <w:spacing w:before="0" w:after="0"/>
              <w:ind w:left="0" w:right="0" w:hanging="0"/>
              <w:jc w:val="left"/>
              <w:rPr/>
            </w:pPr>
            <w:r>
              <w:rPr/>
              <w:t> </w:t>
            </w:r>
          </w:p>
          <w:p>
            <w:pPr>
              <w:pStyle w:val="TableContents"/>
              <w:bidi w:val="0"/>
              <w:spacing w:before="0" w:after="0"/>
              <w:ind w:left="0" w:right="0" w:hanging="0"/>
              <w:jc w:val="left"/>
              <w:rPr>
                <w:color w:val="3B5AA4"/>
              </w:rPr>
            </w:pPr>
            <w:r>
              <w:rPr>
                <w:color w:val="3B5AA4"/>
              </w:rPr>
              <w:t>•   </w:t>
            </w:r>
            <w:r>
              <w:rPr>
                <w:b/>
                <w:color w:val="3B5AA4"/>
              </w:rPr>
              <w:t>RSAs/RSUs promote long-term employment:</w:t>
            </w:r>
          </w:p>
          <w:p>
            <w:pPr>
              <w:pStyle w:val="TableContents"/>
              <w:bidi w:val="0"/>
              <w:spacing w:before="0" w:after="0"/>
              <w:ind w:left="0" w:right="0" w:hanging="0"/>
              <w:jc w:val="left"/>
              <w:rPr/>
            </w:pPr>
            <w:r>
              <w:rPr/>
              <w:t> </w:t>
            </w:r>
          </w:p>
          <w:p>
            <w:pPr>
              <w:pStyle w:val="TableContents"/>
              <w:bidi w:val="0"/>
              <w:spacing w:before="0" w:after="0"/>
              <w:ind w:left="400" w:right="0" w:hanging="200"/>
              <w:jc w:val="left"/>
              <w:rPr/>
            </w:pPr>
            <w:r>
              <w:rPr>
                <w:color w:val="3B5AA4"/>
              </w:rPr>
              <w:t>•   </w:t>
            </w:r>
            <w:r>
              <w:rPr>
                <w:color w:val="231F20"/>
              </w:rPr>
              <w:t>RSAs/RSUs awarded as a component of annual equity</w:t>
            </w:r>
            <w:r>
              <w:rPr/>
              <w:t xml:space="preserve"> </w:t>
            </w:r>
            <w:r>
              <w:rPr>
                <w:color w:val="231F20"/>
              </w:rPr>
              <w:t>awards vest 50% on the second anniversary of the date of grant and 50% on the fourth anniversary of the date of grant, which is a more backloaded vesting schedule than is typical in the industry.</w:t>
            </w:r>
          </w:p>
          <w:p>
            <w:pPr>
              <w:pStyle w:val="TableContents"/>
              <w:bidi w:val="0"/>
              <w:spacing w:before="0" w:after="0"/>
              <w:ind w:left="0" w:right="0" w:hanging="0"/>
              <w:jc w:val="left"/>
              <w:rPr/>
            </w:pPr>
            <w:r>
              <w:rPr/>
              <w:t> </w:t>
            </w:r>
          </w:p>
        </w:tc>
      </w:tr>
      <w:tr>
        <w:trPr/>
        <w:tc>
          <w:tcPr>
            <w:tcW w:w="5966" w:type="dxa"/>
            <w:tcBorders>
              <w:bottom w:val="single" w:sz="2" w:space="0" w:color="3B5AA4"/>
            </w:tcBorders>
            <w:vAlign w:val="center"/>
          </w:tcPr>
          <w:p>
            <w:pPr>
              <w:pStyle w:val="TableContents"/>
              <w:bidi w:val="0"/>
              <w:spacing w:before="0" w:after="0"/>
              <w:ind w:left="0" w:right="0" w:hanging="0"/>
              <w:jc w:val="left"/>
              <w:rPr>
                <w:color w:val="C60C44"/>
              </w:rPr>
            </w:pPr>
            <w:r>
              <w:rPr>
                <w:color w:val="C60C44"/>
              </w:rPr>
              <w:drawing>
                <wp:inline distT="0" distB="0" distL="0" distR="0">
                  <wp:extent cx="276225" cy="285750"/>
                  <wp:effectExtent l="0" t="0" r="0" b="0"/>
                  <wp:docPr id="313"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94" descr=""/>
                          <pic:cNvPicPr>
                            <a:picLocks noChangeAspect="1" noChangeArrowheads="1"/>
                          </pic:cNvPicPr>
                        </pic:nvPicPr>
                        <pic:blipFill>
                          <a:blip r:embed="rId306"/>
                          <a:stretch>
                            <a:fillRect/>
                          </a:stretch>
                        </pic:blipFill>
                        <pic:spPr bwMode="auto">
                          <a:xfrm>
                            <a:off x="0" y="0"/>
                            <a:ext cx="276225" cy="285750"/>
                          </a:xfrm>
                          <a:prstGeom prst="rect">
                            <a:avLst/>
                          </a:prstGeom>
                        </pic:spPr>
                      </pic:pic>
                    </a:graphicData>
                  </a:graphic>
                </wp:inline>
              </w:drawing>
            </w:r>
            <w:r>
              <w:rPr>
                <w:color w:val="C60C44"/>
              </w:rPr>
              <w:t>          </w:t>
            </w:r>
            <w:r>
              <w:rPr>
                <w:b/>
                <w:color w:val="C60C44"/>
              </w:rPr>
              <w:t>Meaningful Holding Requirements</w:t>
            </w:r>
          </w:p>
          <w:p>
            <w:pPr>
              <w:pStyle w:val="TableContents"/>
              <w:bidi w:val="0"/>
              <w:spacing w:before="0" w:after="0"/>
              <w:ind w:left="0" w:right="0" w:hanging="0"/>
              <w:jc w:val="left"/>
              <w:rPr>
                <w:color w:val="C60C44"/>
              </w:rPr>
            </w:pPr>
            <w:r>
              <w:rPr>
                <w:color w:val="C60C44"/>
              </w:rPr>
              <w:t> </w:t>
            </w:r>
          </w:p>
          <w:p>
            <w:pPr>
              <w:pStyle w:val="TableContents"/>
              <w:bidi w:val="0"/>
              <w:spacing w:before="0" w:after="0"/>
              <w:ind w:left="200" w:right="0" w:hanging="200"/>
              <w:jc w:val="left"/>
              <w:rPr/>
            </w:pPr>
            <w:r>
              <w:rPr>
                <w:color w:val="3B5AA4"/>
              </w:rPr>
              <w:t>•   </w:t>
            </w:r>
            <w:r>
              <w:rPr>
                <w:b/>
                <w:color w:val="3B5AA4"/>
              </w:rPr>
              <w:t>We require NEOs to retain a significant amount of equity</w:t>
            </w:r>
            <w:r>
              <w:rPr/>
              <w:t xml:space="preserve"> </w:t>
            </w:r>
            <w:r>
              <w:rPr>
                <w:b/>
                <w:color w:val="3B5AA4"/>
              </w:rPr>
              <w:t>within five years of their employment with Regeneron:</w:t>
            </w:r>
          </w:p>
          <w:p>
            <w:pPr>
              <w:pStyle w:val="TableContents"/>
              <w:bidi w:val="0"/>
              <w:spacing w:before="0" w:after="0"/>
              <w:ind w:left="0" w:right="0" w:hanging="0"/>
              <w:jc w:val="left"/>
              <w:rPr/>
            </w:pPr>
            <w:r>
              <w:rPr/>
              <w:t> </w:t>
            </w:r>
          </w:p>
          <w:p>
            <w:pPr>
              <w:pStyle w:val="TableContents"/>
              <w:bidi w:val="0"/>
              <w:spacing w:before="0" w:after="0"/>
              <w:ind w:left="360" w:right="0" w:hanging="200"/>
              <w:jc w:val="left"/>
              <w:rPr/>
            </w:pPr>
            <w:r>
              <w:rPr>
                <w:color w:val="3B5AA4"/>
              </w:rPr>
              <w:t>•   </w:t>
            </w:r>
            <w:r>
              <w:rPr>
                <w:color w:val="231F20"/>
              </w:rPr>
              <w:t>Our CEO and CSO must own shares with a value at least 6x</w:t>
            </w:r>
            <w:r>
              <w:rPr/>
              <w:t xml:space="preserve"> </w:t>
            </w:r>
            <w:r>
              <w:rPr>
                <w:color w:val="231F20"/>
              </w:rPr>
              <w:t>their respective base salaries.</w:t>
            </w:r>
          </w:p>
          <w:p>
            <w:pPr>
              <w:pStyle w:val="TableContents"/>
              <w:bidi w:val="0"/>
              <w:spacing w:before="0" w:after="0"/>
              <w:ind w:left="0" w:right="0" w:hanging="0"/>
              <w:jc w:val="left"/>
              <w:rPr/>
            </w:pPr>
            <w:r>
              <w:rPr/>
              <w:t> </w:t>
            </w:r>
          </w:p>
          <w:p>
            <w:pPr>
              <w:pStyle w:val="TableContents"/>
              <w:bidi w:val="0"/>
              <w:spacing w:before="0" w:after="0"/>
              <w:ind w:left="360" w:right="0" w:hanging="200"/>
              <w:jc w:val="left"/>
              <w:rPr/>
            </w:pPr>
            <w:r>
              <w:rPr>
                <w:color w:val="3B5AA4"/>
              </w:rPr>
              <w:t>•   </w:t>
            </w:r>
            <w:r>
              <w:rPr>
                <w:color w:val="231F20"/>
              </w:rPr>
              <w:t>Our other NEOs must own shares with a value at least 2x</w:t>
            </w:r>
            <w:r>
              <w:rPr/>
              <w:t xml:space="preserve"> </w:t>
            </w:r>
            <w:r>
              <w:rPr>
                <w:color w:val="231F20"/>
              </w:rPr>
              <w:t>their respective base salaries.</w:t>
            </w:r>
          </w:p>
          <w:p>
            <w:pPr>
              <w:pStyle w:val="TableContents"/>
              <w:bidi w:val="0"/>
              <w:spacing w:before="0" w:after="0"/>
              <w:ind w:left="0" w:right="0" w:hanging="0"/>
              <w:jc w:val="left"/>
              <w:rPr/>
            </w:pPr>
            <w:r>
              <w:rPr/>
              <w:t> </w:t>
            </w:r>
          </w:p>
          <w:p>
            <w:pPr>
              <w:pStyle w:val="TableContents"/>
              <w:bidi w:val="0"/>
              <w:spacing w:before="0" w:after="0"/>
              <w:ind w:left="360" w:right="0" w:hanging="200"/>
              <w:jc w:val="left"/>
              <w:rPr/>
            </w:pPr>
            <w:r>
              <w:rPr>
                <w:color w:val="3B5AA4"/>
              </w:rPr>
              <w:t>•   </w:t>
            </w:r>
            <w:r>
              <w:rPr>
                <w:color w:val="231F20"/>
              </w:rPr>
              <w:t>Our NEOs’ holdings of Regeneron equity are typically well in</w:t>
            </w:r>
            <w:r>
              <w:rPr/>
              <w:t xml:space="preserve"> </w:t>
            </w:r>
            <w:r>
              <w:rPr>
                <w:color w:val="231F20"/>
              </w:rPr>
              <w:t>excess of these requirements. For example, as of year-end</w:t>
            </w:r>
            <w:r>
              <w:rPr/>
              <w:t xml:space="preserve"> </w:t>
            </w:r>
            <w:r>
              <w:rPr>
                <w:color w:val="231F20"/>
              </w:rPr>
              <w:t>2024, both our CEO and CSO held shares with a value over 400x of their respective base salaries then in effect.</w:t>
            </w:r>
          </w:p>
          <w:p>
            <w:pPr>
              <w:pStyle w:val="TableContents"/>
              <w:bidi w:val="0"/>
              <w:spacing w:before="0" w:after="0"/>
              <w:ind w:left="0" w:right="0" w:hanging="0"/>
              <w:jc w:val="left"/>
              <w:rPr/>
            </w:pPr>
            <w:r>
              <w:rPr/>
              <w:t> </w:t>
            </w:r>
          </w:p>
          <w:p>
            <w:pPr>
              <w:pStyle w:val="TableContents"/>
              <w:bidi w:val="0"/>
              <w:spacing w:before="0" w:after="0"/>
              <w:ind w:left="200" w:right="0" w:hanging="200"/>
              <w:jc w:val="left"/>
              <w:rPr/>
            </w:pPr>
            <w:r>
              <w:rPr>
                <w:color w:val="3B5AA4"/>
              </w:rPr>
              <w:t>•   </w:t>
            </w:r>
            <w:r>
              <w:rPr>
                <w:b/>
                <w:color w:val="3B5AA4"/>
              </w:rPr>
              <w:t>In addition, PSUs awarded in 2020 require a three-year</w:t>
            </w:r>
            <w:r>
              <w:rPr/>
              <w:t xml:space="preserve"> </w:t>
            </w:r>
            <w:r>
              <w:rPr>
                <w:b/>
                <w:color w:val="3B5AA4"/>
              </w:rPr>
              <w:t>deferral and holding period following vesting, except in</w:t>
            </w:r>
            <w:r>
              <w:rPr/>
              <w:t xml:space="preserve"> </w:t>
            </w:r>
            <w:r>
              <w:rPr>
                <w:b/>
                <w:color w:val="3B5AA4"/>
              </w:rPr>
              <w:t>certain limited circumstances.</w:t>
            </w:r>
          </w:p>
          <w:p>
            <w:pPr>
              <w:pStyle w:val="TableContents"/>
              <w:bidi w:val="0"/>
              <w:spacing w:before="0" w:after="0"/>
              <w:ind w:left="0" w:right="0" w:hanging="0"/>
              <w:jc w:val="left"/>
              <w:rPr/>
            </w:pPr>
            <w:r>
              <w:rPr/>
              <w:t> </w:t>
            </w:r>
          </w:p>
        </w:tc>
        <w:tc>
          <w:tcPr>
            <w:tcW w:w="300" w:type="dxa"/>
            <w:tcBorders>
              <w:bottom w:val="single" w:sz="2" w:space="0" w:color="3B5AA4"/>
            </w:tcBorders>
            <w:vAlign w:val="center"/>
          </w:tcPr>
          <w:p>
            <w:pPr>
              <w:pStyle w:val="TableContents"/>
              <w:bidi w:val="0"/>
              <w:spacing w:before="0" w:after="283"/>
              <w:jc w:val="left"/>
              <w:rPr/>
            </w:pPr>
            <w:r>
              <w:rPr/>
              <w:t> </w:t>
            </w:r>
          </w:p>
        </w:tc>
        <w:tc>
          <w:tcPr>
            <w:tcW w:w="300" w:type="dxa"/>
            <w:tcBorders>
              <w:left w:val="single" w:sz="2" w:space="0" w:color="3B5AA4"/>
              <w:bottom w:val="single" w:sz="2" w:space="0" w:color="3B5AA4"/>
            </w:tcBorders>
            <w:tcMar>
              <w:left w:w="28" w:type="dxa"/>
            </w:tcMar>
            <w:vAlign w:val="center"/>
          </w:tcPr>
          <w:p>
            <w:pPr>
              <w:pStyle w:val="TableContents"/>
              <w:bidi w:val="0"/>
              <w:spacing w:before="0" w:after="283"/>
              <w:jc w:val="left"/>
              <w:rPr/>
            </w:pPr>
            <w:r>
              <w:rPr/>
              <w:t> </w:t>
            </w:r>
          </w:p>
        </w:tc>
        <w:tc>
          <w:tcPr>
            <w:tcW w:w="3639" w:type="dxa"/>
            <w:tcBorders>
              <w:bottom w:val="single" w:sz="2" w:space="0" w:color="3B5AA4"/>
            </w:tcBorders>
            <w:vAlign w:val="center"/>
          </w:tcPr>
          <w:p>
            <w:pPr>
              <w:pStyle w:val="TableContents"/>
              <w:bidi w:val="0"/>
              <w:spacing w:before="0" w:after="0"/>
              <w:ind w:left="0" w:right="0" w:hanging="0"/>
              <w:jc w:val="left"/>
              <w:rPr>
                <w:color w:val="C60C44"/>
              </w:rPr>
            </w:pPr>
            <w:r>
              <w:rPr>
                <w:color w:val="C60C44"/>
              </w:rPr>
              <w:drawing>
                <wp:inline distT="0" distB="0" distL="0" distR="0">
                  <wp:extent cx="238125" cy="276225"/>
                  <wp:effectExtent l="0" t="0" r="0" b="0"/>
                  <wp:docPr id="314"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95" descr=""/>
                          <pic:cNvPicPr>
                            <a:picLocks noChangeAspect="1" noChangeArrowheads="1"/>
                          </pic:cNvPicPr>
                        </pic:nvPicPr>
                        <pic:blipFill>
                          <a:blip r:embed="rId307"/>
                          <a:stretch>
                            <a:fillRect/>
                          </a:stretch>
                        </pic:blipFill>
                        <pic:spPr bwMode="auto">
                          <a:xfrm>
                            <a:off x="0" y="0"/>
                            <a:ext cx="238125" cy="276225"/>
                          </a:xfrm>
                          <a:prstGeom prst="rect">
                            <a:avLst/>
                          </a:prstGeom>
                        </pic:spPr>
                      </pic:pic>
                    </a:graphicData>
                  </a:graphic>
                </wp:inline>
              </w:drawing>
            </w:r>
            <w:r>
              <w:rPr>
                <w:color w:val="C60C44"/>
              </w:rPr>
              <w:t>          </w:t>
            </w:r>
            <w:r>
              <w:rPr>
                <w:b/>
                <w:color w:val="C60C44"/>
              </w:rPr>
              <w:t>Risk-Mitigating Policies and Practices</w:t>
            </w:r>
          </w:p>
          <w:p>
            <w:pPr>
              <w:pStyle w:val="TableContents"/>
              <w:bidi w:val="0"/>
              <w:spacing w:before="0" w:after="0"/>
              <w:ind w:left="0" w:right="0" w:hanging="0"/>
              <w:jc w:val="left"/>
              <w:rPr>
                <w:color w:val="C60C44"/>
              </w:rPr>
            </w:pPr>
            <w:r>
              <w:rPr>
                <w:color w:val="C60C44"/>
              </w:rPr>
              <w:t> </w:t>
            </w:r>
          </w:p>
          <w:p>
            <w:pPr>
              <w:pStyle w:val="TableContents"/>
              <w:bidi w:val="0"/>
              <w:spacing w:before="0" w:after="0"/>
              <w:ind w:left="200" w:right="0" w:hanging="200"/>
              <w:jc w:val="left"/>
              <w:rPr/>
            </w:pPr>
            <w:r>
              <w:rPr>
                <w:color w:val="3B5AA4"/>
              </w:rPr>
              <w:t>•   </w:t>
            </w:r>
            <w:r>
              <w:rPr>
                <w:b/>
                <w:color w:val="3B5AA4"/>
              </w:rPr>
              <w:t>We have a recoupment (clawback) policy that enables us to</w:t>
            </w:r>
            <w:r>
              <w:rPr/>
              <w:t xml:space="preserve"> </w:t>
            </w:r>
            <w:r>
              <w:rPr>
                <w:b/>
                <w:color w:val="3B5AA4"/>
              </w:rPr>
              <w:t>reduce or recoup equity and other incentive compensation.</w:t>
            </w:r>
          </w:p>
          <w:p>
            <w:pPr>
              <w:pStyle w:val="TableContents"/>
              <w:bidi w:val="0"/>
              <w:spacing w:before="0" w:after="0"/>
              <w:ind w:left="0" w:right="0" w:hanging="0"/>
              <w:jc w:val="left"/>
              <w:rPr/>
            </w:pPr>
            <w:r>
              <w:rPr/>
              <w:t> </w:t>
            </w:r>
          </w:p>
          <w:p>
            <w:pPr>
              <w:pStyle w:val="TableContents"/>
              <w:bidi w:val="0"/>
              <w:spacing w:before="0" w:after="0"/>
              <w:ind w:left="400" w:right="0" w:hanging="200"/>
              <w:jc w:val="left"/>
              <w:rPr/>
            </w:pPr>
            <w:r>
              <w:rPr>
                <w:color w:val="3B5AA4"/>
              </w:rPr>
              <w:t>•   </w:t>
            </w:r>
            <w:r>
              <w:rPr>
                <w:color w:val="231F20"/>
              </w:rPr>
              <w:t>This policy is broader than what is required by the listing</w:t>
            </w:r>
            <w:r>
              <w:rPr/>
              <w:t xml:space="preserve"> </w:t>
            </w:r>
            <w:r>
              <w:rPr>
                <w:color w:val="231F20"/>
              </w:rPr>
              <w:t>standards of the Nasdaq Stock Market LLC.*</w:t>
            </w:r>
          </w:p>
          <w:p>
            <w:pPr>
              <w:pStyle w:val="TableContents"/>
              <w:bidi w:val="0"/>
              <w:spacing w:before="0" w:after="0"/>
              <w:ind w:left="0" w:right="0" w:hanging="0"/>
              <w:jc w:val="left"/>
              <w:rPr/>
            </w:pPr>
            <w:r>
              <w:rPr/>
              <w:t> </w:t>
            </w:r>
          </w:p>
          <w:p>
            <w:pPr>
              <w:pStyle w:val="TableContents"/>
              <w:bidi w:val="0"/>
              <w:spacing w:before="0" w:after="0"/>
              <w:ind w:left="200" w:right="0" w:hanging="200"/>
              <w:jc w:val="left"/>
              <w:rPr/>
            </w:pPr>
            <w:r>
              <w:rPr>
                <w:color w:val="3B5AA4"/>
              </w:rPr>
              <w:t>•   </w:t>
            </w:r>
            <w:r>
              <w:rPr>
                <w:b/>
                <w:color w:val="3B5AA4"/>
              </w:rPr>
              <w:t>We prohibit our NEOs from hedging or pledging Regeneron</w:t>
            </w:r>
            <w:r>
              <w:rPr/>
              <w:t xml:space="preserve"> </w:t>
            </w:r>
            <w:r>
              <w:rPr>
                <w:b/>
                <w:color w:val="3B5AA4"/>
              </w:rPr>
              <w:t>securities they hold.</w:t>
            </w:r>
          </w:p>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10101"/>
              </w:rPr>
            </w:pPr>
            <w:r>
              <w:rPr>
                <w:color w:val="010101"/>
              </w:rPr>
              <w:t>*</w:t>
            </w:r>
          </w:p>
        </w:tc>
        <w:tc>
          <w:tcPr>
            <w:tcW w:w="10050" w:type="dxa"/>
            <w:tcBorders/>
            <w:vAlign w:val="center"/>
          </w:tcPr>
          <w:p>
            <w:pPr>
              <w:pStyle w:val="TableContents"/>
              <w:bidi w:val="0"/>
              <w:spacing w:before="0" w:after="283"/>
              <w:jc w:val="left"/>
              <w:rPr>
                <w:color w:val="231F20"/>
              </w:rPr>
            </w:pPr>
            <w:r>
              <w:rPr>
                <w:color w:val="231F20"/>
              </w:rPr>
              <w:t>See the subsection “Compensation Processes—Risk Assessment” below for further information about the recoupment (clawback) policy.</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15"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96" descr=""/>
                          <pic:cNvPicPr>
                            <a:picLocks noChangeAspect="1" noChangeArrowheads="1"/>
                          </pic:cNvPicPr>
                        </pic:nvPicPr>
                        <pic:blipFill>
                          <a:blip r:embed="rId308"/>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applying this framework in 2024, the Compensation Committee determined to grant our NEOs the target grant date fair value of the equity awards shown in the table below, with 60% of the grant date fair value of each NEO award allocated to stock options and 40% to RSAs (the same mix that had been utilized in recent years). Our CEO and CSO did not receive any equity awards in 2024 consistent with the board’s commitment to grant no such awards during the five-year performance period of the 2020 PSU awards, and no equity awards were granted to our former CFO due to his retirement from full-time employment with the Company in early 2024.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2024 NEO annual equity awards were expressed in dollar terms (i.e., based on their grant date fair value). This approach allows for value delivery to be normalized and predictable year over year, an important consideration for the top talent we seek to attract and retain, and aligns with industry peers of similar size, maturity, and growth trajectory. It has also contributed to lowering the Company’s burn rate in recent years and helped address feedback relating to the levels of burn rate viewed as acceptable by some of our shareholders. In 2024, our burn rate was 3.22%, which represented a slight increase over the prior year primarily driven by the incremental number of PSUs earned under the 2020 PSU awards and a lower stock price on the date of grant for employee equity awards (which are value-denominated).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Each of the NEOs receiving 2024 year-end equity awards was granted an award with a grant date fair value equal to the value of such NEO’s 2023 year-end award. In keeping the equity award values unchanged year over year, the Committee primarily considered each NEO’s importance to the Company’s future performance and such NEO's individual contributions to the Company’s performance in 2024, as well as the Company’s overall performance in 2024. See “Compensation Dashboard—Additional Compensation Information—Annual Cash Incentives” for more information on each relevant NEO’s individual contributions in 2024.</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2024 Annual Equity Awards</w:t>
      </w:r>
    </w:p>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8769" w:type="dxa"/>
        <w:jc w:val="left"/>
        <w:tblInd w:w="0" w:type="dxa"/>
        <w:tblLayout w:type="fixed"/>
        <w:tblCellMar>
          <w:top w:w="0" w:type="dxa"/>
          <w:left w:w="0" w:type="dxa"/>
          <w:bottom w:w="0" w:type="dxa"/>
          <w:right w:w="0" w:type="dxa"/>
        </w:tblCellMar>
      </w:tblPr>
      <w:tblGrid>
        <w:gridCol w:w="3920"/>
        <w:gridCol w:w="1216"/>
        <w:gridCol w:w="74"/>
        <w:gridCol w:w="844"/>
        <w:gridCol w:w="60"/>
        <w:gridCol w:w="980"/>
        <w:gridCol w:w="60"/>
        <w:gridCol w:w="560"/>
        <w:gridCol w:w="60"/>
        <w:gridCol w:w="995"/>
      </w:tblGrid>
      <w:tr>
        <w:trPr/>
        <w:tc>
          <w:tcPr>
            <w:tcW w:w="3920" w:type="dxa"/>
            <w:tcBorders/>
            <w:vAlign w:val="center"/>
          </w:tcPr>
          <w:p>
            <w:pPr>
              <w:pStyle w:val="TableContents"/>
              <w:bidi w:val="0"/>
              <w:spacing w:before="0" w:after="283"/>
              <w:jc w:val="left"/>
              <w:rPr/>
            </w:pPr>
            <w:r>
              <w:rPr/>
              <w:t> </w:t>
            </w:r>
          </w:p>
        </w:tc>
        <w:tc>
          <w:tcPr>
            <w:tcW w:w="2134" w:type="dxa"/>
            <w:gridSpan w:val="3"/>
            <w:tcBorders>
              <w:bottom w:val="single" w:sz="12" w:space="0" w:color="3B5AA4"/>
            </w:tcBorders>
            <w:tcMar>
              <w:bottom w:w="28" w:type="dxa"/>
            </w:tcMar>
            <w:vAlign w:val="center"/>
          </w:tcPr>
          <w:p>
            <w:pPr>
              <w:pStyle w:val="TableContents"/>
              <w:bidi w:val="0"/>
              <w:spacing w:before="0" w:after="283"/>
              <w:jc w:val="center"/>
              <w:rPr>
                <w:color w:val="2864AF"/>
              </w:rPr>
            </w:pPr>
            <w:r>
              <w:rPr>
                <w:color w:val="2864AF"/>
              </w:rPr>
              <w:t>Annual Stock Options</w:t>
            </w:r>
          </w:p>
        </w:tc>
        <w:tc>
          <w:tcPr>
            <w:tcW w:w="60" w:type="dxa"/>
            <w:tcBorders/>
            <w:vAlign w:val="center"/>
          </w:tcPr>
          <w:p>
            <w:pPr>
              <w:pStyle w:val="TableContents"/>
              <w:bidi w:val="0"/>
              <w:spacing w:before="0" w:after="283"/>
              <w:jc w:val="left"/>
              <w:rPr/>
            </w:pPr>
            <w:r>
              <w:rPr/>
              <w:t> </w:t>
            </w:r>
          </w:p>
        </w:tc>
        <w:tc>
          <w:tcPr>
            <w:tcW w:w="1600" w:type="dxa"/>
            <w:gridSpan w:val="3"/>
            <w:tcBorders>
              <w:bottom w:val="single" w:sz="12" w:space="0" w:color="3B5AA4"/>
            </w:tcBorders>
            <w:tcMar>
              <w:bottom w:w="28" w:type="dxa"/>
            </w:tcMar>
            <w:vAlign w:val="center"/>
          </w:tcPr>
          <w:p>
            <w:pPr>
              <w:pStyle w:val="TableContents"/>
              <w:bidi w:val="0"/>
              <w:spacing w:before="0" w:after="283"/>
              <w:jc w:val="center"/>
              <w:rPr>
                <w:color w:val="2864AF"/>
              </w:rPr>
            </w:pPr>
            <w:r>
              <w:rPr>
                <w:color w:val="2864AF"/>
              </w:rPr>
              <w:t>Annual RSAs</w:t>
            </w:r>
          </w:p>
        </w:tc>
        <w:tc>
          <w:tcPr>
            <w:tcW w:w="60" w:type="dxa"/>
            <w:tcBorders/>
            <w:vAlign w:val="center"/>
          </w:tcPr>
          <w:p>
            <w:pPr>
              <w:pStyle w:val="TableContents"/>
              <w:bidi w:val="0"/>
              <w:spacing w:before="0" w:after="283"/>
              <w:jc w:val="left"/>
              <w:rPr/>
            </w:pPr>
            <w:r>
              <w:rPr/>
              <w:t> </w:t>
            </w:r>
          </w:p>
        </w:tc>
        <w:tc>
          <w:tcPr>
            <w:tcW w:w="995" w:type="dxa"/>
            <w:vMerge w:val="restart"/>
            <w:tcBorders>
              <w:bottom w:val="single" w:sz="12" w:space="0" w:color="3B5AA4"/>
            </w:tcBorders>
            <w:tcMar>
              <w:bottom w:w="28" w:type="dxa"/>
            </w:tcMar>
            <w:vAlign w:val="center"/>
          </w:tcPr>
          <w:p>
            <w:pPr>
              <w:pStyle w:val="TableContents"/>
              <w:bidi w:val="0"/>
              <w:spacing w:before="0" w:after="283"/>
              <w:jc w:val="right"/>
              <w:rPr/>
            </w:pPr>
            <w:r>
              <w:rPr>
                <w:color w:val="2864AF"/>
              </w:rPr>
              <w:t>Total</w:t>
            </w:r>
            <w:r>
              <w:rPr/>
              <w:br/>
            </w:r>
            <w:r>
              <w:rPr>
                <w:color w:val="2864AF"/>
              </w:rPr>
              <w:t>($)***</w:t>
            </w:r>
          </w:p>
        </w:tc>
      </w:tr>
      <w:tr>
        <w:trPr/>
        <w:tc>
          <w:tcPr>
            <w:tcW w:w="3920" w:type="dxa"/>
            <w:tcBorders>
              <w:bottom w:val="single" w:sz="12" w:space="0" w:color="3B5AA4"/>
            </w:tcBorders>
            <w:tcMar>
              <w:bottom w:w="28" w:type="dxa"/>
            </w:tcMar>
            <w:vAlign w:val="center"/>
          </w:tcPr>
          <w:p>
            <w:pPr>
              <w:pStyle w:val="TableContents"/>
              <w:bidi w:val="0"/>
              <w:spacing w:before="0" w:after="283"/>
              <w:jc w:val="left"/>
              <w:rPr>
                <w:color w:val="2864AF"/>
              </w:rPr>
            </w:pPr>
            <w:r>
              <w:rPr>
                <w:color w:val="2864AF"/>
              </w:rPr>
              <w:t>Named Executive Officer</w:t>
            </w:r>
          </w:p>
        </w:tc>
        <w:tc>
          <w:tcPr>
            <w:tcW w:w="1216" w:type="dxa"/>
            <w:tcBorders>
              <w:bottom w:val="single" w:sz="12" w:space="0" w:color="3B5AA4"/>
            </w:tcBorders>
            <w:tcMar>
              <w:bottom w:w="28" w:type="dxa"/>
            </w:tcMar>
            <w:vAlign w:val="center"/>
          </w:tcPr>
          <w:p>
            <w:pPr>
              <w:pStyle w:val="TableContents"/>
              <w:bidi w:val="0"/>
              <w:spacing w:before="0" w:after="283"/>
              <w:jc w:val="right"/>
              <w:rPr>
                <w:color w:val="2864AF"/>
              </w:rPr>
            </w:pPr>
            <w:r>
              <w:rPr>
                <w:color w:val="2864AF"/>
              </w:rPr>
              <w:t>($)***</w:t>
            </w:r>
          </w:p>
        </w:tc>
        <w:tc>
          <w:tcPr>
            <w:tcW w:w="74" w:type="dxa"/>
            <w:tcBorders>
              <w:bottom w:val="single" w:sz="12" w:space="0" w:color="3B5AA4"/>
            </w:tcBorders>
            <w:tcMar>
              <w:bottom w:w="28" w:type="dxa"/>
            </w:tcMar>
            <w:vAlign w:val="center"/>
          </w:tcPr>
          <w:p>
            <w:pPr>
              <w:pStyle w:val="TableContents"/>
              <w:bidi w:val="0"/>
              <w:spacing w:before="0" w:after="283"/>
              <w:jc w:val="left"/>
              <w:rPr/>
            </w:pPr>
            <w:r>
              <w:rPr/>
              <w:t> </w:t>
            </w:r>
          </w:p>
        </w:tc>
        <w:tc>
          <w:tcPr>
            <w:tcW w:w="844" w:type="dxa"/>
            <w:tcBorders>
              <w:bottom w:val="single" w:sz="12" w:space="0" w:color="3B5AA4"/>
            </w:tcBorders>
            <w:tcMar>
              <w:bottom w:w="28" w:type="dxa"/>
            </w:tcMar>
            <w:vAlign w:val="center"/>
          </w:tcPr>
          <w:p>
            <w:pPr>
              <w:pStyle w:val="TableContents"/>
              <w:bidi w:val="0"/>
              <w:spacing w:before="0" w:after="283"/>
              <w:jc w:val="right"/>
              <w:rPr>
                <w:color w:val="2864AF"/>
              </w:rPr>
            </w:pPr>
            <w:r>
              <w:rPr>
                <w:color w:val="2864AF"/>
              </w:rPr>
              <w:t>(#)</w:t>
            </w:r>
          </w:p>
        </w:tc>
        <w:tc>
          <w:tcPr>
            <w:tcW w:w="60" w:type="dxa"/>
            <w:tcBorders>
              <w:bottom w:val="single" w:sz="12" w:space="0" w:color="3B5AA4"/>
            </w:tcBorders>
            <w:tcMar>
              <w:bottom w:w="28" w:type="dxa"/>
            </w:tcMar>
            <w:vAlign w:val="center"/>
          </w:tcPr>
          <w:p>
            <w:pPr>
              <w:pStyle w:val="TableContents"/>
              <w:bidi w:val="0"/>
              <w:spacing w:before="0" w:after="283"/>
              <w:jc w:val="left"/>
              <w:rPr/>
            </w:pPr>
            <w:r>
              <w:rPr/>
              <w:t> </w:t>
            </w:r>
          </w:p>
        </w:tc>
        <w:tc>
          <w:tcPr>
            <w:tcW w:w="980" w:type="dxa"/>
            <w:tcBorders>
              <w:bottom w:val="single" w:sz="12" w:space="0" w:color="3B5AA4"/>
            </w:tcBorders>
            <w:tcMar>
              <w:bottom w:w="28" w:type="dxa"/>
            </w:tcMar>
            <w:vAlign w:val="center"/>
          </w:tcPr>
          <w:p>
            <w:pPr>
              <w:pStyle w:val="TableContents"/>
              <w:bidi w:val="0"/>
              <w:spacing w:before="0" w:after="283"/>
              <w:jc w:val="right"/>
              <w:rPr>
                <w:color w:val="2864AF"/>
              </w:rPr>
            </w:pPr>
            <w:r>
              <w:rPr>
                <w:color w:val="2864AF"/>
              </w:rPr>
              <w:t>($)***</w:t>
            </w:r>
          </w:p>
        </w:tc>
        <w:tc>
          <w:tcPr>
            <w:tcW w:w="60" w:type="dxa"/>
            <w:tcBorders>
              <w:bottom w:val="single" w:sz="12" w:space="0" w:color="3B5AA4"/>
            </w:tcBorders>
            <w:tcMar>
              <w:bottom w:w="28" w:type="dxa"/>
            </w:tcMar>
            <w:vAlign w:val="center"/>
          </w:tcPr>
          <w:p>
            <w:pPr>
              <w:pStyle w:val="TableContents"/>
              <w:bidi w:val="0"/>
              <w:spacing w:before="0" w:after="283"/>
              <w:jc w:val="left"/>
              <w:rPr/>
            </w:pPr>
            <w:r>
              <w:rPr/>
              <w:t> </w:t>
            </w:r>
          </w:p>
        </w:tc>
        <w:tc>
          <w:tcPr>
            <w:tcW w:w="560" w:type="dxa"/>
            <w:tcBorders>
              <w:bottom w:val="single" w:sz="12" w:space="0" w:color="3B5AA4"/>
            </w:tcBorders>
            <w:tcMar>
              <w:bottom w:w="28" w:type="dxa"/>
            </w:tcMar>
            <w:vAlign w:val="center"/>
          </w:tcPr>
          <w:p>
            <w:pPr>
              <w:pStyle w:val="TableContents"/>
              <w:bidi w:val="0"/>
              <w:spacing w:before="0" w:after="283"/>
              <w:jc w:val="right"/>
              <w:rPr>
                <w:color w:val="2864AF"/>
              </w:rPr>
            </w:pPr>
            <w:r>
              <w:rPr>
                <w:color w:val="2864AF"/>
              </w:rPr>
              <w:t>(#)</w:t>
            </w:r>
          </w:p>
        </w:tc>
        <w:tc>
          <w:tcPr>
            <w:tcW w:w="60" w:type="dxa"/>
            <w:tcBorders>
              <w:bottom w:val="single" w:sz="12" w:space="0" w:color="3B5AA4"/>
            </w:tcBorders>
            <w:tcMar>
              <w:bottom w:w="28" w:type="dxa"/>
            </w:tcMar>
            <w:vAlign w:val="center"/>
          </w:tcPr>
          <w:p>
            <w:pPr>
              <w:pStyle w:val="TableContents"/>
              <w:bidi w:val="0"/>
              <w:spacing w:before="0" w:after="283"/>
              <w:jc w:val="left"/>
              <w:rPr/>
            </w:pPr>
            <w:r>
              <w:rPr/>
              <w:t> </w:t>
            </w:r>
          </w:p>
        </w:tc>
        <w:tc>
          <w:tcPr>
            <w:tcW w:w="995" w:type="dxa"/>
            <w:vMerge w:val="continue"/>
            <w:tcBorders>
              <w:bottom w:val="single" w:sz="12" w:space="0" w:color="3B5AA4"/>
            </w:tcBorders>
            <w:tcMar>
              <w:bottom w:w="28" w:type="dxa"/>
            </w:tcMar>
            <w:vAlign w:val="center"/>
          </w:tcPr>
          <w:p>
            <w:pPr>
              <w:pStyle w:val="Normal"/>
              <w:bidi w:val="0"/>
              <w:jc w:val="left"/>
              <w:rPr/>
            </w:pPr>
            <w:r>
              <w:rPr/>
            </w:r>
          </w:p>
        </w:tc>
      </w:tr>
      <w:tr>
        <w:trPr/>
        <w:tc>
          <w:tcPr>
            <w:tcW w:w="3920" w:type="dxa"/>
            <w:tcBorders/>
            <w:vAlign w:val="center"/>
          </w:tcPr>
          <w:p>
            <w:pPr>
              <w:pStyle w:val="TableContents"/>
              <w:bidi w:val="0"/>
              <w:spacing w:before="0" w:after="283"/>
              <w:jc w:val="left"/>
              <w:rPr>
                <w:b/>
                <w:color w:val="2864AF"/>
              </w:rPr>
            </w:pPr>
            <w:r>
              <w:rPr>
                <w:b/>
                <w:color w:val="2864AF"/>
              </w:rPr>
              <w:t>Leonard S. Schleifer, M.D., Ph.D.*</w:t>
            </w:r>
          </w:p>
        </w:tc>
        <w:tc>
          <w:tcPr>
            <w:tcW w:w="1216" w:type="dxa"/>
            <w:tcBorders/>
            <w:vAlign w:val="center"/>
          </w:tcPr>
          <w:p>
            <w:pPr>
              <w:pStyle w:val="TableContents"/>
              <w:bidi w:val="0"/>
              <w:spacing w:before="0" w:after="283"/>
              <w:jc w:val="right"/>
              <w:rPr>
                <w:color w:val="231F20"/>
              </w:rPr>
            </w:pPr>
            <w:r>
              <w:rPr>
                <w:color w:val="231F20"/>
              </w:rPr>
              <w:t>—</w:t>
            </w:r>
          </w:p>
        </w:tc>
        <w:tc>
          <w:tcPr>
            <w:tcW w:w="74"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color w:val="231F20"/>
              </w:rPr>
            </w:pPr>
            <w:r>
              <w:rPr>
                <w:color w:val="231F20"/>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color w:val="231F20"/>
              </w:rPr>
            </w:pPr>
            <w:r>
              <w:rPr>
                <w:color w:val="231F20"/>
              </w:rPr>
              <w:t>—</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color w:val="231F20"/>
              </w:rPr>
            </w:pPr>
            <w:r>
              <w:rPr>
                <w:color w:val="231F20"/>
              </w:rPr>
              <w: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color w:val="231F20"/>
              </w:rPr>
            </w:pPr>
            <w:r>
              <w:rPr>
                <w:color w:val="231F20"/>
              </w:rPr>
              <w:t>—</w:t>
            </w:r>
          </w:p>
        </w:tc>
      </w:tr>
      <w:tr>
        <w:trPr/>
        <w:tc>
          <w:tcPr>
            <w:tcW w:w="392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b/>
                <w:color w:val="2864AF"/>
              </w:rPr>
            </w:pPr>
            <w:r>
              <w:rPr>
                <w:b/>
                <w:color w:val="2864AF"/>
              </w:rPr>
              <w:t>George D. Yancopoulos, M.D., Ph.D.*</w:t>
            </w:r>
          </w:p>
        </w:tc>
        <w:tc>
          <w:tcPr>
            <w:tcW w:w="1216"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c>
          <w:tcPr>
            <w:tcW w:w="74"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pPr>
            <w:r>
              <w:rPr/>
              <w:t> </w:t>
            </w:r>
          </w:p>
        </w:tc>
        <w:tc>
          <w:tcPr>
            <w:tcW w:w="844"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c>
          <w:tcPr>
            <w:tcW w:w="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pPr>
            <w:r>
              <w:rPr/>
              <w:t> </w:t>
            </w:r>
          </w:p>
        </w:tc>
        <w:tc>
          <w:tcPr>
            <w:tcW w:w="98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c>
          <w:tcPr>
            <w:tcW w:w="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pPr>
            <w:r>
              <w:rPr/>
              <w:t> </w:t>
            </w:r>
          </w:p>
        </w:tc>
        <w:tc>
          <w:tcPr>
            <w:tcW w:w="5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c>
          <w:tcPr>
            <w:tcW w:w="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pPr>
            <w:r>
              <w:rPr/>
              <w:t> </w:t>
            </w:r>
          </w:p>
        </w:tc>
        <w:tc>
          <w:tcPr>
            <w:tcW w:w="995"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r>
      <w:tr>
        <w:trPr/>
        <w:tc>
          <w:tcPr>
            <w:tcW w:w="3920" w:type="dxa"/>
            <w:tcBorders/>
            <w:vAlign w:val="center"/>
          </w:tcPr>
          <w:p>
            <w:pPr>
              <w:pStyle w:val="TableContents"/>
              <w:bidi w:val="0"/>
              <w:spacing w:before="0" w:after="283"/>
              <w:jc w:val="left"/>
              <w:rPr>
                <w:b/>
                <w:color w:val="2864AF"/>
              </w:rPr>
            </w:pPr>
            <w:r>
              <w:rPr>
                <w:b/>
                <w:color w:val="2864AF"/>
              </w:rPr>
              <w:t>Christopher Fenimore</w:t>
            </w:r>
          </w:p>
        </w:tc>
        <w:tc>
          <w:tcPr>
            <w:tcW w:w="1216" w:type="dxa"/>
            <w:tcBorders/>
            <w:vAlign w:val="center"/>
          </w:tcPr>
          <w:p>
            <w:pPr>
              <w:pStyle w:val="TableContents"/>
              <w:bidi w:val="0"/>
              <w:spacing w:before="0" w:after="283"/>
              <w:jc w:val="right"/>
              <w:rPr>
                <w:color w:val="231F20"/>
              </w:rPr>
            </w:pPr>
            <w:r>
              <w:rPr>
                <w:color w:val="231F20"/>
              </w:rPr>
              <w:t>3,000,000</w:t>
            </w:r>
          </w:p>
        </w:tc>
        <w:tc>
          <w:tcPr>
            <w:tcW w:w="74"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color w:val="231F20"/>
              </w:rPr>
            </w:pPr>
            <w:r>
              <w:rPr>
                <w:color w:val="231F20"/>
              </w:rPr>
              <w:t>9,979</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color w:val="231F20"/>
              </w:rPr>
            </w:pPr>
            <w:r>
              <w:rPr>
                <w:color w:val="231F20"/>
              </w:rPr>
              <w:t>2,000,000</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color w:val="231F20"/>
              </w:rPr>
            </w:pPr>
            <w:r>
              <w:rPr>
                <w:color w:val="231F20"/>
              </w:rPr>
              <w:t>2,591</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color w:val="231F20"/>
              </w:rPr>
            </w:pPr>
            <w:r>
              <w:rPr>
                <w:color w:val="231F20"/>
              </w:rPr>
              <w:t>5,000,000</w:t>
            </w:r>
          </w:p>
        </w:tc>
      </w:tr>
      <w:tr>
        <w:trPr/>
        <w:tc>
          <w:tcPr>
            <w:tcW w:w="392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b/>
                <w:color w:val="2864AF"/>
              </w:rPr>
            </w:pPr>
            <w:r>
              <w:rPr>
                <w:b/>
                <w:color w:val="2864AF"/>
              </w:rPr>
              <w:t>Daniel P. Van Plew</w:t>
            </w:r>
          </w:p>
        </w:tc>
        <w:tc>
          <w:tcPr>
            <w:tcW w:w="1216"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4,050,000</w:t>
            </w:r>
          </w:p>
        </w:tc>
        <w:tc>
          <w:tcPr>
            <w:tcW w:w="74"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pPr>
            <w:r>
              <w:rPr/>
              <w:t> </w:t>
            </w:r>
          </w:p>
        </w:tc>
        <w:tc>
          <w:tcPr>
            <w:tcW w:w="844"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13,472</w:t>
            </w:r>
          </w:p>
        </w:tc>
        <w:tc>
          <w:tcPr>
            <w:tcW w:w="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pPr>
            <w:r>
              <w:rPr/>
              <w:t> </w:t>
            </w:r>
          </w:p>
        </w:tc>
        <w:tc>
          <w:tcPr>
            <w:tcW w:w="98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2,700,000</w:t>
            </w:r>
          </w:p>
        </w:tc>
        <w:tc>
          <w:tcPr>
            <w:tcW w:w="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pPr>
            <w:r>
              <w:rPr/>
              <w:t> </w:t>
            </w:r>
          </w:p>
        </w:tc>
        <w:tc>
          <w:tcPr>
            <w:tcW w:w="5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3,499</w:t>
            </w:r>
          </w:p>
        </w:tc>
        <w:tc>
          <w:tcPr>
            <w:tcW w:w="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pPr>
            <w:r>
              <w:rPr/>
              <w:t> </w:t>
            </w:r>
          </w:p>
        </w:tc>
        <w:tc>
          <w:tcPr>
            <w:tcW w:w="995"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color w:val="231F20"/>
              </w:rPr>
            </w:pPr>
            <w:r>
              <w:rPr>
                <w:color w:val="231F20"/>
              </w:rPr>
              <w:t>6,750,000</w:t>
            </w:r>
          </w:p>
        </w:tc>
      </w:tr>
      <w:tr>
        <w:trPr/>
        <w:tc>
          <w:tcPr>
            <w:tcW w:w="3920" w:type="dxa"/>
            <w:tcBorders/>
            <w:vAlign w:val="center"/>
          </w:tcPr>
          <w:p>
            <w:pPr>
              <w:pStyle w:val="TableContents"/>
              <w:bidi w:val="0"/>
              <w:spacing w:before="0" w:after="283"/>
              <w:jc w:val="left"/>
              <w:rPr>
                <w:b/>
                <w:color w:val="2864AF"/>
              </w:rPr>
            </w:pPr>
            <w:r>
              <w:rPr>
                <w:b/>
                <w:color w:val="2864AF"/>
              </w:rPr>
              <w:t>Andrew J. Murphy, Ph.D.</w:t>
            </w:r>
          </w:p>
        </w:tc>
        <w:tc>
          <w:tcPr>
            <w:tcW w:w="1216" w:type="dxa"/>
            <w:tcBorders/>
            <w:vAlign w:val="center"/>
          </w:tcPr>
          <w:p>
            <w:pPr>
              <w:pStyle w:val="TableContents"/>
              <w:bidi w:val="0"/>
              <w:spacing w:before="0" w:after="283"/>
              <w:jc w:val="right"/>
              <w:rPr>
                <w:color w:val="231F20"/>
              </w:rPr>
            </w:pPr>
            <w:r>
              <w:rPr>
                <w:color w:val="231F20"/>
              </w:rPr>
              <w:t>4,050,000</w:t>
            </w:r>
          </w:p>
        </w:tc>
        <w:tc>
          <w:tcPr>
            <w:tcW w:w="74"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right"/>
              <w:rPr>
                <w:color w:val="231F20"/>
              </w:rPr>
            </w:pPr>
            <w:r>
              <w:rPr>
                <w:color w:val="231F20"/>
              </w:rPr>
              <w:t>13,472</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color w:val="231F20"/>
              </w:rPr>
            </w:pPr>
            <w:r>
              <w:rPr>
                <w:color w:val="231F20"/>
              </w:rPr>
              <w:t>2,700,000</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color w:val="231F20"/>
              </w:rPr>
            </w:pPr>
            <w:r>
              <w:rPr>
                <w:color w:val="231F20"/>
              </w:rPr>
              <w:t>3,499</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color w:val="231F20"/>
              </w:rPr>
            </w:pPr>
            <w:r>
              <w:rPr>
                <w:color w:val="231F20"/>
              </w:rPr>
              <w:t>6,750,000</w:t>
            </w:r>
          </w:p>
        </w:tc>
      </w:tr>
      <w:tr>
        <w:trPr/>
        <w:tc>
          <w:tcPr>
            <w:tcW w:w="3920"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left"/>
              <w:rPr>
                <w:b/>
                <w:color w:val="2864AF"/>
              </w:rPr>
            </w:pPr>
            <w:r>
              <w:rPr>
                <w:b/>
                <w:color w:val="2864AF"/>
              </w:rPr>
              <w:t xml:space="preserve">Robert E. Landry </w:t>
            </w:r>
            <w:r>
              <w:rPr>
                <w:b/>
                <w:i/>
                <w:color w:val="2864AF"/>
              </w:rPr>
              <w:t>(retired)**</w:t>
            </w:r>
          </w:p>
        </w:tc>
        <w:tc>
          <w:tcPr>
            <w:tcW w:w="1216"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c>
          <w:tcPr>
            <w:tcW w:w="74"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left"/>
              <w:rPr/>
            </w:pPr>
            <w:r>
              <w:rPr/>
              <w:t> </w:t>
            </w:r>
          </w:p>
        </w:tc>
        <w:tc>
          <w:tcPr>
            <w:tcW w:w="844"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c>
          <w:tcPr>
            <w:tcW w:w="60"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left"/>
              <w:rPr/>
            </w:pPr>
            <w:r>
              <w:rPr/>
              <w:t> </w:t>
            </w:r>
          </w:p>
        </w:tc>
        <w:tc>
          <w:tcPr>
            <w:tcW w:w="980"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c>
          <w:tcPr>
            <w:tcW w:w="60"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left"/>
              <w:rPr/>
            </w:pPr>
            <w:r>
              <w:rPr/>
              <w:t> </w:t>
            </w:r>
          </w:p>
        </w:tc>
        <w:tc>
          <w:tcPr>
            <w:tcW w:w="560"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c>
          <w:tcPr>
            <w:tcW w:w="60"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left"/>
              <w:rPr/>
            </w:pPr>
            <w:r>
              <w:rPr/>
              <w:t> </w:t>
            </w:r>
          </w:p>
        </w:tc>
        <w:tc>
          <w:tcPr>
            <w:tcW w:w="995" w:type="dxa"/>
            <w:tcBorders>
              <w:top w:val="single" w:sz="2" w:space="0" w:color="CCCCCC"/>
              <w:bottom w:val="single" w:sz="12" w:space="0" w:color="3B5AA4"/>
            </w:tcBorders>
            <w:shd w:fill="EBEBEC" w:val="clear"/>
            <w:tcMar>
              <w:top w:w="28" w:type="dxa"/>
              <w:bottom w:w="28" w:type="dxa"/>
            </w:tcMar>
            <w:vAlign w:val="center"/>
          </w:tcPr>
          <w:p>
            <w:pPr>
              <w:pStyle w:val="TableContents"/>
              <w:bidi w:val="0"/>
              <w:spacing w:before="0" w:after="283"/>
              <w:jc w:val="right"/>
              <w:rPr>
                <w:color w:val="231F20"/>
              </w:rPr>
            </w:pPr>
            <w:r>
              <w:rPr>
                <w:color w:val="231F20"/>
              </w:rPr>
              <w:t>—</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color w:val="231F20"/>
              </w:rPr>
            </w:pPr>
            <w:r>
              <w:rPr>
                <w:color w:val="231F20"/>
              </w:rPr>
              <w:t>*</w:t>
            </w:r>
          </w:p>
        </w:tc>
        <w:tc>
          <w:tcPr>
            <w:tcW w:w="9945" w:type="dxa"/>
            <w:tcBorders/>
            <w:vAlign w:val="center"/>
          </w:tcPr>
          <w:p>
            <w:pPr>
              <w:pStyle w:val="TableContents"/>
              <w:bidi w:val="0"/>
              <w:spacing w:before="0" w:after="283"/>
              <w:jc w:val="left"/>
              <w:rPr>
                <w:color w:val="231F20"/>
              </w:rPr>
            </w:pPr>
            <w:r>
              <w:rPr>
                <w:color w:val="231F20"/>
              </w:rPr>
              <w:t>Drs. Schleifer and Yancopoulos did not receive any equity awards in 2024. See “Update on 2020 PSU Awards” below for more information.</w:t>
            </w:r>
          </w:p>
        </w:tc>
      </w:tr>
      <w:tr>
        <w:trPr/>
        <w:tc>
          <w:tcPr>
            <w:tcW w:w="260" w:type="dxa"/>
            <w:tcBorders/>
            <w:vAlign w:val="center"/>
          </w:tcPr>
          <w:p>
            <w:pPr>
              <w:pStyle w:val="TableContents"/>
              <w:bidi w:val="0"/>
              <w:spacing w:before="0" w:after="283"/>
              <w:jc w:val="left"/>
              <w:rPr>
                <w:color w:val="231F20"/>
              </w:rPr>
            </w:pPr>
            <w:r>
              <w:rPr>
                <w:color w:val="231F20"/>
              </w:rPr>
              <w:t>**</w:t>
            </w:r>
          </w:p>
        </w:tc>
        <w:tc>
          <w:tcPr>
            <w:tcW w:w="9945" w:type="dxa"/>
            <w:tcBorders/>
            <w:vAlign w:val="center"/>
          </w:tcPr>
          <w:p>
            <w:pPr>
              <w:pStyle w:val="TableContents"/>
              <w:bidi w:val="0"/>
              <w:spacing w:before="0" w:after="283"/>
              <w:jc w:val="left"/>
              <w:rPr>
                <w:color w:val="231F20"/>
              </w:rPr>
            </w:pPr>
            <w:r>
              <w:rPr>
                <w:color w:val="231F20"/>
              </w:rPr>
              <w:t>Mr. Landry did not receive any equity awards in 2024 in light of his retirement from full-time employment with the Company effective February 2024.</w:t>
            </w:r>
          </w:p>
        </w:tc>
      </w:tr>
      <w:tr>
        <w:trPr/>
        <w:tc>
          <w:tcPr>
            <w:tcW w:w="260" w:type="dxa"/>
            <w:tcBorders/>
            <w:vAlign w:val="center"/>
          </w:tcPr>
          <w:p>
            <w:pPr>
              <w:pStyle w:val="TableContents"/>
              <w:bidi w:val="0"/>
              <w:spacing w:before="0" w:after="283"/>
              <w:jc w:val="left"/>
              <w:rPr>
                <w:color w:val="231F20"/>
              </w:rPr>
            </w:pPr>
            <w:r>
              <w:rPr>
                <w:color w:val="231F20"/>
              </w:rPr>
              <w:t>***</w:t>
            </w:r>
          </w:p>
        </w:tc>
        <w:tc>
          <w:tcPr>
            <w:tcW w:w="9945" w:type="dxa"/>
            <w:tcBorders/>
            <w:vAlign w:val="center"/>
          </w:tcPr>
          <w:p>
            <w:pPr>
              <w:pStyle w:val="TableContents"/>
              <w:bidi w:val="0"/>
              <w:spacing w:before="0" w:after="283"/>
              <w:jc w:val="left"/>
              <w:rPr>
                <w:color w:val="231F20"/>
              </w:rPr>
            </w:pPr>
            <w:r>
              <w:rPr>
                <w:color w:val="231F20"/>
              </w:rPr>
              <w:t>Represents the target grant date fair value of the awards. See “Compensation Dashboard—2024 Executive Compensation Tables—2024 Summary Compensation Table” for the actual grant date fair value of such awards.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All of the equity awards granted to the NEOs in 2024 are subject to the Company’s policy regarding recoupment or reduction (clawback) of incentive compensation, including after such awards have been earned/vested.</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16"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97" descr=""/>
                          <pic:cNvPicPr>
                            <a:picLocks noChangeAspect="1" noChangeArrowheads="1"/>
                          </pic:cNvPicPr>
                        </pic:nvPicPr>
                        <pic:blipFill>
                          <a:blip r:embed="rId30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Annual Stock Option Awards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Stock options represented 60% of the grant date fair value of the annual equity awards for each of the NEOs who received such awards in 2024. The use of stock options for 2024 annual equity awards to these NEOs was based on our long-held view that stock options are a useful compensation tool when used thoughtfully as part of a well-designed compensation program because they are inherently performance-based, requiring stock price appreciation before there is any real value earned, and simple. No amount of time will make a stock option deliver any value unless the company’s stock price increases, and no sustainable stock price appreciation can be achieved by Regeneron without a productive pipeline of potential new medicines. In addition, stock options incentivize these NEOs to take actions that increase shareholder value over the entire 10-year option term, which we believe is consistent with the drug discovery and development cycle.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Stock options awarded to our NEOs in 2024 have an exercise price of $771.64 per share, the average of the high and low sales price per share of our common stock as quoted on the Nasdaq Global Select Market on the date of grant. These grants consist of non-qualified stock options and vest ratably over a period of four years. Stock option vesting ceases, and unvested stock options are forfeited, upon termination of employment.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Annual RSAs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Time-based RSAs represented 40% of the grant date fair value of the annual equity award for each of the NEOs who received such awards in 2024. In continuing to use RSAs/RSUs as a component of the equity award mix for the 2024 annual equity awards to our NEOs and other employees, the Compensation Committee took into account, among other factors, shareholder feedback about the annual rate of equity compensation dilution, retention considerations, and employee input. The RSAs vest 50% on the second anniversary of the date of grant and 50% on the fourth anniversary of the date of grant, which is a more backloaded vesting schedule than is typical in the industry.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Update on 2020 PSU Awards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previously disclosed, in 2020 our CEO and CSO received front-loaded PSU awards in lieu of five years’ worth of annual equity awards (2020 through 2024). Consistent with the board’s commitment to grant no additional equity awards to our CEO or CSO until the Company’s regular year-end grant cycle in December 2025, the Compensation Committee granted no equity awards to our CEO or CSO in 2024 or the prior three years. In recent shareholder engagement cycles, several investors expressed an interest in receiving an update on performance to date as it relates to the 2020 PSUs. We have included the disclosure below to address this request.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August 2024, the maximum payout of 250% of the target number of the 2020 PSUs granted to each recipient (248,108 PSUs), or 620,270 PSUs, was earned based on the average closing price of the Company’s common stock over a period of 20 consecutive trading days exceeding $1,150 (i.e., the maximum performance goal). As a result of the declaration and payment of a first quarter 2025 cash dividend to holders of the Company’s capital stock, the target number of PSUs granted to each recipient was increased pursuant to terms of the 2020 PSU award agreements by 314 PSUs (i.e., the number equal to the aggregate amount of the dividends payable on the target number of PSUs divided by the fair market value of a share of the Company’s common stock on the ex-dividend date). The earned PSUs are eligible to vest in December 2025, subject to continued service, and, once vested, will remain subject to an additional three-year deferral and holding period until December 2028. The eight-year life of these awards is of longer duration than is typical in our industry and the broader market and was consciously selected by the Compensation Committee to further our corporate culture and pay philosophy through alignment with the drug discovery and development cycle and long-term shareholder value creation.</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17"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98" descr=""/>
                          <pic:cNvPicPr>
                            <a:picLocks noChangeAspect="1" noChangeArrowheads="1"/>
                          </pic:cNvPicPr>
                        </pic:nvPicPr>
                        <pic:blipFill>
                          <a:blip r:embed="rId31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91" w:name="regn013211-def14aa062"/>
      <w:bookmarkStart w:id="92" w:name="lregnb014"/>
      <w:bookmarkEnd w:id="91"/>
      <w:bookmarkEnd w:id="92"/>
      <w:r>
        <w:rPr>
          <w:rFonts w:ascii="Arial;Helvetica;Sans-Serif" w:hAnsi="Arial;Helvetica;Sans-Serif"/>
          <w:b/>
          <w:i w:val="false"/>
          <w:caps w:val="false"/>
          <w:smallCaps w:val="false"/>
          <w:color w:val="C60C44"/>
          <w:sz w:val="28"/>
        </w:rPr>
        <w:t>Perquisites and Personal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Any perquisites provided to our NEOs must comply with a Compensation Committee-approved policy regarding senior officer perquisites and are periodically reviewed by the Committee.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Similar to our other employees, our NEOs may participate in Company-wide health, disability, life insurance, and other benefit plans, as well as our 401(k) Savings Plan (including matching contributions). See details concerning the 401(k) Savings Plan in the subsection “Compensation Dashboard—Additional Compensation Information—Perquisites and Personal Benefits.” Regeneron has no pension, deferred compensation, or retirement plans for U.S.-based employees other than our 401(k) Savings Plan. Our NEOs are also eligible to receive financial and tax planning assistance, which are taxable benefits.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addition, our CEO is entitled to life insurance, long-term disability, medical malpractice insurance premiums, and additional tax and financial planning services pursuant to his employment agreement. These are described in footnote 4 to the Summary Compensation Table.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CEO and CSO are also eligible for various benefits under our board-approved security policy, the purpose of which is to ensure increased efficiencies and provide a more secure environment for these executives. Based on the recommendation of an independent, third-party security study, our security policy and related guidelines require our CEO and CSO to use, as much as practicable, Company-provided aircraft for all business and personal air travel. The security policy also provides for other security services consisting of secure car transportation, on-site residential security at the primary residence for each of Drs. Schleifer and Yancopoulos, and 24/7 personal security services for each of Drs. Schleifer and Yancopoulos.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Additional information regarding perquisites and other personal benefits provided to our NEOs in, or with respect to, 2024 is given in the applicable footnotes to the Summary Compensation Table and in the subsection “Compensation Dashboard—Additional Compensation Information—Perquisites and Personal Benefits.”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93" w:name="regn013211-def14aa063"/>
      <w:bookmarkStart w:id="94" w:name="lregnb015"/>
      <w:bookmarkEnd w:id="93"/>
      <w:bookmarkEnd w:id="94"/>
      <w:r>
        <w:rPr>
          <w:rFonts w:ascii="Arial;Helvetica;Sans-Serif" w:hAnsi="Arial;Helvetica;Sans-Serif"/>
          <w:b/>
          <w:i w:val="false"/>
          <w:caps w:val="false"/>
          <w:smallCaps w:val="false"/>
          <w:color w:val="C60C44"/>
          <w:sz w:val="28"/>
        </w:rPr>
        <w:t>Potential Severance Payments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NEOs are entitled to certain severance benefits upon the voluntary or involuntary termination of their employment, as discussed further in the subsection “Compensation Dashboard—Additional Compensation Information—Potential Severance Payments.”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Outstanding equity award agreements (with the exceptions and qualifications described in the subsection “Compensation Dashboard—Additional Compensation Information—Potential Severance Payments”) for all employees include a governance best-practice “double trigger” provision for the acceleration of vesting of awards granted thereunder only upon a without-cause termination by the Company within two years of a change in control.</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have a policy against excise tax gross-up provisions for payments contingent on a change in control of Regeneron in contracts, compensatory plans, and other arrangement with the Company’s officers (including NEOs) with the exception of the CEO under his existing employment agreement or amendments to it.</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18"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99" descr=""/>
                          <pic:cNvPicPr>
                            <a:picLocks noChangeAspect="1" noChangeArrowheads="1"/>
                          </pic:cNvPicPr>
                        </pic:nvPicPr>
                        <pic:blipFill>
                          <a:blip r:embed="rId31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95" w:name="regn013211-def14aa064"/>
      <w:bookmarkStart w:id="96" w:name="lregnb016"/>
      <w:bookmarkEnd w:id="95"/>
      <w:bookmarkEnd w:id="96"/>
      <w:r>
        <w:rPr>
          <w:rFonts w:ascii="Arial;Helvetica;Sans-Serif" w:hAnsi="Arial;Helvetica;Sans-Serif"/>
          <w:b/>
          <w:i w:val="false"/>
          <w:caps w:val="false"/>
          <w:smallCaps w:val="false"/>
          <w:color w:val="3B5AA4"/>
          <w:sz w:val="32"/>
        </w:rPr>
        <w:t>Compensation Processes</w:t>
      </w:r>
    </w:p>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97" w:name="regn013211-def14aa065"/>
      <w:bookmarkStart w:id="98" w:name="lregnb017"/>
      <w:bookmarkEnd w:id="97"/>
      <w:bookmarkEnd w:id="98"/>
      <w:r>
        <w:rPr>
          <w:rFonts w:ascii="Arial;Helvetica;Sans-Serif" w:hAnsi="Arial;Helvetica;Sans-Serif"/>
          <w:b/>
          <w:i w:val="false"/>
          <w:caps w:val="false"/>
          <w:smallCaps w:val="false"/>
          <w:color w:val="C60C44"/>
          <w:sz w:val="28"/>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The Compensation Committee is responsible for overseeing the Company’s general compensation objectives and programs. The Compensation Committee evaluates the performance of our NEOs and approves their compensation—in the case of the CEO, subject to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Arial;Helvetica;Sans-Serif" w:hAnsi="Arial;Helvetica;Sans-Serif"/>
          <w:b/>
          <w:i w:val="false"/>
          <w:caps w:val="false"/>
          <w:smallCaps w:val="false"/>
          <w:color w:val="3B5AA4"/>
          <w:sz w:val="18"/>
        </w:rPr>
        <w:t>www.regeneron.com</w:t>
      </w:r>
      <w:r>
        <w:rPr>
          <w:rFonts w:ascii="Arial;Helvetica;Sans-Serif" w:hAnsi="Arial;Helvetica;Sans-Serif"/>
          <w:b w:val="false"/>
          <w:i w:val="false"/>
          <w:caps w:val="false"/>
          <w:smallCaps w:val="false"/>
          <w:color w:val="231F20"/>
          <w:sz w:val="18"/>
        </w:rPr>
        <w:t> under the “Governance” heading on the “Investors &amp; Media”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Annual salaries for the following year and year-end cash incentives and equity awards for all employees are determined in December of each year based on Company and individual performance, as well as other factors, which may include compensation trends among our Peer Group and in the biotechnology industry in general. With respect to our CEO, this process is formalized in the Compensation Committee’s charter, which specifies that the Compensation Committee is to annually present the proposed annual compensation of the CEO to the non-employee members of the board of directors for approval. The Company’s recent practice has been to require approval of the proposed annual compensation of the CSO by the non-employee members of the board of directors as well. The non-employee directors have also been involved in reviewing the Company’s performance for purposes of setting the annual cash incentive payout.</w:t>
      </w:r>
    </w:p>
    <w:p>
      <w:pPr>
        <w:pStyle w:val="TextBody"/>
        <w:bidi w:val="0"/>
        <w:spacing w:before="0" w:after="0"/>
        <w:ind w:left="0" w:right="0" w:hanging="0"/>
        <w:jc w:val="left"/>
        <w:rPr>
          <w:caps w:val="false"/>
          <w:smallCaps w:val="false"/>
          <w:color w:val="231F20"/>
        </w:rPr>
      </w:pPr>
      <w:bookmarkStart w:id="99" w:name="xdx_80D_eecd--AwardTmgDiscLineItems_dU_z"/>
      <w:bookmarkEnd w:id="99"/>
      <w:r>
        <w:rPr>
          <w:caps w:val="false"/>
          <w:smallCaps w:val="false"/>
          <w:color w:val="231F20"/>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bookmarkStart w:id="100" w:name="xdx_98F_eecd--AwardTmgMethodTextBlock_c2"/>
      <w:bookmarkEnd w:id="100"/>
      <w:r>
        <w:rPr>
          <w:rFonts w:ascii="Arial;Helvetica;Sans-Serif" w:hAnsi="Arial;Helvetica;Sans-Serif"/>
          <w:b w:val="false"/>
          <w:i w:val="false"/>
          <w:caps w:val="false"/>
          <w:smallCaps w:val="false"/>
          <w:color w:val="231F20"/>
          <w:sz w:val="18"/>
        </w:rPr>
        <w:t xml:space="preserve">We make annual equity awards, including stock option awards, to the NEOs and other employees on a regular, predetermined schedule. The meetings at which such grants are approved are generally scheduled well in advance of the grant date, without regard to the timing of earnings or other major announcements that may constitute material, non-public information. </w:t>
      </w:r>
      <w:bookmarkStart w:id="101" w:name="xdx_906_eecd--AwardTmgHowMnpiCnsdrdTextB"/>
      <w:bookmarkEnd w:id="101"/>
      <w:r>
        <w:rPr>
          <w:rFonts w:ascii="Arial;Helvetica;Sans-Serif" w:hAnsi="Arial;Helvetica;Sans-Serif"/>
          <w:b w:val="false"/>
          <w:i w:val="false"/>
          <w:caps w:val="false"/>
          <w:smallCaps w:val="false"/>
          <w:color w:val="231F20"/>
          <w:sz w:val="18"/>
        </w:rPr>
        <w:t xml:space="preserve">As a result, </w:t>
      </w:r>
      <w:bookmarkStart w:id="102" w:name="xdx_907_eecd--AwardTmgMnpiCnsdrdFlag_dbF"/>
      <w:bookmarkEnd w:id="102"/>
      <w:r>
        <w:rPr>
          <w:rFonts w:ascii="Arial;Helvetica;Sans-Serif" w:hAnsi="Arial;Helvetica;Sans-Serif"/>
          <w:b w:val="false"/>
          <w:i w:val="false"/>
          <w:caps w:val="false"/>
          <w:smallCaps w:val="false"/>
          <w:color w:val="231F20"/>
          <w:sz w:val="18"/>
        </w:rPr>
        <w:t xml:space="preserve">the timing of such grants of equity awards, including stock options, occurs independent of the release of any material, non-public information, and </w:t>
      </w:r>
      <w:bookmarkStart w:id="103" w:name="xdx_901_eecd--MnpiDiscTimedForCompValFla"/>
      <w:bookmarkEnd w:id="103"/>
      <w:r>
        <w:rPr>
          <w:rFonts w:ascii="Arial;Helvetica;Sans-Serif" w:hAnsi="Arial;Helvetica;Sans-Serif"/>
          <w:b w:val="false"/>
          <w:i w:val="false"/>
          <w:caps w:val="false"/>
          <w:smallCaps w:val="false"/>
          <w:color w:val="231F20"/>
          <w:sz w:val="18"/>
        </w:rPr>
        <w:t xml:space="preserve">we do not time the disclosure of material, non-public information for the purpose of affecting the value of equity-based compensation. We generally grant annual equity awards to eligible employees whose performance is determined to merit an annual grant, including the NEOs, </w:t>
      </w:r>
      <w:bookmarkStart w:id="104" w:name="xdx_907_eecd--AwardTmgPredtrmndFlag_dbT_"/>
      <w:bookmarkEnd w:id="104"/>
      <w:r>
        <w:rPr>
          <w:rFonts w:ascii="Arial;Helvetica;Sans-Serif" w:hAnsi="Arial;Helvetica;Sans-Serif"/>
          <w:b w:val="false"/>
          <w:i w:val="false"/>
          <w:caps w:val="false"/>
          <w:smallCaps w:val="false"/>
          <w:color w:val="231F20"/>
          <w:sz w:val="18"/>
        </w:rPr>
        <w:t xml:space="preserve">at a meeting held during December. With respect to newly hired employees, our practice typically is to grant equity awards </w:t>
      </w:r>
      <w:bookmarkStart w:id="105" w:name="xdx_903_eecd--AwardTmgPredtrmndFlag_dbT_"/>
      <w:bookmarkEnd w:id="105"/>
      <w:r>
        <w:rPr>
          <w:rFonts w:ascii="Arial;Helvetica;Sans-Serif" w:hAnsi="Arial;Helvetica;Sans-Serif"/>
          <w:b w:val="false"/>
          <w:i w:val="false"/>
          <w:caps w:val="false"/>
          <w:smallCaps w:val="false"/>
          <w:color w:val="231F20"/>
          <w:sz w:val="18"/>
        </w:rPr>
        <w:t xml:space="preserve">at the first regular meeting of the Compensation Committee following such employee's hire date, </w:t>
      </w:r>
      <w:bookmarkStart w:id="106" w:name="xdx_90B_eecd--AwardTmgMnpiCnsdrdFlag_dbF"/>
      <w:bookmarkEnd w:id="106"/>
      <w:r>
        <w:rPr>
          <w:rFonts w:ascii="Arial;Helvetica;Sans-Serif" w:hAnsi="Arial;Helvetica;Sans-Serif"/>
          <w:b w:val="false"/>
          <w:i w:val="false"/>
          <w:caps w:val="false"/>
          <w:smallCaps w:val="false"/>
          <w:color w:val="231F20"/>
          <w:sz w:val="18"/>
        </w:rPr>
        <w:t>without regard to the timing of earnings or other major announcements that may constitute material, non-public information. In 2024, we did not grant stock options or other equity awards to our NEOs during any period beginning four business days before and ending one business day after the filing of any of the Company’s periodic reports on Form 10-Q or Form 10-K or the filing or furnishing of any of the Company’s current reports on Form 8-K that disclosed any material, non-public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color w:val="231F20"/>
        </w:rPr>
      </w:pPr>
      <w:bookmarkStart w:id="107" w:name="xdx_81F_zXaTtPCG1tSd"/>
      <w:bookmarkEnd w:id="107"/>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Pursuant to the terms of the Second Amended and Restated Regeneron Pharmaceuticals, Inc. 2014 Long-Term Incentive Plan, stock option awards are granted with an exercise price equal to the average of the high and low sales price per share of our common stock as quoted on the Nasdaq Global Select Market on the date of the grant or, if such date is not a trading day, on the last preceding date on which there was a sale of our common stock on the Nasdaq Global Select Market.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periodically evaluate the personal benefits and perquisites afforded to our NEOs. The Compensation Committee also regularly meets in executive session to discuss any of the matters that fall within its responsibilities.</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19"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300" descr=""/>
                          <pic:cNvPicPr>
                            <a:picLocks noChangeAspect="1" noChangeArrowheads="1"/>
                          </pic:cNvPicPr>
                        </pic:nvPicPr>
                        <pic:blipFill>
                          <a:blip r:embed="rId312"/>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108" w:name="regn013211-def14aa066"/>
      <w:bookmarkStart w:id="109" w:name="lregnb018"/>
      <w:bookmarkEnd w:id="108"/>
      <w:bookmarkEnd w:id="109"/>
      <w:r>
        <w:rPr>
          <w:rFonts w:ascii="Arial;Helvetica;Sans-Serif" w:hAnsi="Arial;Helvetica;Sans-Serif"/>
          <w:b/>
          <w:i w:val="false"/>
          <w:caps w:val="false"/>
          <w:smallCaps w:val="false"/>
          <w:color w:val="C60C44"/>
          <w:sz w:val="28"/>
        </w:rPr>
        <w:t>Management; Management’s Compensation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Members of our senior management play a role in the overall executive compensation process and assess performance of other officers. They also recommend for the Compensation Committee’s approval the salary, cash incentive, and equity grant budgets for non-officers and make specific recommendations for salary increases, cash incentives, and equity grants for other officers. Performance of our CEO and CSO is evaluated directly by the Compensation Committee based on the Company’s overall corporate performance against annual goals that are presented to the board of directors at the beginning of each year, as discussed above. Our CEO evaluates the performance of our other NEOs and makes recommendations to the Compensation Committee regarding their compensation.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Management retains a compensation consultant for its own use. In 2024, management used the services of Radford (part of Aon plc), a compensation consultant focused on the technology and life sciences sectors. Radford provided various consulting services to management, including analyzing the competitiveness of specific compensation programs; preparing surveys of competitive pay practices; and assisting management in the development and analysis of executive compensation recommendations. Reports prepared by Radford that relate to executive compensation may also be shared with the Compensation Committee, the full board, or another committee of the board.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110" w:name="regn013211-def14aa067"/>
      <w:bookmarkStart w:id="111" w:name="lregnb019"/>
      <w:bookmarkEnd w:id="110"/>
      <w:bookmarkEnd w:id="111"/>
      <w:r>
        <w:rPr>
          <w:rFonts w:ascii="Arial;Helvetica;Sans-Serif" w:hAnsi="Arial;Helvetica;Sans-Serif"/>
          <w:b/>
          <w:i w:val="false"/>
          <w:caps w:val="false"/>
          <w:smallCaps w:val="false"/>
          <w:color w:val="C60C44"/>
          <w:sz w:val="28"/>
        </w:rPr>
        <w:t>Shareholder Input and Outreach and the 2024 Say-on-Pay Vote Result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Fostering long-term relationships and maintaining trust with our shareholders has been a key priority for us. We seek shareholder feedback through our annual say-on-pay votes as well as through discussions with our shareholders in connection with our annual shareholder meetings and in the “off-season,” where we discuss compensation, governance, and other issues of importance and interest to our shareholders. This outreach complements the many touchpoints our management and our investor relations team have with shareholders throughout the year. In addition, on a more informal basis, we engage with our shareholders through industry and corporate governance conferences and informal exchanges in other settings.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Say-on-pay vote.</w:t>
      </w:r>
      <w:r>
        <w:rPr>
          <w:rFonts w:ascii="Arial;Helvetica;Sans-Serif" w:hAnsi="Arial;Helvetica;Sans-Serif"/>
          <w:b w:val="false"/>
          <w:i w:val="false"/>
          <w:caps w:val="false"/>
          <w:smallCaps w:val="false"/>
          <w:color w:val="231F20"/>
          <w:sz w:val="18"/>
        </w:rPr>
        <w:t> Our shareholders are provided with an opportunity to cast a non-binding, advisory vote on our executive compensation program every year. We switched to the annual cadence of say-on-pay votes in 2022 in recognition of shareholder feedback and preference. Our most recent advisory say-on-pay vote was held at our 2024 annual shareholder meeting, at which this advisory proposal was approved by 95% of the votes cast. This was the highest level of support on our say-on-pay vote in over a decade and the third consecutive year of support nearing or exceeding 90%. Despite the solid approval rate of our compensation program by our shareholders evidenced by this result, we continued to engage with investors in 2024 to make sure we understand their perspectives and views of our compensation program and philosophy (as well as corporate governance and corporate responsibility matters relevant to our Company).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Shareholder outreach.</w:t>
      </w:r>
      <w:r>
        <w:rPr>
          <w:rFonts w:ascii="Arial;Helvetica;Sans-Serif" w:hAnsi="Arial;Helvetica;Sans-Serif"/>
          <w:b w:val="false"/>
          <w:i w:val="false"/>
          <w:caps w:val="false"/>
          <w:smallCaps w:val="false"/>
          <w:color w:val="231F20"/>
          <w:sz w:val="18"/>
        </w:rPr>
        <w:t> In the last decade, we have actively and regularly engaged with our shareholders to receive feedback on many important areas, including corporate governance, executive compensation, and corporate responsibility matters, and are committed to continued engagement with portfolio managers and investment stewardship teams. Shareholder feedback is discussed with management and, depending on the topic, relayed for consideration to the appropriate committee of the board of directors (typically the Compensation Committee or the Corporate Governance and Compliance Committee), the full board, or both. In recent years, shareholder input resulted in specific changes to our compensation and corporate governance practices and policies. For example, as discussed above, in 2022 our board of directors voluntarily changed the frequency of our say-on-pay votes from every three years to every year to recognize the preference for annual say-on-pay votes expressed by several key shareholders during our shareholder outreach. See the table further below for other recent changes related to executive compensation informed by shareholder feedback.</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20"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301" descr=""/>
                          <pic:cNvPicPr>
                            <a:picLocks noChangeAspect="1" noChangeArrowheads="1"/>
                          </pic:cNvPicPr>
                        </pic:nvPicPr>
                        <pic:blipFill>
                          <a:blip r:embed="rId313"/>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2024, we reached out to shareholders collectively representing nearly 60% of the public shares (i.e., shares of common stock outstanding as of December 31, 2024, excluding shares held by our directors and executive officers). This outreach resulted in one-on-one discussions with shareholders representing approximately 55% of our public shares. As in prior years, we pursued engagement opportunities throughout the year, which allowed us to engage with several shareholders multiple times in 2024.</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3000375" cy="1266825"/>
            <wp:effectExtent l="0" t="0" r="0" b="0"/>
            <wp:docPr id="321"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302" descr=""/>
                    <pic:cNvPicPr>
                      <a:picLocks noChangeAspect="1" noChangeArrowheads="1"/>
                    </pic:cNvPicPr>
                  </pic:nvPicPr>
                  <pic:blipFill>
                    <a:blip r:embed="rId314"/>
                    <a:stretch>
                      <a:fillRect/>
                    </a:stretch>
                  </pic:blipFill>
                  <pic:spPr bwMode="auto">
                    <a:xfrm>
                      <a:off x="0" y="0"/>
                      <a:ext cx="3000375" cy="1266825"/>
                    </a:xfrm>
                    <a:prstGeom prst="rect">
                      <a:avLst/>
                    </a:prstGeom>
                  </pic:spPr>
                </pic:pic>
              </a:graphicData>
            </a:graphic>
          </wp:inline>
        </w:drawing>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With respect to executive compensation, feedback provided in 2024 was generally positive. Several shareholders indicated that they understood and supported Regeneron’s compensation program, particularly the broad use of equity awards, which they viewed as a mitigating factor for a burn rate that is higher than the burn rates reported by many similarly sized companies. A number of shareholders also indicated their continued preference for using types of awards they consider performance-based (such as PSUs) for a large portion of equity grants (particularly those for NEOs and other senior executives), with several shareholders expressing the view that time-based stock options are not performance-based. With respect to PSUs, shareholders articulated somewhat divergent views on their preferred performance metrics. Nearly universally, the shareholders we engaged expressed a preference for a simple, well-explained compensation plan design. This feedback has been shared with the Compensation Committee and will continue to inform future executive compensation planning and decisions.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Set forth below are select changes to executive compensation practices and other compensation-related actions taken by the board and/or the relevant board committees in recent years that were informed by shareholder feedback. For a more comprehensive discussion of our engagement program and responsive actions implemented by Regeneron, see “Corporate Governance—Longstanding Commitment to Shareholder Engagement.”</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28" w:type="dxa"/>
          <w:left w:w="0" w:type="dxa"/>
          <w:bottom w:w="0" w:type="dxa"/>
          <w:right w:w="0" w:type="dxa"/>
        </w:tblCellMar>
      </w:tblPr>
      <w:tblGrid>
        <w:gridCol w:w="4843"/>
        <w:gridCol w:w="300"/>
        <w:gridCol w:w="300"/>
        <w:gridCol w:w="4762"/>
      </w:tblGrid>
      <w:tr>
        <w:trPr/>
        <w:tc>
          <w:tcPr>
            <w:tcW w:w="4843" w:type="dxa"/>
            <w:tcBorders>
              <w:top w:val="single" w:sz="2" w:space="0" w:color="3B5AA4"/>
            </w:tcBorders>
            <w:vAlign w:val="center"/>
          </w:tcPr>
          <w:p>
            <w:pPr>
              <w:pStyle w:val="TableContents"/>
              <w:bidi w:val="0"/>
              <w:spacing w:before="0" w:after="283"/>
              <w:jc w:val="left"/>
              <w:rPr/>
            </w:pPr>
            <w:r>
              <w:rPr/>
              <w:t> </w:t>
            </w:r>
          </w:p>
        </w:tc>
        <w:tc>
          <w:tcPr>
            <w:tcW w:w="300" w:type="dxa"/>
            <w:tcBorders>
              <w:top w:val="single" w:sz="2" w:space="0" w:color="3B5AA4"/>
            </w:tcBorders>
            <w:vAlign w:val="center"/>
          </w:tcPr>
          <w:p>
            <w:pPr>
              <w:pStyle w:val="TableContents"/>
              <w:bidi w:val="0"/>
              <w:spacing w:before="0" w:after="283"/>
              <w:jc w:val="left"/>
              <w:rPr/>
            </w:pPr>
            <w:r>
              <w:rPr/>
              <w:t>     </w:t>
            </w:r>
          </w:p>
        </w:tc>
        <w:tc>
          <w:tcPr>
            <w:tcW w:w="300" w:type="dxa"/>
            <w:tcBorders>
              <w:top w:val="single" w:sz="2" w:space="0" w:color="3B5AA4"/>
            </w:tcBorders>
            <w:vAlign w:val="center"/>
          </w:tcPr>
          <w:p>
            <w:pPr>
              <w:pStyle w:val="TableContents"/>
              <w:bidi w:val="0"/>
              <w:spacing w:before="0" w:after="283"/>
              <w:jc w:val="left"/>
              <w:rPr/>
            </w:pPr>
            <w:r>
              <w:rPr/>
              <w:t>     </w:t>
            </w:r>
          </w:p>
        </w:tc>
        <w:tc>
          <w:tcPr>
            <w:tcW w:w="4762" w:type="dxa"/>
            <w:tcBorders>
              <w:top w:val="single" w:sz="2" w:space="0" w:color="3B5AA4"/>
            </w:tcBorders>
            <w:vAlign w:val="center"/>
          </w:tcPr>
          <w:p>
            <w:pPr>
              <w:pStyle w:val="TableContents"/>
              <w:bidi w:val="0"/>
              <w:spacing w:before="0" w:after="283"/>
              <w:jc w:val="left"/>
              <w:rPr/>
            </w:pPr>
            <w:r>
              <w:rPr/>
              <w:t> </w:t>
            </w:r>
          </w:p>
        </w:tc>
      </w:tr>
      <w:tr>
        <w:trPr/>
        <w:tc>
          <w:tcPr>
            <w:tcW w:w="4843" w:type="dxa"/>
            <w:tcBorders/>
            <w:tcMar>
              <w:top w:w="0" w:type="dxa"/>
            </w:tcMar>
            <w:vAlign w:val="center"/>
          </w:tcPr>
          <w:p>
            <w:pPr>
              <w:pStyle w:val="TableContents"/>
              <w:bidi w:val="0"/>
              <w:spacing w:before="0" w:after="0"/>
              <w:ind w:left="0" w:right="0" w:hanging="0"/>
              <w:jc w:val="left"/>
              <w:rPr>
                <w:b/>
                <w:color w:val="C60C44"/>
                <w:sz w:val="20"/>
              </w:rPr>
            </w:pPr>
            <w:r>
              <w:rPr>
                <w:b/>
                <w:color w:val="C60C44"/>
                <w:sz w:val="20"/>
              </w:rPr>
              <w:t>Say-on-Pay</w:t>
            </w:r>
          </w:p>
          <w:p>
            <w:pPr>
              <w:pStyle w:val="TableContents"/>
              <w:bidi w:val="0"/>
              <w:spacing w:before="0" w:after="0"/>
              <w:ind w:left="0" w:right="0" w:hanging="0"/>
              <w:jc w:val="left"/>
              <w:rPr/>
            </w:pPr>
            <w:r>
              <w:rPr>
                <w:color w:val="3B5AA4"/>
              </w:rPr>
              <w:t>•   </w:t>
            </w:r>
            <w:r>
              <w:rPr>
                <w:color w:val="231F20"/>
              </w:rPr>
              <w:t>Voluntarily adopted an annual say-on-pay vote (2022)</w:t>
            </w:r>
          </w:p>
          <w:p>
            <w:pPr>
              <w:pStyle w:val="TableContents"/>
              <w:bidi w:val="0"/>
              <w:spacing w:before="0" w:after="0"/>
              <w:ind w:left="0" w:right="0" w:hanging="0"/>
              <w:jc w:val="left"/>
              <w:rPr/>
            </w:pPr>
            <w:r>
              <w:rPr/>
              <w:t> </w:t>
            </w:r>
          </w:p>
          <w:p>
            <w:pPr>
              <w:pStyle w:val="TableContents"/>
              <w:bidi w:val="0"/>
              <w:spacing w:before="0" w:after="0"/>
              <w:ind w:left="0" w:right="0" w:hanging="0"/>
              <w:jc w:val="left"/>
              <w:rPr>
                <w:b/>
                <w:color w:val="C60C44"/>
                <w:sz w:val="20"/>
              </w:rPr>
            </w:pPr>
            <w:r>
              <w:rPr>
                <w:b/>
                <w:color w:val="C60C44"/>
                <w:sz w:val="20"/>
              </w:rPr>
              <w:t>Pay-for-Performance Alignment</w:t>
            </w:r>
          </w:p>
          <w:p>
            <w:pPr>
              <w:pStyle w:val="TableContents"/>
              <w:bidi w:val="0"/>
              <w:spacing w:before="0" w:after="100"/>
              <w:ind w:left="200" w:right="0" w:hanging="200"/>
              <w:jc w:val="left"/>
              <w:rPr/>
            </w:pPr>
            <w:r>
              <w:rPr>
                <w:color w:val="3B5AA4"/>
              </w:rPr>
              <w:t>•   </w:t>
            </w:r>
            <w:r>
              <w:rPr>
                <w:color w:val="231F20"/>
              </w:rPr>
              <w:t>Introduced PSUs as a component of CEO and CSO equity awards (2019)</w:t>
            </w:r>
          </w:p>
          <w:p>
            <w:pPr>
              <w:pStyle w:val="TableContents"/>
              <w:bidi w:val="0"/>
              <w:spacing w:before="0" w:after="100"/>
              <w:ind w:left="200" w:right="0" w:hanging="200"/>
              <w:jc w:val="left"/>
              <w:rPr/>
            </w:pPr>
            <w:r>
              <w:rPr>
                <w:color w:val="3B5AA4"/>
              </w:rPr>
              <w:t>•   </w:t>
            </w:r>
            <w:r>
              <w:rPr>
                <w:color w:val="231F20"/>
              </w:rPr>
              <w:t>Granted 100% of CEO and CSO equity awards in the</w:t>
            </w:r>
            <w:r>
              <w:rPr/>
              <w:t xml:space="preserve"> </w:t>
            </w:r>
            <w:r>
              <w:rPr>
                <w:color w:val="231F20"/>
              </w:rPr>
              <w:t>form of PSUs (2020)</w:t>
            </w:r>
          </w:p>
          <w:p>
            <w:pPr>
              <w:pStyle w:val="TableContents"/>
              <w:bidi w:val="0"/>
              <w:spacing w:before="0" w:after="0"/>
              <w:ind w:left="200" w:right="0" w:hanging="200"/>
              <w:jc w:val="left"/>
              <w:rPr/>
            </w:pPr>
            <w:r>
              <w:rPr>
                <w:color w:val="3B5AA4"/>
              </w:rPr>
              <w:t>•   </w:t>
            </w:r>
            <w:r>
              <w:rPr>
                <w:color w:val="231F20"/>
              </w:rPr>
              <w:t>Reaffirmed, and delivered on, commitment to issue no</w:t>
            </w:r>
            <w:r>
              <w:rPr/>
              <w:t xml:space="preserve"> </w:t>
            </w:r>
            <w:r>
              <w:rPr>
                <w:color w:val="231F20"/>
              </w:rPr>
              <w:t>additional equity awards for CEO and CSO before</w:t>
            </w:r>
            <w:r>
              <w:rPr/>
              <w:t xml:space="preserve"> </w:t>
            </w:r>
            <w:r>
              <w:rPr>
                <w:color w:val="231F20"/>
              </w:rPr>
              <w:t>December 2025 (2021-2024)</w:t>
            </w:r>
          </w:p>
          <w:p>
            <w:pPr>
              <w:pStyle w:val="TableContents"/>
              <w:bidi w:val="0"/>
              <w:spacing w:before="0" w:after="0"/>
              <w:ind w:left="0" w:right="0" w:hanging="0"/>
              <w:jc w:val="left"/>
              <w:rPr/>
            </w:pPr>
            <w:r>
              <w:rPr/>
              <w:t> </w:t>
            </w:r>
          </w:p>
          <w:p>
            <w:pPr>
              <w:pStyle w:val="TableContents"/>
              <w:bidi w:val="0"/>
              <w:spacing w:before="0" w:after="0"/>
              <w:ind w:left="0" w:right="0" w:hanging="0"/>
              <w:jc w:val="left"/>
              <w:rPr>
                <w:b/>
                <w:color w:val="C60C44"/>
                <w:sz w:val="20"/>
              </w:rPr>
            </w:pPr>
            <w:r>
              <w:rPr>
                <w:b/>
                <w:color w:val="C60C44"/>
                <w:sz w:val="20"/>
              </w:rPr>
              <w:t>Annual Cash Incentives</w:t>
            </w:r>
          </w:p>
          <w:p>
            <w:pPr>
              <w:pStyle w:val="TableContents"/>
              <w:bidi w:val="0"/>
              <w:spacing w:before="0" w:after="0"/>
              <w:ind w:left="200" w:right="0" w:hanging="200"/>
              <w:jc w:val="left"/>
              <w:rPr/>
            </w:pPr>
            <w:r>
              <w:rPr>
                <w:color w:val="3B5AA4"/>
              </w:rPr>
              <w:t>•   </w:t>
            </w:r>
            <w:r>
              <w:rPr>
                <w:color w:val="231F20"/>
              </w:rPr>
              <w:t>Enhanced the process by which the Compensation</w:t>
            </w:r>
            <w:r>
              <w:rPr/>
              <w:t xml:space="preserve"> </w:t>
            </w:r>
            <w:r>
              <w:rPr>
                <w:color w:val="231F20"/>
              </w:rPr>
              <w:t>Committee determines the Company performance multiplier for annual cash incentives (2023)</w:t>
            </w:r>
          </w:p>
          <w:p>
            <w:pPr>
              <w:pStyle w:val="TableContents"/>
              <w:bidi w:val="0"/>
              <w:spacing w:before="0" w:after="0"/>
              <w:ind w:left="0" w:right="0" w:hanging="0"/>
              <w:jc w:val="left"/>
              <w:rPr/>
            </w:pPr>
            <w:r>
              <w:rPr/>
              <w:t> </w:t>
            </w:r>
          </w:p>
        </w:tc>
        <w:tc>
          <w:tcPr>
            <w:tcW w:w="300" w:type="dxa"/>
            <w:tcBorders/>
            <w:tcMar>
              <w:top w:w="0" w:type="dxa"/>
            </w:tcMar>
            <w:vAlign w:val="center"/>
          </w:tcPr>
          <w:p>
            <w:pPr>
              <w:pStyle w:val="TableContents"/>
              <w:bidi w:val="0"/>
              <w:spacing w:before="0" w:after="283"/>
              <w:jc w:val="left"/>
              <w:rPr/>
            </w:pPr>
            <w:r>
              <w:rPr/>
              <w:t> </w:t>
            </w:r>
          </w:p>
        </w:tc>
        <w:tc>
          <w:tcPr>
            <w:tcW w:w="300" w:type="dxa"/>
            <w:tcBorders>
              <w:left w:val="single" w:sz="2" w:space="0" w:color="C60C44"/>
            </w:tcBorders>
            <w:tcMar>
              <w:top w:w="0" w:type="dxa"/>
              <w:left w:w="28" w:type="dxa"/>
            </w:tcMar>
            <w:vAlign w:val="center"/>
          </w:tcPr>
          <w:p>
            <w:pPr>
              <w:pStyle w:val="TableContents"/>
              <w:bidi w:val="0"/>
              <w:spacing w:before="0" w:after="283"/>
              <w:jc w:val="left"/>
              <w:rPr/>
            </w:pPr>
            <w:r>
              <w:rPr/>
              <w:t> </w:t>
            </w:r>
          </w:p>
        </w:tc>
        <w:tc>
          <w:tcPr>
            <w:tcW w:w="4762" w:type="dxa"/>
            <w:tcBorders/>
            <w:tcMar>
              <w:top w:w="0" w:type="dxa"/>
            </w:tcMar>
            <w:vAlign w:val="center"/>
          </w:tcPr>
          <w:p>
            <w:pPr>
              <w:pStyle w:val="TableContents"/>
              <w:bidi w:val="0"/>
              <w:spacing w:before="0" w:after="0"/>
              <w:ind w:left="0" w:right="0" w:hanging="0"/>
              <w:jc w:val="left"/>
              <w:rPr>
                <w:b/>
                <w:color w:val="C60C44"/>
                <w:sz w:val="20"/>
              </w:rPr>
            </w:pPr>
            <w:r>
              <w:rPr>
                <w:b/>
                <w:color w:val="C60C44"/>
                <w:sz w:val="20"/>
              </w:rPr>
              <w:t>Enhanced Disclosure</w:t>
            </w:r>
          </w:p>
          <w:p>
            <w:pPr>
              <w:pStyle w:val="TableContents"/>
              <w:bidi w:val="0"/>
              <w:spacing w:before="0" w:after="100"/>
              <w:ind w:left="200" w:right="0" w:hanging="200"/>
              <w:jc w:val="left"/>
              <w:rPr/>
            </w:pPr>
            <w:r>
              <w:rPr>
                <w:color w:val="3B5AA4"/>
              </w:rPr>
              <w:t>•   </w:t>
            </w:r>
            <w:r>
              <w:rPr>
                <w:color w:val="231F20"/>
              </w:rPr>
              <w:t>Enhanced proxy statement disclosure surrounding</w:t>
            </w:r>
            <w:r>
              <w:rPr/>
              <w:t xml:space="preserve"> </w:t>
            </w:r>
            <w:r>
              <w:rPr>
                <w:color w:val="231F20"/>
              </w:rPr>
              <w:t>annual cash incentive and annual equity award determinations and 2020 PSUs (2022-2024)</w:t>
            </w:r>
          </w:p>
          <w:p>
            <w:pPr>
              <w:pStyle w:val="TableContents"/>
              <w:bidi w:val="0"/>
              <w:spacing w:before="0" w:after="0"/>
              <w:ind w:left="200" w:right="0" w:hanging="200"/>
              <w:jc w:val="left"/>
              <w:rPr/>
            </w:pPr>
            <w:r>
              <w:rPr>
                <w:color w:val="3B5AA4"/>
              </w:rPr>
              <w:t>•   </w:t>
            </w:r>
            <w:r>
              <w:rPr>
                <w:color w:val="231F20"/>
              </w:rPr>
              <w:t>Shortened and streamlined CD&amp;A in this proxy</w:t>
            </w:r>
            <w:r>
              <w:rPr/>
              <w:t xml:space="preserve"> </w:t>
            </w:r>
            <w:r>
              <w:rPr>
                <w:color w:val="231F20"/>
              </w:rPr>
              <w:t>statement (2025)</w:t>
            </w:r>
          </w:p>
          <w:p>
            <w:pPr>
              <w:pStyle w:val="TableContents"/>
              <w:bidi w:val="0"/>
              <w:spacing w:before="0" w:after="0"/>
              <w:ind w:left="0" w:right="0" w:hanging="0"/>
              <w:jc w:val="left"/>
              <w:rPr/>
            </w:pPr>
            <w:r>
              <w:rPr/>
              <w:t> </w:t>
            </w:r>
          </w:p>
          <w:p>
            <w:pPr>
              <w:pStyle w:val="TableContents"/>
              <w:bidi w:val="0"/>
              <w:spacing w:before="0" w:after="0"/>
              <w:ind w:left="0" w:right="0" w:hanging="0"/>
              <w:jc w:val="left"/>
              <w:rPr>
                <w:b/>
                <w:color w:val="C60C44"/>
                <w:sz w:val="20"/>
              </w:rPr>
            </w:pPr>
            <w:r>
              <w:rPr>
                <w:b/>
                <w:color w:val="C60C44"/>
                <w:sz w:val="20"/>
              </w:rPr>
              <w:t>Dilution/Burn Rate Concerns</w:t>
            </w:r>
          </w:p>
          <w:p>
            <w:pPr>
              <w:pStyle w:val="TableContents"/>
              <w:bidi w:val="0"/>
              <w:spacing w:before="0" w:after="100"/>
              <w:ind w:left="200" w:right="0" w:hanging="200"/>
              <w:jc w:val="left"/>
              <w:rPr/>
            </w:pPr>
            <w:r>
              <w:rPr>
                <w:color w:val="3B5AA4"/>
              </w:rPr>
              <w:t>•   </w:t>
            </w:r>
            <w:r>
              <w:rPr>
                <w:color w:val="231F20"/>
              </w:rPr>
              <w:t>Introduced and maintained the use of full-value awards</w:t>
            </w:r>
            <w:r>
              <w:rPr/>
              <w:t xml:space="preserve"> </w:t>
            </w:r>
            <w:r>
              <w:rPr>
                <w:color w:val="231F20"/>
              </w:rPr>
              <w:t>as a component of annual equity awards (2019-2024)</w:t>
            </w:r>
          </w:p>
          <w:p>
            <w:pPr>
              <w:pStyle w:val="TableContents"/>
              <w:bidi w:val="0"/>
              <w:spacing w:before="0" w:after="0"/>
              <w:ind w:left="200" w:right="0" w:hanging="200"/>
              <w:jc w:val="left"/>
              <w:rPr/>
            </w:pPr>
            <w:r>
              <w:rPr>
                <w:color w:val="3B5AA4"/>
              </w:rPr>
              <w:t>•   </w:t>
            </w:r>
            <w:r>
              <w:rPr>
                <w:color w:val="231F20"/>
              </w:rPr>
              <w:t>Recalibrated equity award size (stock options and</w:t>
            </w:r>
            <w:r>
              <w:rPr/>
              <w:t xml:space="preserve"> </w:t>
            </w:r>
            <w:r>
              <w:rPr>
                <w:color w:val="231F20"/>
              </w:rPr>
              <w:t>RSAs/RSUs) for NEOs below the CEO/CSO level and other employees (2019-2024)</w:t>
            </w:r>
          </w:p>
          <w:p>
            <w:pPr>
              <w:pStyle w:val="TableContents"/>
              <w:bidi w:val="0"/>
              <w:spacing w:before="0" w:after="0"/>
              <w:ind w:left="0" w:right="0" w:hanging="0"/>
              <w:jc w:val="left"/>
              <w:rPr/>
            </w:pPr>
            <w:r>
              <w:rPr/>
              <w:t> </w:t>
            </w:r>
          </w:p>
          <w:p>
            <w:pPr>
              <w:pStyle w:val="TableContents"/>
              <w:bidi w:val="0"/>
              <w:spacing w:before="0" w:after="0"/>
              <w:ind w:left="0" w:right="0" w:hanging="0"/>
              <w:jc w:val="left"/>
              <w:rPr>
                <w:b/>
                <w:color w:val="C60C44"/>
                <w:sz w:val="20"/>
              </w:rPr>
            </w:pPr>
            <w:r>
              <w:rPr>
                <w:b/>
                <w:color w:val="C60C44"/>
                <w:sz w:val="20"/>
              </w:rPr>
              <w:t>Perquisites Policy</w:t>
            </w:r>
          </w:p>
          <w:p>
            <w:pPr>
              <w:pStyle w:val="TableContents"/>
              <w:bidi w:val="0"/>
              <w:spacing w:before="0" w:after="0"/>
              <w:ind w:left="200" w:right="0" w:hanging="200"/>
              <w:jc w:val="left"/>
              <w:rPr/>
            </w:pPr>
            <w:r>
              <w:rPr>
                <w:color w:val="3B5AA4"/>
              </w:rPr>
              <w:t>•   </w:t>
            </w:r>
            <w:r>
              <w:rPr>
                <w:color w:val="231F20"/>
              </w:rPr>
              <w:t>Adopted a Compensation Committee-approved policy</w:t>
            </w:r>
            <w:r>
              <w:rPr/>
              <w:t xml:space="preserve"> </w:t>
            </w:r>
            <w:r>
              <w:rPr>
                <w:color w:val="231F20"/>
              </w:rPr>
              <w:t>covering perquisites of our NEOs and other senior officers (2024)</w:t>
            </w:r>
          </w:p>
          <w:p>
            <w:pPr>
              <w:pStyle w:val="TableContents"/>
              <w:bidi w:val="0"/>
              <w:spacing w:before="0" w:after="0"/>
              <w:ind w:left="0" w:right="0" w:hanging="0"/>
              <w:jc w:val="left"/>
              <w:rPr/>
            </w:pPr>
            <w:r>
              <w:rPr/>
              <w:t>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22"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303" descr=""/>
                          <pic:cNvPicPr>
                            <a:picLocks noChangeAspect="1" noChangeArrowheads="1"/>
                          </pic:cNvPicPr>
                        </pic:nvPicPr>
                        <pic:blipFill>
                          <a:blip r:embed="rId315"/>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112" w:name="regn013211-def14aa068"/>
      <w:bookmarkStart w:id="113" w:name="lregnb020"/>
      <w:bookmarkEnd w:id="112"/>
      <w:bookmarkEnd w:id="113"/>
      <w:r>
        <w:rPr>
          <w:rFonts w:ascii="Arial;Helvetica;Sans-Serif" w:hAnsi="Arial;Helvetica;Sans-Serif"/>
          <w:b/>
          <w:i w:val="false"/>
          <w:caps w:val="false"/>
          <w:smallCaps w:val="false"/>
          <w:color w:val="C60C44"/>
          <w:sz w:val="28"/>
        </w:rPr>
        <w:t>Independent Compensation Consultant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Compensation Committee has the sole authority to retain, at the Company’s expense, one or more third-party compensation consultants to assist the Compensation Committee in performing its responsibilities and to terminate the services of the consultant if the Compensation Committee deems it appropriate. The Compensation Committee (and, as discussed above under “Board of Directors—Compensation of Directors” with respect to non-employee director compensation matters, the Corporate Governance and Compliance Committee) has utilized the services of Pay Governance LLC since 2021. In order to maintain its independence, the Compensation Committee retained Pay Governance LLC directly, and Pay Governance LLC performed services for the Compensation Committee exclusively at the Compensation Committee’s direction. The Compensation Committee periodically evaluates the independence of its compensation consultant. In accordance with applicable listing standards of the Nasdaq Stock Market LLC and SEC rules, in 2024 the Compensation Committee evaluated the independence of Pay Governance LLC; and, on the basis of this evaluation, concluded that the engagement of Pay Governance LLC did not raise any conflicts of interest.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Compensation Committee’s consultant reviews management recommendations for compensation plans, budgets, and strategies, and also advises the Compensation Committee on how regulations and trends in executive compensation nationally and specifically in the pharmaceutical and biopharmaceutical industries may be relevant to the Company. It also assists with developing the Peer Group; provides comparative compensation information for our CEO and CSO and other senior executives (using the Peer Group and other compensation data as described below); reviews senior management’s compensation recommendations for other officers, including the other NEOs; and provides general advice to the Compensation Committee on compensation matters, including facilitating the articulation and periodic review of the Company’s compensation philosophy and replenishment of our long-term equity incentive plan.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114" w:name="regn013211-def14aa069"/>
      <w:bookmarkStart w:id="115" w:name="lregnb021"/>
      <w:bookmarkEnd w:id="114"/>
      <w:bookmarkEnd w:id="115"/>
      <w:r>
        <w:rPr>
          <w:rFonts w:ascii="Arial;Helvetica;Sans-Serif" w:hAnsi="Arial;Helvetica;Sans-Serif"/>
          <w:b/>
          <w:i w:val="false"/>
          <w:caps w:val="false"/>
          <w:smallCaps w:val="false"/>
          <w:color w:val="C60C44"/>
          <w:sz w:val="28"/>
        </w:rPr>
        <w:t>Peer and Other Market Data</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For purposes of setting our NEOs’ and other senior executives’ compensation, we use comparative compensation information from a relevant peer group of companies (referred to in this proxy statement as the “Peer Group”). In 2024, we selected the companies in the Peer Group with the assistance of Pay Governance LLC based on factors including, but not limited to, the following:</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3745" w:type="dxa"/>
        <w:jc w:val="left"/>
        <w:tblInd w:w="0" w:type="dxa"/>
        <w:tblLayout w:type="fixed"/>
        <w:tblCellMar>
          <w:top w:w="0" w:type="dxa"/>
          <w:left w:w="0" w:type="dxa"/>
          <w:bottom w:w="0" w:type="dxa"/>
          <w:right w:w="0" w:type="dxa"/>
        </w:tblCellMar>
      </w:tblPr>
      <w:tblGrid>
        <w:gridCol w:w="125"/>
        <w:gridCol w:w="3620"/>
      </w:tblGrid>
      <w:tr>
        <w:trPr/>
        <w:tc>
          <w:tcPr>
            <w:tcW w:w="125" w:type="dxa"/>
            <w:tcBorders/>
            <w:vAlign w:val="center"/>
          </w:tcPr>
          <w:p>
            <w:pPr>
              <w:pStyle w:val="TableContents"/>
              <w:bidi w:val="0"/>
              <w:spacing w:before="0" w:after="283"/>
              <w:jc w:val="left"/>
              <w:rPr>
                <w:color w:val="3B5AA4"/>
              </w:rPr>
            </w:pPr>
            <w:r>
              <w:rPr>
                <w:color w:val="3B5AA4"/>
              </w:rPr>
              <w:t>•</w:t>
            </w:r>
          </w:p>
        </w:tc>
        <w:tc>
          <w:tcPr>
            <w:tcW w:w="3620" w:type="dxa"/>
            <w:tcBorders/>
            <w:vAlign w:val="center"/>
          </w:tcPr>
          <w:p>
            <w:pPr>
              <w:pStyle w:val="TableContents"/>
              <w:bidi w:val="0"/>
              <w:spacing w:before="0" w:after="283"/>
              <w:jc w:val="left"/>
              <w:rPr>
                <w:color w:val="231F20"/>
              </w:rPr>
            </w:pPr>
            <w:r>
              <w:rPr>
                <w:color w:val="231F20"/>
              </w:rPr>
              <w:t>research and development orientation;</w:t>
            </w:r>
          </w:p>
        </w:tc>
      </w:tr>
      <w:tr>
        <w:trPr/>
        <w:tc>
          <w:tcPr>
            <w:tcW w:w="125" w:type="dxa"/>
            <w:tcBorders/>
            <w:vAlign w:val="center"/>
          </w:tcPr>
          <w:p>
            <w:pPr>
              <w:pStyle w:val="TableContents"/>
              <w:bidi w:val="0"/>
              <w:spacing w:before="0" w:after="283"/>
              <w:jc w:val="left"/>
              <w:rPr>
                <w:color w:val="3B5AA4"/>
              </w:rPr>
            </w:pPr>
            <w:r>
              <w:rPr>
                <w:color w:val="3B5AA4"/>
              </w:rPr>
              <w:t>•</w:t>
            </w:r>
          </w:p>
        </w:tc>
        <w:tc>
          <w:tcPr>
            <w:tcW w:w="3620" w:type="dxa"/>
            <w:tcBorders/>
            <w:vAlign w:val="center"/>
          </w:tcPr>
          <w:p>
            <w:pPr>
              <w:pStyle w:val="TableContents"/>
              <w:bidi w:val="0"/>
              <w:spacing w:before="0" w:after="283"/>
              <w:jc w:val="left"/>
              <w:rPr>
                <w:color w:val="231F20"/>
              </w:rPr>
            </w:pPr>
            <w:r>
              <w:rPr>
                <w:color w:val="231F20"/>
              </w:rPr>
              <w:t>market capitalization;</w:t>
            </w:r>
          </w:p>
        </w:tc>
      </w:tr>
      <w:tr>
        <w:trPr/>
        <w:tc>
          <w:tcPr>
            <w:tcW w:w="125" w:type="dxa"/>
            <w:tcBorders/>
            <w:vAlign w:val="center"/>
          </w:tcPr>
          <w:p>
            <w:pPr>
              <w:pStyle w:val="TableContents"/>
              <w:bidi w:val="0"/>
              <w:spacing w:before="0" w:after="283"/>
              <w:jc w:val="left"/>
              <w:rPr>
                <w:color w:val="3B5AA4"/>
              </w:rPr>
            </w:pPr>
            <w:r>
              <w:rPr>
                <w:color w:val="3B5AA4"/>
              </w:rPr>
              <w:t>•</w:t>
            </w:r>
          </w:p>
        </w:tc>
        <w:tc>
          <w:tcPr>
            <w:tcW w:w="3620" w:type="dxa"/>
            <w:tcBorders/>
            <w:vAlign w:val="center"/>
          </w:tcPr>
          <w:p>
            <w:pPr>
              <w:pStyle w:val="TableContents"/>
              <w:bidi w:val="0"/>
              <w:spacing w:before="0" w:after="283"/>
              <w:jc w:val="left"/>
              <w:rPr>
                <w:color w:val="231F20"/>
              </w:rPr>
            </w:pPr>
            <w:r>
              <w:rPr>
                <w:color w:val="231F20"/>
              </w:rPr>
              <w:t>number of employees;</w:t>
            </w:r>
          </w:p>
        </w:tc>
      </w:tr>
      <w:tr>
        <w:trPr/>
        <w:tc>
          <w:tcPr>
            <w:tcW w:w="125" w:type="dxa"/>
            <w:tcBorders/>
            <w:vAlign w:val="center"/>
          </w:tcPr>
          <w:p>
            <w:pPr>
              <w:pStyle w:val="TableContents"/>
              <w:bidi w:val="0"/>
              <w:spacing w:before="0" w:after="283"/>
              <w:jc w:val="left"/>
              <w:rPr>
                <w:color w:val="3B5AA4"/>
              </w:rPr>
            </w:pPr>
            <w:r>
              <w:rPr>
                <w:color w:val="3B5AA4"/>
              </w:rPr>
              <w:t>•</w:t>
            </w:r>
          </w:p>
        </w:tc>
        <w:tc>
          <w:tcPr>
            <w:tcW w:w="3620" w:type="dxa"/>
            <w:tcBorders/>
            <w:vAlign w:val="center"/>
          </w:tcPr>
          <w:p>
            <w:pPr>
              <w:pStyle w:val="TableContents"/>
              <w:bidi w:val="0"/>
              <w:spacing w:before="0" w:after="283"/>
              <w:jc w:val="left"/>
              <w:rPr>
                <w:color w:val="231F20"/>
              </w:rPr>
            </w:pPr>
            <w:r>
              <w:rPr>
                <w:color w:val="231F20"/>
              </w:rPr>
              <w:t>stage of development; and</w:t>
            </w:r>
          </w:p>
        </w:tc>
      </w:tr>
      <w:tr>
        <w:trPr/>
        <w:tc>
          <w:tcPr>
            <w:tcW w:w="125" w:type="dxa"/>
            <w:tcBorders/>
            <w:vAlign w:val="center"/>
          </w:tcPr>
          <w:p>
            <w:pPr>
              <w:pStyle w:val="TableContents"/>
              <w:bidi w:val="0"/>
              <w:spacing w:before="0" w:after="283"/>
              <w:jc w:val="left"/>
              <w:rPr>
                <w:color w:val="3B5AA4"/>
              </w:rPr>
            </w:pPr>
            <w:r>
              <w:rPr>
                <w:color w:val="3B5AA4"/>
              </w:rPr>
              <w:t>•</w:t>
            </w:r>
          </w:p>
        </w:tc>
        <w:tc>
          <w:tcPr>
            <w:tcW w:w="3620" w:type="dxa"/>
            <w:tcBorders/>
            <w:vAlign w:val="center"/>
          </w:tcPr>
          <w:p>
            <w:pPr>
              <w:pStyle w:val="TableContents"/>
              <w:bidi w:val="0"/>
              <w:spacing w:before="0" w:after="283"/>
              <w:jc w:val="left"/>
              <w:rPr>
                <w:color w:val="231F20"/>
              </w:rPr>
            </w:pPr>
            <w:r>
              <w:rPr>
                <w:color w:val="231F20"/>
              </w:rPr>
              <w:t>total revenues.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Peer Group is also meant to provide a representative sample of companies with which we compete for talent. We periodically reassess the composition of the Peer Group and make changes as appropriate based on factors such as changes in the Company’s market capitalization and merger-and-acquisition activity impacting the existing Peer Group companies.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Peer Group utilized in 2024 consists of the following 11 companies: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9631" w:type="dxa"/>
        <w:jc w:val="left"/>
        <w:tblInd w:w="0" w:type="dxa"/>
        <w:tblLayout w:type="fixed"/>
        <w:tblCellMar>
          <w:top w:w="40" w:type="dxa"/>
          <w:left w:w="0" w:type="dxa"/>
          <w:bottom w:w="0" w:type="dxa"/>
          <w:right w:w="0" w:type="dxa"/>
        </w:tblCellMar>
      </w:tblPr>
      <w:tblGrid>
        <w:gridCol w:w="2930"/>
        <w:gridCol w:w="60"/>
        <w:gridCol w:w="3050"/>
        <w:gridCol w:w="61"/>
        <w:gridCol w:w="3530"/>
      </w:tblGrid>
      <w:tr>
        <w:trPr/>
        <w:tc>
          <w:tcPr>
            <w:tcW w:w="2930" w:type="dxa"/>
            <w:tcBorders>
              <w:top w:val="single" w:sz="12" w:space="0" w:color="3B5AA4"/>
            </w:tcBorders>
            <w:vAlign w:val="center"/>
          </w:tcPr>
          <w:p>
            <w:pPr>
              <w:pStyle w:val="TableContents"/>
              <w:bidi w:val="0"/>
              <w:spacing w:before="0" w:after="283"/>
              <w:jc w:val="left"/>
              <w:rPr>
                <w:color w:val="231F20"/>
              </w:rPr>
            </w:pPr>
            <w:r>
              <w:rPr>
                <w:color w:val="231F20"/>
              </w:rPr>
              <w:t>AbbVie Inc.</w:t>
            </w:r>
          </w:p>
        </w:tc>
        <w:tc>
          <w:tcPr>
            <w:tcW w:w="60" w:type="dxa"/>
            <w:tcBorders>
              <w:top w:val="single" w:sz="12" w:space="0" w:color="3B5AA4"/>
            </w:tcBorders>
            <w:vAlign w:val="center"/>
          </w:tcPr>
          <w:p>
            <w:pPr>
              <w:pStyle w:val="TableContents"/>
              <w:bidi w:val="0"/>
              <w:spacing w:before="0" w:after="283"/>
              <w:jc w:val="left"/>
              <w:rPr/>
            </w:pPr>
            <w:r>
              <w:rPr/>
              <w:t> </w:t>
            </w:r>
          </w:p>
        </w:tc>
        <w:tc>
          <w:tcPr>
            <w:tcW w:w="3050" w:type="dxa"/>
            <w:tcBorders>
              <w:top w:val="single" w:sz="12" w:space="0" w:color="3B5AA4"/>
            </w:tcBorders>
            <w:vAlign w:val="center"/>
          </w:tcPr>
          <w:p>
            <w:pPr>
              <w:pStyle w:val="TableContents"/>
              <w:bidi w:val="0"/>
              <w:spacing w:before="0" w:after="283"/>
              <w:jc w:val="left"/>
              <w:rPr>
                <w:color w:val="231F20"/>
              </w:rPr>
            </w:pPr>
            <w:r>
              <w:rPr>
                <w:color w:val="231F20"/>
              </w:rPr>
              <w:t>BioMarin Pharmaceutical Inc.</w:t>
            </w:r>
          </w:p>
        </w:tc>
        <w:tc>
          <w:tcPr>
            <w:tcW w:w="61" w:type="dxa"/>
            <w:tcBorders>
              <w:top w:val="single" w:sz="12" w:space="0" w:color="3B5AA4"/>
            </w:tcBorders>
            <w:vAlign w:val="center"/>
          </w:tcPr>
          <w:p>
            <w:pPr>
              <w:pStyle w:val="TableContents"/>
              <w:bidi w:val="0"/>
              <w:spacing w:before="0" w:after="283"/>
              <w:jc w:val="left"/>
              <w:rPr/>
            </w:pPr>
            <w:r>
              <w:rPr/>
              <w:t> </w:t>
            </w:r>
          </w:p>
        </w:tc>
        <w:tc>
          <w:tcPr>
            <w:tcW w:w="3530" w:type="dxa"/>
            <w:tcBorders>
              <w:top w:val="single" w:sz="12" w:space="0" w:color="3B5AA4"/>
            </w:tcBorders>
            <w:vAlign w:val="center"/>
          </w:tcPr>
          <w:p>
            <w:pPr>
              <w:pStyle w:val="TableContents"/>
              <w:bidi w:val="0"/>
              <w:spacing w:before="0" w:after="283"/>
              <w:jc w:val="left"/>
              <w:rPr>
                <w:color w:val="231F20"/>
              </w:rPr>
            </w:pPr>
            <w:r>
              <w:rPr>
                <w:color w:val="231F20"/>
              </w:rPr>
              <w:t>Incyte Corporation</w:t>
            </w:r>
          </w:p>
        </w:tc>
      </w:tr>
      <w:tr>
        <w:trPr/>
        <w:tc>
          <w:tcPr>
            <w:tcW w:w="2930" w:type="dxa"/>
            <w:tcBorders>
              <w:top w:val="single" w:sz="2" w:space="0" w:color="CCCCCC"/>
              <w:bottom w:val="single" w:sz="2" w:space="0" w:color="CCCCCC"/>
            </w:tcBorders>
            <w:shd w:fill="EBEBEC" w:val="clear"/>
            <w:tcMar>
              <w:bottom w:w="40" w:type="dxa"/>
            </w:tcMar>
            <w:vAlign w:val="center"/>
          </w:tcPr>
          <w:p>
            <w:pPr>
              <w:pStyle w:val="TableContents"/>
              <w:bidi w:val="0"/>
              <w:spacing w:before="0" w:after="283"/>
              <w:jc w:val="left"/>
              <w:rPr>
                <w:color w:val="231F20"/>
              </w:rPr>
            </w:pPr>
            <w:r>
              <w:rPr>
                <w:color w:val="231F20"/>
              </w:rPr>
              <w:t>Alnylam Pharmaceuticals, Inc.</w:t>
            </w:r>
          </w:p>
        </w:tc>
        <w:tc>
          <w:tcPr>
            <w:tcW w:w="60" w:type="dxa"/>
            <w:tcBorders>
              <w:top w:val="single" w:sz="2" w:space="0" w:color="CCCCCC"/>
              <w:bottom w:val="single" w:sz="2" w:space="0" w:color="CCCCCC"/>
            </w:tcBorders>
            <w:shd w:fill="EBEBEC" w:val="clear"/>
            <w:tcMar>
              <w:bottom w:w="40" w:type="dxa"/>
            </w:tcMar>
            <w:vAlign w:val="center"/>
          </w:tcPr>
          <w:p>
            <w:pPr>
              <w:pStyle w:val="TableContents"/>
              <w:bidi w:val="0"/>
              <w:spacing w:before="0" w:after="283"/>
              <w:jc w:val="left"/>
              <w:rPr/>
            </w:pPr>
            <w:r>
              <w:rPr/>
              <w:t> </w:t>
            </w:r>
          </w:p>
        </w:tc>
        <w:tc>
          <w:tcPr>
            <w:tcW w:w="3050" w:type="dxa"/>
            <w:tcBorders>
              <w:top w:val="single" w:sz="2" w:space="0" w:color="CCCCCC"/>
              <w:bottom w:val="single" w:sz="2" w:space="0" w:color="CCCCCC"/>
            </w:tcBorders>
            <w:shd w:fill="EBEBEC" w:val="clear"/>
            <w:tcMar>
              <w:bottom w:w="40" w:type="dxa"/>
            </w:tcMar>
            <w:vAlign w:val="center"/>
          </w:tcPr>
          <w:p>
            <w:pPr>
              <w:pStyle w:val="TableContents"/>
              <w:bidi w:val="0"/>
              <w:spacing w:before="0" w:after="283"/>
              <w:jc w:val="left"/>
              <w:rPr>
                <w:color w:val="231F20"/>
              </w:rPr>
            </w:pPr>
            <w:r>
              <w:rPr>
                <w:color w:val="231F20"/>
              </w:rPr>
              <w:t>Bristol-Myers Squibb Company</w:t>
            </w:r>
          </w:p>
        </w:tc>
        <w:tc>
          <w:tcPr>
            <w:tcW w:w="61" w:type="dxa"/>
            <w:tcBorders>
              <w:top w:val="single" w:sz="2" w:space="0" w:color="CCCCCC"/>
              <w:bottom w:val="single" w:sz="2" w:space="0" w:color="CCCCCC"/>
            </w:tcBorders>
            <w:shd w:fill="EBEBEC" w:val="clear"/>
            <w:tcMar>
              <w:bottom w:w="40" w:type="dxa"/>
            </w:tcMar>
            <w:vAlign w:val="center"/>
          </w:tcPr>
          <w:p>
            <w:pPr>
              <w:pStyle w:val="TableContents"/>
              <w:bidi w:val="0"/>
              <w:spacing w:before="0" w:after="283"/>
              <w:ind w:left="0" w:right="0" w:firstLine="1"/>
              <w:jc w:val="left"/>
              <w:rPr/>
            </w:pPr>
            <w:r>
              <w:rPr/>
              <w:t> </w:t>
            </w:r>
          </w:p>
        </w:tc>
        <w:tc>
          <w:tcPr>
            <w:tcW w:w="3530" w:type="dxa"/>
            <w:tcBorders>
              <w:top w:val="single" w:sz="2" w:space="0" w:color="CCCCCC"/>
              <w:bottom w:val="single" w:sz="2" w:space="0" w:color="CCCCCC"/>
            </w:tcBorders>
            <w:shd w:fill="EBEBEC" w:val="clear"/>
            <w:tcMar>
              <w:bottom w:w="40" w:type="dxa"/>
            </w:tcMar>
            <w:vAlign w:val="center"/>
          </w:tcPr>
          <w:p>
            <w:pPr>
              <w:pStyle w:val="TableContents"/>
              <w:bidi w:val="0"/>
              <w:spacing w:before="0" w:after="283"/>
              <w:jc w:val="left"/>
              <w:rPr>
                <w:color w:val="231F20"/>
              </w:rPr>
            </w:pPr>
            <w:r>
              <w:rPr>
                <w:color w:val="231F20"/>
              </w:rPr>
              <w:t>Merck &amp; Co., Inc.</w:t>
            </w:r>
          </w:p>
        </w:tc>
      </w:tr>
      <w:tr>
        <w:trPr/>
        <w:tc>
          <w:tcPr>
            <w:tcW w:w="2930" w:type="dxa"/>
            <w:tcBorders>
              <w:bottom w:val="single" w:sz="2" w:space="0" w:color="CCCCCC"/>
            </w:tcBorders>
            <w:tcMar>
              <w:top w:w="0" w:type="dxa"/>
              <w:bottom w:w="40" w:type="dxa"/>
            </w:tcMar>
            <w:vAlign w:val="center"/>
          </w:tcPr>
          <w:p>
            <w:pPr>
              <w:pStyle w:val="TableContents"/>
              <w:bidi w:val="0"/>
              <w:spacing w:before="0" w:after="283"/>
              <w:jc w:val="left"/>
              <w:rPr>
                <w:color w:val="231F20"/>
              </w:rPr>
            </w:pPr>
            <w:r>
              <w:rPr>
                <w:color w:val="231F20"/>
              </w:rPr>
              <w:t>Amgen Inc.</w:t>
            </w:r>
          </w:p>
        </w:tc>
        <w:tc>
          <w:tcPr>
            <w:tcW w:w="60" w:type="dxa"/>
            <w:tcBorders>
              <w:bottom w:val="single" w:sz="2" w:space="0" w:color="CCCCCC"/>
            </w:tcBorders>
            <w:tcMar>
              <w:top w:w="0" w:type="dxa"/>
              <w:bottom w:w="40" w:type="dxa"/>
            </w:tcMar>
            <w:vAlign w:val="center"/>
          </w:tcPr>
          <w:p>
            <w:pPr>
              <w:pStyle w:val="TableContents"/>
              <w:bidi w:val="0"/>
              <w:spacing w:before="0" w:after="283"/>
              <w:jc w:val="left"/>
              <w:rPr/>
            </w:pPr>
            <w:r>
              <w:rPr/>
              <w:t> </w:t>
            </w:r>
          </w:p>
        </w:tc>
        <w:tc>
          <w:tcPr>
            <w:tcW w:w="3050" w:type="dxa"/>
            <w:tcBorders>
              <w:bottom w:val="single" w:sz="2" w:space="0" w:color="CCCCCC"/>
            </w:tcBorders>
            <w:tcMar>
              <w:top w:w="0" w:type="dxa"/>
              <w:bottom w:w="40" w:type="dxa"/>
            </w:tcMar>
            <w:vAlign w:val="center"/>
          </w:tcPr>
          <w:p>
            <w:pPr>
              <w:pStyle w:val="TableContents"/>
              <w:bidi w:val="0"/>
              <w:spacing w:before="0" w:after="283"/>
              <w:jc w:val="left"/>
              <w:rPr>
                <w:color w:val="231F20"/>
              </w:rPr>
            </w:pPr>
            <w:r>
              <w:rPr>
                <w:color w:val="231F20"/>
              </w:rPr>
              <w:t>Eli Lilly and Company</w:t>
            </w:r>
          </w:p>
        </w:tc>
        <w:tc>
          <w:tcPr>
            <w:tcW w:w="61" w:type="dxa"/>
            <w:tcBorders>
              <w:bottom w:val="single" w:sz="2" w:space="0" w:color="CCCCCC"/>
            </w:tcBorders>
            <w:tcMar>
              <w:top w:w="0" w:type="dxa"/>
              <w:bottom w:w="40" w:type="dxa"/>
            </w:tcMar>
            <w:vAlign w:val="center"/>
          </w:tcPr>
          <w:p>
            <w:pPr>
              <w:pStyle w:val="TableContents"/>
              <w:bidi w:val="0"/>
              <w:spacing w:before="0" w:after="283"/>
              <w:jc w:val="left"/>
              <w:rPr/>
            </w:pPr>
            <w:r>
              <w:rPr/>
              <w:t> </w:t>
            </w:r>
          </w:p>
        </w:tc>
        <w:tc>
          <w:tcPr>
            <w:tcW w:w="3530" w:type="dxa"/>
            <w:tcBorders>
              <w:bottom w:val="single" w:sz="2" w:space="0" w:color="CCCCCC"/>
            </w:tcBorders>
            <w:tcMar>
              <w:top w:w="0" w:type="dxa"/>
              <w:bottom w:w="40" w:type="dxa"/>
            </w:tcMar>
            <w:vAlign w:val="center"/>
          </w:tcPr>
          <w:p>
            <w:pPr>
              <w:pStyle w:val="TableContents"/>
              <w:bidi w:val="0"/>
              <w:spacing w:before="0" w:after="283"/>
              <w:jc w:val="left"/>
              <w:rPr>
                <w:color w:val="231F20"/>
              </w:rPr>
            </w:pPr>
            <w:r>
              <w:rPr>
                <w:color w:val="231F20"/>
              </w:rPr>
              <w:t>Vertex Pharmaceuticals Incorporated</w:t>
            </w:r>
          </w:p>
        </w:tc>
      </w:tr>
      <w:tr>
        <w:trPr/>
        <w:tc>
          <w:tcPr>
            <w:tcW w:w="2930" w:type="dxa"/>
            <w:tcBorders>
              <w:bottom w:val="single" w:sz="12" w:space="0" w:color="3B5AA4"/>
            </w:tcBorders>
            <w:shd w:fill="EBEBEC" w:val="clear"/>
            <w:tcMar>
              <w:top w:w="0" w:type="dxa"/>
              <w:bottom w:w="40" w:type="dxa"/>
            </w:tcMar>
            <w:vAlign w:val="center"/>
          </w:tcPr>
          <w:p>
            <w:pPr>
              <w:pStyle w:val="TableContents"/>
              <w:bidi w:val="0"/>
              <w:spacing w:before="0" w:after="283"/>
              <w:jc w:val="left"/>
              <w:rPr>
                <w:color w:val="231F20"/>
              </w:rPr>
            </w:pPr>
            <w:r>
              <w:rPr>
                <w:color w:val="231F20"/>
              </w:rPr>
              <w:t>Biogen Inc.</w:t>
            </w:r>
          </w:p>
        </w:tc>
        <w:tc>
          <w:tcPr>
            <w:tcW w:w="60" w:type="dxa"/>
            <w:tcBorders>
              <w:bottom w:val="single" w:sz="12" w:space="0" w:color="3B5AA4"/>
            </w:tcBorders>
            <w:shd w:fill="EBEBEC" w:val="clear"/>
            <w:tcMar>
              <w:top w:w="0" w:type="dxa"/>
              <w:bottom w:w="40" w:type="dxa"/>
            </w:tcMar>
            <w:vAlign w:val="center"/>
          </w:tcPr>
          <w:p>
            <w:pPr>
              <w:pStyle w:val="TableContents"/>
              <w:bidi w:val="0"/>
              <w:spacing w:before="0" w:after="283"/>
              <w:jc w:val="left"/>
              <w:rPr/>
            </w:pPr>
            <w:r>
              <w:rPr/>
              <w:t> </w:t>
            </w:r>
          </w:p>
        </w:tc>
        <w:tc>
          <w:tcPr>
            <w:tcW w:w="3050" w:type="dxa"/>
            <w:tcBorders>
              <w:bottom w:val="single" w:sz="12" w:space="0" w:color="3B5AA4"/>
            </w:tcBorders>
            <w:shd w:fill="EBEBEC" w:val="clear"/>
            <w:tcMar>
              <w:top w:w="0" w:type="dxa"/>
              <w:bottom w:w="40" w:type="dxa"/>
            </w:tcMar>
            <w:vAlign w:val="center"/>
          </w:tcPr>
          <w:p>
            <w:pPr>
              <w:pStyle w:val="TableContents"/>
              <w:bidi w:val="0"/>
              <w:spacing w:before="0" w:after="283"/>
              <w:jc w:val="left"/>
              <w:rPr>
                <w:color w:val="231F20"/>
              </w:rPr>
            </w:pPr>
            <w:r>
              <w:rPr>
                <w:color w:val="231F20"/>
              </w:rPr>
              <w:t>Gilead Sciences, Inc.</w:t>
            </w:r>
          </w:p>
        </w:tc>
        <w:tc>
          <w:tcPr>
            <w:tcW w:w="61" w:type="dxa"/>
            <w:tcBorders>
              <w:bottom w:val="single" w:sz="12" w:space="0" w:color="3B5AA4"/>
            </w:tcBorders>
            <w:shd w:fill="EBEBEC" w:val="clear"/>
            <w:tcMar>
              <w:top w:w="0" w:type="dxa"/>
              <w:bottom w:w="40" w:type="dxa"/>
            </w:tcMar>
            <w:vAlign w:val="center"/>
          </w:tcPr>
          <w:p>
            <w:pPr>
              <w:pStyle w:val="TableContents"/>
              <w:bidi w:val="0"/>
              <w:spacing w:before="0" w:after="283"/>
              <w:jc w:val="left"/>
              <w:rPr/>
            </w:pPr>
            <w:r>
              <w:rPr/>
              <w:t> </w:t>
            </w:r>
          </w:p>
        </w:tc>
        <w:tc>
          <w:tcPr>
            <w:tcW w:w="3530" w:type="dxa"/>
            <w:tcBorders>
              <w:bottom w:val="single" w:sz="12" w:space="0" w:color="3B5AA4"/>
            </w:tcBorders>
            <w:shd w:fill="EBEBEC" w:val="clear"/>
            <w:tcMar>
              <w:top w:w="0" w:type="dxa"/>
              <w:bottom w:w="4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23"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304" descr=""/>
                          <pic:cNvPicPr>
                            <a:picLocks noChangeAspect="1" noChangeArrowheads="1"/>
                          </pic:cNvPicPr>
                        </pic:nvPicPr>
                        <pic:blipFill>
                          <a:blip r:embed="rId316"/>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Compensation Committee most recently reviewed the Peer Group in June 2024. Based on the recommendation of Pay Governance LLC, the Committee removed Seagen Inc. (whose acquisition by Pfizer Inc. was completed in late 2023) from the Peer Group but otherwise did not make any changes in 2024. The Committee’s assessment included consideration of Regeneron’s percentile rank in the Peer Group for market capitalization, revenues for the last four completed quarters, and the then-available reported number of employees, as shown in the table below. In the Committee’s view, the Peer Group remains relevant and appropriate in providing the Committee and management with the market context for executive compensation decision-making.</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3472"/>
        <w:gridCol w:w="60"/>
        <w:gridCol w:w="219"/>
        <w:gridCol w:w="1261"/>
        <w:gridCol w:w="62"/>
        <w:gridCol w:w="219"/>
        <w:gridCol w:w="1261"/>
        <w:gridCol w:w="60"/>
        <w:gridCol w:w="233"/>
        <w:gridCol w:w="1136"/>
        <w:gridCol w:w="60"/>
        <w:gridCol w:w="2162"/>
      </w:tblGrid>
      <w:tr>
        <w:trPr/>
        <w:tc>
          <w:tcPr>
            <w:tcW w:w="34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3022" w:type="dxa"/>
            <w:gridSpan w:val="5"/>
            <w:tcBorders>
              <w:bottom w:val="single" w:sz="12" w:space="0" w:color="3B5AA4"/>
            </w:tcBorders>
            <w:tcMar>
              <w:bottom w:w="28" w:type="dxa"/>
            </w:tcMar>
            <w:vAlign w:val="center"/>
          </w:tcPr>
          <w:p>
            <w:pPr>
              <w:pStyle w:val="TableContents"/>
              <w:bidi w:val="0"/>
              <w:spacing w:before="0" w:after="283"/>
              <w:jc w:val="center"/>
              <w:rPr/>
            </w:pPr>
            <w:r>
              <w:rPr>
                <w:color w:val="2864AF"/>
              </w:rPr>
              <w:t>Market Capitalization</w:t>
            </w:r>
            <w:r>
              <w:rPr/>
              <w:br/>
            </w:r>
            <w:r>
              <w:rPr>
                <w:color w:val="2864AF"/>
              </w:rPr>
              <w:t>($ Millions)</w:t>
            </w:r>
          </w:p>
        </w:tc>
        <w:tc>
          <w:tcPr>
            <w:tcW w:w="60" w:type="dxa"/>
            <w:tcBorders/>
            <w:vAlign w:val="center"/>
          </w:tcPr>
          <w:p>
            <w:pPr>
              <w:pStyle w:val="TableContents"/>
              <w:bidi w:val="0"/>
              <w:spacing w:before="0" w:after="283"/>
              <w:jc w:val="right"/>
              <w:rPr/>
            </w:pPr>
            <w:r>
              <w:rPr/>
              <w:t> </w:t>
            </w:r>
          </w:p>
        </w:tc>
        <w:tc>
          <w:tcPr>
            <w:tcW w:w="1369" w:type="dxa"/>
            <w:gridSpan w:val="2"/>
            <w:vMerge w:val="restart"/>
            <w:tcBorders>
              <w:bottom w:val="single" w:sz="12" w:space="0" w:color="3B5AA4"/>
            </w:tcBorders>
            <w:tcMar>
              <w:bottom w:w="28" w:type="dxa"/>
            </w:tcMar>
            <w:vAlign w:val="center"/>
          </w:tcPr>
          <w:p>
            <w:pPr>
              <w:pStyle w:val="TableContents"/>
              <w:bidi w:val="0"/>
              <w:spacing w:before="0" w:after="283"/>
              <w:jc w:val="right"/>
              <w:rPr/>
            </w:pPr>
            <w:r>
              <w:rPr>
                <w:color w:val="2864AF"/>
              </w:rPr>
              <w:t>Revenues Last</w:t>
            </w:r>
            <w:r>
              <w:rPr/>
              <w:br/>
            </w:r>
            <w:r>
              <w:rPr>
                <w:color w:val="2864AF"/>
              </w:rPr>
              <w:t>Four Quarters</w:t>
            </w:r>
            <w:r>
              <w:rPr>
                <w:color w:val="2864AF"/>
                <w:position w:val="8"/>
                <w:sz w:val="19"/>
              </w:rPr>
              <w:t>1</w:t>
            </w:r>
            <w:r>
              <w:rPr/>
              <w:br/>
            </w:r>
            <w:r>
              <w:rPr>
                <w:color w:val="2864AF"/>
              </w:rPr>
              <w:t>($ Millions)</w:t>
            </w:r>
          </w:p>
        </w:tc>
        <w:tc>
          <w:tcPr>
            <w:tcW w:w="60" w:type="dxa"/>
            <w:tcBorders/>
            <w:vAlign w:val="center"/>
          </w:tcPr>
          <w:p>
            <w:pPr>
              <w:pStyle w:val="TableContents"/>
              <w:bidi w:val="0"/>
              <w:spacing w:before="0" w:after="283"/>
              <w:jc w:val="right"/>
              <w:rPr/>
            </w:pPr>
            <w:r>
              <w:rPr/>
              <w:t> </w:t>
            </w:r>
          </w:p>
        </w:tc>
        <w:tc>
          <w:tcPr>
            <w:tcW w:w="2162" w:type="dxa"/>
            <w:tcBorders/>
            <w:vAlign w:val="center"/>
          </w:tcPr>
          <w:p>
            <w:pPr>
              <w:pStyle w:val="TableContents"/>
              <w:bidi w:val="0"/>
              <w:spacing w:before="0" w:after="283"/>
              <w:jc w:val="right"/>
              <w:rPr/>
            </w:pPr>
            <w:r>
              <w:rPr/>
              <w:t> </w:t>
            </w:r>
          </w:p>
        </w:tc>
      </w:tr>
      <w:tr>
        <w:trPr/>
        <w:tc>
          <w:tcPr>
            <w:tcW w:w="3472" w:type="dxa"/>
            <w:tcBorders>
              <w:bottom w:val="single" w:sz="12" w:space="0" w:color="3B5AA4"/>
            </w:tcBorders>
            <w:tcMar>
              <w:bottom w:w="28" w:type="dxa"/>
            </w:tcMar>
            <w:vAlign w:val="center"/>
          </w:tcPr>
          <w:p>
            <w:pPr>
              <w:pStyle w:val="TableContents"/>
              <w:bidi w:val="0"/>
              <w:spacing w:before="0" w:after="283"/>
              <w:jc w:val="left"/>
              <w:rPr>
                <w:color w:val="2864AF"/>
              </w:rPr>
            </w:pPr>
            <w:r>
              <w:rPr>
                <w:color w:val="2864AF"/>
              </w:rPr>
              <w:t>Company</w:t>
            </w:r>
          </w:p>
        </w:tc>
        <w:tc>
          <w:tcPr>
            <w:tcW w:w="60" w:type="dxa"/>
            <w:tcBorders>
              <w:bottom w:val="single" w:sz="12" w:space="0" w:color="3B5AA4"/>
            </w:tcBorders>
            <w:tcMar>
              <w:bottom w:w="28" w:type="dxa"/>
            </w:tcMar>
            <w:vAlign w:val="center"/>
          </w:tcPr>
          <w:p>
            <w:pPr>
              <w:pStyle w:val="TableContents"/>
              <w:bidi w:val="0"/>
              <w:spacing w:before="0" w:after="283"/>
              <w:jc w:val="center"/>
              <w:rPr/>
            </w:pPr>
            <w:r>
              <w:rPr/>
              <w:t> </w:t>
            </w:r>
          </w:p>
        </w:tc>
        <w:tc>
          <w:tcPr>
            <w:tcW w:w="1480" w:type="dxa"/>
            <w:gridSpan w:val="2"/>
            <w:tcBorders>
              <w:bottom w:val="single" w:sz="12" w:space="0" w:color="3B5AA4"/>
            </w:tcBorders>
            <w:tcMar>
              <w:bottom w:w="28" w:type="dxa"/>
            </w:tcMar>
            <w:vAlign w:val="center"/>
          </w:tcPr>
          <w:p>
            <w:pPr>
              <w:pStyle w:val="TableContents"/>
              <w:bidi w:val="0"/>
              <w:spacing w:before="0" w:after="283"/>
              <w:jc w:val="right"/>
              <w:rPr/>
            </w:pPr>
            <w:r>
              <w:rPr>
                <w:color w:val="2864AF"/>
              </w:rPr>
              <w:t>90-Day Average</w:t>
            </w:r>
            <w:r>
              <w:rPr/>
              <w:br/>
            </w:r>
            <w:r>
              <w:rPr>
                <w:color w:val="2864AF"/>
              </w:rPr>
              <w:t>(as of 5/21/24)</w:t>
            </w:r>
          </w:p>
        </w:tc>
        <w:tc>
          <w:tcPr>
            <w:tcW w:w="62" w:type="dxa"/>
            <w:tcBorders>
              <w:bottom w:val="single" w:sz="12" w:space="0" w:color="3B5AA4"/>
            </w:tcBorders>
            <w:tcMar>
              <w:bottom w:w="28" w:type="dxa"/>
            </w:tcMar>
            <w:vAlign w:val="center"/>
          </w:tcPr>
          <w:p>
            <w:pPr>
              <w:pStyle w:val="TableContents"/>
              <w:bidi w:val="0"/>
              <w:spacing w:before="0" w:after="283"/>
              <w:jc w:val="right"/>
              <w:rPr/>
            </w:pPr>
            <w:r>
              <w:rPr/>
              <w:t> </w:t>
            </w:r>
          </w:p>
        </w:tc>
        <w:tc>
          <w:tcPr>
            <w:tcW w:w="1480" w:type="dxa"/>
            <w:gridSpan w:val="2"/>
            <w:tcBorders>
              <w:bottom w:val="single" w:sz="12" w:space="0" w:color="3B5AA4"/>
            </w:tcBorders>
            <w:tcMar>
              <w:bottom w:w="28" w:type="dxa"/>
            </w:tcMar>
            <w:vAlign w:val="center"/>
          </w:tcPr>
          <w:p>
            <w:pPr>
              <w:pStyle w:val="TableContents"/>
              <w:bidi w:val="0"/>
              <w:spacing w:before="0" w:after="283"/>
              <w:jc w:val="right"/>
              <w:rPr/>
            </w:pPr>
            <w:r>
              <w:rPr>
                <w:color w:val="2864AF"/>
              </w:rPr>
              <w:t>30-Day Average</w:t>
            </w:r>
            <w:r>
              <w:rPr/>
              <w:br/>
            </w:r>
            <w:r>
              <w:rPr>
                <w:color w:val="2864AF"/>
              </w:rPr>
              <w:t>(as of 5/21/24)</w:t>
            </w:r>
          </w:p>
        </w:tc>
        <w:tc>
          <w:tcPr>
            <w:tcW w:w="60" w:type="dxa"/>
            <w:tcBorders>
              <w:bottom w:val="single" w:sz="12" w:space="0" w:color="3B5AA4"/>
            </w:tcBorders>
            <w:tcMar>
              <w:bottom w:w="28" w:type="dxa"/>
            </w:tcMar>
            <w:vAlign w:val="center"/>
          </w:tcPr>
          <w:p>
            <w:pPr>
              <w:pStyle w:val="TableContents"/>
              <w:bidi w:val="0"/>
              <w:spacing w:before="0" w:after="283"/>
              <w:jc w:val="right"/>
              <w:rPr/>
            </w:pPr>
            <w:r>
              <w:rPr/>
              <w:t> </w:t>
            </w:r>
          </w:p>
        </w:tc>
        <w:tc>
          <w:tcPr>
            <w:tcW w:w="1369" w:type="dxa"/>
            <w:gridSpan w:val="2"/>
            <w:vMerge w:val="continue"/>
            <w:tcBorders>
              <w:bottom w:val="single" w:sz="12" w:space="0" w:color="3B5AA4"/>
            </w:tcBorders>
            <w:tcMar>
              <w:bottom w:w="28" w:type="dxa"/>
            </w:tcMar>
            <w:vAlign w:val="center"/>
          </w:tcPr>
          <w:p>
            <w:pPr>
              <w:pStyle w:val="Normal"/>
              <w:bidi w:val="0"/>
              <w:jc w:val="left"/>
              <w:rPr/>
            </w:pPr>
            <w:r>
              <w:rPr/>
            </w:r>
          </w:p>
        </w:tc>
        <w:tc>
          <w:tcPr>
            <w:tcW w:w="60" w:type="dxa"/>
            <w:tcBorders>
              <w:bottom w:val="single" w:sz="12" w:space="0" w:color="3B5AA4"/>
            </w:tcBorders>
            <w:tcMar>
              <w:bottom w:w="28" w:type="dxa"/>
            </w:tcMar>
            <w:vAlign w:val="center"/>
          </w:tcPr>
          <w:p>
            <w:pPr>
              <w:pStyle w:val="TableContents"/>
              <w:bidi w:val="0"/>
              <w:spacing w:before="0" w:after="283"/>
              <w:jc w:val="right"/>
              <w:rPr/>
            </w:pPr>
            <w:r>
              <w:rPr/>
              <w:t> </w:t>
            </w:r>
          </w:p>
        </w:tc>
        <w:tc>
          <w:tcPr>
            <w:tcW w:w="2162" w:type="dxa"/>
            <w:tcBorders>
              <w:bottom w:val="single" w:sz="12" w:space="0" w:color="3B5AA4"/>
            </w:tcBorders>
            <w:tcMar>
              <w:bottom w:w="28" w:type="dxa"/>
            </w:tcMar>
            <w:vAlign w:val="center"/>
          </w:tcPr>
          <w:p>
            <w:pPr>
              <w:pStyle w:val="TableContents"/>
              <w:bidi w:val="0"/>
              <w:spacing w:before="0" w:after="283"/>
              <w:jc w:val="right"/>
              <w:rPr/>
            </w:pPr>
            <w:r>
              <w:rPr>
                <w:color w:val="2864AF"/>
              </w:rPr>
              <w:t>Employees</w:t>
            </w:r>
            <w:r>
              <w:rPr/>
              <w:br/>
            </w:r>
            <w:r>
              <w:rPr>
                <w:color w:val="2864AF"/>
              </w:rPr>
              <w:t>(as of last SEC filing)</w:t>
            </w:r>
            <w:r>
              <w:rPr>
                <w:color w:val="2864AF"/>
                <w:position w:val="8"/>
                <w:sz w:val="19"/>
              </w:rPr>
              <w:t>1</w:t>
            </w:r>
          </w:p>
        </w:tc>
      </w:tr>
      <w:tr>
        <w:trPr/>
        <w:tc>
          <w:tcPr>
            <w:tcW w:w="3472" w:type="dxa"/>
            <w:tcBorders>
              <w:bottom w:val="single" w:sz="2" w:space="0" w:color="CCCCCC"/>
            </w:tcBorders>
            <w:tcMar>
              <w:bottom w:w="28" w:type="dxa"/>
            </w:tcMar>
            <w:vAlign w:val="center"/>
          </w:tcPr>
          <w:p>
            <w:pPr>
              <w:pStyle w:val="TableContents"/>
              <w:bidi w:val="0"/>
              <w:spacing w:before="0" w:after="283"/>
              <w:jc w:val="left"/>
              <w:rPr>
                <w:b/>
                <w:color w:val="231F20"/>
              </w:rPr>
            </w:pPr>
            <w:r>
              <w:rPr>
                <w:b/>
                <w:color w:val="231F20"/>
              </w:rPr>
              <w:t>Eli Lilly and Company</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666,834</w:t>
            </w:r>
          </w:p>
        </w:tc>
        <w:tc>
          <w:tcPr>
            <w:tcW w:w="62"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682,454</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35,932</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43,000</w:t>
            </w:r>
          </w:p>
        </w:tc>
      </w:tr>
      <w:tr>
        <w:trPr/>
        <w:tc>
          <w:tcPr>
            <w:tcW w:w="3472" w:type="dxa"/>
            <w:tcBorders>
              <w:bottom w:val="single" w:sz="2" w:space="0" w:color="CCCCCC"/>
            </w:tcBorders>
            <w:shd w:fill="EBEBEC" w:val="clear"/>
            <w:tcMar>
              <w:bottom w:w="28" w:type="dxa"/>
            </w:tcMar>
            <w:vAlign w:val="center"/>
          </w:tcPr>
          <w:p>
            <w:pPr>
              <w:pStyle w:val="TableContents"/>
              <w:bidi w:val="0"/>
              <w:spacing w:before="0" w:after="283"/>
              <w:jc w:val="left"/>
              <w:rPr>
                <w:b/>
                <w:color w:val="231F20"/>
              </w:rPr>
            </w:pPr>
            <w:r>
              <w:rPr>
                <w:b/>
                <w:color w:val="231F20"/>
              </w:rPr>
              <w:t>Merck &amp; Co., Inc.</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319,325</w:t>
            </w:r>
          </w:p>
        </w:tc>
        <w:tc>
          <w:tcPr>
            <w:tcW w:w="62"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325,268</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61,403</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71,000</w:t>
            </w:r>
          </w:p>
        </w:tc>
      </w:tr>
      <w:tr>
        <w:trPr/>
        <w:tc>
          <w:tcPr>
            <w:tcW w:w="3472" w:type="dxa"/>
            <w:tcBorders>
              <w:bottom w:val="single" w:sz="2" w:space="0" w:color="CCCCCC"/>
            </w:tcBorders>
            <w:tcMar>
              <w:bottom w:w="28" w:type="dxa"/>
            </w:tcMar>
            <w:vAlign w:val="center"/>
          </w:tcPr>
          <w:p>
            <w:pPr>
              <w:pStyle w:val="TableContents"/>
              <w:bidi w:val="0"/>
              <w:spacing w:before="0" w:after="283"/>
              <w:jc w:val="left"/>
              <w:rPr>
                <w:b/>
                <w:color w:val="231F20"/>
              </w:rPr>
            </w:pPr>
            <w:r>
              <w:rPr>
                <w:b/>
                <w:color w:val="231F20"/>
              </w:rPr>
              <w:t>AbbVie Inc.</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301,571</w:t>
            </w:r>
          </w:p>
        </w:tc>
        <w:tc>
          <w:tcPr>
            <w:tcW w:w="62"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289,998</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54,403</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50,000</w:t>
            </w:r>
          </w:p>
        </w:tc>
      </w:tr>
      <w:tr>
        <w:trPr/>
        <w:tc>
          <w:tcPr>
            <w:tcW w:w="3472" w:type="dxa"/>
            <w:tcBorders>
              <w:bottom w:val="single" w:sz="2" w:space="0" w:color="CCCCCC"/>
            </w:tcBorders>
            <w:shd w:fill="EBEBEC" w:val="clear"/>
            <w:tcMar>
              <w:bottom w:w="28" w:type="dxa"/>
            </w:tcMar>
            <w:vAlign w:val="center"/>
          </w:tcPr>
          <w:p>
            <w:pPr>
              <w:pStyle w:val="TableContents"/>
              <w:bidi w:val="0"/>
              <w:spacing w:before="0" w:after="283"/>
              <w:jc w:val="left"/>
              <w:rPr>
                <w:b/>
                <w:color w:val="231F20"/>
              </w:rPr>
            </w:pPr>
            <w:r>
              <w:rPr>
                <w:b/>
                <w:color w:val="231F20"/>
              </w:rPr>
              <w:t>Amgen Inc.</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154,471</w:t>
            </w:r>
          </w:p>
        </w:tc>
        <w:tc>
          <w:tcPr>
            <w:tcW w:w="62"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154,006</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29,532</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26,700</w:t>
            </w:r>
          </w:p>
        </w:tc>
      </w:tr>
      <w:tr>
        <w:trPr/>
        <w:tc>
          <w:tcPr>
            <w:tcW w:w="3472" w:type="dxa"/>
            <w:tcBorders>
              <w:bottom w:val="single" w:sz="2" w:space="0" w:color="CCCCCC"/>
            </w:tcBorders>
            <w:tcMar>
              <w:bottom w:w="28" w:type="dxa"/>
            </w:tcMar>
            <w:vAlign w:val="center"/>
          </w:tcPr>
          <w:p>
            <w:pPr>
              <w:pStyle w:val="TableContents"/>
              <w:bidi w:val="0"/>
              <w:spacing w:before="0" w:after="283"/>
              <w:jc w:val="left"/>
              <w:rPr>
                <w:b/>
                <w:color w:val="231F20"/>
              </w:rPr>
            </w:pPr>
            <w:r>
              <w:rPr>
                <w:b/>
                <w:color w:val="231F20"/>
              </w:rPr>
              <w:t>Vertex Pharmaceuticals Incorporated</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107,806</w:t>
            </w:r>
          </w:p>
        </w:tc>
        <w:tc>
          <w:tcPr>
            <w:tcW w:w="62"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105,885</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10,185</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5,400</w:t>
            </w:r>
          </w:p>
        </w:tc>
      </w:tr>
      <w:tr>
        <w:trPr/>
        <w:tc>
          <w:tcPr>
            <w:tcW w:w="3472" w:type="dxa"/>
            <w:tcBorders>
              <w:bottom w:val="single" w:sz="2" w:space="0" w:color="CCCCCC"/>
            </w:tcBorders>
            <w:shd w:fill="EBEBEC" w:val="clear"/>
            <w:tcMar>
              <w:bottom w:w="28" w:type="dxa"/>
            </w:tcMar>
            <w:vAlign w:val="center"/>
          </w:tcPr>
          <w:p>
            <w:pPr>
              <w:pStyle w:val="TableContents"/>
              <w:bidi w:val="0"/>
              <w:spacing w:before="0" w:after="283"/>
              <w:jc w:val="left"/>
              <w:rPr>
                <w:b/>
                <w:color w:val="231F20"/>
              </w:rPr>
            </w:pPr>
            <w:r>
              <w:rPr>
                <w:b/>
                <w:color w:val="231F20"/>
              </w:rPr>
              <w:t>Bristol-Myers Squibb Company</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99,846</w:t>
            </w:r>
          </w:p>
        </w:tc>
        <w:tc>
          <w:tcPr>
            <w:tcW w:w="62"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93,340</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45,534</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34,100</w:t>
            </w:r>
          </w:p>
        </w:tc>
      </w:tr>
      <w:tr>
        <w:trPr/>
        <w:tc>
          <w:tcPr>
            <w:tcW w:w="3472" w:type="dxa"/>
            <w:tcBorders>
              <w:bottom w:val="single" w:sz="2" w:space="0" w:color="CCCCCC"/>
            </w:tcBorders>
            <w:tcMar>
              <w:bottom w:w="28" w:type="dxa"/>
            </w:tcMar>
            <w:vAlign w:val="center"/>
          </w:tcPr>
          <w:p>
            <w:pPr>
              <w:pStyle w:val="TableContents"/>
              <w:bidi w:val="0"/>
              <w:spacing w:before="0" w:after="283"/>
              <w:jc w:val="left"/>
              <w:rPr>
                <w:b/>
                <w:color w:val="231F20"/>
              </w:rPr>
            </w:pPr>
            <w:r>
              <w:rPr>
                <w:b/>
                <w:color w:val="231F20"/>
              </w:rPr>
              <w:t>Gilead Sciences, Inc.</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89,882</w:t>
            </w:r>
          </w:p>
        </w:tc>
        <w:tc>
          <w:tcPr>
            <w:tcW w:w="62"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83,061</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27,450</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18,000</w:t>
            </w:r>
          </w:p>
        </w:tc>
      </w:tr>
      <w:tr>
        <w:trPr/>
        <w:tc>
          <w:tcPr>
            <w:tcW w:w="3472" w:type="dxa"/>
            <w:tcBorders>
              <w:bottom w:val="single" w:sz="2" w:space="0" w:color="CCCCCC"/>
            </w:tcBorders>
            <w:shd w:fill="EBEBEC" w:val="clear"/>
            <w:tcMar>
              <w:bottom w:w="28" w:type="dxa"/>
            </w:tcMar>
            <w:vAlign w:val="center"/>
          </w:tcPr>
          <w:p>
            <w:pPr>
              <w:pStyle w:val="TableContents"/>
              <w:bidi w:val="0"/>
              <w:spacing w:before="0" w:after="283"/>
              <w:jc w:val="left"/>
              <w:rPr>
                <w:b/>
                <w:color w:val="231F20"/>
              </w:rPr>
            </w:pPr>
            <w:r>
              <w:rPr>
                <w:b/>
                <w:color w:val="231F20"/>
              </w:rPr>
              <w:t>Biogen Inc.</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32,300</w:t>
            </w:r>
          </w:p>
        </w:tc>
        <w:tc>
          <w:tcPr>
            <w:tcW w:w="62"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30,835</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9,663</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7,570</w:t>
            </w:r>
          </w:p>
        </w:tc>
      </w:tr>
      <w:tr>
        <w:trPr/>
        <w:tc>
          <w:tcPr>
            <w:tcW w:w="3472" w:type="dxa"/>
            <w:tcBorders>
              <w:bottom w:val="single" w:sz="2" w:space="0" w:color="CCCCCC"/>
            </w:tcBorders>
            <w:tcMar>
              <w:bottom w:w="28" w:type="dxa"/>
            </w:tcMar>
            <w:vAlign w:val="center"/>
          </w:tcPr>
          <w:p>
            <w:pPr>
              <w:pStyle w:val="TableContents"/>
              <w:bidi w:val="0"/>
              <w:spacing w:before="0" w:after="283"/>
              <w:jc w:val="left"/>
              <w:rPr>
                <w:b/>
                <w:color w:val="231F20"/>
              </w:rPr>
            </w:pPr>
            <w:r>
              <w:rPr>
                <w:b/>
                <w:color w:val="231F20"/>
              </w:rPr>
              <w:t>Alnylam Pharmaceuticals, Inc.</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19,760</w:t>
            </w:r>
          </w:p>
        </w:tc>
        <w:tc>
          <w:tcPr>
            <w:tcW w:w="62"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18,808</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2,003</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2,100</w:t>
            </w:r>
          </w:p>
        </w:tc>
      </w:tr>
      <w:tr>
        <w:trPr/>
        <w:tc>
          <w:tcPr>
            <w:tcW w:w="3472" w:type="dxa"/>
            <w:tcBorders>
              <w:bottom w:val="single" w:sz="2" w:space="0" w:color="CCCCCC"/>
            </w:tcBorders>
            <w:shd w:fill="EBEBEC" w:val="clear"/>
            <w:tcMar>
              <w:bottom w:w="28" w:type="dxa"/>
            </w:tcMar>
            <w:vAlign w:val="center"/>
          </w:tcPr>
          <w:p>
            <w:pPr>
              <w:pStyle w:val="TableContents"/>
              <w:bidi w:val="0"/>
              <w:spacing w:before="0" w:after="283"/>
              <w:jc w:val="left"/>
              <w:rPr>
                <w:b/>
                <w:color w:val="231F20"/>
              </w:rPr>
            </w:pPr>
            <w:r>
              <w:rPr>
                <w:b/>
                <w:color w:val="231F20"/>
              </w:rPr>
              <w:t>BioMarin Pharmaceuticals, Inc.</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16,423</w:t>
            </w:r>
          </w:p>
        </w:tc>
        <w:tc>
          <w:tcPr>
            <w:tcW w:w="62"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16,053</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2,472</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3,401</w:t>
            </w:r>
          </w:p>
        </w:tc>
      </w:tr>
      <w:tr>
        <w:trPr/>
        <w:tc>
          <w:tcPr>
            <w:tcW w:w="3472" w:type="dxa"/>
            <w:tcBorders>
              <w:bottom w:val="single" w:sz="2" w:space="0" w:color="CCCCCC"/>
            </w:tcBorders>
            <w:tcMar>
              <w:bottom w:w="28" w:type="dxa"/>
            </w:tcMar>
            <w:vAlign w:val="center"/>
          </w:tcPr>
          <w:p>
            <w:pPr>
              <w:pStyle w:val="TableContents"/>
              <w:bidi w:val="0"/>
              <w:spacing w:before="0" w:after="283"/>
              <w:jc w:val="left"/>
              <w:rPr>
                <w:b/>
                <w:color w:val="231F20"/>
              </w:rPr>
            </w:pPr>
            <w:r>
              <w:rPr>
                <w:b/>
                <w:color w:val="231F20"/>
              </w:rPr>
              <w:t>Incyte Corporation</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12,828</w:t>
            </w:r>
          </w:p>
        </w:tc>
        <w:tc>
          <w:tcPr>
            <w:tcW w:w="62" w:type="dxa"/>
            <w:tcBorders>
              <w:bottom w:val="single" w:sz="2" w:space="0" w:color="CCCCCC"/>
            </w:tcBorders>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12,136</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3,768</w:t>
            </w:r>
          </w:p>
        </w:tc>
        <w:tc>
          <w:tcPr>
            <w:tcW w:w="60" w:type="dxa"/>
            <w:tcBorders>
              <w:bottom w:val="single" w:sz="2" w:space="0" w:color="CCCCCC"/>
            </w:tcBorders>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tcMar>
              <w:bottom w:w="28" w:type="dxa"/>
            </w:tcMar>
            <w:vAlign w:val="center"/>
          </w:tcPr>
          <w:p>
            <w:pPr>
              <w:pStyle w:val="TableContents"/>
              <w:bidi w:val="0"/>
              <w:spacing w:before="0" w:after="283"/>
              <w:jc w:val="right"/>
              <w:rPr>
                <w:color w:val="231F20"/>
              </w:rPr>
            </w:pPr>
            <w:r>
              <w:rPr>
                <w:color w:val="231F20"/>
              </w:rPr>
              <w:t>2,524</w:t>
            </w:r>
          </w:p>
        </w:tc>
      </w:tr>
      <w:tr>
        <w:trPr/>
        <w:tc>
          <w:tcPr>
            <w:tcW w:w="34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right"/>
              <w:rPr/>
            </w:pPr>
            <w:r>
              <w:rPr/>
              <w:t> </w:t>
            </w:r>
          </w:p>
        </w:tc>
        <w:tc>
          <w:tcPr>
            <w:tcW w:w="219"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jc w:val="right"/>
              <w:rPr/>
            </w:pPr>
            <w:r>
              <w:rPr/>
              <w:t> </w:t>
            </w:r>
          </w:p>
        </w:tc>
        <w:tc>
          <w:tcPr>
            <w:tcW w:w="113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2162" w:type="dxa"/>
            <w:tcBorders/>
            <w:vAlign w:val="center"/>
          </w:tcPr>
          <w:p>
            <w:pPr>
              <w:pStyle w:val="TableContents"/>
              <w:bidi w:val="0"/>
              <w:spacing w:before="0" w:after="283"/>
              <w:jc w:val="right"/>
              <w:rPr/>
            </w:pPr>
            <w:r>
              <w:rPr/>
              <w:t> </w:t>
            </w:r>
          </w:p>
        </w:tc>
      </w:tr>
      <w:tr>
        <w:trPr/>
        <w:tc>
          <w:tcPr>
            <w:tcW w:w="3472" w:type="dxa"/>
            <w:tcBorders>
              <w:bottom w:val="single" w:sz="12" w:space="0" w:color="3B5AA4"/>
            </w:tcBorders>
            <w:tcMar>
              <w:bottom w:w="28" w:type="dxa"/>
            </w:tcMar>
            <w:vAlign w:val="center"/>
          </w:tcPr>
          <w:p>
            <w:pPr>
              <w:pStyle w:val="TableContents"/>
              <w:bidi w:val="0"/>
              <w:spacing w:before="0" w:after="283"/>
              <w:jc w:val="left"/>
              <w:rPr>
                <w:b/>
                <w:color w:val="231F20"/>
              </w:rPr>
            </w:pPr>
            <w:r>
              <w:rPr>
                <w:b/>
                <w:color w:val="231F20"/>
              </w:rPr>
              <w:t>Summary Statistics:</w:t>
            </w:r>
          </w:p>
        </w:tc>
        <w:tc>
          <w:tcPr>
            <w:tcW w:w="60" w:type="dxa"/>
            <w:tcBorders>
              <w:bottom w:val="single" w:sz="12" w:space="0" w:color="3B5AA4"/>
            </w:tcBorders>
            <w:tcMar>
              <w:bottom w:w="28" w:type="dxa"/>
            </w:tcMar>
            <w:vAlign w:val="center"/>
          </w:tcPr>
          <w:p>
            <w:pPr>
              <w:pStyle w:val="TableContents"/>
              <w:bidi w:val="0"/>
              <w:spacing w:before="0" w:after="283"/>
              <w:jc w:val="right"/>
              <w:rPr/>
            </w:pPr>
            <w:r>
              <w:rPr/>
              <w:t> </w:t>
            </w:r>
          </w:p>
        </w:tc>
        <w:tc>
          <w:tcPr>
            <w:tcW w:w="219" w:type="dxa"/>
            <w:tcBorders>
              <w:bottom w:val="single" w:sz="12" w:space="0" w:color="3B5AA4"/>
            </w:tcBorders>
            <w:tcMar>
              <w:bottom w:w="28" w:type="dxa"/>
            </w:tcMar>
            <w:vAlign w:val="center"/>
          </w:tcPr>
          <w:p>
            <w:pPr>
              <w:pStyle w:val="TableContents"/>
              <w:bidi w:val="0"/>
              <w:spacing w:before="0" w:after="283"/>
              <w:jc w:val="right"/>
              <w:rPr/>
            </w:pPr>
            <w:r>
              <w:rPr/>
              <w:t> </w:t>
            </w:r>
          </w:p>
        </w:tc>
        <w:tc>
          <w:tcPr>
            <w:tcW w:w="1261" w:type="dxa"/>
            <w:tcBorders>
              <w:bottom w:val="single" w:sz="12" w:space="0" w:color="3B5AA4"/>
            </w:tcBorders>
            <w:tcMar>
              <w:bottom w:w="28" w:type="dxa"/>
            </w:tcMar>
            <w:vAlign w:val="center"/>
          </w:tcPr>
          <w:p>
            <w:pPr>
              <w:pStyle w:val="TableContents"/>
              <w:bidi w:val="0"/>
              <w:spacing w:before="0" w:after="283"/>
              <w:jc w:val="left"/>
              <w:rPr/>
            </w:pPr>
            <w:r>
              <w:rPr/>
              <w:t> </w:t>
            </w:r>
          </w:p>
        </w:tc>
        <w:tc>
          <w:tcPr>
            <w:tcW w:w="62" w:type="dxa"/>
            <w:tcBorders>
              <w:bottom w:val="single" w:sz="12" w:space="0" w:color="3B5AA4"/>
            </w:tcBorders>
            <w:tcMar>
              <w:bottom w:w="28" w:type="dxa"/>
            </w:tcMar>
            <w:vAlign w:val="center"/>
          </w:tcPr>
          <w:p>
            <w:pPr>
              <w:pStyle w:val="TableContents"/>
              <w:bidi w:val="0"/>
              <w:spacing w:before="0" w:after="283"/>
              <w:jc w:val="right"/>
              <w:rPr/>
            </w:pPr>
            <w:r>
              <w:rPr/>
              <w:t> </w:t>
            </w:r>
          </w:p>
        </w:tc>
        <w:tc>
          <w:tcPr>
            <w:tcW w:w="219" w:type="dxa"/>
            <w:tcBorders>
              <w:bottom w:val="single" w:sz="12" w:space="0" w:color="3B5AA4"/>
            </w:tcBorders>
            <w:tcMar>
              <w:bottom w:w="28" w:type="dxa"/>
            </w:tcMar>
            <w:vAlign w:val="center"/>
          </w:tcPr>
          <w:p>
            <w:pPr>
              <w:pStyle w:val="TableContents"/>
              <w:bidi w:val="0"/>
              <w:spacing w:before="0" w:after="283"/>
              <w:jc w:val="right"/>
              <w:rPr/>
            </w:pPr>
            <w:r>
              <w:rPr/>
              <w:t> </w:t>
            </w:r>
          </w:p>
        </w:tc>
        <w:tc>
          <w:tcPr>
            <w:tcW w:w="1261" w:type="dxa"/>
            <w:tcBorders>
              <w:bottom w:val="single" w:sz="12" w:space="0" w:color="3B5AA4"/>
            </w:tcBorders>
            <w:tcMar>
              <w:bottom w:w="28" w:type="dxa"/>
            </w:tcMar>
            <w:vAlign w:val="center"/>
          </w:tcPr>
          <w:p>
            <w:pPr>
              <w:pStyle w:val="TableContents"/>
              <w:bidi w:val="0"/>
              <w:spacing w:before="0" w:after="283"/>
              <w:jc w:val="left"/>
              <w:rPr/>
            </w:pPr>
            <w:r>
              <w:rPr/>
              <w:t> </w:t>
            </w:r>
          </w:p>
        </w:tc>
        <w:tc>
          <w:tcPr>
            <w:tcW w:w="60" w:type="dxa"/>
            <w:tcBorders>
              <w:bottom w:val="single" w:sz="12" w:space="0" w:color="3B5AA4"/>
            </w:tcBorders>
            <w:tcMar>
              <w:bottom w:w="28" w:type="dxa"/>
            </w:tcMar>
            <w:vAlign w:val="center"/>
          </w:tcPr>
          <w:p>
            <w:pPr>
              <w:pStyle w:val="TableContents"/>
              <w:bidi w:val="0"/>
              <w:spacing w:before="0" w:after="283"/>
              <w:jc w:val="right"/>
              <w:rPr/>
            </w:pPr>
            <w:r>
              <w:rPr/>
              <w:t> </w:t>
            </w:r>
          </w:p>
        </w:tc>
        <w:tc>
          <w:tcPr>
            <w:tcW w:w="233" w:type="dxa"/>
            <w:tcBorders>
              <w:bottom w:val="single" w:sz="12" w:space="0" w:color="3B5AA4"/>
            </w:tcBorders>
            <w:tcMar>
              <w:bottom w:w="28" w:type="dxa"/>
            </w:tcMar>
            <w:vAlign w:val="center"/>
          </w:tcPr>
          <w:p>
            <w:pPr>
              <w:pStyle w:val="TableContents"/>
              <w:bidi w:val="0"/>
              <w:spacing w:before="0" w:after="283"/>
              <w:jc w:val="right"/>
              <w:rPr/>
            </w:pPr>
            <w:r>
              <w:rPr/>
              <w:t> </w:t>
            </w:r>
          </w:p>
        </w:tc>
        <w:tc>
          <w:tcPr>
            <w:tcW w:w="1136" w:type="dxa"/>
            <w:tcBorders>
              <w:bottom w:val="single" w:sz="12" w:space="0" w:color="3B5AA4"/>
            </w:tcBorders>
            <w:tcMar>
              <w:bottom w:w="28" w:type="dxa"/>
            </w:tcMar>
            <w:vAlign w:val="center"/>
          </w:tcPr>
          <w:p>
            <w:pPr>
              <w:pStyle w:val="TableContents"/>
              <w:bidi w:val="0"/>
              <w:spacing w:before="0" w:after="283"/>
              <w:jc w:val="left"/>
              <w:rPr/>
            </w:pPr>
            <w:r>
              <w:rPr/>
              <w:t> </w:t>
            </w:r>
          </w:p>
        </w:tc>
        <w:tc>
          <w:tcPr>
            <w:tcW w:w="60" w:type="dxa"/>
            <w:tcBorders>
              <w:bottom w:val="single" w:sz="12" w:space="0" w:color="3B5AA4"/>
            </w:tcBorders>
            <w:tcMar>
              <w:bottom w:w="28" w:type="dxa"/>
            </w:tcMar>
            <w:vAlign w:val="center"/>
          </w:tcPr>
          <w:p>
            <w:pPr>
              <w:pStyle w:val="TableContents"/>
              <w:bidi w:val="0"/>
              <w:spacing w:before="0" w:after="283"/>
              <w:jc w:val="right"/>
              <w:rPr/>
            </w:pPr>
            <w:r>
              <w:rPr/>
              <w:t> </w:t>
            </w:r>
          </w:p>
        </w:tc>
        <w:tc>
          <w:tcPr>
            <w:tcW w:w="2162" w:type="dxa"/>
            <w:tcBorders>
              <w:bottom w:val="single" w:sz="12" w:space="0" w:color="3B5AA4"/>
            </w:tcBorders>
            <w:tcMar>
              <w:bottom w:w="28" w:type="dxa"/>
            </w:tcMar>
            <w:vAlign w:val="center"/>
          </w:tcPr>
          <w:p>
            <w:pPr>
              <w:pStyle w:val="TableContents"/>
              <w:bidi w:val="0"/>
              <w:spacing w:before="0" w:after="283"/>
              <w:jc w:val="left"/>
              <w:rPr/>
            </w:pPr>
            <w:r>
              <w:rPr/>
              <w:t> </w:t>
            </w:r>
          </w:p>
        </w:tc>
      </w:tr>
      <w:tr>
        <w:trPr/>
        <w:tc>
          <w:tcPr>
            <w:tcW w:w="3472" w:type="dxa"/>
            <w:tcBorders/>
            <w:shd w:fill="EBEBEC" w:val="clear"/>
            <w:vAlign w:val="center"/>
          </w:tcPr>
          <w:p>
            <w:pPr>
              <w:pStyle w:val="TableContents"/>
              <w:bidi w:val="0"/>
              <w:spacing w:before="0" w:after="283"/>
              <w:jc w:val="left"/>
              <w:rPr/>
            </w:pPr>
            <w:r>
              <w:rPr>
                <w:color w:val="231F20"/>
              </w:rPr>
              <w:t>75</w:t>
            </w:r>
            <w:r>
              <w:rPr>
                <w:color w:val="010101"/>
                <w:position w:val="8"/>
                <w:sz w:val="19"/>
              </w:rPr>
              <w:t>th</w:t>
            </w:r>
            <w:r>
              <w:rPr>
                <w:color w:val="231F20"/>
              </w:rPr>
              <w:t> Percentile</w:t>
            </w:r>
          </w:p>
        </w:tc>
        <w:tc>
          <w:tcPr>
            <w:tcW w:w="60" w:type="dxa"/>
            <w:tcBorders/>
            <w:shd w:fill="EBEBEC" w:val="clear"/>
            <w:vAlign w:val="center"/>
          </w:tcPr>
          <w:p>
            <w:pPr>
              <w:pStyle w:val="TableContents"/>
              <w:bidi w:val="0"/>
              <w:spacing w:before="0" w:after="283"/>
              <w:jc w:val="right"/>
              <w:rPr/>
            </w:pPr>
            <w:r>
              <w:rPr/>
              <w:t> </w:t>
            </w:r>
          </w:p>
        </w:tc>
        <w:tc>
          <w:tcPr>
            <w:tcW w:w="219" w:type="dxa"/>
            <w:tcBorders/>
            <w:shd w:fill="EBEBEC" w:val="clear"/>
            <w:vAlign w:val="center"/>
          </w:tcPr>
          <w:p>
            <w:pPr>
              <w:pStyle w:val="TableContents"/>
              <w:bidi w:val="0"/>
              <w:spacing w:before="0" w:after="283"/>
              <w:jc w:val="right"/>
              <w:rPr>
                <w:color w:val="231F20"/>
              </w:rPr>
            </w:pPr>
            <w:r>
              <w:rPr>
                <w:color w:val="231F20"/>
              </w:rPr>
              <w:t>$</w:t>
            </w:r>
          </w:p>
        </w:tc>
        <w:tc>
          <w:tcPr>
            <w:tcW w:w="1261" w:type="dxa"/>
            <w:tcBorders/>
            <w:shd w:fill="EBEBEC" w:val="clear"/>
            <w:vAlign w:val="center"/>
          </w:tcPr>
          <w:p>
            <w:pPr>
              <w:pStyle w:val="TableContents"/>
              <w:bidi w:val="0"/>
              <w:spacing w:before="0" w:after="283"/>
              <w:jc w:val="right"/>
              <w:rPr>
                <w:color w:val="231F20"/>
              </w:rPr>
            </w:pPr>
            <w:r>
              <w:rPr>
                <w:color w:val="231F20"/>
              </w:rPr>
              <w:t>228,021</w:t>
            </w:r>
          </w:p>
        </w:tc>
        <w:tc>
          <w:tcPr>
            <w:tcW w:w="62" w:type="dxa"/>
            <w:tcBorders/>
            <w:shd w:fill="EBEBEC" w:val="clear"/>
            <w:vAlign w:val="center"/>
          </w:tcPr>
          <w:p>
            <w:pPr>
              <w:pStyle w:val="TableContents"/>
              <w:bidi w:val="0"/>
              <w:spacing w:before="0" w:after="283"/>
              <w:jc w:val="right"/>
              <w:rPr/>
            </w:pPr>
            <w:r>
              <w:rPr/>
              <w:t> </w:t>
            </w:r>
          </w:p>
        </w:tc>
        <w:tc>
          <w:tcPr>
            <w:tcW w:w="219" w:type="dxa"/>
            <w:tcBorders/>
            <w:shd w:fill="EBEBEC" w:val="clear"/>
            <w:vAlign w:val="center"/>
          </w:tcPr>
          <w:p>
            <w:pPr>
              <w:pStyle w:val="TableContents"/>
              <w:bidi w:val="0"/>
              <w:spacing w:before="0" w:after="283"/>
              <w:jc w:val="right"/>
              <w:rPr>
                <w:color w:val="231F20"/>
              </w:rPr>
            </w:pPr>
            <w:r>
              <w:rPr>
                <w:color w:val="231F20"/>
              </w:rPr>
              <w:t>$</w:t>
            </w:r>
          </w:p>
        </w:tc>
        <w:tc>
          <w:tcPr>
            <w:tcW w:w="1261" w:type="dxa"/>
            <w:tcBorders/>
            <w:shd w:fill="EBEBEC" w:val="clear"/>
            <w:vAlign w:val="center"/>
          </w:tcPr>
          <w:p>
            <w:pPr>
              <w:pStyle w:val="TableContents"/>
              <w:bidi w:val="0"/>
              <w:spacing w:before="0" w:after="283"/>
              <w:jc w:val="right"/>
              <w:rPr>
                <w:color w:val="231F20"/>
              </w:rPr>
            </w:pPr>
            <w:r>
              <w:rPr>
                <w:color w:val="231F20"/>
              </w:rPr>
              <w:t>222,002</w:t>
            </w:r>
          </w:p>
        </w:tc>
        <w:tc>
          <w:tcPr>
            <w:tcW w:w="60" w:type="dxa"/>
            <w:tcBorders/>
            <w:shd w:fill="EBEBEC" w:val="clear"/>
            <w:vAlign w:val="center"/>
          </w:tcPr>
          <w:p>
            <w:pPr>
              <w:pStyle w:val="TableContents"/>
              <w:bidi w:val="0"/>
              <w:spacing w:before="0" w:after="283"/>
              <w:jc w:val="right"/>
              <w:rPr/>
            </w:pPr>
            <w:r>
              <w:rPr/>
              <w:t> </w:t>
            </w:r>
          </w:p>
        </w:tc>
        <w:tc>
          <w:tcPr>
            <w:tcW w:w="233" w:type="dxa"/>
            <w:tcBorders/>
            <w:shd w:fill="EBEBEC" w:val="clear"/>
            <w:vAlign w:val="center"/>
          </w:tcPr>
          <w:p>
            <w:pPr>
              <w:pStyle w:val="TableContents"/>
              <w:bidi w:val="0"/>
              <w:spacing w:before="0" w:after="283"/>
              <w:jc w:val="right"/>
              <w:rPr>
                <w:color w:val="231F20"/>
              </w:rPr>
            </w:pPr>
            <w:r>
              <w:rPr>
                <w:color w:val="231F20"/>
              </w:rPr>
              <w:t>$</w:t>
            </w:r>
          </w:p>
        </w:tc>
        <w:tc>
          <w:tcPr>
            <w:tcW w:w="1136" w:type="dxa"/>
            <w:tcBorders/>
            <w:shd w:fill="EBEBEC" w:val="clear"/>
            <w:vAlign w:val="center"/>
          </w:tcPr>
          <w:p>
            <w:pPr>
              <w:pStyle w:val="TableContents"/>
              <w:bidi w:val="0"/>
              <w:spacing w:before="0" w:after="283"/>
              <w:jc w:val="right"/>
              <w:rPr>
                <w:color w:val="231F20"/>
              </w:rPr>
            </w:pPr>
            <w:r>
              <w:rPr>
                <w:color w:val="231F20"/>
              </w:rPr>
              <w:t>40,733</w:t>
            </w:r>
          </w:p>
        </w:tc>
        <w:tc>
          <w:tcPr>
            <w:tcW w:w="60" w:type="dxa"/>
            <w:tcBorders/>
            <w:shd w:fill="EBEBEC" w:val="clear"/>
            <w:vAlign w:val="center"/>
          </w:tcPr>
          <w:p>
            <w:pPr>
              <w:pStyle w:val="TableContents"/>
              <w:bidi w:val="0"/>
              <w:spacing w:before="0" w:after="283"/>
              <w:jc w:val="right"/>
              <w:rPr/>
            </w:pPr>
            <w:r>
              <w:rPr/>
              <w:t> </w:t>
            </w:r>
          </w:p>
        </w:tc>
        <w:tc>
          <w:tcPr>
            <w:tcW w:w="2162" w:type="dxa"/>
            <w:tcBorders/>
            <w:shd w:fill="EBEBEC" w:val="clear"/>
            <w:vAlign w:val="center"/>
          </w:tcPr>
          <w:p>
            <w:pPr>
              <w:pStyle w:val="TableContents"/>
              <w:bidi w:val="0"/>
              <w:spacing w:before="0" w:after="283"/>
              <w:jc w:val="right"/>
              <w:rPr>
                <w:color w:val="231F20"/>
              </w:rPr>
            </w:pPr>
            <w:r>
              <w:rPr>
                <w:color w:val="231F20"/>
              </w:rPr>
              <w:t>38,550</w:t>
            </w:r>
          </w:p>
        </w:tc>
      </w:tr>
      <w:tr>
        <w:trPr/>
        <w:tc>
          <w:tcPr>
            <w:tcW w:w="3472"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left"/>
              <w:rPr>
                <w:b/>
                <w:color w:val="231F20"/>
              </w:rPr>
            </w:pPr>
            <w:r>
              <w:rPr>
                <w:b/>
                <w:color w:val="231F20"/>
              </w:rPr>
              <w:t>Median</w:t>
            </w:r>
          </w:p>
        </w:tc>
        <w:tc>
          <w:tcPr>
            <w:tcW w:w="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pPr>
            <w:r>
              <w:rPr/>
              <w:t> </w:t>
            </w:r>
          </w:p>
        </w:tc>
        <w:tc>
          <w:tcPr>
            <w:tcW w:w="219"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b/>
                <w:color w:val="231F20"/>
              </w:rPr>
            </w:pPr>
            <w:r>
              <w:rPr>
                <w:b/>
                <w:color w:val="231F20"/>
              </w:rPr>
              <w:t>$</w:t>
            </w:r>
          </w:p>
        </w:tc>
        <w:tc>
          <w:tcPr>
            <w:tcW w:w="1261"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b/>
                <w:color w:val="231F20"/>
              </w:rPr>
            </w:pPr>
            <w:r>
              <w:rPr>
                <w:b/>
                <w:color w:val="231F20"/>
              </w:rPr>
              <w:t>99,846</w:t>
            </w:r>
          </w:p>
        </w:tc>
        <w:tc>
          <w:tcPr>
            <w:tcW w:w="62"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pPr>
            <w:r>
              <w:rPr/>
              <w:t> </w:t>
            </w:r>
          </w:p>
        </w:tc>
        <w:tc>
          <w:tcPr>
            <w:tcW w:w="219"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b/>
                <w:color w:val="231F20"/>
              </w:rPr>
            </w:pPr>
            <w:r>
              <w:rPr>
                <w:b/>
                <w:color w:val="231F20"/>
              </w:rPr>
              <w:t>$</w:t>
            </w:r>
          </w:p>
        </w:tc>
        <w:tc>
          <w:tcPr>
            <w:tcW w:w="1261"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b/>
                <w:color w:val="231F20"/>
              </w:rPr>
            </w:pPr>
            <w:r>
              <w:rPr>
                <w:b/>
                <w:color w:val="231F20"/>
              </w:rPr>
              <w:t>93,340</w:t>
            </w:r>
          </w:p>
        </w:tc>
        <w:tc>
          <w:tcPr>
            <w:tcW w:w="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pPr>
            <w:r>
              <w:rPr/>
              <w:t> </w:t>
            </w:r>
          </w:p>
        </w:tc>
        <w:tc>
          <w:tcPr>
            <w:tcW w:w="233"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b/>
                <w:color w:val="231F20"/>
              </w:rPr>
            </w:pPr>
            <w:r>
              <w:rPr>
                <w:b/>
                <w:color w:val="231F20"/>
              </w:rPr>
              <w:t>$</w:t>
            </w:r>
          </w:p>
        </w:tc>
        <w:tc>
          <w:tcPr>
            <w:tcW w:w="1136"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b/>
                <w:color w:val="231F20"/>
              </w:rPr>
            </w:pPr>
            <w:r>
              <w:rPr>
                <w:b/>
                <w:color w:val="231F20"/>
              </w:rPr>
              <w:t>27,450</w:t>
            </w:r>
          </w:p>
        </w:tc>
        <w:tc>
          <w:tcPr>
            <w:tcW w:w="60"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pPr>
            <w:r>
              <w:rPr/>
              <w:t> </w:t>
            </w:r>
          </w:p>
        </w:tc>
        <w:tc>
          <w:tcPr>
            <w:tcW w:w="2162" w:type="dxa"/>
            <w:tcBorders>
              <w:top w:val="single" w:sz="2" w:space="0" w:color="CCCCCC"/>
              <w:bottom w:val="single" w:sz="2" w:space="0" w:color="CCCCCC"/>
            </w:tcBorders>
            <w:shd w:fill="EBEBEC" w:val="clear"/>
            <w:tcMar>
              <w:top w:w="28" w:type="dxa"/>
              <w:bottom w:w="28" w:type="dxa"/>
            </w:tcMar>
            <w:vAlign w:val="center"/>
          </w:tcPr>
          <w:p>
            <w:pPr>
              <w:pStyle w:val="TableContents"/>
              <w:bidi w:val="0"/>
              <w:spacing w:before="0" w:after="283"/>
              <w:jc w:val="right"/>
              <w:rPr>
                <w:b/>
                <w:color w:val="231F20"/>
              </w:rPr>
            </w:pPr>
            <w:r>
              <w:rPr>
                <w:b/>
                <w:color w:val="231F20"/>
              </w:rPr>
              <w:t>18,000</w:t>
            </w:r>
          </w:p>
        </w:tc>
      </w:tr>
      <w:tr>
        <w:trPr/>
        <w:tc>
          <w:tcPr>
            <w:tcW w:w="3472" w:type="dxa"/>
            <w:tcBorders>
              <w:bottom w:val="single" w:sz="2" w:space="0" w:color="CCCCCC"/>
            </w:tcBorders>
            <w:shd w:fill="EBEBEC" w:val="clear"/>
            <w:tcMar>
              <w:bottom w:w="28" w:type="dxa"/>
            </w:tcMar>
            <w:vAlign w:val="center"/>
          </w:tcPr>
          <w:p>
            <w:pPr>
              <w:pStyle w:val="TableContents"/>
              <w:bidi w:val="0"/>
              <w:spacing w:before="0" w:after="283"/>
              <w:jc w:val="left"/>
              <w:rPr/>
            </w:pPr>
            <w:r>
              <w:rPr>
                <w:color w:val="231F20"/>
              </w:rPr>
              <w:t>25</w:t>
            </w:r>
            <w:r>
              <w:rPr>
                <w:color w:val="010101"/>
                <w:position w:val="8"/>
                <w:sz w:val="19"/>
              </w:rPr>
              <w:t>th</w:t>
            </w:r>
            <w:r>
              <w:rPr>
                <w:color w:val="231F20"/>
              </w:rPr>
              <w:t> Percentile</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26,030</w:t>
            </w:r>
          </w:p>
        </w:tc>
        <w:tc>
          <w:tcPr>
            <w:tcW w:w="62"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261"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24,821</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1136"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6,715</w:t>
            </w:r>
          </w:p>
        </w:tc>
        <w:tc>
          <w:tcPr>
            <w:tcW w:w="60" w:type="dxa"/>
            <w:tcBorders>
              <w:bottom w:val="single" w:sz="2" w:space="0" w:color="CCCCCC"/>
            </w:tcBorders>
            <w:shd w:fill="EBEBEC" w:val="clear"/>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shd w:fill="EBEBEC" w:val="clear"/>
            <w:tcMar>
              <w:bottom w:w="28" w:type="dxa"/>
            </w:tcMar>
            <w:vAlign w:val="center"/>
          </w:tcPr>
          <w:p>
            <w:pPr>
              <w:pStyle w:val="TableContents"/>
              <w:bidi w:val="0"/>
              <w:spacing w:before="0" w:after="283"/>
              <w:jc w:val="right"/>
              <w:rPr>
                <w:color w:val="231F20"/>
              </w:rPr>
            </w:pPr>
            <w:r>
              <w:rPr>
                <w:color w:val="231F20"/>
              </w:rPr>
              <w:t>4,401</w:t>
            </w:r>
          </w:p>
        </w:tc>
      </w:tr>
      <w:tr>
        <w:trPr/>
        <w:tc>
          <w:tcPr>
            <w:tcW w:w="3472" w:type="dxa"/>
            <w:tcBorders>
              <w:bottom w:val="single" w:sz="2" w:space="0" w:color="BCBEC0"/>
            </w:tcBorders>
            <w:tcMar>
              <w:bottom w:w="28" w:type="dxa"/>
            </w:tcMar>
            <w:vAlign w:val="center"/>
          </w:tcPr>
          <w:p>
            <w:pPr>
              <w:pStyle w:val="TableContents"/>
              <w:bidi w:val="0"/>
              <w:spacing w:before="0" w:after="283"/>
              <w:jc w:val="left"/>
              <w:rPr/>
            </w:pPr>
            <w:r>
              <w:rPr/>
              <w:t> </w:t>
            </w:r>
          </w:p>
        </w:tc>
        <w:tc>
          <w:tcPr>
            <w:tcW w:w="60" w:type="dxa"/>
            <w:tcBorders>
              <w:bottom w:val="single" w:sz="2" w:space="0" w:color="BCBEC0"/>
            </w:tcBorders>
            <w:tcMar>
              <w:bottom w:w="28" w:type="dxa"/>
            </w:tcMar>
            <w:vAlign w:val="center"/>
          </w:tcPr>
          <w:p>
            <w:pPr>
              <w:pStyle w:val="TableContents"/>
              <w:bidi w:val="0"/>
              <w:spacing w:before="0" w:after="283"/>
              <w:jc w:val="right"/>
              <w:rPr/>
            </w:pPr>
            <w:r>
              <w:rPr/>
              <w:t> </w:t>
            </w:r>
          </w:p>
        </w:tc>
        <w:tc>
          <w:tcPr>
            <w:tcW w:w="219" w:type="dxa"/>
            <w:tcBorders>
              <w:bottom w:val="single" w:sz="2" w:space="0" w:color="BCBEC0"/>
            </w:tcBorders>
            <w:tcMar>
              <w:bottom w:w="28" w:type="dxa"/>
            </w:tcMar>
            <w:vAlign w:val="center"/>
          </w:tcPr>
          <w:p>
            <w:pPr>
              <w:pStyle w:val="TableContents"/>
              <w:bidi w:val="0"/>
              <w:spacing w:before="0" w:after="283"/>
              <w:jc w:val="right"/>
              <w:rPr/>
            </w:pPr>
            <w:r>
              <w:rPr/>
              <w:t> </w:t>
            </w:r>
          </w:p>
        </w:tc>
        <w:tc>
          <w:tcPr>
            <w:tcW w:w="1261" w:type="dxa"/>
            <w:tcBorders>
              <w:bottom w:val="single" w:sz="2" w:space="0" w:color="BCBEC0"/>
            </w:tcBorders>
            <w:tcMar>
              <w:bottom w:w="28" w:type="dxa"/>
            </w:tcMar>
            <w:vAlign w:val="center"/>
          </w:tcPr>
          <w:p>
            <w:pPr>
              <w:pStyle w:val="TableContents"/>
              <w:bidi w:val="0"/>
              <w:spacing w:before="0" w:after="283"/>
              <w:jc w:val="left"/>
              <w:rPr/>
            </w:pPr>
            <w:r>
              <w:rPr/>
              <w:t> </w:t>
            </w:r>
          </w:p>
        </w:tc>
        <w:tc>
          <w:tcPr>
            <w:tcW w:w="62" w:type="dxa"/>
            <w:tcBorders>
              <w:bottom w:val="single" w:sz="2" w:space="0" w:color="BCBEC0"/>
            </w:tcBorders>
            <w:tcMar>
              <w:bottom w:w="28" w:type="dxa"/>
            </w:tcMar>
            <w:vAlign w:val="center"/>
          </w:tcPr>
          <w:p>
            <w:pPr>
              <w:pStyle w:val="TableContents"/>
              <w:bidi w:val="0"/>
              <w:spacing w:before="0" w:after="283"/>
              <w:jc w:val="right"/>
              <w:rPr/>
            </w:pPr>
            <w:r>
              <w:rPr/>
              <w:t> </w:t>
            </w:r>
          </w:p>
        </w:tc>
        <w:tc>
          <w:tcPr>
            <w:tcW w:w="219" w:type="dxa"/>
            <w:tcBorders>
              <w:bottom w:val="single" w:sz="2" w:space="0" w:color="BCBEC0"/>
            </w:tcBorders>
            <w:tcMar>
              <w:bottom w:w="28" w:type="dxa"/>
            </w:tcMar>
            <w:vAlign w:val="center"/>
          </w:tcPr>
          <w:p>
            <w:pPr>
              <w:pStyle w:val="TableContents"/>
              <w:bidi w:val="0"/>
              <w:spacing w:before="0" w:after="283"/>
              <w:jc w:val="right"/>
              <w:rPr/>
            </w:pPr>
            <w:r>
              <w:rPr/>
              <w:t> </w:t>
            </w:r>
          </w:p>
        </w:tc>
        <w:tc>
          <w:tcPr>
            <w:tcW w:w="1261" w:type="dxa"/>
            <w:tcBorders>
              <w:bottom w:val="single" w:sz="2" w:space="0" w:color="BCBEC0"/>
            </w:tcBorders>
            <w:tcMar>
              <w:bottom w:w="28" w:type="dxa"/>
            </w:tcMar>
            <w:vAlign w:val="center"/>
          </w:tcPr>
          <w:p>
            <w:pPr>
              <w:pStyle w:val="TableContents"/>
              <w:bidi w:val="0"/>
              <w:spacing w:before="0" w:after="283"/>
              <w:jc w:val="left"/>
              <w:rPr/>
            </w:pPr>
            <w:r>
              <w:rPr/>
              <w:t> </w:t>
            </w:r>
          </w:p>
        </w:tc>
        <w:tc>
          <w:tcPr>
            <w:tcW w:w="60" w:type="dxa"/>
            <w:tcBorders>
              <w:bottom w:val="single" w:sz="2" w:space="0" w:color="BCBEC0"/>
            </w:tcBorders>
            <w:tcMar>
              <w:bottom w:w="28" w:type="dxa"/>
            </w:tcMar>
            <w:vAlign w:val="center"/>
          </w:tcPr>
          <w:p>
            <w:pPr>
              <w:pStyle w:val="TableContents"/>
              <w:bidi w:val="0"/>
              <w:spacing w:before="0" w:after="283"/>
              <w:jc w:val="right"/>
              <w:rPr/>
            </w:pPr>
            <w:r>
              <w:rPr/>
              <w:t> </w:t>
            </w:r>
          </w:p>
        </w:tc>
        <w:tc>
          <w:tcPr>
            <w:tcW w:w="233" w:type="dxa"/>
            <w:tcBorders>
              <w:bottom w:val="single" w:sz="2" w:space="0" w:color="BCBEC0"/>
            </w:tcBorders>
            <w:tcMar>
              <w:bottom w:w="28" w:type="dxa"/>
            </w:tcMar>
            <w:vAlign w:val="center"/>
          </w:tcPr>
          <w:p>
            <w:pPr>
              <w:pStyle w:val="TableContents"/>
              <w:bidi w:val="0"/>
              <w:spacing w:before="0" w:after="283"/>
              <w:jc w:val="right"/>
              <w:rPr/>
            </w:pPr>
            <w:r>
              <w:rPr/>
              <w:t> </w:t>
            </w:r>
          </w:p>
        </w:tc>
        <w:tc>
          <w:tcPr>
            <w:tcW w:w="1136" w:type="dxa"/>
            <w:tcBorders>
              <w:bottom w:val="single" w:sz="2" w:space="0" w:color="BCBEC0"/>
            </w:tcBorders>
            <w:tcMar>
              <w:bottom w:w="28" w:type="dxa"/>
            </w:tcMar>
            <w:vAlign w:val="center"/>
          </w:tcPr>
          <w:p>
            <w:pPr>
              <w:pStyle w:val="TableContents"/>
              <w:bidi w:val="0"/>
              <w:spacing w:before="0" w:after="283"/>
              <w:jc w:val="left"/>
              <w:rPr/>
            </w:pPr>
            <w:r>
              <w:rPr/>
              <w:t> </w:t>
            </w:r>
          </w:p>
        </w:tc>
        <w:tc>
          <w:tcPr>
            <w:tcW w:w="60" w:type="dxa"/>
            <w:tcBorders>
              <w:bottom w:val="single" w:sz="2" w:space="0" w:color="BCBEC0"/>
            </w:tcBorders>
            <w:tcMar>
              <w:bottom w:w="28" w:type="dxa"/>
            </w:tcMar>
            <w:vAlign w:val="center"/>
          </w:tcPr>
          <w:p>
            <w:pPr>
              <w:pStyle w:val="TableContents"/>
              <w:bidi w:val="0"/>
              <w:spacing w:before="0" w:after="283"/>
              <w:jc w:val="right"/>
              <w:rPr/>
            </w:pPr>
            <w:r>
              <w:rPr/>
              <w:t> </w:t>
            </w:r>
          </w:p>
        </w:tc>
        <w:tc>
          <w:tcPr>
            <w:tcW w:w="2162" w:type="dxa"/>
            <w:tcBorders>
              <w:bottom w:val="single" w:sz="2" w:space="0" w:color="BCBEC0"/>
            </w:tcBorders>
            <w:tcMar>
              <w:bottom w:w="28" w:type="dxa"/>
            </w:tcMar>
            <w:vAlign w:val="center"/>
          </w:tcPr>
          <w:p>
            <w:pPr>
              <w:pStyle w:val="TableContents"/>
              <w:bidi w:val="0"/>
              <w:spacing w:before="0" w:after="283"/>
              <w:jc w:val="left"/>
              <w:rPr/>
            </w:pPr>
            <w:r>
              <w:rPr/>
              <w:t> </w:t>
            </w:r>
          </w:p>
        </w:tc>
      </w:tr>
      <w:tr>
        <w:trPr/>
        <w:tc>
          <w:tcPr>
            <w:tcW w:w="3472" w:type="dxa"/>
            <w:tcBorders>
              <w:bottom w:val="single" w:sz="2" w:space="0" w:color="CCCCCC"/>
            </w:tcBorders>
            <w:shd w:fill="EBEDF8" w:val="clear"/>
            <w:tcMar>
              <w:bottom w:w="28" w:type="dxa"/>
            </w:tcMar>
            <w:vAlign w:val="center"/>
          </w:tcPr>
          <w:p>
            <w:pPr>
              <w:pStyle w:val="TableContents"/>
              <w:bidi w:val="0"/>
              <w:spacing w:before="0" w:after="283"/>
              <w:jc w:val="left"/>
              <w:rPr>
                <w:b/>
                <w:color w:val="231F20"/>
              </w:rPr>
            </w:pPr>
            <w:r>
              <w:rPr>
                <w:b/>
                <w:color w:val="231F20"/>
              </w:rPr>
              <w:t>Regeneron Pharmaceuticals, Inc.</w:t>
            </w:r>
          </w:p>
        </w:tc>
        <w:tc>
          <w:tcPr>
            <w:tcW w:w="60" w:type="dxa"/>
            <w:tcBorders>
              <w:bottom w:val="single" w:sz="2" w:space="0" w:color="CCCCCC"/>
            </w:tcBorders>
            <w:shd w:fill="EBEDF8"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DF8" w:val="clear"/>
            <w:tcMar>
              <w:bottom w:w="28" w:type="dxa"/>
            </w:tcMar>
            <w:vAlign w:val="center"/>
          </w:tcPr>
          <w:p>
            <w:pPr>
              <w:pStyle w:val="TableContents"/>
              <w:bidi w:val="0"/>
              <w:spacing w:before="0" w:after="283"/>
              <w:jc w:val="right"/>
              <w:rPr>
                <w:b/>
                <w:color w:val="231F20"/>
              </w:rPr>
            </w:pPr>
            <w:r>
              <w:rPr>
                <w:b/>
                <w:color w:val="231F20"/>
              </w:rPr>
              <w:t>$</w:t>
            </w:r>
          </w:p>
        </w:tc>
        <w:tc>
          <w:tcPr>
            <w:tcW w:w="1261" w:type="dxa"/>
            <w:tcBorders>
              <w:bottom w:val="single" w:sz="2" w:space="0" w:color="CCCCCC"/>
            </w:tcBorders>
            <w:shd w:fill="EBEDF8" w:val="clear"/>
            <w:tcMar>
              <w:bottom w:w="28" w:type="dxa"/>
            </w:tcMar>
            <w:vAlign w:val="center"/>
          </w:tcPr>
          <w:p>
            <w:pPr>
              <w:pStyle w:val="TableContents"/>
              <w:bidi w:val="0"/>
              <w:spacing w:before="0" w:after="283"/>
              <w:jc w:val="right"/>
              <w:rPr>
                <w:b/>
                <w:color w:val="231F20"/>
              </w:rPr>
            </w:pPr>
            <w:r>
              <w:rPr>
                <w:b/>
                <w:color w:val="231F20"/>
              </w:rPr>
              <w:t>101,882</w:t>
            </w:r>
          </w:p>
        </w:tc>
        <w:tc>
          <w:tcPr>
            <w:tcW w:w="62" w:type="dxa"/>
            <w:tcBorders>
              <w:bottom w:val="single" w:sz="2" w:space="0" w:color="CCCCCC"/>
            </w:tcBorders>
            <w:shd w:fill="EBEDF8" w:val="clear"/>
            <w:tcMar>
              <w:bottom w:w="28" w:type="dxa"/>
            </w:tcMar>
            <w:vAlign w:val="center"/>
          </w:tcPr>
          <w:p>
            <w:pPr>
              <w:pStyle w:val="TableContents"/>
              <w:bidi w:val="0"/>
              <w:spacing w:before="0" w:after="283"/>
              <w:jc w:val="right"/>
              <w:rPr/>
            </w:pPr>
            <w:r>
              <w:rPr/>
              <w:t> </w:t>
            </w:r>
          </w:p>
        </w:tc>
        <w:tc>
          <w:tcPr>
            <w:tcW w:w="219" w:type="dxa"/>
            <w:tcBorders>
              <w:bottom w:val="single" w:sz="2" w:space="0" w:color="CCCCCC"/>
            </w:tcBorders>
            <w:shd w:fill="EBEDF8" w:val="clear"/>
            <w:tcMar>
              <w:bottom w:w="28" w:type="dxa"/>
            </w:tcMar>
            <w:vAlign w:val="center"/>
          </w:tcPr>
          <w:p>
            <w:pPr>
              <w:pStyle w:val="TableContents"/>
              <w:bidi w:val="0"/>
              <w:spacing w:before="0" w:after="283"/>
              <w:jc w:val="right"/>
              <w:rPr>
                <w:b/>
                <w:color w:val="231F20"/>
              </w:rPr>
            </w:pPr>
            <w:r>
              <w:rPr>
                <w:b/>
                <w:color w:val="231F20"/>
              </w:rPr>
              <w:t>$</w:t>
            </w:r>
          </w:p>
        </w:tc>
        <w:tc>
          <w:tcPr>
            <w:tcW w:w="1261" w:type="dxa"/>
            <w:tcBorders>
              <w:bottom w:val="single" w:sz="2" w:space="0" w:color="CCCCCC"/>
            </w:tcBorders>
            <w:shd w:fill="EBEDF8" w:val="clear"/>
            <w:tcMar>
              <w:bottom w:w="28" w:type="dxa"/>
            </w:tcMar>
            <w:vAlign w:val="center"/>
          </w:tcPr>
          <w:p>
            <w:pPr>
              <w:pStyle w:val="TableContents"/>
              <w:bidi w:val="0"/>
              <w:spacing w:before="0" w:after="283"/>
              <w:jc w:val="right"/>
              <w:rPr>
                <w:b/>
                <w:color w:val="231F20"/>
              </w:rPr>
            </w:pPr>
            <w:r>
              <w:rPr>
                <w:b/>
                <w:color w:val="231F20"/>
              </w:rPr>
              <w:t>100,624</w:t>
            </w:r>
          </w:p>
        </w:tc>
        <w:tc>
          <w:tcPr>
            <w:tcW w:w="60" w:type="dxa"/>
            <w:tcBorders>
              <w:bottom w:val="single" w:sz="2" w:space="0" w:color="CCCCCC"/>
            </w:tcBorders>
            <w:shd w:fill="EBEDF8" w:val="clear"/>
            <w:tcMar>
              <w:bottom w:w="28" w:type="dxa"/>
            </w:tcMar>
            <w:vAlign w:val="center"/>
          </w:tcPr>
          <w:p>
            <w:pPr>
              <w:pStyle w:val="TableContents"/>
              <w:bidi w:val="0"/>
              <w:spacing w:before="0" w:after="283"/>
              <w:jc w:val="right"/>
              <w:rPr/>
            </w:pPr>
            <w:r>
              <w:rPr/>
              <w:t> </w:t>
            </w:r>
          </w:p>
        </w:tc>
        <w:tc>
          <w:tcPr>
            <w:tcW w:w="233" w:type="dxa"/>
            <w:tcBorders>
              <w:bottom w:val="single" w:sz="2" w:space="0" w:color="CCCCCC"/>
            </w:tcBorders>
            <w:shd w:fill="EBEDF8" w:val="clear"/>
            <w:tcMar>
              <w:bottom w:w="28" w:type="dxa"/>
            </w:tcMar>
            <w:vAlign w:val="center"/>
          </w:tcPr>
          <w:p>
            <w:pPr>
              <w:pStyle w:val="TableContents"/>
              <w:bidi w:val="0"/>
              <w:spacing w:before="0" w:after="283"/>
              <w:jc w:val="right"/>
              <w:rPr>
                <w:b/>
                <w:color w:val="231F20"/>
              </w:rPr>
            </w:pPr>
            <w:r>
              <w:rPr>
                <w:b/>
                <w:color w:val="231F20"/>
              </w:rPr>
              <w:t>$</w:t>
            </w:r>
          </w:p>
        </w:tc>
        <w:tc>
          <w:tcPr>
            <w:tcW w:w="1136" w:type="dxa"/>
            <w:tcBorders>
              <w:bottom w:val="single" w:sz="2" w:space="0" w:color="CCCCCC"/>
            </w:tcBorders>
            <w:shd w:fill="EBEDF8" w:val="clear"/>
            <w:tcMar>
              <w:bottom w:w="28" w:type="dxa"/>
            </w:tcMar>
            <w:vAlign w:val="center"/>
          </w:tcPr>
          <w:p>
            <w:pPr>
              <w:pStyle w:val="TableContents"/>
              <w:bidi w:val="0"/>
              <w:spacing w:before="0" w:after="283"/>
              <w:jc w:val="right"/>
              <w:rPr>
                <w:b/>
                <w:color w:val="231F20"/>
              </w:rPr>
            </w:pPr>
            <w:r>
              <w:rPr>
                <w:b/>
                <w:color w:val="231F20"/>
              </w:rPr>
              <w:t>13,100</w:t>
            </w:r>
          </w:p>
        </w:tc>
        <w:tc>
          <w:tcPr>
            <w:tcW w:w="60" w:type="dxa"/>
            <w:tcBorders>
              <w:bottom w:val="single" w:sz="2" w:space="0" w:color="CCCCCC"/>
            </w:tcBorders>
            <w:shd w:fill="EBEDF8" w:val="clear"/>
            <w:tcMar>
              <w:bottom w:w="28" w:type="dxa"/>
            </w:tcMar>
            <w:vAlign w:val="center"/>
          </w:tcPr>
          <w:p>
            <w:pPr>
              <w:pStyle w:val="TableContents"/>
              <w:bidi w:val="0"/>
              <w:spacing w:before="0" w:after="283"/>
              <w:jc w:val="right"/>
              <w:rPr/>
            </w:pPr>
            <w:r>
              <w:rPr/>
              <w:t> </w:t>
            </w:r>
          </w:p>
        </w:tc>
        <w:tc>
          <w:tcPr>
            <w:tcW w:w="2162" w:type="dxa"/>
            <w:tcBorders>
              <w:bottom w:val="single" w:sz="2" w:space="0" w:color="CCCCCC"/>
            </w:tcBorders>
            <w:shd w:fill="EBEDF8" w:val="clear"/>
            <w:tcMar>
              <w:bottom w:w="28" w:type="dxa"/>
            </w:tcMar>
            <w:vAlign w:val="center"/>
          </w:tcPr>
          <w:p>
            <w:pPr>
              <w:pStyle w:val="TableContents"/>
              <w:bidi w:val="0"/>
              <w:spacing w:before="0" w:after="283"/>
              <w:jc w:val="right"/>
              <w:rPr>
                <w:b/>
                <w:color w:val="231F20"/>
              </w:rPr>
            </w:pPr>
            <w:r>
              <w:rPr>
                <w:b/>
                <w:color w:val="231F20"/>
              </w:rPr>
              <w:t>14,165</w:t>
            </w:r>
          </w:p>
        </w:tc>
      </w:tr>
      <w:tr>
        <w:trPr/>
        <w:tc>
          <w:tcPr>
            <w:tcW w:w="3472" w:type="dxa"/>
            <w:tcBorders>
              <w:bottom w:val="single" w:sz="12" w:space="0" w:color="3B5AA4"/>
            </w:tcBorders>
            <w:shd w:fill="EBEDF8" w:val="clear"/>
            <w:tcMar>
              <w:bottom w:w="28" w:type="dxa"/>
            </w:tcMar>
            <w:vAlign w:val="center"/>
          </w:tcPr>
          <w:p>
            <w:pPr>
              <w:pStyle w:val="TableContents"/>
              <w:bidi w:val="0"/>
              <w:spacing w:before="0" w:after="283"/>
              <w:jc w:val="left"/>
              <w:rPr>
                <w:b/>
                <w:i/>
                <w:color w:val="231F20"/>
              </w:rPr>
            </w:pPr>
            <w:r>
              <w:rPr>
                <w:b/>
                <w:i/>
                <w:color w:val="231F20"/>
              </w:rPr>
              <w:t>Percentile Rank</w:t>
            </w:r>
          </w:p>
        </w:tc>
        <w:tc>
          <w:tcPr>
            <w:tcW w:w="60" w:type="dxa"/>
            <w:tcBorders>
              <w:bottom w:val="single" w:sz="12" w:space="0" w:color="3B5AA4"/>
            </w:tcBorders>
            <w:shd w:fill="EBEDF8" w:val="clear"/>
            <w:tcMar>
              <w:bottom w:w="28" w:type="dxa"/>
            </w:tcMar>
            <w:vAlign w:val="center"/>
          </w:tcPr>
          <w:p>
            <w:pPr>
              <w:pStyle w:val="TableContents"/>
              <w:bidi w:val="0"/>
              <w:spacing w:before="0" w:after="283"/>
              <w:jc w:val="right"/>
              <w:rPr/>
            </w:pPr>
            <w:r>
              <w:rPr/>
              <w:t> </w:t>
            </w:r>
          </w:p>
        </w:tc>
        <w:tc>
          <w:tcPr>
            <w:tcW w:w="219" w:type="dxa"/>
            <w:tcBorders>
              <w:bottom w:val="single" w:sz="12" w:space="0" w:color="3B5AA4"/>
            </w:tcBorders>
            <w:shd w:fill="EBEDF8" w:val="clear"/>
            <w:tcMar>
              <w:bottom w:w="28" w:type="dxa"/>
            </w:tcMar>
            <w:vAlign w:val="center"/>
          </w:tcPr>
          <w:p>
            <w:pPr>
              <w:pStyle w:val="TableContents"/>
              <w:bidi w:val="0"/>
              <w:spacing w:before="0" w:after="283"/>
              <w:jc w:val="right"/>
              <w:rPr/>
            </w:pPr>
            <w:r>
              <w:rPr/>
              <w:t> </w:t>
            </w:r>
          </w:p>
        </w:tc>
        <w:tc>
          <w:tcPr>
            <w:tcW w:w="1261" w:type="dxa"/>
            <w:tcBorders>
              <w:bottom w:val="single" w:sz="12" w:space="0" w:color="3B5AA4"/>
            </w:tcBorders>
            <w:shd w:fill="EBEDF8" w:val="clear"/>
            <w:tcMar>
              <w:bottom w:w="28" w:type="dxa"/>
            </w:tcMar>
            <w:vAlign w:val="center"/>
          </w:tcPr>
          <w:p>
            <w:pPr>
              <w:pStyle w:val="TableContents"/>
              <w:bidi w:val="0"/>
              <w:spacing w:before="0" w:after="283"/>
              <w:jc w:val="right"/>
              <w:rPr>
                <w:b/>
                <w:i/>
                <w:color w:val="231F20"/>
              </w:rPr>
            </w:pPr>
            <w:r>
              <w:rPr>
                <w:b/>
                <w:i/>
                <w:color w:val="231F20"/>
              </w:rPr>
              <w:t>P53</w:t>
            </w:r>
          </w:p>
        </w:tc>
        <w:tc>
          <w:tcPr>
            <w:tcW w:w="62" w:type="dxa"/>
            <w:tcBorders>
              <w:bottom w:val="single" w:sz="12" w:space="0" w:color="3B5AA4"/>
            </w:tcBorders>
            <w:shd w:fill="EBEDF8" w:val="clear"/>
            <w:tcMar>
              <w:bottom w:w="28" w:type="dxa"/>
            </w:tcMar>
            <w:vAlign w:val="center"/>
          </w:tcPr>
          <w:p>
            <w:pPr>
              <w:pStyle w:val="TableContents"/>
              <w:bidi w:val="0"/>
              <w:spacing w:before="0" w:after="283"/>
              <w:jc w:val="right"/>
              <w:rPr/>
            </w:pPr>
            <w:r>
              <w:rPr/>
              <w:t> </w:t>
            </w:r>
          </w:p>
        </w:tc>
        <w:tc>
          <w:tcPr>
            <w:tcW w:w="219" w:type="dxa"/>
            <w:tcBorders>
              <w:bottom w:val="single" w:sz="12" w:space="0" w:color="3B5AA4"/>
            </w:tcBorders>
            <w:shd w:fill="EBEDF8" w:val="clear"/>
            <w:tcMar>
              <w:bottom w:w="28" w:type="dxa"/>
            </w:tcMar>
            <w:vAlign w:val="center"/>
          </w:tcPr>
          <w:p>
            <w:pPr>
              <w:pStyle w:val="TableContents"/>
              <w:bidi w:val="0"/>
              <w:spacing w:before="0" w:after="283"/>
              <w:jc w:val="right"/>
              <w:rPr/>
            </w:pPr>
            <w:r>
              <w:rPr/>
              <w:t> </w:t>
            </w:r>
          </w:p>
        </w:tc>
        <w:tc>
          <w:tcPr>
            <w:tcW w:w="1261" w:type="dxa"/>
            <w:tcBorders>
              <w:bottom w:val="single" w:sz="12" w:space="0" w:color="3B5AA4"/>
            </w:tcBorders>
            <w:shd w:fill="EBEDF8" w:val="clear"/>
            <w:tcMar>
              <w:bottom w:w="28" w:type="dxa"/>
            </w:tcMar>
            <w:vAlign w:val="center"/>
          </w:tcPr>
          <w:p>
            <w:pPr>
              <w:pStyle w:val="TableContents"/>
              <w:bidi w:val="0"/>
              <w:spacing w:before="0" w:after="283"/>
              <w:jc w:val="right"/>
              <w:rPr>
                <w:b/>
                <w:i/>
                <w:color w:val="231F20"/>
              </w:rPr>
            </w:pPr>
            <w:r>
              <w:rPr>
                <w:b/>
                <w:i/>
                <w:color w:val="231F20"/>
              </w:rPr>
              <w:t>P56</w:t>
            </w:r>
          </w:p>
        </w:tc>
        <w:tc>
          <w:tcPr>
            <w:tcW w:w="60" w:type="dxa"/>
            <w:tcBorders>
              <w:bottom w:val="single" w:sz="12" w:space="0" w:color="3B5AA4"/>
            </w:tcBorders>
            <w:shd w:fill="EBEDF8" w:val="clear"/>
            <w:tcMar>
              <w:bottom w:w="28" w:type="dxa"/>
            </w:tcMar>
            <w:vAlign w:val="center"/>
          </w:tcPr>
          <w:p>
            <w:pPr>
              <w:pStyle w:val="TableContents"/>
              <w:bidi w:val="0"/>
              <w:spacing w:before="0" w:after="283"/>
              <w:jc w:val="right"/>
              <w:rPr/>
            </w:pPr>
            <w:r>
              <w:rPr/>
              <w:t> </w:t>
            </w:r>
          </w:p>
        </w:tc>
        <w:tc>
          <w:tcPr>
            <w:tcW w:w="233" w:type="dxa"/>
            <w:tcBorders>
              <w:bottom w:val="single" w:sz="12" w:space="0" w:color="3B5AA4"/>
            </w:tcBorders>
            <w:shd w:fill="EBEDF8" w:val="clear"/>
            <w:tcMar>
              <w:bottom w:w="28" w:type="dxa"/>
            </w:tcMar>
            <w:vAlign w:val="center"/>
          </w:tcPr>
          <w:p>
            <w:pPr>
              <w:pStyle w:val="TableContents"/>
              <w:bidi w:val="0"/>
              <w:spacing w:before="0" w:after="283"/>
              <w:jc w:val="right"/>
              <w:rPr/>
            </w:pPr>
            <w:r>
              <w:rPr/>
              <w:t> </w:t>
            </w:r>
          </w:p>
        </w:tc>
        <w:tc>
          <w:tcPr>
            <w:tcW w:w="1136" w:type="dxa"/>
            <w:tcBorders>
              <w:bottom w:val="single" w:sz="12" w:space="0" w:color="3B5AA4"/>
            </w:tcBorders>
            <w:shd w:fill="EBEDF8" w:val="clear"/>
            <w:tcMar>
              <w:bottom w:w="28" w:type="dxa"/>
            </w:tcMar>
            <w:vAlign w:val="center"/>
          </w:tcPr>
          <w:p>
            <w:pPr>
              <w:pStyle w:val="TableContents"/>
              <w:bidi w:val="0"/>
              <w:spacing w:before="0" w:after="283"/>
              <w:jc w:val="right"/>
              <w:rPr>
                <w:b/>
                <w:i/>
                <w:color w:val="231F20"/>
              </w:rPr>
            </w:pPr>
            <w:r>
              <w:rPr>
                <w:b/>
                <w:i/>
                <w:color w:val="231F20"/>
              </w:rPr>
              <w:t>P42</w:t>
            </w:r>
          </w:p>
        </w:tc>
        <w:tc>
          <w:tcPr>
            <w:tcW w:w="60" w:type="dxa"/>
            <w:tcBorders>
              <w:bottom w:val="single" w:sz="12" w:space="0" w:color="3B5AA4"/>
            </w:tcBorders>
            <w:shd w:fill="EBEDF8" w:val="clear"/>
            <w:tcMar>
              <w:bottom w:w="28" w:type="dxa"/>
            </w:tcMar>
            <w:vAlign w:val="center"/>
          </w:tcPr>
          <w:p>
            <w:pPr>
              <w:pStyle w:val="TableContents"/>
              <w:bidi w:val="0"/>
              <w:spacing w:before="0" w:after="283"/>
              <w:jc w:val="right"/>
              <w:rPr/>
            </w:pPr>
            <w:r>
              <w:rPr/>
              <w:t> </w:t>
            </w:r>
          </w:p>
        </w:tc>
        <w:tc>
          <w:tcPr>
            <w:tcW w:w="2162" w:type="dxa"/>
            <w:tcBorders>
              <w:bottom w:val="single" w:sz="12" w:space="0" w:color="3B5AA4"/>
            </w:tcBorders>
            <w:shd w:fill="EBEDF8" w:val="clear"/>
            <w:tcMar>
              <w:bottom w:w="28" w:type="dxa"/>
            </w:tcMar>
            <w:vAlign w:val="center"/>
          </w:tcPr>
          <w:p>
            <w:pPr>
              <w:pStyle w:val="TableContents"/>
              <w:bidi w:val="0"/>
              <w:spacing w:before="0" w:after="283"/>
              <w:jc w:val="right"/>
              <w:rPr>
                <w:b/>
                <w:i/>
                <w:color w:val="231F20"/>
              </w:rPr>
            </w:pPr>
            <w:r>
              <w:rPr>
                <w:b/>
                <w:i/>
                <w:color w:val="231F20"/>
              </w:rPr>
              <w:t>P46</w:t>
            </w:r>
          </w:p>
        </w:tc>
      </w:tr>
    </w:tbl>
    <w:tbl>
      <w:tblPr>
        <w:tblW w:w="4135" w:type="dxa"/>
        <w:jc w:val="left"/>
        <w:tblInd w:w="0" w:type="dxa"/>
        <w:tblLayout w:type="fixed"/>
        <w:tblCellMar>
          <w:top w:w="0" w:type="dxa"/>
          <w:left w:w="0" w:type="dxa"/>
          <w:bottom w:w="0" w:type="dxa"/>
          <w:right w:w="0" w:type="dxa"/>
        </w:tblCellMar>
      </w:tblPr>
      <w:tblGrid>
        <w:gridCol w:w="200"/>
        <w:gridCol w:w="3935"/>
      </w:tblGrid>
      <w:tr>
        <w:trPr/>
        <w:tc>
          <w:tcPr>
            <w:tcW w:w="200" w:type="dxa"/>
            <w:tcBorders/>
            <w:vAlign w:val="center"/>
          </w:tcPr>
          <w:p>
            <w:pPr>
              <w:pStyle w:val="TableContents"/>
              <w:bidi w:val="0"/>
              <w:spacing w:before="0" w:after="283"/>
              <w:jc w:val="left"/>
              <w:rPr>
                <w:color w:val="010101"/>
              </w:rPr>
            </w:pPr>
            <w:r>
              <w:rPr>
                <w:color w:val="010101"/>
                <w:position w:val="8"/>
                <w:sz w:val="19"/>
              </w:rPr>
              <w:t>1</w:t>
            </w:r>
            <w:r>
              <w:rPr>
                <w:color w:val="010101"/>
              </w:rPr>
              <w:t> </w:t>
            </w:r>
          </w:p>
        </w:tc>
        <w:tc>
          <w:tcPr>
            <w:tcW w:w="3935" w:type="dxa"/>
            <w:tcBorders/>
            <w:vAlign w:val="center"/>
          </w:tcPr>
          <w:p>
            <w:pPr>
              <w:pStyle w:val="TableContents"/>
              <w:bidi w:val="0"/>
              <w:spacing w:before="0" w:after="283"/>
              <w:jc w:val="left"/>
              <w:rPr>
                <w:color w:val="231F20"/>
              </w:rPr>
            </w:pPr>
            <w:r>
              <w:rPr>
                <w:color w:val="231F20"/>
              </w:rPr>
              <w:t xml:space="preserve">Based on available data as of May 2024.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In making the compensation decisions in December 2024, we used data from publicly filed proxy statements of the companies in the Peer Group (as compiled by the Compensation Committee’s compensation consultant and management's compensation consultant) to review each component of compensation of our NEOs against their peers in the Peer Group as well as their total annual compensation in relation to the Peer Group, while giving regard to various factors such as the executives’ respective performance, past compensation history, experience, and role in the Company’s success. We use Peer Group data as a point of reference for measurement, but Peer Group data do not represent the only factor considered and there is no targeted pay level percentile. The Compensation Committee retains discretion in determining the nature and extent of the use of Peer Group data. The Compensation Committee may also review relevant data from U.S. life sciences compensation surveys. The total direct pay of each of our NEOs typically approximates the 75</w:t>
      </w:r>
      <w:r>
        <w:rPr>
          <w:rFonts w:ascii="Arial;Helvetica;Sans-Serif" w:hAnsi="Arial;Helvetica;Sans-Serif"/>
          <w:b w:val="false"/>
          <w:i w:val="false"/>
          <w:caps w:val="false"/>
          <w:smallCaps w:val="false"/>
          <w:color w:val="010101"/>
          <w:position w:val="6"/>
          <w:sz w:val="14"/>
          <w:sz w:val="18"/>
        </w:rPr>
        <w:t xml:space="preserve">th </w:t>
      </w:r>
      <w:r>
        <w:rPr>
          <w:rFonts w:ascii="Arial;Helvetica;Sans-Serif" w:hAnsi="Arial;Helvetica;Sans-Serif"/>
          <w:b w:val="false"/>
          <w:i w:val="false"/>
          <w:caps w:val="false"/>
          <w:smallCaps w:val="false"/>
          <w:color w:val="231F20"/>
          <w:sz w:val="18"/>
        </w:rPr>
        <w:t>percentile of a composite benchmark reflecting data from the Peer Group and broader U.S. life sciences compensation surveys.</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24"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305" descr=""/>
                          <pic:cNvPicPr>
                            <a:picLocks noChangeAspect="1" noChangeArrowheads="1"/>
                          </pic:cNvPicPr>
                        </pic:nvPicPr>
                        <pic:blipFill>
                          <a:blip r:embed="rId317"/>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116" w:name="regn013211-def14aa070"/>
      <w:bookmarkStart w:id="117" w:name="lregnb022"/>
      <w:bookmarkEnd w:id="116"/>
      <w:bookmarkEnd w:id="117"/>
      <w:r>
        <w:rPr>
          <w:rFonts w:ascii="Arial;Helvetica;Sans-Serif" w:hAnsi="Arial;Helvetica;Sans-Serif"/>
          <w:b/>
          <w:i w:val="false"/>
          <w:caps w:val="false"/>
          <w:smallCaps w:val="false"/>
          <w:color w:val="C60C44"/>
          <w:sz w:val="28"/>
        </w:rPr>
        <w:t>Risk Assessment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believe that the Company’s programs balance risk and potential reward in a manner that is appropriate to the Company’s circumstances and in the best interests of the Company’s shareholders over the long term. We also believe that the Company’s compensation and benefits programs do not create risks that are reasonably likely to have a material adverse effect on the Company. We regularly review the Company’s compensation and benefits programs, including its executive compensation program and its incentive-based compensation programs (such as sales incentive plans). At least annually, the Compensation Committee reviews and considers a compensation program risk assessment performed by its independent compensation consultant.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Company’s compensation and governance-related policies are further enhanced by our stock ownership guidelines applicable to our senior officers (see “Corporate Governance—Certain Governance Policies—Stock Ownership Guidelines” for more information) and our policy regarding recoupment or reduction (clawback) of incentive compensation. Since 2015, the Company has maintained a policy regarding recoupment or reduction (clawback) of incentive compensation awarded to our officers and other specified employees for compliance violations, which applies to bonus and other incentive compensation regardless of whether paid or payable in cash, equity, or otherwise and regardless of whether such compensation has been earned or vested (the “Clawback Policy”). In addition, the Clawback Policy covers both financial and non-financial violations resulting in a significant harm to the Company’s business, prospects, results of operations, or financial condition. Under the Clawback Policy, the board and any designated committee of the board have full discretion to make recoupment and reduction decisions as they may deem appropriate subject to applicable law, the Company’s compensation plans in effect from time to time, and all relevant contractual obligations. In addition, in 2023, the Company adopted a supplement to the Clawback Policy (the “Clawback Policy Supplement”) to comply with changes to the listing standards of the Nasdaq Stock Market LLC. The Clawback Policy Supplement generally provides that, in the event we are required to prepare an accounting restatement due to material noncompliance with financial reporting requirements, we will recover any Incentive-Based Compensation (as defined below) erroneously received on or after October 2, 2023 by a current or former “officer” of the Company (as defined under Section 16 of the Exchange Act) during the three completed fiscal years immediately preceding the date on which the accounting restatement is determined to be required. Under the Clawback Policy Supplement, “Incentive-Based Compensation” is defined as any compensation that is granted, earned, or vested based wholly or in part upon the attainment of a financial reporting measure (which is defined to include stock price and TSR).</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also have adopted policies against hedging and pledging of our securities by our directors and employees, including the NEOs; and against including excise tax gross-up provisions with respect to payments contingent upon a change in control of Regeneron in contracts, compensatory plans, or other arrangements with the Company’s executive officers, including the NEOs (other than the existing employment agreement with our CEO or any amendments thereto, which we expressly exempted).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These policies demonstrate Regeneron’s continued commitment to robust corporate governance and are meant to reduce compensation-related risks and ensure greater alignment of the interests of our employees, including the NEOs, and those of the Company and our shareholders.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4"/>
        <w:bidi w:val="0"/>
        <w:spacing w:before="0" w:after="0"/>
        <w:ind w:left="0" w:right="0" w:hanging="0"/>
        <w:jc w:val="left"/>
        <w:rPr>
          <w:rFonts w:ascii="Arial;Helvetica;Sans-Serif" w:hAnsi="Arial;Helvetica;Sans-Serif"/>
          <w:b/>
          <w:i w:val="false"/>
          <w:caps w:val="false"/>
          <w:smallCaps w:val="false"/>
          <w:color w:val="C60C44"/>
          <w:sz w:val="28"/>
        </w:rPr>
      </w:pPr>
      <w:bookmarkStart w:id="118" w:name="regn013211-def14aa071"/>
      <w:bookmarkStart w:id="119" w:name="lregnb023"/>
      <w:bookmarkEnd w:id="118"/>
      <w:bookmarkEnd w:id="119"/>
      <w:r>
        <w:rPr>
          <w:rFonts w:ascii="Arial;Helvetica;Sans-Serif" w:hAnsi="Arial;Helvetica;Sans-Serif"/>
          <w:b/>
          <w:i w:val="false"/>
          <w:caps w:val="false"/>
          <w:smallCaps w:val="false"/>
          <w:color w:val="C60C44"/>
          <w:sz w:val="28"/>
        </w:rPr>
        <w:t>Tax Implications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take tax considerations into account in making our compensation-related assessments and decisions, including the deductibility of compensation in determining NEOs’ compensation. However, we reserve the right to use our judgment to authorize compensation payments that are not deductible, such as when we believe that such payments are necessary to maintain the flexibility needed to attract talent, promote executive retention, reward performance, or attain other Company objectives, or as required to comply with the Company’s contractual commitments.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Due to the requirements set forth in Section 274(e)(2) of the Internal Revenue Code, Company-provided personal and guest air travel (which is provided by the Company only to the extent permitted under board-approved guidelines and a security policy adopted by the board based on an independent, third-party security study) results in a partial disallowance of the related corporate tax deductions. In 2024, this disallowance amounted to approximately $3.4 million.</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25"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306" descr=""/>
                          <pic:cNvPicPr>
                            <a:picLocks noChangeAspect="1" noChangeArrowheads="1"/>
                          </pic:cNvPicPr>
                        </pic:nvPicPr>
                        <pic:blipFill>
                          <a:blip r:embed="rId318"/>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120" w:name="regn013211-def14aa072"/>
      <w:bookmarkStart w:id="121" w:name="lregnb024"/>
      <w:bookmarkEnd w:id="120"/>
      <w:bookmarkEnd w:id="121"/>
      <w:r>
        <w:rPr>
          <w:rFonts w:ascii="Arial;Helvetica;Sans-Serif" w:hAnsi="Arial;Helvetica;Sans-Serif"/>
          <w:b/>
          <w:i w:val="false"/>
          <w:caps w:val="false"/>
          <w:smallCaps w:val="false"/>
          <w:color w:val="3B5AA4"/>
          <w:sz w:val="32"/>
        </w:rPr>
        <w:t>Compensation Committee Report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the undersigned members of the Compensation Committee, have reviewed and discussed with management the Compensation Discussion and Analysis set forth above. Based on that review and discussion, the undersigned members of the Compensation Committee have recommended to the board of directors that the Compensation Discussion and Analysis be included in this proxy statement.</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3065" w:type="dxa"/>
        <w:jc w:val="left"/>
        <w:tblInd w:w="0" w:type="dxa"/>
        <w:tblLayout w:type="fixed"/>
        <w:tblCellMar>
          <w:top w:w="0" w:type="dxa"/>
          <w:left w:w="0" w:type="dxa"/>
          <w:bottom w:w="0" w:type="dxa"/>
          <w:right w:w="0" w:type="dxa"/>
        </w:tblCellMar>
      </w:tblPr>
      <w:tblGrid>
        <w:gridCol w:w="75"/>
        <w:gridCol w:w="2915"/>
        <w:gridCol w:w="75"/>
      </w:tblGrid>
      <w:tr>
        <w:trPr/>
        <w:tc>
          <w:tcPr>
            <w:tcW w:w="7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i/>
                <w:color w:val="231F20"/>
              </w:rPr>
              <w:t>The Compensation Committee</w:t>
            </w:r>
            <w:r>
              <w:rPr/>
              <w:br/>
            </w:r>
            <w:r>
              <w:rPr>
                <w:color w:val="231F20"/>
              </w:rPr>
              <w:t>Christine A. Poon, Chair</w:t>
            </w:r>
            <w:r>
              <w:rPr/>
              <w:br/>
            </w:r>
            <w:r>
              <w:rPr>
                <w:color w:val="231F20"/>
              </w:rPr>
              <w:t>George L. Sing</w:t>
            </w:r>
            <w:r>
              <w:rPr/>
              <w:br/>
            </w:r>
            <w:r>
              <w:rPr>
                <w:color w:val="231F20"/>
              </w:rPr>
              <w:t>Huda Y. Zoghbi, M.D.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3"/>
        <w:bidi w:val="0"/>
        <w:spacing w:before="0" w:after="0"/>
        <w:ind w:left="0" w:right="0" w:hanging="0"/>
        <w:jc w:val="left"/>
        <w:rPr>
          <w:rFonts w:ascii="Arial;Helvetica;Sans-Serif" w:hAnsi="Arial;Helvetica;Sans-Serif"/>
          <w:b/>
          <w:i w:val="false"/>
          <w:caps w:val="false"/>
          <w:smallCaps w:val="false"/>
          <w:color w:val="3B5AA4"/>
          <w:sz w:val="32"/>
        </w:rPr>
      </w:pPr>
      <w:bookmarkStart w:id="122" w:name="regn013211-def14aa073"/>
      <w:bookmarkStart w:id="123" w:name="lregnb025"/>
      <w:bookmarkEnd w:id="122"/>
      <w:bookmarkEnd w:id="123"/>
      <w:r>
        <w:rPr>
          <w:rFonts w:ascii="Arial;Helvetica;Sans-Serif" w:hAnsi="Arial;Helvetica;Sans-Serif"/>
          <w:b/>
          <w:i w:val="false"/>
          <w:caps w:val="false"/>
          <w:smallCaps w:val="false"/>
          <w:color w:val="3B5AA4"/>
          <w:sz w:val="32"/>
        </w:rPr>
        <w:t>Compensation Committee Interlocks and Insider Participation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26"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07" descr=""/>
                          <pic:cNvPicPr>
                            <a:picLocks noChangeAspect="1" noChangeArrowheads="1"/>
                          </pic:cNvPicPr>
                        </pic:nvPicPr>
                        <pic:blipFill>
                          <a:blip r:embed="rId31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124" w:name="regn013211-def14aa074"/>
      <w:bookmarkStart w:id="125" w:name="lregnb026"/>
      <w:bookmarkEnd w:id="124"/>
      <w:bookmarkEnd w:id="125"/>
      <w:r>
        <w:rPr>
          <w:rFonts w:ascii="Arial;Helvetica;Sans-Serif" w:hAnsi="Arial;Helvetica;Sans-Serif"/>
          <w:b/>
          <w:i w:val="false"/>
          <w:caps w:val="false"/>
          <w:smallCaps w:val="false"/>
          <w:color w:val="C60C45"/>
          <w:sz w:val="40"/>
        </w:rPr>
        <w:t>Compensation Dashboard</w:t>
      </w:r>
    </w:p>
    <w:p>
      <w:pPr>
        <w:pStyle w:val="TextBody"/>
        <w:bidi w:val="0"/>
        <w:spacing w:before="0" w:after="0"/>
        <w:ind w:left="0" w:right="0" w:hanging="0"/>
        <w:jc w:val="left"/>
        <w:rPr>
          <w:caps w:val="false"/>
          <w:smallCaps w:val="false"/>
          <w:color w:val="DB0A67"/>
        </w:rPr>
      </w:pPr>
      <w:r>
        <w:rPr>
          <w:caps w:val="false"/>
          <w:smallCaps w:val="false"/>
          <w:color w:val="DB0A67"/>
        </w:rPr>
        <w:t> </w:t>
      </w:r>
    </w:p>
    <w:p>
      <w:pPr>
        <w:pStyle w:val="Heading3"/>
        <w:bidi w:val="0"/>
        <w:spacing w:before="0" w:after="0"/>
        <w:ind w:left="0" w:right="0" w:hanging="0"/>
        <w:jc w:val="left"/>
        <w:rPr>
          <w:rFonts w:ascii="Arial;Helvetica;Sans-Serif" w:hAnsi="Arial;Helvetica;Sans-Serif"/>
          <w:b/>
          <w:i w:val="false"/>
          <w:caps w:val="false"/>
          <w:smallCaps w:val="false"/>
          <w:color w:val="2864AF"/>
          <w:sz w:val="32"/>
        </w:rPr>
      </w:pPr>
      <w:bookmarkStart w:id="126" w:name="regn013211-def14aa075"/>
      <w:bookmarkStart w:id="127" w:name="lregnb027"/>
      <w:bookmarkEnd w:id="126"/>
      <w:bookmarkEnd w:id="127"/>
      <w:r>
        <w:rPr>
          <w:rFonts w:ascii="Arial;Helvetica;Sans-Serif" w:hAnsi="Arial;Helvetica;Sans-Serif"/>
          <w:b/>
          <w:i w:val="false"/>
          <w:caps w:val="false"/>
          <w:smallCaps w:val="false"/>
          <w:color w:val="2864AF"/>
          <w:sz w:val="32"/>
        </w:rPr>
        <w:t>2024 Executive Compensation Tables</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and accompanying footnotes provide information regarding compensation earned by, or paid to, our NEOs during the last three fiscal years (other than with respect to Mr. Fenimore, who qualified as an NEO for 2024 but not for 2023 or 2022).</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28" w:name="regn013211-def14aa076"/>
      <w:bookmarkStart w:id="129" w:name="lregnb028"/>
      <w:bookmarkEnd w:id="128"/>
      <w:bookmarkEnd w:id="129"/>
      <w:r>
        <w:rPr>
          <w:rFonts w:ascii="Arial;Helvetica;Sans-Serif" w:hAnsi="Arial;Helvetica;Sans-Serif"/>
          <w:b/>
          <w:i w:val="false"/>
          <w:caps w:val="false"/>
          <w:smallCaps w:val="false"/>
          <w:color w:val="C60C45"/>
          <w:sz w:val="28"/>
        </w:rPr>
        <w:t>2024 Summary Compensation Table</w:t>
      </w:r>
    </w:p>
    <w:p>
      <w:pPr>
        <w:pStyle w:val="TextBody"/>
        <w:bidi w:val="0"/>
        <w:spacing w:before="0" w:after="0"/>
        <w:ind w:left="0" w:right="0" w:hanging="0"/>
        <w:jc w:val="left"/>
        <w:rPr>
          <w:caps w:val="false"/>
          <w:smallCaps w:val="false"/>
          <w:color w:val="DB0A67"/>
        </w:rPr>
      </w:pPr>
      <w:r>
        <w:rPr>
          <w:caps w:val="false"/>
          <w:smallCaps w:val="false"/>
          <w:color w:val="DB0A67"/>
        </w:rPr>
        <w:t> </w:t>
      </w:r>
    </w:p>
    <w:tbl>
      <w:tblPr>
        <w:tblW w:w="10205" w:type="dxa"/>
        <w:jc w:val="left"/>
        <w:tblInd w:w="0" w:type="dxa"/>
        <w:tblLayout w:type="fixed"/>
        <w:tblCellMar>
          <w:top w:w="0" w:type="dxa"/>
          <w:left w:w="0" w:type="dxa"/>
          <w:bottom w:w="28" w:type="dxa"/>
          <w:right w:w="0" w:type="dxa"/>
        </w:tblCellMar>
      </w:tblPr>
      <w:tblGrid>
        <w:gridCol w:w="2210"/>
        <w:gridCol w:w="60"/>
        <w:gridCol w:w="500"/>
        <w:gridCol w:w="60"/>
        <w:gridCol w:w="980"/>
        <w:gridCol w:w="185"/>
        <w:gridCol w:w="980"/>
        <w:gridCol w:w="60"/>
        <w:gridCol w:w="980"/>
        <w:gridCol w:w="60"/>
        <w:gridCol w:w="1385"/>
        <w:gridCol w:w="60"/>
        <w:gridCol w:w="60"/>
        <w:gridCol w:w="1385"/>
        <w:gridCol w:w="185"/>
        <w:gridCol w:w="60"/>
        <w:gridCol w:w="995"/>
      </w:tblGrid>
      <w:tr>
        <w:trPr/>
        <w:tc>
          <w:tcPr>
            <w:tcW w:w="2210" w:type="dxa"/>
            <w:tcBorders>
              <w:bottom w:val="single" w:sz="2" w:space="0" w:color="CCCCCC"/>
            </w:tcBorders>
            <w:vAlign w:val="center"/>
          </w:tcPr>
          <w:p>
            <w:pPr>
              <w:pStyle w:val="TableContents"/>
              <w:bidi w:val="0"/>
              <w:spacing w:before="0" w:after="283"/>
              <w:jc w:val="center"/>
              <w:rPr>
                <w:color w:val="3B5AA4"/>
              </w:rPr>
            </w:pPr>
            <w:r>
              <w:rPr>
                <w:color w:val="3B5AA4"/>
              </w:rPr>
              <w:t>A</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500" w:type="dxa"/>
            <w:tcBorders>
              <w:bottom w:val="single" w:sz="2" w:space="0" w:color="CCCCCC"/>
            </w:tcBorders>
            <w:vAlign w:val="center"/>
          </w:tcPr>
          <w:p>
            <w:pPr>
              <w:pStyle w:val="TableContents"/>
              <w:bidi w:val="0"/>
              <w:spacing w:before="0" w:after="283"/>
              <w:jc w:val="center"/>
              <w:rPr>
                <w:color w:val="3B5AA4"/>
              </w:rPr>
            </w:pPr>
            <w:r>
              <w:rPr>
                <w:color w:val="3B5AA4"/>
              </w:rPr>
              <w:t>B</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80" w:type="dxa"/>
            <w:tcBorders>
              <w:bottom w:val="single" w:sz="2" w:space="0" w:color="CCCCCC"/>
            </w:tcBorders>
            <w:vAlign w:val="center"/>
          </w:tcPr>
          <w:p>
            <w:pPr>
              <w:pStyle w:val="TableContents"/>
              <w:bidi w:val="0"/>
              <w:spacing w:before="0" w:after="283"/>
              <w:jc w:val="center"/>
              <w:rPr>
                <w:color w:val="3B5AA4"/>
              </w:rPr>
            </w:pPr>
            <w:r>
              <w:rPr>
                <w:color w:val="3B5AA4"/>
              </w:rPr>
              <w:t>C</w:t>
            </w:r>
          </w:p>
        </w:tc>
        <w:tc>
          <w:tcPr>
            <w:tcW w:w="185"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80" w:type="dxa"/>
            <w:tcBorders>
              <w:bottom w:val="single" w:sz="2" w:space="0" w:color="CCCCCC"/>
            </w:tcBorders>
            <w:vAlign w:val="center"/>
          </w:tcPr>
          <w:p>
            <w:pPr>
              <w:pStyle w:val="TableContents"/>
              <w:bidi w:val="0"/>
              <w:spacing w:before="0" w:after="283"/>
              <w:jc w:val="center"/>
              <w:rPr>
                <w:color w:val="3B5AA4"/>
              </w:rPr>
            </w:pPr>
            <w:r>
              <w:rPr>
                <w:color w:val="3B5AA4"/>
              </w:rPr>
              <w:t>E</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80" w:type="dxa"/>
            <w:tcBorders>
              <w:bottom w:val="single" w:sz="2" w:space="0" w:color="CCCCCC"/>
            </w:tcBorders>
            <w:vAlign w:val="center"/>
          </w:tcPr>
          <w:p>
            <w:pPr>
              <w:pStyle w:val="TableContents"/>
              <w:bidi w:val="0"/>
              <w:spacing w:before="0" w:after="283"/>
              <w:jc w:val="center"/>
              <w:rPr>
                <w:color w:val="3B5AA4"/>
              </w:rPr>
            </w:pPr>
            <w:r>
              <w:rPr>
                <w:color w:val="3B5AA4"/>
              </w:rPr>
              <w:t>F</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385" w:type="dxa"/>
            <w:tcBorders>
              <w:bottom w:val="single" w:sz="2" w:space="0" w:color="CCCCCC"/>
            </w:tcBorders>
            <w:vAlign w:val="center"/>
          </w:tcPr>
          <w:p>
            <w:pPr>
              <w:pStyle w:val="TableContents"/>
              <w:bidi w:val="0"/>
              <w:spacing w:before="0" w:after="283"/>
              <w:jc w:val="center"/>
              <w:rPr>
                <w:color w:val="3B5AA4"/>
              </w:rPr>
            </w:pPr>
            <w:r>
              <w:rPr>
                <w:color w:val="3B5AA4"/>
              </w:rPr>
              <w:t>G</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385" w:type="dxa"/>
            <w:tcBorders>
              <w:bottom w:val="single" w:sz="2" w:space="0" w:color="CCCCCC"/>
            </w:tcBorders>
            <w:vAlign w:val="center"/>
          </w:tcPr>
          <w:p>
            <w:pPr>
              <w:pStyle w:val="TableContents"/>
              <w:bidi w:val="0"/>
              <w:spacing w:before="0" w:after="283"/>
              <w:jc w:val="center"/>
              <w:rPr>
                <w:color w:val="3B5AA4"/>
              </w:rPr>
            </w:pPr>
            <w:r>
              <w:rPr>
                <w:color w:val="3B5AA4"/>
              </w:rPr>
              <w:t>I</w:t>
            </w:r>
          </w:p>
        </w:tc>
        <w:tc>
          <w:tcPr>
            <w:tcW w:w="185"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95" w:type="dxa"/>
            <w:tcBorders>
              <w:bottom w:val="single" w:sz="2" w:space="0" w:color="CCCCCC"/>
            </w:tcBorders>
            <w:vAlign w:val="center"/>
          </w:tcPr>
          <w:p>
            <w:pPr>
              <w:pStyle w:val="TableContents"/>
              <w:bidi w:val="0"/>
              <w:spacing w:before="0" w:after="283"/>
              <w:jc w:val="center"/>
              <w:rPr>
                <w:color w:val="3B5AA4"/>
              </w:rPr>
            </w:pPr>
            <w:r>
              <w:rPr>
                <w:color w:val="3B5AA4"/>
              </w:rPr>
              <w:t>J</w:t>
            </w:r>
          </w:p>
        </w:tc>
      </w:tr>
      <w:tr>
        <w:trPr/>
        <w:tc>
          <w:tcPr>
            <w:tcW w:w="2210" w:type="dxa"/>
            <w:tcBorders>
              <w:bottom w:val="single" w:sz="2" w:space="0" w:color="CCCCCC"/>
            </w:tcBorders>
            <w:vAlign w:val="center"/>
          </w:tcPr>
          <w:p>
            <w:pPr>
              <w:pStyle w:val="TableContents"/>
              <w:bidi w:val="0"/>
              <w:spacing w:before="0" w:after="283"/>
              <w:jc w:val="left"/>
              <w:rPr>
                <w:color w:val="3B5AA4"/>
              </w:rPr>
            </w:pPr>
            <w:r>
              <w:rPr>
                <w:color w:val="3B5AA4"/>
              </w:rPr>
              <w:t>Name and principal position</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500" w:type="dxa"/>
            <w:tcBorders>
              <w:bottom w:val="single" w:sz="2" w:space="0" w:color="CCCCCC"/>
            </w:tcBorders>
            <w:vAlign w:val="center"/>
          </w:tcPr>
          <w:p>
            <w:pPr>
              <w:pStyle w:val="TableContents"/>
              <w:bidi w:val="0"/>
              <w:spacing w:before="0" w:after="283"/>
              <w:jc w:val="right"/>
              <w:rPr>
                <w:color w:val="3B5AA4"/>
              </w:rPr>
            </w:pPr>
            <w:r>
              <w:rPr>
                <w:color w:val="3B5AA4"/>
              </w:rPr>
              <w:t>Year</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80" w:type="dxa"/>
            <w:tcBorders>
              <w:bottom w:val="single" w:sz="2" w:space="0" w:color="CCCCCC"/>
            </w:tcBorders>
            <w:vAlign w:val="center"/>
          </w:tcPr>
          <w:p>
            <w:pPr>
              <w:pStyle w:val="TableContents"/>
              <w:bidi w:val="0"/>
              <w:spacing w:before="0" w:after="283"/>
              <w:jc w:val="right"/>
              <w:rPr>
                <w:color w:val="3B5AA4"/>
              </w:rPr>
            </w:pPr>
            <w:r>
              <w:rPr>
                <w:color w:val="3B5AA4"/>
              </w:rPr>
              <w:t>Salary</w:t>
              <w:br/>
              <w:t>($)</w:t>
            </w:r>
          </w:p>
        </w:tc>
        <w:tc>
          <w:tcPr>
            <w:tcW w:w="185"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80" w:type="dxa"/>
            <w:tcBorders>
              <w:bottom w:val="single" w:sz="2" w:space="0" w:color="CCCCCC"/>
            </w:tcBorders>
            <w:vAlign w:val="center"/>
          </w:tcPr>
          <w:p>
            <w:pPr>
              <w:pStyle w:val="TableContents"/>
              <w:bidi w:val="0"/>
              <w:spacing w:before="0" w:after="283"/>
              <w:jc w:val="right"/>
              <w:rPr>
                <w:color w:val="3B5AA4"/>
              </w:rPr>
            </w:pPr>
            <w:r>
              <w:rPr>
                <w:color w:val="3B5AA4"/>
              </w:rPr>
              <w:t>Stock</w:t>
              <w:br/>
              <w:t>awards</w:t>
              <w:br/>
              <w:t>($)</w:t>
            </w:r>
            <w:r>
              <w:rPr>
                <w:color w:val="3B5AA4"/>
                <w:position w:val="8"/>
                <w:sz w:val="19"/>
              </w:rPr>
              <w:t>1</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80" w:type="dxa"/>
            <w:tcBorders>
              <w:bottom w:val="single" w:sz="2" w:space="0" w:color="CCCCCC"/>
            </w:tcBorders>
            <w:vAlign w:val="center"/>
          </w:tcPr>
          <w:p>
            <w:pPr>
              <w:pStyle w:val="TableContents"/>
              <w:bidi w:val="0"/>
              <w:spacing w:before="0" w:after="283"/>
              <w:jc w:val="right"/>
              <w:rPr>
                <w:color w:val="3B5AA4"/>
              </w:rPr>
            </w:pPr>
            <w:r>
              <w:rPr>
                <w:color w:val="3B5AA4"/>
              </w:rPr>
              <w:t>Option</w:t>
              <w:br/>
              <w:t>awards</w:t>
              <w:br/>
              <w:t>($)</w:t>
            </w:r>
            <w:r>
              <w:rPr>
                <w:color w:val="3B5AA4"/>
                <w:position w:val="8"/>
                <w:sz w:val="19"/>
              </w:rPr>
              <w:t>1</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385" w:type="dxa"/>
            <w:tcBorders>
              <w:bottom w:val="single" w:sz="2" w:space="0" w:color="CCCCCC"/>
            </w:tcBorders>
            <w:vAlign w:val="center"/>
          </w:tcPr>
          <w:p>
            <w:pPr>
              <w:pStyle w:val="TableContents"/>
              <w:bidi w:val="0"/>
              <w:spacing w:before="0" w:after="283"/>
              <w:jc w:val="right"/>
              <w:rPr>
                <w:color w:val="3B5AA4"/>
              </w:rPr>
            </w:pPr>
            <w:r>
              <w:rPr>
                <w:color w:val="3B5AA4"/>
              </w:rPr>
              <w:t>Non-Equity</w:t>
              <w:br/>
              <w:t>Incentive Plan</w:t>
              <w:br/>
              <w:t>Compensation</w:t>
              <w:br/>
              <w:t>($)</w:t>
            </w:r>
            <w:r>
              <w:rPr>
                <w:color w:val="3B5AA4"/>
                <w:position w:val="8"/>
                <w:sz w:val="19"/>
              </w:rPr>
              <w:t>2</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385" w:type="dxa"/>
            <w:tcBorders>
              <w:bottom w:val="single" w:sz="2" w:space="0" w:color="CCCCCC"/>
            </w:tcBorders>
            <w:vAlign w:val="center"/>
          </w:tcPr>
          <w:p>
            <w:pPr>
              <w:pStyle w:val="TableContents"/>
              <w:bidi w:val="0"/>
              <w:spacing w:before="0" w:after="283"/>
              <w:jc w:val="right"/>
              <w:rPr>
                <w:color w:val="3B5AA4"/>
              </w:rPr>
            </w:pPr>
            <w:r>
              <w:rPr>
                <w:color w:val="3B5AA4"/>
              </w:rPr>
              <w:t>All Other</w:t>
              <w:br/>
              <w:t>Compensation</w:t>
              <w:br/>
              <w:t>($)</w:t>
            </w:r>
            <w:r>
              <w:rPr>
                <w:color w:val="3B5AA4"/>
                <w:position w:val="8"/>
                <w:sz w:val="19"/>
              </w:rPr>
              <w:t>3</w:t>
            </w:r>
          </w:p>
        </w:tc>
        <w:tc>
          <w:tcPr>
            <w:tcW w:w="185"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95" w:type="dxa"/>
            <w:tcBorders>
              <w:bottom w:val="single" w:sz="2" w:space="0" w:color="CCCCCC"/>
            </w:tcBorders>
            <w:vAlign w:val="center"/>
          </w:tcPr>
          <w:p>
            <w:pPr>
              <w:pStyle w:val="TableContents"/>
              <w:bidi w:val="0"/>
              <w:spacing w:before="0" w:after="283"/>
              <w:jc w:val="right"/>
              <w:rPr>
                <w:color w:val="3B5AA4"/>
              </w:rPr>
            </w:pPr>
            <w:r>
              <w:rPr>
                <w:color w:val="3B5AA4"/>
              </w:rPr>
              <w:t>Total</w:t>
              <w:br/>
              <w:t>($)</w:t>
            </w:r>
          </w:p>
        </w:tc>
      </w:tr>
      <w:tr>
        <w:trPr/>
        <w:tc>
          <w:tcPr>
            <w:tcW w:w="2210" w:type="dxa"/>
            <w:vMerge w:val="restart"/>
            <w:tcBorders>
              <w:bottom w:val="single" w:sz="2" w:space="0" w:color="CCCCCC"/>
            </w:tcBorders>
            <w:vAlign w:val="center"/>
          </w:tcPr>
          <w:p>
            <w:pPr>
              <w:pStyle w:val="TableContents"/>
              <w:bidi w:val="0"/>
              <w:spacing w:before="0" w:after="283"/>
              <w:jc w:val="left"/>
              <w:rPr/>
            </w:pPr>
            <w:r>
              <w:rPr>
                <w:b/>
                <w:color w:val="3B5AA4"/>
              </w:rPr>
              <w:t>Leonard S. Schleifer, M.D., Ph.D.</w:t>
            </w:r>
            <w:r>
              <w:rPr/>
              <w:t xml:space="preserve"> </w:t>
              <w:br/>
              <w:t>Board co-Chair, President and Chief Executive Officer</w:t>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2024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1,941,100</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3,493,980</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385" w:type="dxa"/>
            <w:tcBorders>
              <w:bottom w:val="single" w:sz="2" w:space="0" w:color="CCCCCC"/>
            </w:tcBorders>
            <w:vAlign w:val="center"/>
          </w:tcPr>
          <w:p>
            <w:pPr>
              <w:pStyle w:val="TableContents"/>
              <w:bidi w:val="0"/>
              <w:spacing w:before="0" w:after="283"/>
              <w:jc w:val="right"/>
              <w:rPr/>
            </w:pPr>
            <w:r>
              <w:rPr/>
              <w:t>1,387,954</w:t>
            </w:r>
          </w:p>
        </w:tc>
        <w:tc>
          <w:tcPr>
            <w:tcW w:w="185" w:type="dxa"/>
            <w:tcBorders>
              <w:bottom w:val="single" w:sz="2" w:space="0" w:color="CCCCCC"/>
            </w:tcBorders>
            <w:vAlign w:val="center"/>
          </w:tcPr>
          <w:p>
            <w:pPr>
              <w:pStyle w:val="TableContents"/>
              <w:bidi w:val="0"/>
              <w:spacing w:before="0" w:after="283"/>
              <w:jc w:val="left"/>
              <w:rPr/>
            </w:pPr>
            <w:r>
              <w:rPr>
                <w:position w:val="8"/>
                <w:sz w:val="19"/>
              </w:rPr>
              <w:t>4</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6,823,034</w:t>
            </w:r>
          </w:p>
        </w:tc>
      </w:tr>
      <w:tr>
        <w:trPr/>
        <w:tc>
          <w:tcPr>
            <w:tcW w:w="2210"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2023</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1,875,415</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4,275,946</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2,032,977</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8,184,338</w:t>
            </w:r>
          </w:p>
        </w:tc>
      </w:tr>
      <w:tr>
        <w:trPr/>
        <w:tc>
          <w:tcPr>
            <w:tcW w:w="2210"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2022</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1,811,995</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4,131,349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1,060,725</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7,004,069</w:t>
            </w:r>
          </w:p>
        </w:tc>
      </w:tr>
      <w:tr>
        <w:trPr/>
        <w:tc>
          <w:tcPr>
            <w:tcW w:w="2210" w:type="dxa"/>
            <w:vMerge w:val="restart"/>
            <w:tcBorders>
              <w:bottom w:val="single" w:sz="2" w:space="0" w:color="CCCCCC"/>
            </w:tcBorders>
            <w:shd w:fill="EBEBEC" w:val="clear"/>
            <w:vAlign w:val="center"/>
          </w:tcPr>
          <w:p>
            <w:pPr>
              <w:pStyle w:val="TableContents"/>
              <w:bidi w:val="0"/>
              <w:spacing w:before="0" w:after="283"/>
              <w:jc w:val="left"/>
              <w:rPr/>
            </w:pPr>
            <w:r>
              <w:rPr>
                <w:b/>
                <w:color w:val="3B5AA4"/>
              </w:rPr>
              <w:t>George D. Yancopoulos, M.D., Ph.D.</w:t>
            </w:r>
            <w:r>
              <w:rPr/>
              <w:t xml:space="preserve"> </w:t>
              <w:br/>
              <w:t>Board co-Chair, President and Chief Scientific Officer</w:t>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2024</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1,941,100</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3,493,980</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385" w:type="dxa"/>
            <w:tcBorders>
              <w:bottom w:val="single" w:sz="2" w:space="0" w:color="CCCCCC"/>
            </w:tcBorders>
            <w:shd w:fill="EBEBEC" w:val="clear"/>
            <w:vAlign w:val="center"/>
          </w:tcPr>
          <w:p>
            <w:pPr>
              <w:pStyle w:val="TableContents"/>
              <w:bidi w:val="0"/>
              <w:spacing w:before="0" w:after="283"/>
              <w:jc w:val="right"/>
              <w:rPr/>
            </w:pPr>
            <w:r>
              <w:rPr/>
              <w:t>1,361,703</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5</w:t>
            </w: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6,796,783</w:t>
            </w:r>
          </w:p>
        </w:tc>
      </w:tr>
      <w:tr>
        <w:trPr/>
        <w:tc>
          <w:tcPr>
            <w:tcW w:w="2210" w:type="dxa"/>
            <w:vMerge w:val="continue"/>
            <w:tcBorders>
              <w:bottom w:val="single" w:sz="2" w:space="0" w:color="CCCCCC"/>
            </w:tcBorders>
            <w:shd w:fill="EBEBEC" w:val="clear"/>
            <w:vAlign w:val="center"/>
          </w:tcPr>
          <w:p>
            <w:pPr>
              <w:pStyle w:val="Normal"/>
              <w:bidi w:val="0"/>
              <w:jc w:val="left"/>
              <w:rPr/>
            </w:pPr>
            <w:r>
              <w:rPr/>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2023</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1,875,415</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4,275,946</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1,608,469</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7,759,830</w:t>
            </w:r>
          </w:p>
        </w:tc>
      </w:tr>
      <w:tr>
        <w:trPr/>
        <w:tc>
          <w:tcPr>
            <w:tcW w:w="2210" w:type="dxa"/>
            <w:vMerge w:val="continue"/>
            <w:tcBorders>
              <w:bottom w:val="single" w:sz="2" w:space="0" w:color="CCCCCC"/>
            </w:tcBorders>
            <w:shd w:fill="EBEBEC" w:val="clear"/>
            <w:vAlign w:val="center"/>
          </w:tcPr>
          <w:p>
            <w:pPr>
              <w:pStyle w:val="Normal"/>
              <w:bidi w:val="0"/>
              <w:jc w:val="left"/>
              <w:rPr/>
            </w:pPr>
            <w:r>
              <w:rPr/>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2022</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1,811,995</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4,131,349</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650,352</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6,593,696</w:t>
            </w:r>
          </w:p>
        </w:tc>
      </w:tr>
      <w:tr>
        <w:trPr/>
        <w:tc>
          <w:tcPr>
            <w:tcW w:w="2210" w:type="dxa"/>
            <w:tcBorders>
              <w:bottom w:val="single" w:sz="2" w:space="0" w:color="CCCCCC"/>
            </w:tcBorders>
            <w:vAlign w:val="center"/>
          </w:tcPr>
          <w:p>
            <w:pPr>
              <w:pStyle w:val="TableContents"/>
              <w:bidi w:val="0"/>
              <w:spacing w:before="0" w:after="283"/>
              <w:jc w:val="left"/>
              <w:rPr>
                <w:color w:val="3B5AA4"/>
              </w:rPr>
            </w:pPr>
            <w:r>
              <w:rPr>
                <w:b/>
                <w:color w:val="3B5AA4"/>
              </w:rPr>
              <w:t>Christopher Fenimore</w:t>
            </w:r>
            <w:r>
              <w:rPr>
                <w:color w:val="3B5AA4"/>
              </w:rPr>
              <w:br/>
            </w:r>
            <w:r>
              <w:rPr>
                <w:color w:val="000000"/>
              </w:rPr>
              <w:t>Executive Vice President, Finance and Chief Financial Officer</w:t>
            </w:r>
            <w:r>
              <w:rPr>
                <w:color w:val="000000"/>
                <w:position w:val="8"/>
                <w:sz w:val="19"/>
              </w:rPr>
              <w:t>6</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2024</w:t>
            </w:r>
          </w:p>
        </w:tc>
        <w:tc>
          <w:tcPr>
            <w:tcW w:w="60" w:type="dxa"/>
            <w:tcBorders>
              <w:bottom w:val="single" w:sz="2" w:space="0" w:color="CCCCCC"/>
            </w:tcBorders>
            <w:vAlign w:val="center"/>
          </w:tcPr>
          <w:p>
            <w:pPr>
              <w:pStyle w:val="TableContents"/>
              <w:bidi w:val="0"/>
              <w:spacing w:before="0" w:after="283"/>
              <w:jc w:val="righ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660,000</w:t>
            </w:r>
          </w:p>
        </w:tc>
        <w:tc>
          <w:tcPr>
            <w:tcW w:w="185" w:type="dxa"/>
            <w:tcBorders>
              <w:bottom w:val="single" w:sz="2" w:space="0" w:color="CCCCCC"/>
            </w:tcBorders>
            <w:vAlign w:val="center"/>
          </w:tcPr>
          <w:p>
            <w:pPr>
              <w:pStyle w:val="TableContents"/>
              <w:bidi w:val="0"/>
              <w:spacing w:before="0" w:after="283"/>
              <w:jc w:val="righ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1,999,319</w:t>
            </w:r>
          </w:p>
        </w:tc>
        <w:tc>
          <w:tcPr>
            <w:tcW w:w="60" w:type="dxa"/>
            <w:tcBorders>
              <w:bottom w:val="single" w:sz="2" w:space="0" w:color="CCCCCC"/>
            </w:tcBorders>
            <w:vAlign w:val="center"/>
          </w:tcPr>
          <w:p>
            <w:pPr>
              <w:pStyle w:val="TableContents"/>
              <w:bidi w:val="0"/>
              <w:spacing w:before="0" w:after="283"/>
              <w:jc w:val="righ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2,999,683</w:t>
            </w:r>
          </w:p>
        </w:tc>
        <w:tc>
          <w:tcPr>
            <w:tcW w:w="60" w:type="dxa"/>
            <w:tcBorders>
              <w:bottom w:val="single" w:sz="2" w:space="0" w:color="CCCCCC"/>
            </w:tcBorders>
            <w:vAlign w:val="center"/>
          </w:tcPr>
          <w:p>
            <w:pPr>
              <w:pStyle w:val="TableContents"/>
              <w:bidi w:val="0"/>
              <w:spacing w:before="0" w:after="283"/>
              <w:jc w:val="righ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594,000</w:t>
            </w:r>
          </w:p>
        </w:tc>
        <w:tc>
          <w:tcPr>
            <w:tcW w:w="60" w:type="dxa"/>
            <w:tcBorders>
              <w:bottom w:val="single" w:sz="2" w:space="0" w:color="CCCCCC"/>
            </w:tcBorders>
            <w:vAlign w:val="center"/>
          </w:tcPr>
          <w:p>
            <w:pPr>
              <w:pStyle w:val="TableContents"/>
              <w:bidi w:val="0"/>
              <w:spacing w:before="0" w:after="283"/>
              <w:jc w:val="right"/>
              <w:rPr/>
            </w:pPr>
            <w:r>
              <w:rPr/>
              <w:t> </w:t>
            </w:r>
          </w:p>
        </w:tc>
        <w:tc>
          <w:tcPr>
            <w:tcW w:w="60" w:type="dxa"/>
            <w:tcBorders>
              <w:bottom w:val="single" w:sz="2" w:space="0" w:color="CCCCCC"/>
            </w:tcBorders>
            <w:vAlign w:val="center"/>
          </w:tcPr>
          <w:p>
            <w:pPr>
              <w:pStyle w:val="TableContents"/>
              <w:bidi w:val="0"/>
              <w:spacing w:before="0" w:after="283"/>
              <w:jc w:val="right"/>
              <w:rPr/>
            </w:pPr>
            <w:r>
              <w:rPr/>
              <w:t> </w:t>
            </w:r>
          </w:p>
        </w:tc>
        <w:tc>
          <w:tcPr>
            <w:tcW w:w="1385" w:type="dxa"/>
            <w:tcBorders>
              <w:bottom w:val="single" w:sz="2" w:space="0" w:color="CCCCCC"/>
            </w:tcBorders>
            <w:vAlign w:val="center"/>
          </w:tcPr>
          <w:p>
            <w:pPr>
              <w:pStyle w:val="TableContents"/>
              <w:bidi w:val="0"/>
              <w:spacing w:before="0" w:after="283"/>
              <w:jc w:val="right"/>
              <w:rPr/>
            </w:pPr>
            <w:r>
              <w:rPr/>
              <w:t>15,250</w:t>
            </w:r>
          </w:p>
        </w:tc>
        <w:tc>
          <w:tcPr>
            <w:tcW w:w="185" w:type="dxa"/>
            <w:tcBorders>
              <w:bottom w:val="single" w:sz="2" w:space="0" w:color="CCCCCC"/>
            </w:tcBorders>
            <w:vAlign w:val="center"/>
          </w:tcPr>
          <w:p>
            <w:pPr>
              <w:pStyle w:val="TableContents"/>
              <w:bidi w:val="0"/>
              <w:spacing w:before="0" w:after="283"/>
              <w:jc w:val="left"/>
              <w:rPr/>
            </w:pPr>
            <w:r>
              <w:rPr>
                <w:position w:val="8"/>
                <w:sz w:val="19"/>
              </w:rPr>
              <w:t>7</w:t>
            </w:r>
            <w:r>
              <w:rPr/>
              <w:t> </w:t>
            </w:r>
          </w:p>
        </w:tc>
        <w:tc>
          <w:tcPr>
            <w:tcW w:w="60" w:type="dxa"/>
            <w:tcBorders>
              <w:bottom w:val="single" w:sz="2" w:space="0" w:color="CCCCCC"/>
            </w:tcBorders>
            <w:vAlign w:val="center"/>
          </w:tcPr>
          <w:p>
            <w:pPr>
              <w:pStyle w:val="TableContents"/>
              <w:bidi w:val="0"/>
              <w:spacing w:before="0" w:after="283"/>
              <w:jc w:val="righ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6,268,252</w:t>
            </w:r>
          </w:p>
        </w:tc>
      </w:tr>
      <w:tr>
        <w:trPr/>
        <w:tc>
          <w:tcPr>
            <w:tcW w:w="2210" w:type="dxa"/>
            <w:vMerge w:val="restart"/>
            <w:tcBorders>
              <w:bottom w:val="single" w:sz="2" w:space="0" w:color="CCCCCC"/>
            </w:tcBorders>
            <w:shd w:fill="EBEBEC" w:val="clear"/>
            <w:vAlign w:val="center"/>
          </w:tcPr>
          <w:p>
            <w:pPr>
              <w:pStyle w:val="TableContents"/>
              <w:bidi w:val="0"/>
              <w:spacing w:before="0" w:after="283"/>
              <w:jc w:val="left"/>
              <w:rPr/>
            </w:pPr>
            <w:r>
              <w:rPr>
                <w:b/>
                <w:color w:val="3B5AA4"/>
              </w:rPr>
              <w:t>Daniel P. Van Plew</w:t>
            </w:r>
            <w:r>
              <w:rPr/>
              <w:t xml:space="preserve"> </w:t>
              <w:br/>
              <w:t>Executive Vice President and General Manager, Industrial Operations and Product Supply</w:t>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2024</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964,100</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2,699,968</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4,049,729</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914,931</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385" w:type="dxa"/>
            <w:tcBorders>
              <w:bottom w:val="single" w:sz="2" w:space="0" w:color="CCCCCC"/>
            </w:tcBorders>
            <w:shd w:fill="EBEBEC" w:val="clear"/>
            <w:vAlign w:val="center"/>
          </w:tcPr>
          <w:p>
            <w:pPr>
              <w:pStyle w:val="TableContents"/>
              <w:bidi w:val="0"/>
              <w:spacing w:before="0" w:after="283"/>
              <w:jc w:val="right"/>
              <w:rPr/>
            </w:pPr>
            <w:r>
              <w:rPr/>
              <w:t>26,450</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8</w:t>
            </w: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8,655,178</w:t>
            </w:r>
          </w:p>
        </w:tc>
      </w:tr>
      <w:tr>
        <w:trPr/>
        <w:tc>
          <w:tcPr>
            <w:tcW w:w="2210" w:type="dxa"/>
            <w:vMerge w:val="continue"/>
            <w:tcBorders>
              <w:bottom w:val="single" w:sz="2" w:space="0" w:color="CCCCCC"/>
            </w:tcBorders>
            <w:shd w:fill="EBEBEC" w:val="clear"/>
            <w:vAlign w:val="center"/>
          </w:tcPr>
          <w:p>
            <w:pPr>
              <w:pStyle w:val="Normal"/>
              <w:bidi w:val="0"/>
              <w:jc w:val="left"/>
              <w:rPr/>
            </w:pPr>
            <w:r>
              <w:rPr/>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2023</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931,500</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2,699,284</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4,049,638</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1,053,527</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26,200</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8,760,149</w:t>
            </w:r>
          </w:p>
        </w:tc>
      </w:tr>
      <w:tr>
        <w:trPr/>
        <w:tc>
          <w:tcPr>
            <w:tcW w:w="2210" w:type="dxa"/>
            <w:vMerge w:val="continue"/>
            <w:tcBorders>
              <w:bottom w:val="single" w:sz="2" w:space="0" w:color="CCCCCC"/>
            </w:tcBorders>
            <w:shd w:fill="EBEBEC" w:val="clear"/>
            <w:vAlign w:val="center"/>
          </w:tcPr>
          <w:p>
            <w:pPr>
              <w:pStyle w:val="Normal"/>
              <w:bidi w:val="0"/>
              <w:jc w:val="left"/>
              <w:rPr/>
            </w:pPr>
            <w:r>
              <w:rPr/>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2022</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900,000</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2,759,361</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4,139,777</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1,017,900</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36,499</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8,853,537</w:t>
            </w:r>
          </w:p>
        </w:tc>
      </w:tr>
      <w:tr>
        <w:trPr/>
        <w:tc>
          <w:tcPr>
            <w:tcW w:w="2210" w:type="dxa"/>
            <w:vMerge w:val="restart"/>
            <w:tcBorders>
              <w:bottom w:val="single" w:sz="2" w:space="0" w:color="CCCCCC"/>
            </w:tcBorders>
            <w:vAlign w:val="center"/>
          </w:tcPr>
          <w:p>
            <w:pPr>
              <w:pStyle w:val="TableContents"/>
              <w:bidi w:val="0"/>
              <w:spacing w:before="0" w:after="283"/>
              <w:jc w:val="left"/>
              <w:rPr/>
            </w:pPr>
            <w:r>
              <w:rPr>
                <w:b/>
                <w:color w:val="3B5AA4"/>
              </w:rPr>
              <w:t>Andrew J. Murphy, Ph.D.</w:t>
            </w:r>
            <w:r>
              <w:rPr/>
              <w:br/>
              <w:t>Executive Vice President, Research</w:t>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2024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803,600</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2,699,968</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4,049,729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783,510</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385" w:type="dxa"/>
            <w:tcBorders>
              <w:bottom w:val="single" w:sz="2" w:space="0" w:color="CCCCCC"/>
            </w:tcBorders>
            <w:vAlign w:val="center"/>
          </w:tcPr>
          <w:p>
            <w:pPr>
              <w:pStyle w:val="TableContents"/>
              <w:bidi w:val="0"/>
              <w:spacing w:before="0" w:after="283"/>
              <w:jc w:val="right"/>
              <w:rPr/>
            </w:pPr>
            <w:r>
              <w:rPr/>
              <w:t>26,450</w:t>
            </w:r>
          </w:p>
        </w:tc>
        <w:tc>
          <w:tcPr>
            <w:tcW w:w="185" w:type="dxa"/>
            <w:tcBorders>
              <w:bottom w:val="single" w:sz="2" w:space="0" w:color="CCCCCC"/>
            </w:tcBorders>
            <w:vAlign w:val="center"/>
          </w:tcPr>
          <w:p>
            <w:pPr>
              <w:pStyle w:val="TableContents"/>
              <w:bidi w:val="0"/>
              <w:spacing w:before="0" w:after="283"/>
              <w:jc w:val="left"/>
              <w:rPr/>
            </w:pPr>
            <w:r>
              <w:rPr>
                <w:position w:val="8"/>
                <w:sz w:val="19"/>
              </w:rPr>
              <w:t>8</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8,363,257</w:t>
            </w:r>
          </w:p>
        </w:tc>
      </w:tr>
      <w:tr>
        <w:trPr/>
        <w:tc>
          <w:tcPr>
            <w:tcW w:w="2210"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2023</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776,250</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2,699,284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4,049,638</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877,939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26,200</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8,429,311</w:t>
            </w:r>
          </w:p>
        </w:tc>
      </w:tr>
      <w:tr>
        <w:trPr/>
        <w:tc>
          <w:tcPr>
            <w:tcW w:w="2210"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2022</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750,000</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2,999,842</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4,499,737</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848,250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24,700</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9,122,529</w:t>
            </w:r>
          </w:p>
        </w:tc>
      </w:tr>
      <w:tr>
        <w:trPr/>
        <w:tc>
          <w:tcPr>
            <w:tcW w:w="2210" w:type="dxa"/>
            <w:vMerge w:val="restart"/>
            <w:tcBorders>
              <w:bottom w:val="single" w:sz="12" w:space="0" w:color="3B5AA4"/>
            </w:tcBorders>
            <w:shd w:fill="EBEBEC" w:val="clear"/>
            <w:vAlign w:val="center"/>
          </w:tcPr>
          <w:p>
            <w:pPr>
              <w:pStyle w:val="TableContents"/>
              <w:bidi w:val="0"/>
              <w:spacing w:before="0" w:after="283"/>
              <w:jc w:val="left"/>
              <w:rPr/>
            </w:pPr>
            <w:r>
              <w:rPr>
                <w:b/>
                <w:color w:val="3B5AA4"/>
              </w:rPr>
              <w:t xml:space="preserve">Robert E. Landry </w:t>
            </w:r>
            <w:r>
              <w:rPr>
                <w:b/>
                <w:i/>
                <w:color w:val="3B5AA4"/>
              </w:rPr>
              <w:t xml:space="preserve">(retired) </w:t>
            </w:r>
            <w:r>
              <w:rPr/>
              <w:br/>
              <w:t>Former Executive Vice President, Finance and Chief Financial Officer</w:t>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2024</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255,530</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position w:val="8"/>
                <w:sz w:val="19"/>
              </w:rPr>
              <w:t>9</w:t>
            </w: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385" w:type="dxa"/>
            <w:tcBorders>
              <w:bottom w:val="single" w:sz="2" w:space="0" w:color="CCCCCC"/>
            </w:tcBorders>
            <w:shd w:fill="EBEBEC" w:val="clear"/>
            <w:vAlign w:val="center"/>
          </w:tcPr>
          <w:p>
            <w:pPr>
              <w:pStyle w:val="TableContents"/>
              <w:bidi w:val="0"/>
              <w:spacing w:before="0" w:after="283"/>
              <w:jc w:val="right"/>
              <w:rPr/>
            </w:pPr>
            <w:r>
              <w:rPr/>
              <w:t>26,450</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8</w:t>
            </w: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281,980</w:t>
            </w:r>
          </w:p>
        </w:tc>
      </w:tr>
      <w:tr>
        <w:trPr/>
        <w:tc>
          <w:tcPr>
            <w:tcW w:w="2210" w:type="dxa"/>
            <w:vMerge w:val="continue"/>
            <w:tcBorders>
              <w:bottom w:val="single" w:sz="12" w:space="0" w:color="3B5AA4"/>
            </w:tcBorders>
            <w:shd w:fill="EBEBEC" w:val="clear"/>
            <w:vAlign w:val="center"/>
          </w:tcPr>
          <w:p>
            <w:pPr>
              <w:pStyle w:val="Normal"/>
              <w:bidi w:val="0"/>
              <w:jc w:val="left"/>
              <w:rPr/>
            </w:pPr>
            <w:r>
              <w:rPr/>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2023</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881,406</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996,870</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26,200</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1,904,476</w:t>
            </w:r>
          </w:p>
        </w:tc>
      </w:tr>
      <w:tr>
        <w:trPr/>
        <w:tc>
          <w:tcPr>
            <w:tcW w:w="2210" w:type="dxa"/>
            <w:vMerge w:val="continue"/>
            <w:tcBorders>
              <w:bottom w:val="single" w:sz="12" w:space="0" w:color="3B5AA4"/>
            </w:tcBorders>
            <w:shd w:fill="EBEBEC" w:val="clear"/>
            <w:vAlign w:val="center"/>
          </w:tcPr>
          <w:p>
            <w:pPr>
              <w:pStyle w:val="Normal"/>
              <w:bidi w:val="0"/>
              <w:jc w:val="left"/>
              <w:rPr/>
            </w:pPr>
            <w:r>
              <w:rPr/>
            </w:r>
          </w:p>
        </w:tc>
        <w:tc>
          <w:tcPr>
            <w:tcW w:w="60"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50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2022</w:t>
            </w:r>
          </w:p>
        </w:tc>
        <w:tc>
          <w:tcPr>
            <w:tcW w:w="60"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851,600</w:t>
            </w:r>
          </w:p>
        </w:tc>
        <w:tc>
          <w:tcPr>
            <w:tcW w:w="185"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2,799,320</w:t>
            </w:r>
          </w:p>
        </w:tc>
        <w:tc>
          <w:tcPr>
            <w:tcW w:w="60"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4,199,713</w:t>
            </w:r>
          </w:p>
        </w:tc>
        <w:tc>
          <w:tcPr>
            <w:tcW w:w="60"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963,160</w:t>
            </w:r>
          </w:p>
        </w:tc>
        <w:tc>
          <w:tcPr>
            <w:tcW w:w="60"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1385"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24,700</w:t>
            </w:r>
          </w:p>
        </w:tc>
        <w:tc>
          <w:tcPr>
            <w:tcW w:w="185"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8,838,493</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The amounts in columns E and F reflect the respective aggregate grant date fair values (disregarding estimated forfeitures) of RSAs and stock option awards granted in 2024, 2023, and 2022, respectively, pursuant to the Second Amended and Restated Regeneron Pharmaceuticals, Inc. 2014 Long-Term Incentive Plan. Valuation assumptions and methodologies used in the calculation of these amounts for 2024 are included in Note 13 to the Company’s audited financial statements for the fiscal year ended December 31, 2024, included in the 2024 Annual Report.</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Non-equity incentive plan compensation amounts (consisting of cash incentives paid to the NEOs in respect of the relevant year under the Regeneron Pharmaceuticals, Inc. Cash Incentive Bonus Plan) are shown in the year in which they were accrued and earned.</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10065" w:type="dxa"/>
            <w:tcBorders/>
            <w:vAlign w:val="center"/>
          </w:tcPr>
          <w:p>
            <w:pPr>
              <w:pStyle w:val="TableContents"/>
              <w:bidi w:val="0"/>
              <w:spacing w:before="0" w:after="283"/>
              <w:jc w:val="left"/>
              <w:rPr>
                <w:color w:val="231F20"/>
              </w:rPr>
            </w:pPr>
            <w:r>
              <w:rPr>
                <w:color w:val="231F20"/>
              </w:rPr>
              <w:t>See the subsection “Additional Compensation Information—Perquisites and Personal Benefits” below for further information. Certain 2024 perquisites and other personal benefits are quantified for each of the NEOs in the footnotes to this table below based on the actual additional cost incurred by us in providing the perquisite or other personal benefit.</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10065" w:type="dxa"/>
            <w:tcBorders/>
            <w:vAlign w:val="center"/>
          </w:tcPr>
          <w:p>
            <w:pPr>
              <w:pStyle w:val="TableContents"/>
              <w:bidi w:val="0"/>
              <w:spacing w:before="0" w:after="283"/>
              <w:jc w:val="left"/>
              <w:rPr>
                <w:color w:val="231F20"/>
              </w:rPr>
            </w:pPr>
            <w:r>
              <w:rPr>
                <w:color w:val="231F20"/>
              </w:rPr>
              <w:t>Consists of (i) $20,724 for life insurance premiums, (ii) $9,080 for disability insurance premiums, (iii) $28,797 for medical malpractice insurance premiums, (iv) $15,250 for 401(k) Savings Plan matching contributions in respect of 2024, (v) $11,200 for tax and financial planning advisory services, (vi) $11,186 for residential internet equipment and installation/subscription services, (vii) $183,837 for personal use of Company-provided aircraft, and (viii) $1,107,880 for security services (consisting of secure car transportation and personal and residential security services) (in the case of clauses (vii) and (viii), in accordance with our security policy and calculated as described in the subsection “Additional Compensation Information—Perquisites and Personal Benefits” below).</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10065" w:type="dxa"/>
            <w:tcBorders/>
            <w:vAlign w:val="center"/>
          </w:tcPr>
          <w:p>
            <w:pPr>
              <w:pStyle w:val="TableContents"/>
              <w:bidi w:val="0"/>
              <w:spacing w:before="0" w:after="283"/>
              <w:jc w:val="left"/>
              <w:rPr>
                <w:color w:val="231F20"/>
              </w:rPr>
            </w:pPr>
            <w:r>
              <w:rPr>
                <w:color w:val="231F20"/>
              </w:rPr>
              <w:t>Consists of (i) $15,250 for 401(k) Savings Plan matching contributions in respect of 2024, (ii) $7,255 for tax and financial planning advisory services, (iii) $107,059 for residential internet equipment, licensing, and installation/ maintenance services, (iv) $300,000 for personal use of Company-provided aircraft, and (v) $932,139 for security services (consisting of secure car transportation and personal and residential security services) (in the case of clauses (iv) and (v), in accordance with our security policy and calculated as described in the subsection “Additional Compensation Information—Perquisites and Personal Benefits” below).</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6</w:t>
            </w:r>
          </w:p>
        </w:tc>
        <w:tc>
          <w:tcPr>
            <w:tcW w:w="10065" w:type="dxa"/>
            <w:tcBorders/>
            <w:vAlign w:val="center"/>
          </w:tcPr>
          <w:p>
            <w:pPr>
              <w:pStyle w:val="TableContents"/>
              <w:bidi w:val="0"/>
              <w:spacing w:before="0" w:after="283"/>
              <w:jc w:val="left"/>
              <w:rPr>
                <w:color w:val="231F20"/>
              </w:rPr>
            </w:pPr>
            <w:r>
              <w:rPr>
                <w:color w:val="231F20"/>
              </w:rPr>
              <w:t>Mr. Fenimore qualified as an NEO for 2024 but not for 2023 or 2022.</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7</w:t>
            </w:r>
          </w:p>
        </w:tc>
        <w:tc>
          <w:tcPr>
            <w:tcW w:w="10065" w:type="dxa"/>
            <w:tcBorders/>
            <w:vAlign w:val="center"/>
          </w:tcPr>
          <w:p>
            <w:pPr>
              <w:pStyle w:val="TableContents"/>
              <w:bidi w:val="0"/>
              <w:spacing w:before="0" w:after="283"/>
              <w:jc w:val="left"/>
              <w:rPr>
                <w:color w:val="231F20"/>
              </w:rPr>
            </w:pPr>
            <w:r>
              <w:rPr>
                <w:color w:val="231F20"/>
              </w:rPr>
              <w:t>Consists of $15,250 for 401(k) Savings Plan matching contributions in respect of 2024.</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8</w:t>
            </w:r>
          </w:p>
        </w:tc>
        <w:tc>
          <w:tcPr>
            <w:tcW w:w="10065" w:type="dxa"/>
            <w:tcBorders/>
            <w:vAlign w:val="center"/>
          </w:tcPr>
          <w:p>
            <w:pPr>
              <w:pStyle w:val="TableContents"/>
              <w:bidi w:val="0"/>
              <w:spacing w:before="0" w:after="283"/>
              <w:jc w:val="left"/>
              <w:rPr>
                <w:color w:val="231F20"/>
              </w:rPr>
            </w:pPr>
            <w:r>
              <w:rPr>
                <w:color w:val="231F20"/>
              </w:rPr>
              <w:t>Consists of (i) $15,250 for 401(k) Savings Plan matching contributions in respect of 2024 and (ii) $11,200 for tax and financial planning advisory services.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9</w:t>
            </w:r>
          </w:p>
        </w:tc>
        <w:tc>
          <w:tcPr>
            <w:tcW w:w="10065" w:type="dxa"/>
            <w:tcBorders/>
            <w:vAlign w:val="center"/>
          </w:tcPr>
          <w:p>
            <w:pPr>
              <w:pStyle w:val="TableContents"/>
              <w:bidi w:val="0"/>
              <w:spacing w:before="0" w:after="283"/>
              <w:jc w:val="left"/>
              <w:rPr>
                <w:color w:val="231F20"/>
              </w:rPr>
            </w:pPr>
            <w:r>
              <w:rPr>
                <w:color w:val="231F20"/>
              </w:rPr>
              <w:t>Consists of (i) the portion of Mr. Landry’s 2024 base salary of $881,406 that was earned by Mr. Landry in 2024 until his retirement from full-time employment with the Company in February 2024; (ii) hourly wages paid to Mr. Landry in respect of non-salaried employment with the Company from February 2024 to December 2024; and (iii) an amount paid to Mr. Landry in lieu of accrued and unused vacation upon his retirement pursuant to the applicable Company policy.</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bl>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27"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08" descr=""/>
                          <pic:cNvPicPr>
                            <a:picLocks noChangeAspect="1" noChangeArrowheads="1"/>
                          </pic:cNvPicPr>
                        </pic:nvPicPr>
                        <pic:blipFill>
                          <a:blip r:embed="rId32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30" w:name="regn013211-def14aa077"/>
      <w:bookmarkStart w:id="131" w:name="lregnb029"/>
      <w:bookmarkEnd w:id="130"/>
      <w:bookmarkEnd w:id="131"/>
      <w:r>
        <w:rPr>
          <w:rFonts w:ascii="Arial;Helvetica;Sans-Serif" w:hAnsi="Arial;Helvetica;Sans-Serif"/>
          <w:b/>
          <w:i w:val="false"/>
          <w:caps w:val="false"/>
          <w:smallCaps w:val="false"/>
          <w:color w:val="C60C45"/>
          <w:sz w:val="28"/>
        </w:rPr>
        <w:t>2024 Grants of Plan-Based Awards</w:t>
      </w:r>
    </w:p>
    <w:p>
      <w:pPr>
        <w:pStyle w:val="TextBody"/>
        <w:bidi w:val="0"/>
        <w:spacing w:before="0" w:after="0"/>
        <w:ind w:left="0" w:right="0" w:hanging="0"/>
        <w:jc w:val="left"/>
        <w:rPr>
          <w:caps w:val="false"/>
          <w:smallCaps w:val="false"/>
          <w:color w:val="DB0A67"/>
        </w:rPr>
      </w:pPr>
      <w:r>
        <w:rPr>
          <w:caps w:val="false"/>
          <w:smallCaps w:val="false"/>
          <w:color w:val="DB0A67"/>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and explanatory footnotes provide information regarding the annual cash incentive and equity awards granted to our NEOs during 2024.</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330" w:type="dxa"/>
        <w:jc w:val="left"/>
        <w:tblInd w:w="0" w:type="dxa"/>
        <w:tblLayout w:type="fixed"/>
        <w:tblCellMar>
          <w:top w:w="0" w:type="dxa"/>
          <w:left w:w="0" w:type="dxa"/>
          <w:bottom w:w="28" w:type="dxa"/>
          <w:right w:w="0" w:type="dxa"/>
        </w:tblCellMar>
      </w:tblPr>
      <w:tblGrid>
        <w:gridCol w:w="1415"/>
        <w:gridCol w:w="60"/>
        <w:gridCol w:w="60"/>
        <w:gridCol w:w="500"/>
        <w:gridCol w:w="185"/>
        <w:gridCol w:w="60"/>
        <w:gridCol w:w="980"/>
        <w:gridCol w:w="60"/>
        <w:gridCol w:w="980"/>
        <w:gridCol w:w="60"/>
        <w:gridCol w:w="995"/>
        <w:gridCol w:w="60"/>
        <w:gridCol w:w="860"/>
        <w:gridCol w:w="60"/>
        <w:gridCol w:w="1040"/>
        <w:gridCol w:w="60"/>
        <w:gridCol w:w="830"/>
        <w:gridCol w:w="60"/>
        <w:gridCol w:w="950"/>
        <w:gridCol w:w="60"/>
        <w:gridCol w:w="995"/>
      </w:tblGrid>
      <w:tr>
        <w:trPr/>
        <w:tc>
          <w:tcPr>
            <w:tcW w:w="1415" w:type="dxa"/>
            <w:tcBorders>
              <w:bottom w:val="single" w:sz="2" w:space="0" w:color="CCCCCC"/>
            </w:tcBorders>
            <w:vAlign w:val="center"/>
          </w:tcPr>
          <w:p>
            <w:pPr>
              <w:pStyle w:val="TableContents"/>
              <w:bidi w:val="0"/>
              <w:spacing w:before="0" w:after="283"/>
              <w:jc w:val="center"/>
              <w:rPr>
                <w:color w:val="3B5AA4"/>
              </w:rPr>
            </w:pPr>
            <w:r>
              <w:rPr>
                <w:color w:val="3B5AA4"/>
              </w:rPr>
              <w:t>A</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560" w:type="dxa"/>
            <w:gridSpan w:val="2"/>
            <w:tcBorders>
              <w:bottom w:val="single" w:sz="2" w:space="0" w:color="CCCCCC"/>
            </w:tcBorders>
            <w:vAlign w:val="center"/>
          </w:tcPr>
          <w:p>
            <w:pPr>
              <w:pStyle w:val="TableContents"/>
              <w:bidi w:val="0"/>
              <w:spacing w:before="0" w:after="283"/>
              <w:jc w:val="center"/>
              <w:rPr>
                <w:color w:val="2662AF"/>
              </w:rPr>
            </w:pPr>
            <w:r>
              <w:rPr>
                <w:color w:val="2662AF"/>
              </w:rPr>
              <w:t>B</w:t>
            </w:r>
          </w:p>
        </w:tc>
        <w:tc>
          <w:tcPr>
            <w:tcW w:w="185" w:type="dxa"/>
            <w:tcBorders>
              <w:bottom w:val="single" w:sz="2" w:space="0" w:color="CCCCCC"/>
            </w:tcBorders>
            <w:vAlign w:val="center"/>
          </w:tcPr>
          <w:p>
            <w:pPr>
              <w:pStyle w:val="TableContents"/>
              <w:bidi w:val="0"/>
              <w:spacing w:before="0" w:after="283"/>
              <w:jc w:val="center"/>
              <w:rPr/>
            </w:pPr>
            <w:r>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80" w:type="dxa"/>
            <w:tcBorders>
              <w:bottom w:val="single" w:sz="2" w:space="0" w:color="CCCCCC"/>
            </w:tcBorders>
            <w:vAlign w:val="center"/>
          </w:tcPr>
          <w:p>
            <w:pPr>
              <w:pStyle w:val="TableContents"/>
              <w:bidi w:val="0"/>
              <w:spacing w:before="0" w:after="283"/>
              <w:jc w:val="center"/>
              <w:rPr>
                <w:color w:val="3B5AA4"/>
              </w:rPr>
            </w:pPr>
            <w:r>
              <w:rPr>
                <w:color w:val="3B5AA4"/>
              </w:rPr>
              <w:t>C</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80" w:type="dxa"/>
            <w:tcBorders>
              <w:bottom w:val="single" w:sz="2" w:space="0" w:color="CCCCCC"/>
            </w:tcBorders>
            <w:vAlign w:val="center"/>
          </w:tcPr>
          <w:p>
            <w:pPr>
              <w:pStyle w:val="TableContents"/>
              <w:bidi w:val="0"/>
              <w:spacing w:before="0" w:after="283"/>
              <w:jc w:val="center"/>
              <w:rPr>
                <w:color w:val="3B5AA4"/>
              </w:rPr>
            </w:pPr>
            <w:r>
              <w:rPr>
                <w:color w:val="3B5AA4"/>
              </w:rPr>
              <w:t>D</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95" w:type="dxa"/>
            <w:tcBorders>
              <w:bottom w:val="single" w:sz="2" w:space="0" w:color="CCCCCC"/>
            </w:tcBorders>
            <w:vAlign w:val="center"/>
          </w:tcPr>
          <w:p>
            <w:pPr>
              <w:pStyle w:val="TableContents"/>
              <w:bidi w:val="0"/>
              <w:spacing w:before="0" w:after="283"/>
              <w:jc w:val="center"/>
              <w:rPr>
                <w:color w:val="3B5AA4"/>
              </w:rPr>
            </w:pPr>
            <w:r>
              <w:rPr>
                <w:color w:val="3B5AA4"/>
              </w:rPr>
              <w:t>E</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860" w:type="dxa"/>
            <w:tcBorders>
              <w:bottom w:val="single" w:sz="2" w:space="0" w:color="CCCCCC"/>
            </w:tcBorders>
            <w:vAlign w:val="center"/>
          </w:tcPr>
          <w:p>
            <w:pPr>
              <w:pStyle w:val="TableContents"/>
              <w:bidi w:val="0"/>
              <w:spacing w:before="0" w:after="283"/>
              <w:jc w:val="center"/>
              <w:rPr>
                <w:color w:val="3B5AA4"/>
              </w:rPr>
            </w:pPr>
            <w:r>
              <w:rPr>
                <w:color w:val="3B5AA4"/>
              </w:rPr>
              <w:t>I</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040" w:type="dxa"/>
            <w:tcBorders>
              <w:bottom w:val="single" w:sz="2" w:space="0" w:color="CCCCCC"/>
            </w:tcBorders>
            <w:vAlign w:val="center"/>
          </w:tcPr>
          <w:p>
            <w:pPr>
              <w:pStyle w:val="TableContents"/>
              <w:bidi w:val="0"/>
              <w:spacing w:before="0" w:after="283"/>
              <w:jc w:val="center"/>
              <w:rPr>
                <w:color w:val="3B5AA4"/>
              </w:rPr>
            </w:pPr>
            <w:r>
              <w:rPr>
                <w:color w:val="3B5AA4"/>
              </w:rPr>
              <w:t>J</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830" w:type="dxa"/>
            <w:tcBorders>
              <w:bottom w:val="single" w:sz="2" w:space="0" w:color="CCCCCC"/>
            </w:tcBorders>
            <w:vAlign w:val="center"/>
          </w:tcPr>
          <w:p>
            <w:pPr>
              <w:pStyle w:val="TableContents"/>
              <w:bidi w:val="0"/>
              <w:spacing w:before="0" w:after="283"/>
              <w:jc w:val="center"/>
              <w:rPr>
                <w:color w:val="3B5AA4"/>
              </w:rPr>
            </w:pPr>
            <w:r>
              <w:rPr>
                <w:color w:val="3B5AA4"/>
              </w:rPr>
              <w:t>K</w:t>
            </w:r>
          </w:p>
        </w:tc>
        <w:tc>
          <w:tcPr>
            <w:tcW w:w="60" w:type="dxa"/>
            <w:tcBorders>
              <w:bottom w:val="single" w:sz="2" w:space="0" w:color="CCCCCC"/>
            </w:tcBorders>
            <w:vAlign w:val="center"/>
          </w:tcPr>
          <w:p>
            <w:pPr>
              <w:pStyle w:val="TableContents"/>
              <w:bidi w:val="0"/>
              <w:spacing w:before="0" w:after="283"/>
              <w:jc w:val="center"/>
              <w:rPr/>
            </w:pPr>
            <w:r>
              <w:rPr/>
              <w:t> </w:t>
            </w:r>
          </w:p>
        </w:tc>
        <w:tc>
          <w:tcPr>
            <w:tcW w:w="950" w:type="dxa"/>
            <w:tcBorders>
              <w:bottom w:val="single" w:sz="2" w:space="0" w:color="CCCCCC"/>
            </w:tcBorders>
            <w:vAlign w:val="center"/>
          </w:tcPr>
          <w:p>
            <w:pPr>
              <w:pStyle w:val="TableContents"/>
              <w:bidi w:val="0"/>
              <w:spacing w:before="0" w:after="283"/>
              <w:jc w:val="center"/>
              <w:rPr/>
            </w:pPr>
            <w:r>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95" w:type="dxa"/>
            <w:tcBorders>
              <w:bottom w:val="single" w:sz="2" w:space="0" w:color="CCCCCC"/>
            </w:tcBorders>
            <w:vAlign w:val="center"/>
          </w:tcPr>
          <w:p>
            <w:pPr>
              <w:pStyle w:val="TableContents"/>
              <w:bidi w:val="0"/>
              <w:spacing w:before="0" w:after="283"/>
              <w:jc w:val="center"/>
              <w:rPr>
                <w:color w:val="3B5AA4"/>
              </w:rPr>
            </w:pPr>
            <w:r>
              <w:rPr>
                <w:color w:val="3B5AA4"/>
              </w:rPr>
              <w:t>L</w:t>
            </w:r>
          </w:p>
        </w:tc>
      </w:tr>
      <w:tr>
        <w:trPr/>
        <w:tc>
          <w:tcPr>
            <w:tcW w:w="1415" w:type="dxa"/>
            <w:tcBorders/>
            <w:tcMar>
              <w:bottom w:w="0" w:type="dxa"/>
            </w:tcMar>
            <w:vAlign w:val="center"/>
          </w:tcPr>
          <w:p>
            <w:pPr>
              <w:pStyle w:val="TableContents"/>
              <w:bidi w:val="0"/>
              <w:spacing w:before="0" w:after="283"/>
              <w:jc w:val="left"/>
              <w:rPr>
                <w:color w:val="3B59A4"/>
              </w:rPr>
            </w:pPr>
            <w:r>
              <w:rPr>
                <w:color w:val="3B59A4"/>
              </w:rPr>
              <w:t> </w:t>
            </w:r>
          </w:p>
        </w:tc>
        <w:tc>
          <w:tcPr>
            <w:tcW w:w="60" w:type="dxa"/>
            <w:tcBorders/>
            <w:tcMar>
              <w:bottom w:w="0" w:type="dxa"/>
            </w:tcMar>
            <w:vAlign w:val="center"/>
          </w:tcPr>
          <w:p>
            <w:pPr>
              <w:pStyle w:val="TableContents"/>
              <w:bidi w:val="0"/>
              <w:spacing w:before="0" w:after="283"/>
              <w:jc w:val="left"/>
              <w:rPr>
                <w:color w:val="3B59A4"/>
              </w:rPr>
            </w:pPr>
            <w:r>
              <w:rPr>
                <w:color w:val="3B59A4"/>
              </w:rPr>
              <w:t> </w:t>
            </w:r>
          </w:p>
        </w:tc>
        <w:tc>
          <w:tcPr>
            <w:tcW w:w="560" w:type="dxa"/>
            <w:gridSpan w:val="2"/>
            <w:tcBorders/>
            <w:tcMar>
              <w:bottom w:w="0" w:type="dxa"/>
            </w:tcMar>
            <w:vAlign w:val="center"/>
          </w:tcPr>
          <w:p>
            <w:pPr>
              <w:pStyle w:val="TableContents"/>
              <w:bidi w:val="0"/>
              <w:spacing w:before="0" w:after="283"/>
              <w:jc w:val="right"/>
              <w:rPr>
                <w:color w:val="3B59A4"/>
              </w:rPr>
            </w:pPr>
            <w:r>
              <w:rPr>
                <w:color w:val="3B59A4"/>
              </w:rPr>
              <w:t> </w:t>
            </w:r>
          </w:p>
        </w:tc>
        <w:tc>
          <w:tcPr>
            <w:tcW w:w="185" w:type="dxa"/>
            <w:tcBorders/>
            <w:tcMar>
              <w:bottom w:w="0" w:type="dxa"/>
            </w:tcMar>
            <w:vAlign w:val="center"/>
          </w:tcPr>
          <w:p>
            <w:pPr>
              <w:pStyle w:val="TableContents"/>
              <w:bidi w:val="0"/>
              <w:spacing w:before="0" w:after="283"/>
              <w:jc w:val="left"/>
              <w:rPr>
                <w:color w:val="3B59A4"/>
              </w:rPr>
            </w:pPr>
            <w:r>
              <w:rPr>
                <w:color w:val="3B59A4"/>
              </w:rPr>
              <w:t> </w:t>
            </w:r>
          </w:p>
        </w:tc>
        <w:tc>
          <w:tcPr>
            <w:tcW w:w="60" w:type="dxa"/>
            <w:tcBorders/>
            <w:tcMar>
              <w:bottom w:w="0" w:type="dxa"/>
            </w:tcMar>
            <w:vAlign w:val="center"/>
          </w:tcPr>
          <w:p>
            <w:pPr>
              <w:pStyle w:val="TableContents"/>
              <w:bidi w:val="0"/>
              <w:spacing w:before="0" w:after="283"/>
              <w:jc w:val="left"/>
              <w:rPr>
                <w:color w:val="3B59A4"/>
              </w:rPr>
            </w:pPr>
            <w:r>
              <w:rPr>
                <w:color w:val="3B59A4"/>
              </w:rPr>
              <w:t> </w:t>
            </w:r>
          </w:p>
        </w:tc>
        <w:tc>
          <w:tcPr>
            <w:tcW w:w="3075" w:type="dxa"/>
            <w:gridSpan w:val="5"/>
            <w:tcBorders>
              <w:bottom w:val="single" w:sz="2" w:space="0" w:color="CCCCCC"/>
            </w:tcBorders>
            <w:vAlign w:val="center"/>
          </w:tcPr>
          <w:p>
            <w:pPr>
              <w:pStyle w:val="TableContents"/>
              <w:bidi w:val="0"/>
              <w:spacing w:before="0" w:after="283"/>
              <w:jc w:val="center"/>
              <w:rPr>
                <w:color w:val="3B59A4"/>
              </w:rPr>
            </w:pPr>
            <w:r>
              <w:rPr>
                <w:color w:val="3B59A4"/>
              </w:rPr>
              <w:t>Estimated Possible Payouts</w:t>
              <w:br/>
              <w:t>Under Non-Equity Incentive</w:t>
              <w:br/>
              <w:t>Plan Awards</w:t>
            </w:r>
            <w:r>
              <w:rPr>
                <w:color w:val="3B59A4"/>
                <w:position w:val="8"/>
                <w:sz w:val="19"/>
              </w:rPr>
              <w:t>1</w:t>
            </w:r>
          </w:p>
        </w:tc>
        <w:tc>
          <w:tcPr>
            <w:tcW w:w="60" w:type="dxa"/>
            <w:tcBorders/>
            <w:tcMar>
              <w:bottom w:w="0" w:type="dxa"/>
            </w:tcMar>
            <w:vAlign w:val="center"/>
          </w:tcPr>
          <w:p>
            <w:pPr>
              <w:pStyle w:val="TableContents"/>
              <w:bidi w:val="0"/>
              <w:spacing w:before="0" w:after="283"/>
              <w:jc w:val="left"/>
              <w:rPr>
                <w:color w:val="3B59A4"/>
              </w:rPr>
            </w:pPr>
            <w:r>
              <w:rPr>
                <w:color w:val="3B59A4"/>
              </w:rPr>
              <w:t> </w:t>
            </w:r>
          </w:p>
        </w:tc>
        <w:tc>
          <w:tcPr>
            <w:tcW w:w="860" w:type="dxa"/>
            <w:vMerge w:val="restart"/>
            <w:tcBorders>
              <w:bottom w:val="single" w:sz="2" w:space="0" w:color="CCCCCC"/>
            </w:tcBorders>
            <w:vAlign w:val="center"/>
          </w:tcPr>
          <w:p>
            <w:pPr>
              <w:pStyle w:val="TableContents"/>
              <w:bidi w:val="0"/>
              <w:spacing w:before="0" w:after="283"/>
              <w:jc w:val="right"/>
              <w:rPr>
                <w:color w:val="3B59A4"/>
              </w:rPr>
            </w:pPr>
            <w:r>
              <w:rPr>
                <w:color w:val="3B59A4"/>
              </w:rPr>
              <w:t>All other</w:t>
              <w:br/>
              <w:t>stock</w:t>
              <w:br/>
              <w:t>awards:</w:t>
              <w:br/>
              <w:t>number</w:t>
              <w:br/>
              <w:t>of shares</w:t>
              <w:br/>
              <w:t xml:space="preserve">of stock </w:t>
              <w:br/>
              <w:t>or units</w:t>
              <w:br/>
              <w:t>(#)</w:t>
            </w:r>
          </w:p>
        </w:tc>
        <w:tc>
          <w:tcPr>
            <w:tcW w:w="60" w:type="dxa"/>
            <w:tcBorders/>
            <w:tcMar>
              <w:bottom w:w="0" w:type="dxa"/>
            </w:tcMar>
            <w:vAlign w:val="center"/>
          </w:tcPr>
          <w:p>
            <w:pPr>
              <w:pStyle w:val="TableContents"/>
              <w:bidi w:val="0"/>
              <w:spacing w:before="0" w:after="283"/>
              <w:jc w:val="left"/>
              <w:rPr>
                <w:color w:val="3B59A4"/>
              </w:rPr>
            </w:pPr>
            <w:r>
              <w:rPr>
                <w:color w:val="3B59A4"/>
              </w:rPr>
              <w:t> </w:t>
            </w:r>
          </w:p>
        </w:tc>
        <w:tc>
          <w:tcPr>
            <w:tcW w:w="1040" w:type="dxa"/>
            <w:vMerge w:val="restart"/>
            <w:tcBorders>
              <w:bottom w:val="single" w:sz="2" w:space="0" w:color="CCCCCC"/>
            </w:tcBorders>
            <w:vAlign w:val="center"/>
          </w:tcPr>
          <w:p>
            <w:pPr>
              <w:pStyle w:val="TableContents"/>
              <w:bidi w:val="0"/>
              <w:spacing w:before="0" w:after="283"/>
              <w:jc w:val="right"/>
              <w:rPr>
                <w:color w:val="3B59A4"/>
              </w:rPr>
            </w:pPr>
            <w:r>
              <w:rPr>
                <w:color w:val="3B59A4"/>
              </w:rPr>
              <w:t>All other</w:t>
              <w:br/>
              <w:t>option</w:t>
              <w:br/>
              <w:t>awards:</w:t>
              <w:br/>
              <w:t>number of</w:t>
              <w:br/>
              <w:t>securities</w:t>
              <w:br/>
              <w:t>underlying</w:t>
              <w:br/>
              <w:t>options</w:t>
              <w:br/>
              <w:t>(#)</w:t>
            </w:r>
          </w:p>
        </w:tc>
        <w:tc>
          <w:tcPr>
            <w:tcW w:w="60" w:type="dxa"/>
            <w:tcBorders/>
            <w:tcMar>
              <w:bottom w:w="0" w:type="dxa"/>
            </w:tcMar>
            <w:vAlign w:val="center"/>
          </w:tcPr>
          <w:p>
            <w:pPr>
              <w:pStyle w:val="TableContents"/>
              <w:bidi w:val="0"/>
              <w:spacing w:before="0" w:after="283"/>
              <w:jc w:val="left"/>
              <w:rPr>
                <w:color w:val="3B59A4"/>
              </w:rPr>
            </w:pPr>
            <w:r>
              <w:rPr>
                <w:color w:val="3B59A4"/>
              </w:rPr>
              <w:t> </w:t>
            </w:r>
          </w:p>
        </w:tc>
        <w:tc>
          <w:tcPr>
            <w:tcW w:w="830" w:type="dxa"/>
            <w:vMerge w:val="restart"/>
            <w:tcBorders>
              <w:bottom w:val="single" w:sz="2" w:space="0" w:color="CCCCCC"/>
            </w:tcBorders>
            <w:vAlign w:val="center"/>
          </w:tcPr>
          <w:p>
            <w:pPr>
              <w:pStyle w:val="TableContents"/>
              <w:bidi w:val="0"/>
              <w:spacing w:before="0" w:after="283"/>
              <w:jc w:val="right"/>
              <w:rPr>
                <w:color w:val="3B59A4"/>
              </w:rPr>
            </w:pPr>
            <w:r>
              <w:rPr>
                <w:color w:val="3B59A4"/>
              </w:rPr>
              <w:t>Exercise</w:t>
              <w:br/>
              <w:t>or base</w:t>
              <w:br/>
              <w:t>price of</w:t>
              <w:br/>
              <w:t>option</w:t>
              <w:br/>
              <w:t>awards</w:t>
              <w:br/>
              <w:t>($/Sh)</w:t>
            </w:r>
            <w:r>
              <w:rPr>
                <w:color w:val="3B59A4"/>
                <w:position w:val="8"/>
                <w:sz w:val="19"/>
              </w:rPr>
              <w:t>2</w:t>
            </w:r>
          </w:p>
        </w:tc>
        <w:tc>
          <w:tcPr>
            <w:tcW w:w="60" w:type="dxa"/>
            <w:tcBorders/>
            <w:tcMar>
              <w:bottom w:w="0" w:type="dxa"/>
            </w:tcMar>
            <w:vAlign w:val="center"/>
          </w:tcPr>
          <w:p>
            <w:pPr>
              <w:pStyle w:val="TableContents"/>
              <w:bidi w:val="0"/>
              <w:spacing w:before="0" w:after="283"/>
              <w:jc w:val="left"/>
              <w:rPr>
                <w:color w:val="3B59A4"/>
              </w:rPr>
            </w:pPr>
            <w:r>
              <w:rPr>
                <w:color w:val="3B59A4"/>
              </w:rPr>
              <w:t> </w:t>
            </w:r>
          </w:p>
        </w:tc>
        <w:tc>
          <w:tcPr>
            <w:tcW w:w="950" w:type="dxa"/>
            <w:vMerge w:val="restart"/>
            <w:tcBorders>
              <w:bottom w:val="single" w:sz="2" w:space="0" w:color="CCCCCC"/>
            </w:tcBorders>
            <w:vAlign w:val="center"/>
          </w:tcPr>
          <w:p>
            <w:pPr>
              <w:pStyle w:val="TableContents"/>
              <w:bidi w:val="0"/>
              <w:spacing w:before="0" w:after="283"/>
              <w:jc w:val="right"/>
              <w:rPr>
                <w:color w:val="3B59A4"/>
              </w:rPr>
            </w:pPr>
            <w:r>
              <w:rPr>
                <w:color w:val="3B59A4"/>
              </w:rPr>
              <w:t>Closing</w:t>
              <w:br/>
              <w:t>price of</w:t>
              <w:br/>
              <w:t>Company</w:t>
              <w:br/>
              <w:t>common</w:t>
              <w:br/>
              <w:t>stock</w:t>
              <w:br/>
              <w:t>on grant</w:t>
              <w:br/>
              <w:t>date</w:t>
              <w:br/>
              <w:t>($/Sh)</w:t>
            </w:r>
            <w:r>
              <w:rPr>
                <w:color w:val="3B59A4"/>
                <w:position w:val="8"/>
                <w:sz w:val="19"/>
              </w:rPr>
              <w:t>2</w:t>
            </w:r>
          </w:p>
        </w:tc>
        <w:tc>
          <w:tcPr>
            <w:tcW w:w="60" w:type="dxa"/>
            <w:tcBorders/>
            <w:tcMar>
              <w:bottom w:w="0" w:type="dxa"/>
            </w:tcMar>
            <w:vAlign w:val="center"/>
          </w:tcPr>
          <w:p>
            <w:pPr>
              <w:pStyle w:val="TableContents"/>
              <w:bidi w:val="0"/>
              <w:spacing w:before="0" w:after="283"/>
              <w:jc w:val="left"/>
              <w:rPr>
                <w:color w:val="3B59A4"/>
              </w:rPr>
            </w:pPr>
            <w:r>
              <w:rPr>
                <w:color w:val="3B59A4"/>
              </w:rPr>
              <w:t> </w:t>
            </w:r>
          </w:p>
        </w:tc>
        <w:tc>
          <w:tcPr>
            <w:tcW w:w="995" w:type="dxa"/>
            <w:vMerge w:val="restart"/>
            <w:tcBorders>
              <w:bottom w:val="single" w:sz="2" w:space="0" w:color="CCCCCC"/>
            </w:tcBorders>
            <w:vAlign w:val="center"/>
          </w:tcPr>
          <w:p>
            <w:pPr>
              <w:pStyle w:val="TableContents"/>
              <w:bidi w:val="0"/>
              <w:spacing w:before="0" w:after="283"/>
              <w:jc w:val="right"/>
              <w:rPr>
                <w:color w:val="3B59A4"/>
              </w:rPr>
            </w:pPr>
            <w:r>
              <w:rPr>
                <w:color w:val="3B59A4"/>
              </w:rPr>
              <w:t>Grant</w:t>
              <w:br/>
              <w:t>date fair</w:t>
              <w:br/>
              <w:t>value of</w:t>
              <w:br/>
              <w:t>stock and</w:t>
              <w:br/>
              <w:t>option</w:t>
              <w:br/>
              <w:t>awards</w:t>
              <w:br/>
              <w:t>($)</w:t>
            </w:r>
            <w:r>
              <w:rPr>
                <w:color w:val="3B59A4"/>
                <w:position w:val="8"/>
                <w:sz w:val="19"/>
              </w:rPr>
              <w:t>3</w:t>
            </w:r>
          </w:p>
        </w:tc>
      </w:tr>
      <w:tr>
        <w:trPr/>
        <w:tc>
          <w:tcPr>
            <w:tcW w:w="1415" w:type="dxa"/>
            <w:tcBorders>
              <w:bottom w:val="single" w:sz="2" w:space="0" w:color="CCCCCC"/>
            </w:tcBorders>
            <w:vAlign w:val="center"/>
          </w:tcPr>
          <w:p>
            <w:pPr>
              <w:pStyle w:val="TableContents"/>
              <w:bidi w:val="0"/>
              <w:spacing w:before="0" w:after="283"/>
              <w:jc w:val="left"/>
              <w:rPr>
                <w:color w:val="3B59A4"/>
              </w:rPr>
            </w:pPr>
            <w:r>
              <w:rPr>
                <w:color w:val="3B59A4"/>
              </w:rPr>
              <w:t>Name</w:t>
            </w:r>
          </w:p>
        </w:tc>
        <w:tc>
          <w:tcPr>
            <w:tcW w:w="60"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560" w:type="dxa"/>
            <w:gridSpan w:val="2"/>
            <w:tcBorders>
              <w:bottom w:val="single" w:sz="2" w:space="0" w:color="CCCCCC"/>
            </w:tcBorders>
            <w:vAlign w:val="center"/>
          </w:tcPr>
          <w:p>
            <w:pPr>
              <w:pStyle w:val="TableContents"/>
              <w:bidi w:val="0"/>
              <w:spacing w:before="0" w:after="283"/>
              <w:jc w:val="right"/>
              <w:rPr>
                <w:color w:val="3B59A4"/>
              </w:rPr>
            </w:pPr>
            <w:r>
              <w:rPr>
                <w:color w:val="3B59A4"/>
              </w:rPr>
              <w:t>Grant date</w:t>
            </w:r>
          </w:p>
        </w:tc>
        <w:tc>
          <w:tcPr>
            <w:tcW w:w="185"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60"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980" w:type="dxa"/>
            <w:tcBorders>
              <w:bottom w:val="single" w:sz="2" w:space="0" w:color="CCCCCC"/>
            </w:tcBorders>
            <w:vAlign w:val="center"/>
          </w:tcPr>
          <w:p>
            <w:pPr>
              <w:pStyle w:val="TableContents"/>
              <w:bidi w:val="0"/>
              <w:spacing w:before="0" w:after="283"/>
              <w:jc w:val="right"/>
              <w:rPr>
                <w:color w:val="3B59A4"/>
              </w:rPr>
            </w:pPr>
            <w:r>
              <w:rPr>
                <w:color w:val="3B59A4"/>
              </w:rPr>
              <w:t>Threshold</w:t>
              <w:br/>
              <w:t>($)</w:t>
            </w:r>
          </w:p>
        </w:tc>
        <w:tc>
          <w:tcPr>
            <w:tcW w:w="60"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980" w:type="dxa"/>
            <w:tcBorders>
              <w:bottom w:val="single" w:sz="2" w:space="0" w:color="CCCCCC"/>
            </w:tcBorders>
            <w:vAlign w:val="center"/>
          </w:tcPr>
          <w:p>
            <w:pPr>
              <w:pStyle w:val="TableContents"/>
              <w:bidi w:val="0"/>
              <w:spacing w:before="0" w:after="283"/>
              <w:jc w:val="right"/>
              <w:rPr>
                <w:color w:val="3B59A4"/>
              </w:rPr>
            </w:pPr>
            <w:r>
              <w:rPr>
                <w:color w:val="3B59A4"/>
              </w:rPr>
              <w:t xml:space="preserve">Target </w:t>
              <w:br/>
              <w:t>($)</w:t>
            </w:r>
          </w:p>
        </w:tc>
        <w:tc>
          <w:tcPr>
            <w:tcW w:w="60"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995" w:type="dxa"/>
            <w:tcBorders>
              <w:bottom w:val="single" w:sz="2" w:space="0" w:color="CCCCCC"/>
            </w:tcBorders>
            <w:vAlign w:val="center"/>
          </w:tcPr>
          <w:p>
            <w:pPr>
              <w:pStyle w:val="TableContents"/>
              <w:bidi w:val="0"/>
              <w:spacing w:before="0" w:after="283"/>
              <w:jc w:val="right"/>
              <w:rPr>
                <w:color w:val="3B59A4"/>
              </w:rPr>
            </w:pPr>
            <w:r>
              <w:rPr>
                <w:color w:val="3B59A4"/>
              </w:rPr>
              <w:t>Maximum</w:t>
              <w:br/>
              <w:t>($)</w:t>
            </w:r>
          </w:p>
        </w:tc>
        <w:tc>
          <w:tcPr>
            <w:tcW w:w="60"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860"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1040"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830"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950"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color w:val="3B59A4"/>
              </w:rPr>
            </w:pPr>
            <w:r>
              <w:rPr>
                <w:color w:val="3B59A4"/>
              </w:rPr>
              <w:t> </w:t>
            </w:r>
          </w:p>
        </w:tc>
        <w:tc>
          <w:tcPr>
            <w:tcW w:w="995" w:type="dxa"/>
            <w:vMerge w:val="continue"/>
            <w:tcBorders>
              <w:bottom w:val="single" w:sz="2" w:space="0" w:color="CCCCCC"/>
            </w:tcBorders>
            <w:vAlign w:val="center"/>
          </w:tcPr>
          <w:p>
            <w:pPr>
              <w:pStyle w:val="Normal"/>
              <w:bidi w:val="0"/>
              <w:jc w:val="left"/>
              <w:rPr/>
            </w:pPr>
            <w:r>
              <w:rPr/>
            </w:r>
          </w:p>
        </w:tc>
      </w:tr>
      <w:tr>
        <w:trPr/>
        <w:tc>
          <w:tcPr>
            <w:tcW w:w="1415" w:type="dxa"/>
            <w:tcBorders>
              <w:bottom w:val="single" w:sz="2" w:space="0" w:color="CCCCCC"/>
            </w:tcBorders>
            <w:vAlign w:val="center"/>
          </w:tcPr>
          <w:p>
            <w:pPr>
              <w:pStyle w:val="TableContents"/>
              <w:bidi w:val="0"/>
              <w:spacing w:before="0" w:after="283"/>
              <w:jc w:val="left"/>
              <w:rPr>
                <w:b/>
                <w:color w:val="3B5AA4"/>
              </w:rPr>
            </w:pPr>
            <w:r>
              <w:rPr>
                <w:b/>
                <w:color w:val="3B5AA4"/>
              </w:rPr>
              <w:t>Leonard S. Schleifer, M.D., Ph.D.</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2,329,320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4,799,183</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15" w:type="dxa"/>
            <w:tcBorders>
              <w:bottom w:val="single" w:sz="2" w:space="0" w:color="CCCCCC"/>
            </w:tcBorders>
            <w:shd w:fill="EBEBEC" w:val="clear"/>
            <w:vAlign w:val="center"/>
          </w:tcPr>
          <w:p>
            <w:pPr>
              <w:pStyle w:val="TableContents"/>
              <w:bidi w:val="0"/>
              <w:spacing w:before="0" w:after="283"/>
              <w:jc w:val="left"/>
              <w:rPr>
                <w:b/>
                <w:color w:val="3B5AA4"/>
              </w:rPr>
            </w:pPr>
            <w:r>
              <w:rPr>
                <w:b/>
                <w:color w:val="3B5AA4"/>
              </w:rPr>
              <w:t>George D. Yancopoulos, M.D., Ph.D.</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2,329,320</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4,799,183</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415" w:type="dxa"/>
            <w:vMerge w:val="restart"/>
            <w:tcBorders>
              <w:bottom w:val="single" w:sz="2" w:space="0" w:color="CCCCCC"/>
            </w:tcBorders>
            <w:vAlign w:val="center"/>
          </w:tcPr>
          <w:p>
            <w:pPr>
              <w:pStyle w:val="TableContents"/>
              <w:bidi w:val="0"/>
              <w:spacing w:before="0" w:after="283"/>
              <w:jc w:val="left"/>
              <w:rPr>
                <w:b/>
                <w:color w:val="3B5AA4"/>
              </w:rPr>
            </w:pPr>
            <w:r>
              <w:rPr>
                <w:b/>
                <w:color w:val="3B5AA4"/>
              </w:rPr>
              <w:t>Christopher Fenimore</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396,000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888,738</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15"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12/06/2024</w:t>
            </w:r>
          </w:p>
        </w:tc>
        <w:tc>
          <w:tcPr>
            <w:tcW w:w="185" w:type="dxa"/>
            <w:tcBorders>
              <w:bottom w:val="single" w:sz="2" w:space="0" w:color="CCCCCC"/>
            </w:tcBorders>
            <w:vAlign w:val="center"/>
          </w:tcPr>
          <w:p>
            <w:pPr>
              <w:pStyle w:val="TableContents"/>
              <w:bidi w:val="0"/>
              <w:spacing w:before="0" w:after="283"/>
              <w:jc w:val="left"/>
              <w:rPr/>
            </w:pPr>
            <w:r>
              <w:rPr>
                <w:position w:val="8"/>
                <w:sz w:val="19"/>
              </w:rPr>
              <w:t>4</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vAlign w:val="center"/>
          </w:tcPr>
          <w:p>
            <w:pPr>
              <w:pStyle w:val="TableContents"/>
              <w:bidi w:val="0"/>
              <w:spacing w:before="0" w:after="283"/>
              <w:jc w:val="right"/>
              <w:rPr>
                <w:color w:val="231F20"/>
              </w:rPr>
            </w:pPr>
            <w:r>
              <w:rPr>
                <w:color w:val="231F20"/>
              </w:rPr>
              <w:t>9,979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vAlign w:val="center"/>
          </w:tcPr>
          <w:p>
            <w:pPr>
              <w:pStyle w:val="TableContents"/>
              <w:bidi w:val="0"/>
              <w:spacing w:before="0" w:after="283"/>
              <w:jc w:val="right"/>
              <w:rPr>
                <w:color w:val="231F20"/>
              </w:rPr>
            </w:pPr>
            <w:r>
              <w:rPr>
                <w:color w:val="231F20"/>
              </w:rPr>
              <w:t>771.64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vAlign w:val="center"/>
          </w:tcPr>
          <w:p>
            <w:pPr>
              <w:pStyle w:val="TableContents"/>
              <w:bidi w:val="0"/>
              <w:spacing w:before="0" w:after="283"/>
              <w:jc w:val="right"/>
              <w:rPr>
                <w:color w:val="231F20"/>
              </w:rPr>
            </w:pPr>
            <w:r>
              <w:rPr>
                <w:color w:val="231F20"/>
              </w:rPr>
              <w:t>778.00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2,999,683</w:t>
            </w:r>
          </w:p>
        </w:tc>
      </w:tr>
      <w:tr>
        <w:trPr/>
        <w:tc>
          <w:tcPr>
            <w:tcW w:w="1415"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12/06/2024</w:t>
            </w:r>
          </w:p>
        </w:tc>
        <w:tc>
          <w:tcPr>
            <w:tcW w:w="185" w:type="dxa"/>
            <w:tcBorders>
              <w:bottom w:val="single" w:sz="2" w:space="0" w:color="CCCCCC"/>
            </w:tcBorders>
            <w:vAlign w:val="center"/>
          </w:tcPr>
          <w:p>
            <w:pPr>
              <w:pStyle w:val="TableContents"/>
              <w:bidi w:val="0"/>
              <w:spacing w:before="0" w:after="283"/>
              <w:jc w:val="left"/>
              <w:rPr/>
            </w:pPr>
            <w:r>
              <w:rPr>
                <w:position w:val="8"/>
                <w:sz w:val="19"/>
              </w:rPr>
              <w:t>5</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vAlign w:val="center"/>
          </w:tcPr>
          <w:p>
            <w:pPr>
              <w:pStyle w:val="TableContents"/>
              <w:bidi w:val="0"/>
              <w:spacing w:before="0" w:after="283"/>
              <w:jc w:val="right"/>
              <w:rPr>
                <w:color w:val="231F20"/>
              </w:rPr>
            </w:pPr>
            <w:r>
              <w:rPr>
                <w:color w:val="231F20"/>
              </w:rPr>
              <w:t>2,591</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1,999,319</w:t>
            </w:r>
          </w:p>
        </w:tc>
      </w:tr>
      <w:tr>
        <w:trPr/>
        <w:tc>
          <w:tcPr>
            <w:tcW w:w="1415" w:type="dxa"/>
            <w:vMerge w:val="restart"/>
            <w:tcBorders>
              <w:bottom w:val="single" w:sz="2" w:space="0" w:color="CCCCCC"/>
            </w:tcBorders>
            <w:shd w:fill="EBEBEC" w:val="clear"/>
            <w:vAlign w:val="center"/>
          </w:tcPr>
          <w:p>
            <w:pPr>
              <w:pStyle w:val="TableContents"/>
              <w:bidi w:val="0"/>
              <w:spacing w:before="0" w:after="283"/>
              <w:jc w:val="left"/>
              <w:rPr>
                <w:b/>
                <w:color w:val="3B5AA4"/>
              </w:rPr>
            </w:pPr>
            <w:r>
              <w:rPr>
                <w:b/>
                <w:color w:val="3B5AA4"/>
              </w:rPr>
              <w:t>Daniel P. Van Plew</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626,665</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1,244,233</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415" w:type="dxa"/>
            <w:vMerge w:val="continue"/>
            <w:tcBorders>
              <w:bottom w:val="single" w:sz="2" w:space="0" w:color="CCCCCC"/>
            </w:tcBorders>
            <w:shd w:fill="EBEBEC" w:val="clear"/>
            <w:vAlign w:val="center"/>
          </w:tcPr>
          <w:p>
            <w:pPr>
              <w:pStyle w:val="Normal"/>
              <w:bidi w:val="0"/>
              <w:jc w:val="left"/>
              <w:rPr/>
            </w:pPr>
            <w:r>
              <w:rPr/>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12/06/2024</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4</w:t>
            </w: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13,472</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771.64</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778.00</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4,049,729</w:t>
            </w:r>
          </w:p>
        </w:tc>
      </w:tr>
      <w:tr>
        <w:trPr/>
        <w:tc>
          <w:tcPr>
            <w:tcW w:w="1415" w:type="dxa"/>
            <w:vMerge w:val="continue"/>
            <w:tcBorders>
              <w:bottom w:val="single" w:sz="2" w:space="0" w:color="CCCCCC"/>
            </w:tcBorders>
            <w:shd w:fill="EBEBEC" w:val="clear"/>
            <w:vAlign w:val="center"/>
          </w:tcPr>
          <w:p>
            <w:pPr>
              <w:pStyle w:val="Normal"/>
              <w:bidi w:val="0"/>
              <w:jc w:val="left"/>
              <w:rPr/>
            </w:pPr>
            <w:r>
              <w:rPr/>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5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12/06/2024</w:t>
            </w:r>
          </w:p>
        </w:tc>
        <w:tc>
          <w:tcPr>
            <w:tcW w:w="185" w:type="dxa"/>
            <w:tcBorders>
              <w:bottom w:val="single" w:sz="2" w:space="0" w:color="CCCCCC"/>
            </w:tcBorders>
            <w:shd w:fill="EBEBEC" w:val="clear"/>
            <w:vAlign w:val="center"/>
          </w:tcPr>
          <w:p>
            <w:pPr>
              <w:pStyle w:val="TableContents"/>
              <w:bidi w:val="0"/>
              <w:spacing w:before="0" w:after="283"/>
              <w:jc w:val="left"/>
              <w:rPr>
                <w:color w:val="010101"/>
              </w:rPr>
            </w:pPr>
            <w:r>
              <w:rPr>
                <w:color w:val="010101"/>
                <w:position w:val="8"/>
                <w:sz w:val="19"/>
              </w:rPr>
              <w:t>5</w:t>
            </w:r>
            <w:r>
              <w:rPr>
                <w:color w:val="010101"/>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3,499</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2,699,968</w:t>
            </w:r>
          </w:p>
        </w:tc>
      </w:tr>
      <w:tr>
        <w:trPr/>
        <w:tc>
          <w:tcPr>
            <w:tcW w:w="1415" w:type="dxa"/>
            <w:vMerge w:val="restart"/>
            <w:tcBorders>
              <w:bottom w:val="single" w:sz="2" w:space="0" w:color="CCCCCC"/>
            </w:tcBorders>
            <w:vAlign w:val="center"/>
          </w:tcPr>
          <w:p>
            <w:pPr>
              <w:pStyle w:val="TableContents"/>
              <w:bidi w:val="0"/>
              <w:spacing w:before="0" w:after="283"/>
              <w:jc w:val="left"/>
              <w:rPr>
                <w:b/>
                <w:color w:val="3B5AA4"/>
              </w:rPr>
            </w:pPr>
            <w:r>
              <w:rPr>
                <w:b/>
                <w:color w:val="3B5AA4"/>
              </w:rPr>
              <w:t>Andrew J. Murphy, Ph.D.</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522,340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1,066,485</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15"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12/06/2024</w:t>
            </w:r>
          </w:p>
        </w:tc>
        <w:tc>
          <w:tcPr>
            <w:tcW w:w="185" w:type="dxa"/>
            <w:tcBorders>
              <w:bottom w:val="single" w:sz="2" w:space="0" w:color="CCCCCC"/>
            </w:tcBorders>
            <w:vAlign w:val="center"/>
          </w:tcPr>
          <w:p>
            <w:pPr>
              <w:pStyle w:val="TableContents"/>
              <w:bidi w:val="0"/>
              <w:spacing w:before="0" w:after="283"/>
              <w:jc w:val="left"/>
              <w:rPr/>
            </w:pPr>
            <w:r>
              <w:rPr>
                <w:position w:val="8"/>
                <w:sz w:val="19"/>
              </w:rPr>
              <w:t>4</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vAlign w:val="center"/>
          </w:tcPr>
          <w:p>
            <w:pPr>
              <w:pStyle w:val="TableContents"/>
              <w:bidi w:val="0"/>
              <w:spacing w:before="0" w:after="283"/>
              <w:jc w:val="right"/>
              <w:rPr>
                <w:color w:val="231F20"/>
              </w:rPr>
            </w:pPr>
            <w:r>
              <w:rPr>
                <w:color w:val="231F20"/>
              </w:rPr>
              <w:t>13,472</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vAlign w:val="center"/>
          </w:tcPr>
          <w:p>
            <w:pPr>
              <w:pStyle w:val="TableContents"/>
              <w:bidi w:val="0"/>
              <w:spacing w:before="0" w:after="283"/>
              <w:jc w:val="right"/>
              <w:rPr>
                <w:color w:val="231F20"/>
              </w:rPr>
            </w:pPr>
            <w:r>
              <w:rPr>
                <w:color w:val="231F20"/>
              </w:rPr>
              <w:t>771.64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vAlign w:val="center"/>
          </w:tcPr>
          <w:p>
            <w:pPr>
              <w:pStyle w:val="TableContents"/>
              <w:bidi w:val="0"/>
              <w:spacing w:before="0" w:after="283"/>
              <w:jc w:val="right"/>
              <w:rPr>
                <w:color w:val="231F20"/>
              </w:rPr>
            </w:pPr>
            <w:r>
              <w:rPr>
                <w:color w:val="231F20"/>
              </w:rPr>
              <w:t>778.00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4,049,729</w:t>
            </w:r>
          </w:p>
        </w:tc>
      </w:tr>
      <w:tr>
        <w:trPr/>
        <w:tc>
          <w:tcPr>
            <w:tcW w:w="1415"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500" w:type="dxa"/>
            <w:tcBorders>
              <w:bottom w:val="single" w:sz="2" w:space="0" w:color="CCCCCC"/>
            </w:tcBorders>
            <w:vAlign w:val="center"/>
          </w:tcPr>
          <w:p>
            <w:pPr>
              <w:pStyle w:val="TableContents"/>
              <w:bidi w:val="0"/>
              <w:spacing w:before="0" w:after="283"/>
              <w:jc w:val="right"/>
              <w:rPr>
                <w:color w:val="231F20"/>
              </w:rPr>
            </w:pPr>
            <w:r>
              <w:rPr>
                <w:color w:val="231F20"/>
              </w:rPr>
              <w:t>12/06/2024</w:t>
            </w:r>
          </w:p>
        </w:tc>
        <w:tc>
          <w:tcPr>
            <w:tcW w:w="185" w:type="dxa"/>
            <w:tcBorders>
              <w:bottom w:val="single" w:sz="2" w:space="0" w:color="CCCCCC"/>
            </w:tcBorders>
            <w:vAlign w:val="center"/>
          </w:tcPr>
          <w:p>
            <w:pPr>
              <w:pStyle w:val="TableContents"/>
              <w:bidi w:val="0"/>
              <w:spacing w:before="0" w:after="283"/>
              <w:jc w:val="left"/>
              <w:rPr/>
            </w:pPr>
            <w:r>
              <w:rPr>
                <w:position w:val="8"/>
                <w:sz w:val="19"/>
              </w:rPr>
              <w:t>5</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60" w:type="dxa"/>
            <w:tcBorders>
              <w:bottom w:val="single" w:sz="2" w:space="0" w:color="CCCCCC"/>
            </w:tcBorders>
            <w:vAlign w:val="center"/>
          </w:tcPr>
          <w:p>
            <w:pPr>
              <w:pStyle w:val="TableContents"/>
              <w:bidi w:val="0"/>
              <w:spacing w:before="0" w:after="283"/>
              <w:jc w:val="right"/>
              <w:rPr>
                <w:color w:val="231F20"/>
              </w:rPr>
            </w:pPr>
            <w:r>
              <w:rPr>
                <w:color w:val="231F20"/>
              </w:rPr>
              <w:t>3,499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04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3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5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2,699,968</w:t>
            </w:r>
          </w:p>
        </w:tc>
      </w:tr>
      <w:tr>
        <w:trPr/>
        <w:tc>
          <w:tcPr>
            <w:tcW w:w="1415" w:type="dxa"/>
            <w:tcBorders>
              <w:bottom w:val="single" w:sz="12" w:space="0" w:color="3B5AA4"/>
            </w:tcBorders>
            <w:shd w:fill="EBEBEC" w:val="clear"/>
            <w:vAlign w:val="center"/>
          </w:tcPr>
          <w:p>
            <w:pPr>
              <w:pStyle w:val="TableContents"/>
              <w:bidi w:val="0"/>
              <w:spacing w:before="0" w:after="283"/>
              <w:jc w:val="left"/>
              <w:rPr>
                <w:b/>
                <w:color w:val="3B5AA4"/>
              </w:rPr>
            </w:pPr>
            <w:r>
              <w:rPr>
                <w:b/>
                <w:color w:val="3B5AA4"/>
              </w:rPr>
              <w:t xml:space="preserve">Robert E. Landry </w:t>
            </w:r>
            <w:r>
              <w:rPr>
                <w:b/>
                <w:i/>
                <w:color w:val="3B5AA4"/>
              </w:rPr>
              <w:t>(retired)</w:t>
            </w:r>
            <w:r>
              <w:rPr>
                <w:b/>
                <w:color w:val="3B5AA4"/>
                <w:position w:val="8"/>
                <w:sz w:val="19"/>
              </w:rPr>
              <w:t>6</w:t>
            </w:r>
          </w:p>
        </w:tc>
        <w:tc>
          <w:tcPr>
            <w:tcW w:w="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 </w:t>
            </w:r>
          </w:p>
        </w:tc>
        <w:tc>
          <w:tcPr>
            <w:tcW w:w="60" w:type="dxa"/>
            <w:tcBorders>
              <w:bottom w:val="single" w:sz="12" w:space="0" w:color="3B5AA4"/>
            </w:tcBorders>
            <w:shd w:fill="EBEBEC" w:val="clear"/>
            <w:vAlign w:val="center"/>
          </w:tcPr>
          <w:p>
            <w:pPr>
              <w:pStyle w:val="TableContents"/>
              <w:bidi w:val="0"/>
              <w:spacing w:before="0" w:after="283"/>
              <w:jc w:val="right"/>
              <w:rPr/>
            </w:pPr>
            <w:r>
              <w:rPr/>
              <w:t> </w:t>
            </w:r>
          </w:p>
        </w:tc>
        <w:tc>
          <w:tcPr>
            <w:tcW w:w="50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12" w:space="0" w:color="3B5AA4"/>
            </w:tcBorders>
            <w:shd w:fill="EBEBEC" w:val="clear"/>
            <w:vAlign w:val="center"/>
          </w:tcPr>
          <w:p>
            <w:pPr>
              <w:pStyle w:val="TableContents"/>
              <w:bidi w:val="0"/>
              <w:spacing w:before="0" w:after="283"/>
              <w:jc w:val="right"/>
              <w:rPr/>
            </w:pPr>
            <w:r>
              <w:rPr/>
              <w:t> </w:t>
            </w:r>
          </w:p>
        </w:tc>
        <w:tc>
          <w:tcPr>
            <w:tcW w:w="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 </w:t>
            </w:r>
          </w:p>
        </w:tc>
        <w:tc>
          <w:tcPr>
            <w:tcW w:w="98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 </w:t>
            </w:r>
          </w:p>
        </w:tc>
        <w:tc>
          <w:tcPr>
            <w:tcW w:w="98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 </w:t>
            </w:r>
          </w:p>
        </w:tc>
        <w:tc>
          <w:tcPr>
            <w:tcW w:w="995"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 </w:t>
            </w:r>
          </w:p>
        </w:tc>
        <w:tc>
          <w:tcPr>
            <w:tcW w:w="8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 </w:t>
            </w:r>
          </w:p>
        </w:tc>
        <w:tc>
          <w:tcPr>
            <w:tcW w:w="104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 </w:t>
            </w:r>
          </w:p>
        </w:tc>
        <w:tc>
          <w:tcPr>
            <w:tcW w:w="83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 </w:t>
            </w:r>
          </w:p>
        </w:tc>
        <w:tc>
          <w:tcPr>
            <w:tcW w:w="95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 </w:t>
            </w:r>
          </w:p>
        </w:tc>
        <w:tc>
          <w:tcPr>
            <w:tcW w:w="995" w:type="dxa"/>
            <w:tcBorders>
              <w:bottom w:val="single" w:sz="12" w:space="0" w:color="3B5AA4"/>
            </w:tcBorders>
            <w:shd w:fill="EBEBEC" w:val="clear"/>
            <w:vAlign w:val="center"/>
          </w:tcPr>
          <w:p>
            <w:pPr>
              <w:pStyle w:val="TableContents"/>
              <w:bidi w:val="0"/>
              <w:spacing w:before="0" w:after="283"/>
              <w:jc w:val="right"/>
              <w:rPr>
                <w:color w:val="231F20"/>
              </w:rPr>
            </w:pPr>
            <w:r>
              <w:rPr>
                <w:color w:val="231F20"/>
              </w:rPr>
              <w:t>—</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Cash incentive awards under the Regeneron Pharmaceuticals, Inc. Cash Incentive Bonus Plan. The actual cash incentive awards earned in respect of 2024 and paid out in January 2025 are reported as “Non-Equity Incentive Plan Compensation” in the Summary Compensation Table above. The maximum amount in this column represents the maximum cash incentive allocated to each executive by the Compensation Committee in March 2024 under the Cash Incentive Bonus Plan.</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These options have an exercise price equal to the average of the high and low sales price per share of the Company’s common stock on the date of grant. Therefore, the closing price of our common stock on the grant date may be higher or lower than the exercise price of these options.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10065" w:type="dxa"/>
            <w:tcBorders/>
            <w:vAlign w:val="center"/>
          </w:tcPr>
          <w:p>
            <w:pPr>
              <w:pStyle w:val="TableContents"/>
              <w:bidi w:val="0"/>
              <w:spacing w:before="0" w:after="283"/>
              <w:jc w:val="left"/>
              <w:rPr>
                <w:color w:val="231F20"/>
              </w:rPr>
            </w:pPr>
            <w:r>
              <w:rPr>
                <w:color w:val="231F20"/>
              </w:rPr>
              <w:t>The amounts in this column represent the grant date fair value (disregarding estimated forfeitures) of the awards made pursuant to the Second Amended and Restated Regeneron Pharmaceuticals, Inc. 2014 Long-Term Incentive Plan. The valuation assumptions and methodologies used in the calculation of these amounts are included in Note 13 to the Company’s audited financial statements for the fiscal year ended December 31, 2024, included in the 2024 Annual Report.</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10065" w:type="dxa"/>
            <w:tcBorders/>
            <w:vAlign w:val="center"/>
          </w:tcPr>
          <w:p>
            <w:pPr>
              <w:pStyle w:val="TableContents"/>
              <w:bidi w:val="0"/>
              <w:spacing w:before="0" w:after="283"/>
              <w:jc w:val="left"/>
              <w:rPr>
                <w:color w:val="231F20"/>
              </w:rPr>
            </w:pPr>
            <w:r>
              <w:rPr>
                <w:color w:val="231F20"/>
              </w:rPr>
              <w:t>The NEO received a non-qualified stock option award that vests subject to continued employment at a rate of 25% per year over the first four years of the maximum ten-year option term.</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10065" w:type="dxa"/>
            <w:tcBorders/>
            <w:vAlign w:val="center"/>
          </w:tcPr>
          <w:p>
            <w:pPr>
              <w:pStyle w:val="TableContents"/>
              <w:bidi w:val="0"/>
              <w:spacing w:before="0" w:after="283"/>
              <w:jc w:val="left"/>
              <w:rPr>
                <w:color w:val="231F20"/>
              </w:rPr>
            </w:pPr>
            <w:r>
              <w:rPr>
                <w:color w:val="231F20"/>
              </w:rPr>
              <w:t>The NEO received an annual RSA that vests 50% on the second anniversary of the date of grant and 50% on the fourth anniversary of the date of grant, subject to the NEO’s continued employment.</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6</w:t>
            </w:r>
          </w:p>
        </w:tc>
        <w:tc>
          <w:tcPr>
            <w:tcW w:w="10065" w:type="dxa"/>
            <w:tcBorders/>
            <w:vAlign w:val="center"/>
          </w:tcPr>
          <w:p>
            <w:pPr>
              <w:pStyle w:val="TableContents"/>
              <w:bidi w:val="0"/>
              <w:spacing w:before="0" w:after="283"/>
              <w:jc w:val="left"/>
              <w:rPr>
                <w:color w:val="231F20"/>
              </w:rPr>
            </w:pPr>
            <w:r>
              <w:rPr>
                <w:color w:val="231F20"/>
              </w:rPr>
              <w:t>Mr. Landry did not receive an annual cash incentive or any equity awards in 2024 in light of his retirement from full-time employment with the Company effective February 2024.</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bl>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28"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09" descr=""/>
                          <pic:cNvPicPr>
                            <a:picLocks noChangeAspect="1" noChangeArrowheads="1"/>
                          </pic:cNvPicPr>
                        </pic:nvPicPr>
                        <pic:blipFill>
                          <a:blip r:embed="rId32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32" w:name="regn013211-def14aa078"/>
      <w:bookmarkStart w:id="133" w:name="lregnb030"/>
      <w:bookmarkEnd w:id="132"/>
      <w:bookmarkEnd w:id="133"/>
      <w:r>
        <w:rPr>
          <w:rFonts w:ascii="Arial;Helvetica;Sans-Serif" w:hAnsi="Arial;Helvetica;Sans-Serif"/>
          <w:b/>
          <w:i w:val="false"/>
          <w:caps w:val="false"/>
          <w:smallCaps w:val="false"/>
          <w:color w:val="C60C45"/>
          <w:sz w:val="28"/>
        </w:rPr>
        <w:t>Outstanding Equity Awards at 2024 Fiscal Year-End</w:t>
      </w:r>
    </w:p>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and explanatory footnotes provide information regarding unexercised stock options and PSUs or RSAs (as applicable) held by our NEOs as of December 31, 2024.</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1960" w:type="dxa"/>
        <w:jc w:val="left"/>
        <w:tblInd w:w="0" w:type="dxa"/>
        <w:tblLayout w:type="fixed"/>
        <w:tblCellMar>
          <w:top w:w="0" w:type="dxa"/>
          <w:left w:w="0" w:type="dxa"/>
          <w:bottom w:w="28" w:type="dxa"/>
          <w:right w:w="0" w:type="dxa"/>
        </w:tblCellMar>
      </w:tblPr>
      <w:tblGrid>
        <w:gridCol w:w="1475"/>
        <w:gridCol w:w="60"/>
        <w:gridCol w:w="1145"/>
        <w:gridCol w:w="60"/>
        <w:gridCol w:w="1310"/>
        <w:gridCol w:w="185"/>
        <w:gridCol w:w="60"/>
        <w:gridCol w:w="1145"/>
        <w:gridCol w:w="60"/>
        <w:gridCol w:w="785"/>
        <w:gridCol w:w="60"/>
        <w:gridCol w:w="965"/>
        <w:gridCol w:w="60"/>
        <w:gridCol w:w="60"/>
        <w:gridCol w:w="800"/>
        <w:gridCol w:w="290"/>
        <w:gridCol w:w="60"/>
        <w:gridCol w:w="60"/>
        <w:gridCol w:w="1220"/>
        <w:gridCol w:w="185"/>
        <w:gridCol w:w="60"/>
        <w:gridCol w:w="890"/>
        <w:gridCol w:w="60"/>
        <w:gridCol w:w="905"/>
      </w:tblGrid>
      <w:tr>
        <w:trPr/>
        <w:tc>
          <w:tcPr>
            <w:tcW w:w="1475" w:type="dxa"/>
            <w:tcBorders>
              <w:bottom w:val="single" w:sz="2" w:space="0" w:color="CCCCCC"/>
            </w:tcBorders>
            <w:vAlign w:val="center"/>
          </w:tcPr>
          <w:p>
            <w:pPr>
              <w:pStyle w:val="TableContents"/>
              <w:bidi w:val="0"/>
              <w:spacing w:before="0" w:after="283"/>
              <w:jc w:val="center"/>
              <w:rPr>
                <w:color w:val="3B5AA4"/>
              </w:rPr>
            </w:pPr>
            <w:r>
              <w:rPr>
                <w:color w:val="3B5AA4"/>
              </w:rPr>
              <w:t>A</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center"/>
              <w:rPr>
                <w:color w:val="3B5AA4"/>
              </w:rPr>
            </w:pPr>
            <w:r>
              <w:rPr>
                <w:color w:val="3B5AA4"/>
              </w:rPr>
              <w:t>B</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310" w:type="dxa"/>
            <w:tcBorders>
              <w:bottom w:val="single" w:sz="2" w:space="0" w:color="CCCCCC"/>
            </w:tcBorders>
            <w:vAlign w:val="center"/>
          </w:tcPr>
          <w:p>
            <w:pPr>
              <w:pStyle w:val="TableContents"/>
              <w:bidi w:val="0"/>
              <w:spacing w:before="0" w:after="283"/>
              <w:jc w:val="center"/>
              <w:rPr>
                <w:color w:val="3B5AA4"/>
              </w:rPr>
            </w:pPr>
            <w:r>
              <w:rPr>
                <w:color w:val="3B5AA4"/>
              </w:rPr>
              <w:t>C</w:t>
            </w:r>
          </w:p>
        </w:tc>
        <w:tc>
          <w:tcPr>
            <w:tcW w:w="185" w:type="dxa"/>
            <w:tcBorders>
              <w:bottom w:val="single" w:sz="2" w:space="0" w:color="CCCCCC"/>
            </w:tcBorders>
            <w:vAlign w:val="center"/>
          </w:tcPr>
          <w:p>
            <w:pPr>
              <w:pStyle w:val="TableContents"/>
              <w:bidi w:val="0"/>
              <w:spacing w:before="0" w:after="283"/>
              <w:jc w:val="center"/>
              <w:rPr/>
            </w:pPr>
            <w:r>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center"/>
              <w:rPr>
                <w:color w:val="3B5AA4"/>
              </w:rPr>
            </w:pPr>
            <w:r>
              <w:rPr>
                <w:color w:val="3B5AA4"/>
              </w:rPr>
              <w:t>D</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785" w:type="dxa"/>
            <w:tcBorders>
              <w:bottom w:val="single" w:sz="2" w:space="0" w:color="CCCCCC"/>
            </w:tcBorders>
            <w:vAlign w:val="center"/>
          </w:tcPr>
          <w:p>
            <w:pPr>
              <w:pStyle w:val="TableContents"/>
              <w:bidi w:val="0"/>
              <w:spacing w:before="0" w:after="283"/>
              <w:jc w:val="center"/>
              <w:rPr>
                <w:color w:val="3B5AA4"/>
              </w:rPr>
            </w:pPr>
            <w:r>
              <w:rPr>
                <w:color w:val="3B5AA4"/>
              </w:rPr>
              <w:t>E</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65" w:type="dxa"/>
            <w:tcBorders>
              <w:bottom w:val="single" w:sz="2" w:space="0" w:color="CCCCCC"/>
            </w:tcBorders>
            <w:vAlign w:val="center"/>
          </w:tcPr>
          <w:p>
            <w:pPr>
              <w:pStyle w:val="TableContents"/>
              <w:bidi w:val="0"/>
              <w:spacing w:before="0" w:after="283"/>
              <w:jc w:val="center"/>
              <w:rPr>
                <w:color w:val="3B5AA4"/>
              </w:rPr>
            </w:pPr>
            <w:r>
              <w:rPr>
                <w:color w:val="3B5AA4"/>
              </w:rPr>
              <w:t>F</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800" w:type="dxa"/>
            <w:tcBorders>
              <w:bottom w:val="single" w:sz="2" w:space="0" w:color="CCCCCC"/>
            </w:tcBorders>
            <w:vAlign w:val="center"/>
          </w:tcPr>
          <w:p>
            <w:pPr>
              <w:pStyle w:val="TableContents"/>
              <w:bidi w:val="0"/>
              <w:spacing w:before="0" w:after="283"/>
              <w:jc w:val="center"/>
              <w:rPr>
                <w:color w:val="3B5AA4"/>
              </w:rPr>
            </w:pPr>
            <w:r>
              <w:rPr>
                <w:color w:val="3B5AA4"/>
              </w:rPr>
              <w:t>G</w:t>
            </w:r>
          </w:p>
        </w:tc>
        <w:tc>
          <w:tcPr>
            <w:tcW w:w="29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220" w:type="dxa"/>
            <w:tcBorders>
              <w:bottom w:val="single" w:sz="2" w:space="0" w:color="CCCCCC"/>
            </w:tcBorders>
            <w:vAlign w:val="center"/>
          </w:tcPr>
          <w:p>
            <w:pPr>
              <w:pStyle w:val="TableContents"/>
              <w:bidi w:val="0"/>
              <w:spacing w:before="0" w:after="283"/>
              <w:jc w:val="center"/>
              <w:rPr>
                <w:color w:val="3B5AA4"/>
              </w:rPr>
            </w:pPr>
            <w:r>
              <w:rPr>
                <w:color w:val="3B5AA4"/>
              </w:rPr>
              <w:t>H</w:t>
            </w:r>
          </w:p>
        </w:tc>
        <w:tc>
          <w:tcPr>
            <w:tcW w:w="185"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890" w:type="dxa"/>
            <w:tcBorders>
              <w:bottom w:val="single" w:sz="2" w:space="0" w:color="CCCCCC"/>
            </w:tcBorders>
            <w:vAlign w:val="center"/>
          </w:tcPr>
          <w:p>
            <w:pPr>
              <w:pStyle w:val="TableContents"/>
              <w:bidi w:val="0"/>
              <w:spacing w:before="0" w:after="283"/>
              <w:jc w:val="center"/>
              <w:rPr>
                <w:color w:val="3B5AA4"/>
              </w:rPr>
            </w:pPr>
            <w:r>
              <w:rPr>
                <w:color w:val="3B5AA4"/>
              </w:rPr>
              <w:t>I</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05" w:type="dxa"/>
            <w:tcBorders>
              <w:bottom w:val="single" w:sz="2" w:space="0" w:color="CCCCCC"/>
            </w:tcBorders>
            <w:vAlign w:val="center"/>
          </w:tcPr>
          <w:p>
            <w:pPr>
              <w:pStyle w:val="TableContents"/>
              <w:bidi w:val="0"/>
              <w:spacing w:before="0" w:after="283"/>
              <w:jc w:val="center"/>
              <w:rPr>
                <w:color w:val="3B5AA4"/>
              </w:rPr>
            </w:pPr>
            <w:r>
              <w:rPr>
                <w:color w:val="3B5AA4"/>
              </w:rPr>
              <w:t>J</w:t>
            </w:r>
          </w:p>
        </w:tc>
      </w:tr>
      <w:tr>
        <w:trPr/>
        <w:tc>
          <w:tcPr>
            <w:tcW w:w="14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775" w:type="dxa"/>
            <w:gridSpan w:val="10"/>
            <w:tcBorders>
              <w:bottom w:val="single" w:sz="2" w:space="0" w:color="CCCCCC"/>
            </w:tcBorders>
            <w:vAlign w:val="center"/>
          </w:tcPr>
          <w:p>
            <w:pPr>
              <w:pStyle w:val="TableContents"/>
              <w:bidi w:val="0"/>
              <w:spacing w:before="0" w:after="283"/>
              <w:jc w:val="center"/>
              <w:rPr>
                <w:color w:val="3B5AA4"/>
              </w:rPr>
            </w:pPr>
            <w:r>
              <w:rPr>
                <w:color w:val="3B5AA4"/>
              </w:rPr>
              <w:t>Option Awards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30" w:type="dxa"/>
            <w:gridSpan w:val="10"/>
            <w:tcBorders>
              <w:bottom w:val="single" w:sz="2" w:space="0" w:color="CCCCCC"/>
            </w:tcBorders>
            <w:vAlign w:val="center"/>
          </w:tcPr>
          <w:p>
            <w:pPr>
              <w:pStyle w:val="TableContents"/>
              <w:bidi w:val="0"/>
              <w:spacing w:before="0" w:after="283"/>
              <w:jc w:val="center"/>
              <w:rPr>
                <w:color w:val="3B5AA4"/>
              </w:rPr>
            </w:pPr>
            <w:r>
              <w:rPr>
                <w:color w:val="3B5AA4"/>
              </w:rPr>
              <w:t>Stock Awards</w:t>
            </w:r>
          </w:p>
        </w:tc>
      </w:tr>
      <w:tr>
        <w:trPr/>
        <w:tc>
          <w:tcPr>
            <w:tcW w:w="1475" w:type="dxa"/>
            <w:tcBorders>
              <w:bottom w:val="single" w:sz="2" w:space="0" w:color="CCCCCC"/>
            </w:tcBorders>
            <w:vAlign w:val="center"/>
          </w:tcPr>
          <w:p>
            <w:pPr>
              <w:pStyle w:val="TableContents"/>
              <w:bidi w:val="0"/>
              <w:spacing w:before="0" w:after="283"/>
              <w:jc w:val="left"/>
              <w:rPr>
                <w:color w:val="3B5AA4"/>
              </w:rPr>
            </w:pPr>
            <w:r>
              <w:rPr>
                <w:color w:val="3B5AA4"/>
              </w:rPr>
              <w:t>Name</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right"/>
              <w:rPr>
                <w:color w:val="3B5AA4"/>
              </w:rPr>
            </w:pPr>
            <w:r>
              <w:rPr>
                <w:color w:val="3B5AA4"/>
              </w:rPr>
              <w:t>Number of</w:t>
              <w:br/>
              <w:t>securities</w:t>
              <w:br/>
              <w:t>underlying</w:t>
              <w:br/>
              <w:t>unexercised</w:t>
              <w:br/>
              <w:t>options</w:t>
              <w:br/>
              <w:t>exercisable</w:t>
              <w:br/>
              <w:t>(#)</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310" w:type="dxa"/>
            <w:tcBorders>
              <w:bottom w:val="single" w:sz="2" w:space="0" w:color="CCCCCC"/>
            </w:tcBorders>
            <w:vAlign w:val="center"/>
          </w:tcPr>
          <w:p>
            <w:pPr>
              <w:pStyle w:val="TableContents"/>
              <w:bidi w:val="0"/>
              <w:spacing w:before="0" w:after="283"/>
              <w:jc w:val="right"/>
              <w:rPr>
                <w:color w:val="3B5AA4"/>
              </w:rPr>
            </w:pPr>
            <w:r>
              <w:rPr>
                <w:color w:val="3B5AA4"/>
              </w:rPr>
              <w:t>Number of</w:t>
              <w:br/>
              <w:t>securities</w:t>
              <w:br/>
              <w:t>underlying</w:t>
              <w:br/>
              <w:t>unexercised</w:t>
              <w:br/>
              <w:t>options</w:t>
              <w:br/>
              <w:t>unexercisable</w:t>
              <w:b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right"/>
              <w:rPr>
                <w:color w:val="3B5AA4"/>
              </w:rPr>
            </w:pPr>
            <w:r>
              <w:rPr>
                <w:color w:val="3B5AA4"/>
              </w:rPr>
              <w:t>Equity</w:t>
              <w:br/>
              <w:t>incentive</w:t>
              <w:br/>
              <w:t>plan</w:t>
              <w:br/>
              <w:t>awards:</w:t>
              <w:br/>
              <w:t>number of</w:t>
              <w:br/>
              <w:t>securities</w:t>
              <w:br/>
              <w:t>underlying</w:t>
              <w:br/>
              <w:t>unexercised</w:t>
              <w:br/>
              <w:t>unearned</w:t>
              <w:br/>
              <w:t>options</w:t>
              <w:br/>
              <w:t>(#)</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785" w:type="dxa"/>
            <w:tcBorders>
              <w:bottom w:val="single" w:sz="2" w:space="0" w:color="CCCCCC"/>
            </w:tcBorders>
            <w:vAlign w:val="center"/>
          </w:tcPr>
          <w:p>
            <w:pPr>
              <w:pStyle w:val="TableContents"/>
              <w:bidi w:val="0"/>
              <w:spacing w:before="0" w:after="283"/>
              <w:jc w:val="right"/>
              <w:rPr>
                <w:color w:val="3B5AA4"/>
              </w:rPr>
            </w:pPr>
            <w:r>
              <w:rPr>
                <w:color w:val="3B5AA4"/>
              </w:rPr>
              <w:t>Option</w:t>
              <w:br/>
              <w:t>exercise</w:t>
              <w:br/>
              <w:t>price</w:t>
              <w:br/>
              <w:t>($)</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65" w:type="dxa"/>
            <w:tcBorders>
              <w:bottom w:val="single" w:sz="2" w:space="0" w:color="CCCCCC"/>
            </w:tcBorders>
            <w:vAlign w:val="center"/>
          </w:tcPr>
          <w:p>
            <w:pPr>
              <w:pStyle w:val="TableContents"/>
              <w:bidi w:val="0"/>
              <w:spacing w:before="0" w:after="283"/>
              <w:jc w:val="right"/>
              <w:rPr>
                <w:color w:val="3B5AA4"/>
              </w:rPr>
            </w:pPr>
            <w:r>
              <w:rPr>
                <w:color w:val="3B5AA4"/>
              </w:rPr>
              <w:t>Option</w:t>
              <w:br/>
              <w:t>expiration</w:t>
              <w:br/>
              <w:t>date</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800" w:type="dxa"/>
            <w:tcBorders>
              <w:bottom w:val="single" w:sz="2" w:space="0" w:color="CCCCCC"/>
            </w:tcBorders>
            <w:vAlign w:val="center"/>
          </w:tcPr>
          <w:p>
            <w:pPr>
              <w:pStyle w:val="TableContents"/>
              <w:bidi w:val="0"/>
              <w:spacing w:before="0" w:after="283"/>
              <w:jc w:val="right"/>
              <w:rPr>
                <w:color w:val="3B5AA4"/>
              </w:rPr>
            </w:pPr>
            <w:r>
              <w:rPr>
                <w:color w:val="3B5AA4"/>
              </w:rPr>
              <w:t>Number of</w:t>
              <w:br/>
              <w:t>shares</w:t>
              <w:br/>
              <w:t>or units</w:t>
              <w:br/>
              <w:t>of stock</w:t>
              <w:br/>
              <w:t>that have</w:t>
              <w:br/>
              <w:t>not</w:t>
              <w:br/>
              <w:t>vested</w:t>
              <w:br/>
              <w:t>(#)</w:t>
            </w:r>
          </w:p>
        </w:tc>
        <w:tc>
          <w:tcPr>
            <w:tcW w:w="29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220" w:type="dxa"/>
            <w:tcBorders>
              <w:bottom w:val="single" w:sz="2" w:space="0" w:color="CCCCCC"/>
            </w:tcBorders>
            <w:vAlign w:val="center"/>
          </w:tcPr>
          <w:p>
            <w:pPr>
              <w:pStyle w:val="TableContents"/>
              <w:bidi w:val="0"/>
              <w:spacing w:before="0" w:after="283"/>
              <w:jc w:val="right"/>
              <w:rPr>
                <w:color w:val="3B5AA4"/>
              </w:rPr>
            </w:pPr>
            <w:r>
              <w:rPr>
                <w:color w:val="3B5AA4"/>
              </w:rPr>
              <w:t>Market</w:t>
              <w:br/>
              <w:t>value</w:t>
              <w:br/>
              <w:t>of shares</w:t>
              <w:br/>
              <w:t>or units</w:t>
              <w:br/>
              <w:t>of stock</w:t>
              <w:br/>
              <w:t>that have</w:t>
              <w:br/>
              <w:t>not vested</w:t>
              <w:br/>
              <w:t>($)</w:t>
            </w:r>
          </w:p>
        </w:tc>
        <w:tc>
          <w:tcPr>
            <w:tcW w:w="185"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890" w:type="dxa"/>
            <w:tcBorders>
              <w:bottom w:val="single" w:sz="2" w:space="0" w:color="CCCCCC"/>
            </w:tcBorders>
            <w:vAlign w:val="center"/>
          </w:tcPr>
          <w:p>
            <w:pPr>
              <w:pStyle w:val="TableContents"/>
              <w:bidi w:val="0"/>
              <w:spacing w:before="0" w:after="283"/>
              <w:jc w:val="right"/>
              <w:rPr>
                <w:color w:val="3B5AA4"/>
              </w:rPr>
            </w:pPr>
            <w:r>
              <w:rPr>
                <w:color w:val="3B5AA4"/>
              </w:rPr>
              <w:t>Equity</w:t>
              <w:br/>
              <w:t>incentive</w:t>
              <w:br/>
              <w:t>plan</w:t>
              <w:br/>
              <w:t>awards:</w:t>
              <w:br/>
              <w:t>number of</w:t>
              <w:br/>
              <w:t>unearned</w:t>
              <w:br/>
              <w:t>shares,</w:t>
              <w:br/>
              <w:t>units</w:t>
              <w:br/>
              <w:t>or other</w:t>
              <w:br/>
              <w:t>rights</w:t>
              <w:br/>
              <w:t>that have</w:t>
              <w:br/>
              <w:t>not vested</w:t>
              <w:br/>
              <w:t>(#)</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05" w:type="dxa"/>
            <w:tcBorders>
              <w:bottom w:val="single" w:sz="2" w:space="0" w:color="CCCCCC"/>
            </w:tcBorders>
            <w:vAlign w:val="center"/>
          </w:tcPr>
          <w:p>
            <w:pPr>
              <w:pStyle w:val="TableContents"/>
              <w:bidi w:val="0"/>
              <w:spacing w:before="0" w:after="283"/>
              <w:jc w:val="right"/>
              <w:rPr>
                <w:color w:val="3B5AA4"/>
              </w:rPr>
            </w:pPr>
            <w:r>
              <w:rPr>
                <w:color w:val="3B5AA4"/>
              </w:rPr>
              <w:t>Equity</w:t>
              <w:br/>
              <w:t>incentive</w:t>
              <w:br/>
              <w:t>plan awards:</w:t>
              <w:br/>
              <w:t>market or</w:t>
              <w:br/>
              <w:t>payout value</w:t>
              <w:br/>
              <w:t>of unearned</w:t>
              <w:br/>
              <w:t>shares,</w:t>
              <w:br/>
              <w:t>units or</w:t>
              <w:br/>
              <w:t>other rights</w:t>
              <w:br/>
              <w:t>that have</w:t>
              <w:br/>
              <w:t>not vested</w:t>
              <w:br/>
              <w:t>($)</w:t>
            </w:r>
          </w:p>
        </w:tc>
      </w:tr>
      <w:tr>
        <w:trPr/>
        <w:tc>
          <w:tcPr>
            <w:tcW w:w="1475" w:type="dxa"/>
            <w:vMerge w:val="restart"/>
            <w:tcBorders>
              <w:bottom w:val="single" w:sz="2" w:space="0" w:color="CCCCCC"/>
            </w:tcBorders>
            <w:vAlign w:val="center"/>
          </w:tcPr>
          <w:p>
            <w:pPr>
              <w:pStyle w:val="TableContents"/>
              <w:bidi w:val="0"/>
              <w:spacing w:before="0" w:after="283"/>
              <w:jc w:val="left"/>
              <w:rPr>
                <w:b/>
                <w:color w:val="3B5AA4"/>
              </w:rPr>
            </w:pPr>
            <w:r>
              <w:rPr>
                <w:b/>
                <w:color w:val="3B5AA4"/>
              </w:rPr>
              <w:t>Leonard S.</w:t>
              <w:br/>
              <w:t>Schleifer, </w:t>
              <w:br/>
              <w:t>M.D., Ph.D.</w:t>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81,278</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372.46</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12/11/2029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129,013</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381.40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12/12/2028</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139,474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378.98</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12/12/2027</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146,815</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381.92</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12/16/2026</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172,723</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555.67</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12/16/2025</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620,270</w:t>
            </w:r>
          </w:p>
        </w:tc>
        <w:tc>
          <w:tcPr>
            <w:tcW w:w="290" w:type="dxa"/>
            <w:tcBorders>
              <w:bottom w:val="single" w:sz="2" w:space="0" w:color="CCCCCC"/>
            </w:tcBorders>
            <w:vAlign w:val="center"/>
          </w:tcPr>
          <w:p>
            <w:pPr>
              <w:pStyle w:val="TableContents"/>
              <w:bidi w:val="0"/>
              <w:spacing w:before="0" w:after="283"/>
              <w:jc w:val="left"/>
              <w:rPr/>
            </w:pPr>
            <w:r>
              <w:rPr>
                <w:position w:val="8"/>
                <w:sz w:val="19"/>
              </w:rPr>
              <w:t>1</w:t>
            </w: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220" w:type="dxa"/>
            <w:tcBorders>
              <w:bottom w:val="single" w:sz="2" w:space="0" w:color="CCCCCC"/>
            </w:tcBorders>
            <w:vAlign w:val="center"/>
          </w:tcPr>
          <w:p>
            <w:pPr>
              <w:pStyle w:val="TableContents"/>
              <w:bidi w:val="0"/>
              <w:spacing w:before="0" w:after="283"/>
              <w:jc w:val="right"/>
              <w:rPr/>
            </w:pPr>
            <w:r>
              <w:rPr/>
              <w:t>441,836,929</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tcBorders>
              <w:bottom w:val="single" w:sz="2" w:space="0" w:color="CCCCCC"/>
            </w:tcBorders>
            <w:vAlign w:val="center"/>
          </w:tcPr>
          <w:p>
            <w:pPr>
              <w:pStyle w:val="TableContents"/>
              <w:bidi w:val="0"/>
              <w:spacing w:before="0" w:after="283"/>
              <w:jc w:val="right"/>
              <w:rPr>
                <w:b/>
                <w:color w:val="231F20"/>
              </w:rPr>
            </w:pPr>
            <w:r>
              <w:rPr>
                <w:b/>
                <w:color w:val="231F20"/>
              </w:rPr>
              <w:t>TOTAL</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b/>
                <w:color w:val="231F20"/>
              </w:rPr>
            </w:pPr>
            <w:r>
              <w:rPr>
                <w:b/>
                <w:color w:val="231F20"/>
              </w:rPr>
              <w:t>669,303</w:t>
            </w:r>
          </w:p>
        </w:tc>
        <w:tc>
          <w:tcPr>
            <w:tcW w:w="60" w:type="dxa"/>
            <w:tcBorders>
              <w:bottom w:val="single" w:sz="2" w:space="0" w:color="CCCCCC"/>
            </w:tcBorders>
            <w:vAlign w:val="center"/>
          </w:tcPr>
          <w:p>
            <w:pPr>
              <w:pStyle w:val="TableContents"/>
              <w:bidi w:val="0"/>
              <w:spacing w:before="0" w:after="283"/>
              <w:jc w:val="left"/>
              <w:rPr/>
            </w:pPr>
            <w:r>
              <w:rPr/>
              <w:t> </w:t>
            </w:r>
          </w:p>
        </w:tc>
        <w:tc>
          <w:tcPr>
            <w:tcW w:w="1310" w:type="dxa"/>
            <w:tcBorders>
              <w:bottom w:val="single" w:sz="2" w:space="0" w:color="CCCCCC"/>
            </w:tcBorders>
            <w:vAlign w:val="center"/>
          </w:tcPr>
          <w:p>
            <w:pPr>
              <w:pStyle w:val="TableContents"/>
              <w:bidi w:val="0"/>
              <w:spacing w:before="0" w:after="283"/>
              <w:jc w:val="left"/>
              <w:rPr/>
            </w:pPr>
            <w:r>
              <w:rPr/>
              <w:t> </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14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7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96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b/>
                <w:color w:val="231F20"/>
              </w:rPr>
            </w:pPr>
            <w:r>
              <w:rPr>
                <w:b/>
                <w:color w:val="231F20"/>
              </w:rPr>
              <w:t>620,270</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b/>
                <w:color w:val="231F20"/>
              </w:rPr>
            </w:pPr>
            <w:r>
              <w:rPr>
                <w:b/>
                <w:color w:val="231F20"/>
              </w:rPr>
              <w:t>441,836,929</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89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905" w:type="dxa"/>
            <w:tcBorders>
              <w:bottom w:val="single" w:sz="2" w:space="0" w:color="CCCCCC"/>
            </w:tcBorders>
            <w:vAlign w:val="center"/>
          </w:tcPr>
          <w:p>
            <w:pPr>
              <w:pStyle w:val="TableContents"/>
              <w:bidi w:val="0"/>
              <w:spacing w:before="0" w:after="283"/>
              <w:jc w:val="left"/>
              <w:rPr/>
            </w:pPr>
            <w:r>
              <w:rPr/>
              <w:t> </w:t>
            </w:r>
          </w:p>
        </w:tc>
      </w:tr>
      <w:tr>
        <w:trPr/>
        <w:tc>
          <w:tcPr>
            <w:tcW w:w="1475" w:type="dxa"/>
            <w:vMerge w:val="restart"/>
            <w:tcBorders>
              <w:bottom w:val="single" w:sz="2" w:space="0" w:color="CCCCCC"/>
            </w:tcBorders>
            <w:shd w:fill="EBEBEC" w:val="clear"/>
            <w:vAlign w:val="center"/>
          </w:tcPr>
          <w:p>
            <w:pPr>
              <w:pStyle w:val="TableContents"/>
              <w:bidi w:val="0"/>
              <w:spacing w:before="0" w:after="283"/>
              <w:jc w:val="left"/>
              <w:rPr>
                <w:b/>
                <w:color w:val="3B5AA4"/>
              </w:rPr>
            </w:pPr>
            <w:r>
              <w:rPr>
                <w:b/>
                <w:color w:val="3B5AA4"/>
              </w:rPr>
              <w:t>George D.</w:t>
              <w:br/>
              <w:t>Yancopoulos, </w:t>
              <w:br/>
              <w:t>M.D., Ph.D.</w:t>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81,278</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372.46</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12/11/2029</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shd w:fill="EBEBEC" w:val="clear"/>
            <w:vAlign w:val="center"/>
          </w:tcPr>
          <w:p>
            <w:pPr>
              <w:pStyle w:val="Normal"/>
              <w:bidi w:val="0"/>
              <w:jc w:val="left"/>
              <w:rPr/>
            </w:pPr>
            <w:r>
              <w:rPr/>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129,013</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381.40</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12/12/2028</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shd w:fill="EBEBEC" w:val="clear"/>
            <w:vAlign w:val="center"/>
          </w:tcPr>
          <w:p>
            <w:pPr>
              <w:pStyle w:val="Normal"/>
              <w:bidi w:val="0"/>
              <w:jc w:val="left"/>
              <w:rPr/>
            </w:pPr>
            <w:r>
              <w:rPr/>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139,474</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378.98</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12/12/2027</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shd w:fill="EBEBEC" w:val="clear"/>
            <w:vAlign w:val="center"/>
          </w:tcPr>
          <w:p>
            <w:pPr>
              <w:pStyle w:val="Normal"/>
              <w:bidi w:val="0"/>
              <w:jc w:val="left"/>
              <w:rPr/>
            </w:pPr>
            <w:r>
              <w:rPr/>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146,815</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381.92</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12/16/2026</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shd w:fill="EBEBEC" w:val="clear"/>
            <w:vAlign w:val="center"/>
          </w:tcPr>
          <w:p>
            <w:pPr>
              <w:pStyle w:val="Normal"/>
              <w:bidi w:val="0"/>
              <w:jc w:val="left"/>
              <w:rPr/>
            </w:pPr>
            <w:r>
              <w:rPr/>
            </w:r>
          </w:p>
        </w:tc>
        <w:tc>
          <w:tcPr>
            <w:tcW w:w="60" w:type="dxa"/>
            <w:tcBorders/>
            <w:shd w:fill="EBEBEC" w:val="clear"/>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146,815</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555.67</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12/16/2025</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shd w:fill="EBEBEC" w:val="clear"/>
            <w:vAlign w:val="center"/>
          </w:tcPr>
          <w:p>
            <w:pPr>
              <w:pStyle w:val="Normal"/>
              <w:bidi w:val="0"/>
              <w:jc w:val="left"/>
              <w:rPr/>
            </w:pPr>
            <w:r>
              <w:rPr/>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800" w:type="dxa"/>
            <w:tcBorders>
              <w:bottom w:val="single" w:sz="2" w:space="0" w:color="CCCCCC"/>
            </w:tcBorders>
            <w:shd w:fill="EBEBEC" w:val="clear"/>
            <w:vAlign w:val="center"/>
          </w:tcPr>
          <w:p>
            <w:pPr>
              <w:pStyle w:val="TableContents"/>
              <w:bidi w:val="0"/>
              <w:spacing w:before="0" w:after="283"/>
              <w:jc w:val="right"/>
              <w:rPr/>
            </w:pPr>
            <w:r>
              <w:rPr/>
              <w:t>620,270</w:t>
            </w:r>
          </w:p>
        </w:tc>
        <w:tc>
          <w:tcPr>
            <w:tcW w:w="290" w:type="dxa"/>
            <w:tcBorders>
              <w:bottom w:val="single" w:sz="2" w:space="0" w:color="CCCCCC"/>
            </w:tcBorders>
            <w:shd w:fill="EBEBEC" w:val="clear"/>
            <w:vAlign w:val="center"/>
          </w:tcPr>
          <w:p>
            <w:pPr>
              <w:pStyle w:val="TableContents"/>
              <w:bidi w:val="0"/>
              <w:spacing w:before="0" w:after="283"/>
              <w:jc w:val="left"/>
              <w:rPr/>
            </w:pPr>
            <w:r>
              <w:rPr>
                <w:position w:val="8"/>
                <w:sz w:val="19"/>
              </w:rPr>
              <w:t>1</w:t>
            </w: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220" w:type="dxa"/>
            <w:tcBorders>
              <w:bottom w:val="single" w:sz="2" w:space="0" w:color="CCCCCC"/>
            </w:tcBorders>
            <w:shd w:fill="EBEBEC" w:val="clear"/>
            <w:vAlign w:val="center"/>
          </w:tcPr>
          <w:p>
            <w:pPr>
              <w:pStyle w:val="TableContents"/>
              <w:bidi w:val="0"/>
              <w:spacing w:before="0" w:after="283"/>
              <w:jc w:val="right"/>
              <w:rPr/>
            </w:pPr>
            <w:r>
              <w:rPr/>
              <w:t>441,836,929</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2</w:t>
            </w: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475" w:type="dxa"/>
            <w:tcBorders>
              <w:bottom w:val="single" w:sz="2" w:space="0" w:color="CCCCCC"/>
            </w:tcBorders>
            <w:shd w:fill="EBEBEC" w:val="clear"/>
            <w:vAlign w:val="center"/>
          </w:tcPr>
          <w:p>
            <w:pPr>
              <w:pStyle w:val="TableContents"/>
              <w:bidi w:val="0"/>
              <w:spacing w:before="0" w:after="283"/>
              <w:jc w:val="right"/>
              <w:rPr>
                <w:b/>
                <w:color w:val="231F20"/>
              </w:rPr>
            </w:pPr>
            <w:r>
              <w:rPr>
                <w:b/>
                <w:color w:val="231F20"/>
              </w:rPr>
              <w:t>TOTAL</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b/>
                <w:color w:val="231F20"/>
              </w:rPr>
            </w:pPr>
            <w:r>
              <w:rPr>
                <w:b/>
                <w:color w:val="231F20"/>
              </w:rPr>
              <w:t>643,395</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310" w:type="dxa"/>
            <w:tcBorders>
              <w:bottom w:val="single" w:sz="2" w:space="0" w:color="CCCCCC"/>
            </w:tcBorders>
            <w:shd w:fill="EBEBEC" w:val="clear"/>
            <w:vAlign w:val="center"/>
          </w:tcPr>
          <w:p>
            <w:pPr>
              <w:pStyle w:val="TableContents"/>
              <w:bidi w:val="0"/>
              <w:spacing w:before="0" w:after="283"/>
              <w:jc w:val="left"/>
              <w:rPr/>
            </w:pPr>
            <w:r>
              <w:rPr/>
              <w:t> </w:t>
            </w:r>
          </w:p>
        </w:tc>
        <w:tc>
          <w:tcPr>
            <w:tcW w:w="1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14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78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965"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b/>
                <w:color w:val="231F20"/>
              </w:rPr>
            </w:pPr>
            <w:r>
              <w:rPr>
                <w:b/>
                <w:color w:val="231F20"/>
              </w:rPr>
              <w:t>620,270</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EBEBEC" w:val="clear"/>
            <w:vAlign w:val="center"/>
          </w:tcPr>
          <w:p>
            <w:pPr>
              <w:pStyle w:val="TableContents"/>
              <w:bidi w:val="0"/>
              <w:spacing w:before="0" w:after="283"/>
              <w:jc w:val="right"/>
              <w:rPr>
                <w:b/>
                <w:color w:val="231F20"/>
              </w:rPr>
            </w:pPr>
            <w:r>
              <w:rPr>
                <w:b/>
                <w:color w:val="231F20"/>
              </w:rPr>
              <w:t>441,836,929</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89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905" w:type="dxa"/>
            <w:tcBorders>
              <w:bottom w:val="single" w:sz="2" w:space="0" w:color="CCCCCC"/>
            </w:tcBorders>
            <w:shd w:fill="EBEBEC" w:val="clear"/>
            <w:vAlign w:val="center"/>
          </w:tcPr>
          <w:p>
            <w:pPr>
              <w:pStyle w:val="TableContents"/>
              <w:bidi w:val="0"/>
              <w:spacing w:before="0" w:after="283"/>
              <w:jc w:val="left"/>
              <w:rPr/>
            </w:pPr>
            <w:r>
              <w:rPr/>
              <w:t> </w:t>
            </w:r>
          </w:p>
        </w:tc>
      </w:tr>
      <w:tr>
        <w:trPr/>
        <w:tc>
          <w:tcPr>
            <w:tcW w:w="1475" w:type="dxa"/>
            <w:vMerge w:val="restart"/>
            <w:tcBorders>
              <w:bottom w:val="single" w:sz="2" w:space="0" w:color="CCCCCC"/>
            </w:tcBorders>
            <w:vAlign w:val="center"/>
          </w:tcPr>
          <w:p>
            <w:pPr>
              <w:pStyle w:val="TableContents"/>
              <w:bidi w:val="0"/>
              <w:spacing w:before="0" w:after="283"/>
              <w:jc w:val="left"/>
              <w:rPr>
                <w:b/>
                <w:color w:val="3B5AA4"/>
              </w:rPr>
            </w:pPr>
            <w:r>
              <w:rPr>
                <w:b/>
                <w:color w:val="3B5AA4"/>
              </w:rPr>
              <w:t>Christopher</w:t>
              <w:br/>
              <w:t>Fenimore</w:t>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pPr>
            <w:r>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9,979</w:t>
            </w:r>
          </w:p>
        </w:tc>
        <w:tc>
          <w:tcPr>
            <w:tcW w:w="185" w:type="dxa"/>
            <w:tcBorders>
              <w:bottom w:val="single" w:sz="2" w:space="0" w:color="CCCCCC"/>
            </w:tcBorders>
            <w:vAlign w:val="center"/>
          </w:tcPr>
          <w:p>
            <w:pPr>
              <w:pStyle w:val="TableContents"/>
              <w:bidi w:val="0"/>
              <w:spacing w:before="0" w:after="283"/>
              <w:jc w:val="left"/>
              <w:rPr/>
            </w:pPr>
            <w:r>
              <w:rPr>
                <w:position w:val="8"/>
                <w:sz w:val="19"/>
              </w:rPr>
              <w:t>3</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771.64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12/06/2034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2,125</w:t>
            </w:r>
          </w:p>
        </w:tc>
        <w:tc>
          <w:tcPr>
            <w:tcW w:w="60" w:type="dxa"/>
            <w:tcBorders>
              <w:bottom w:val="single" w:sz="2" w:space="0" w:color="CCCCCC"/>
            </w:tcBorders>
            <w:vAlign w:val="center"/>
          </w:tcPr>
          <w:p>
            <w:pPr>
              <w:pStyle w:val="TableContents"/>
              <w:bidi w:val="0"/>
              <w:spacing w:before="0" w:after="283"/>
              <w:jc w:val="left"/>
              <w:rPr/>
            </w:pPr>
            <w:r>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6,374</w:t>
            </w:r>
          </w:p>
        </w:tc>
        <w:tc>
          <w:tcPr>
            <w:tcW w:w="185" w:type="dxa"/>
            <w:tcBorders>
              <w:bottom w:val="single" w:sz="2" w:space="0" w:color="CCCCCC"/>
            </w:tcBorders>
            <w:vAlign w:val="center"/>
          </w:tcPr>
          <w:p>
            <w:pPr>
              <w:pStyle w:val="TableContents"/>
              <w:bidi w:val="0"/>
              <w:spacing w:before="0" w:after="283"/>
              <w:jc w:val="left"/>
              <w:rPr/>
            </w:pPr>
            <w:r>
              <w:rPr>
                <w:position w:val="8"/>
                <w:sz w:val="19"/>
              </w:rPr>
              <w:t>4</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843.79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12/08/2033</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3,556</w:t>
            </w:r>
          </w:p>
        </w:tc>
        <w:tc>
          <w:tcPr>
            <w:tcW w:w="60" w:type="dxa"/>
            <w:tcBorders>
              <w:bottom w:val="single" w:sz="2" w:space="0" w:color="CCCCCC"/>
            </w:tcBorders>
            <w:vAlign w:val="center"/>
          </w:tcPr>
          <w:p>
            <w:pPr>
              <w:pStyle w:val="TableContents"/>
              <w:bidi w:val="0"/>
              <w:spacing w:before="0" w:after="283"/>
              <w:jc w:val="left"/>
              <w:rPr/>
            </w:pPr>
            <w:r>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3,555</w:t>
            </w:r>
          </w:p>
        </w:tc>
        <w:tc>
          <w:tcPr>
            <w:tcW w:w="185" w:type="dxa"/>
            <w:tcBorders>
              <w:bottom w:val="single" w:sz="2" w:space="0" w:color="CCCCCC"/>
            </w:tcBorders>
            <w:vAlign w:val="center"/>
          </w:tcPr>
          <w:p>
            <w:pPr>
              <w:pStyle w:val="TableContents"/>
              <w:bidi w:val="0"/>
              <w:spacing w:before="0" w:after="283"/>
              <w:jc w:val="left"/>
              <w:rPr/>
            </w:pPr>
            <w:r>
              <w:rPr>
                <w:position w:val="8"/>
                <w:sz w:val="19"/>
              </w:rPr>
              <w:t>5</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726.53</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12/16/2032</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5,956</w:t>
            </w:r>
          </w:p>
        </w:tc>
        <w:tc>
          <w:tcPr>
            <w:tcW w:w="60" w:type="dxa"/>
            <w:tcBorders>
              <w:bottom w:val="single" w:sz="2" w:space="0" w:color="CCCCCC"/>
            </w:tcBorders>
            <w:vAlign w:val="center"/>
          </w:tcPr>
          <w:p>
            <w:pPr>
              <w:pStyle w:val="TableContents"/>
              <w:bidi w:val="0"/>
              <w:spacing w:before="0" w:after="283"/>
              <w:jc w:val="left"/>
              <w:rPr/>
            </w:pPr>
            <w:r>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1,985</w:t>
            </w:r>
          </w:p>
        </w:tc>
        <w:tc>
          <w:tcPr>
            <w:tcW w:w="185" w:type="dxa"/>
            <w:tcBorders>
              <w:bottom w:val="single" w:sz="2" w:space="0" w:color="CCCCCC"/>
            </w:tcBorders>
            <w:vAlign w:val="center"/>
          </w:tcPr>
          <w:p>
            <w:pPr>
              <w:pStyle w:val="TableContents"/>
              <w:bidi w:val="0"/>
              <w:spacing w:before="0" w:after="283"/>
              <w:jc w:val="left"/>
              <w:rPr/>
            </w:pPr>
            <w:r>
              <w:rPr>
                <w:position w:val="8"/>
                <w:sz w:val="19"/>
              </w:rPr>
              <w:t>6</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644.54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12/08/2031</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10,000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492.00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12/09/2030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6,120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372.46</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12/11/2029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11,400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381.40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12/12/2028</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12,300</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378.98</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12/12/2027</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12,283</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381.92</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12/16/2026</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2,591</w:t>
            </w:r>
          </w:p>
        </w:tc>
        <w:tc>
          <w:tcPr>
            <w:tcW w:w="290" w:type="dxa"/>
            <w:tcBorders>
              <w:bottom w:val="single" w:sz="2" w:space="0" w:color="CCCCCC"/>
            </w:tcBorders>
            <w:vAlign w:val="center"/>
          </w:tcPr>
          <w:p>
            <w:pPr>
              <w:pStyle w:val="TableContents"/>
              <w:bidi w:val="0"/>
              <w:spacing w:before="0" w:after="283"/>
              <w:jc w:val="left"/>
              <w:rPr/>
            </w:pPr>
            <w:r>
              <w:rPr>
                <w:position w:val="8"/>
                <w:sz w:val="19"/>
              </w:rPr>
              <w:t>7</w:t>
            </w: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220" w:type="dxa"/>
            <w:tcBorders>
              <w:bottom w:val="single" w:sz="2" w:space="0" w:color="CCCCCC"/>
            </w:tcBorders>
            <w:vAlign w:val="center"/>
          </w:tcPr>
          <w:p>
            <w:pPr>
              <w:pStyle w:val="TableContents"/>
              <w:bidi w:val="0"/>
              <w:spacing w:before="0" w:after="283"/>
              <w:jc w:val="right"/>
              <w:rPr/>
            </w:pPr>
            <w:r>
              <w:rPr/>
              <w:t>1,845,647</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2,370</w:t>
            </w:r>
          </w:p>
        </w:tc>
        <w:tc>
          <w:tcPr>
            <w:tcW w:w="290" w:type="dxa"/>
            <w:tcBorders>
              <w:bottom w:val="single" w:sz="2" w:space="0" w:color="CCCCCC"/>
            </w:tcBorders>
            <w:vAlign w:val="center"/>
          </w:tcPr>
          <w:p>
            <w:pPr>
              <w:pStyle w:val="TableContents"/>
              <w:bidi w:val="0"/>
              <w:spacing w:before="0" w:after="283"/>
              <w:jc w:val="left"/>
              <w:rPr/>
            </w:pPr>
            <w:r>
              <w:rPr>
                <w:position w:val="8"/>
                <w:sz w:val="19"/>
              </w:rPr>
              <w:t>8</w:t>
            </w: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220" w:type="dxa"/>
            <w:tcBorders>
              <w:bottom w:val="single" w:sz="2" w:space="0" w:color="CCCCCC"/>
            </w:tcBorders>
            <w:vAlign w:val="center"/>
          </w:tcPr>
          <w:p>
            <w:pPr>
              <w:pStyle w:val="TableContents"/>
              <w:bidi w:val="0"/>
              <w:spacing w:before="0" w:after="283"/>
              <w:jc w:val="right"/>
              <w:rPr/>
            </w:pPr>
            <w:r>
              <w:rPr/>
              <w:t>1,688,222</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963</w:t>
            </w:r>
          </w:p>
        </w:tc>
        <w:tc>
          <w:tcPr>
            <w:tcW w:w="290" w:type="dxa"/>
            <w:tcBorders>
              <w:bottom w:val="single" w:sz="2" w:space="0" w:color="CCCCCC"/>
            </w:tcBorders>
            <w:vAlign w:val="center"/>
          </w:tcPr>
          <w:p>
            <w:pPr>
              <w:pStyle w:val="TableContents"/>
              <w:bidi w:val="0"/>
              <w:spacing w:before="0" w:after="283"/>
              <w:jc w:val="left"/>
              <w:rPr/>
            </w:pPr>
            <w:r>
              <w:rPr>
                <w:position w:val="8"/>
                <w:sz w:val="19"/>
              </w:rPr>
              <w:t>9</w:t>
            </w: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220" w:type="dxa"/>
            <w:tcBorders>
              <w:bottom w:val="single" w:sz="2" w:space="0" w:color="CCCCCC"/>
            </w:tcBorders>
            <w:vAlign w:val="center"/>
          </w:tcPr>
          <w:p>
            <w:pPr>
              <w:pStyle w:val="TableContents"/>
              <w:bidi w:val="0"/>
              <w:spacing w:before="0" w:after="283"/>
              <w:jc w:val="right"/>
              <w:rPr/>
            </w:pPr>
            <w:r>
              <w:rPr/>
              <w:t>685,974</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vMerge w:val="continue"/>
            <w:tcBorders>
              <w:bottom w:val="single" w:sz="2" w:space="0" w:color="CCCCCC"/>
            </w:tcBorders>
            <w:vAlign w:val="center"/>
          </w:tcPr>
          <w:p>
            <w:pPr>
              <w:pStyle w:val="Normal"/>
              <w:bidi w:val="0"/>
              <w:jc w:val="left"/>
              <w:rPr/>
            </w:pPr>
            <w:r>
              <w:rPr/>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929</w:t>
            </w:r>
          </w:p>
        </w:tc>
        <w:tc>
          <w:tcPr>
            <w:tcW w:w="290" w:type="dxa"/>
            <w:tcBorders>
              <w:bottom w:val="single" w:sz="2" w:space="0" w:color="CCCCCC"/>
            </w:tcBorders>
            <w:vAlign w:val="center"/>
          </w:tcPr>
          <w:p>
            <w:pPr>
              <w:pStyle w:val="TableContents"/>
              <w:bidi w:val="0"/>
              <w:spacing w:before="0" w:after="283"/>
              <w:jc w:val="left"/>
              <w:rPr/>
            </w:pPr>
            <w:r>
              <w:rPr>
                <w:position w:val="8"/>
                <w:sz w:val="19"/>
              </w:rPr>
              <w:t>10</w:t>
            </w: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220" w:type="dxa"/>
            <w:tcBorders>
              <w:bottom w:val="single" w:sz="2" w:space="0" w:color="CCCCCC"/>
            </w:tcBorders>
            <w:vAlign w:val="center"/>
          </w:tcPr>
          <w:p>
            <w:pPr>
              <w:pStyle w:val="TableContents"/>
              <w:bidi w:val="0"/>
              <w:spacing w:before="0" w:after="283"/>
              <w:jc w:val="right"/>
              <w:rPr/>
            </w:pPr>
            <w:r>
              <w:rPr/>
              <w:t>661,755</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475" w:type="dxa"/>
            <w:tcBorders>
              <w:bottom w:val="single" w:sz="12" w:space="0" w:color="3B5AA4"/>
            </w:tcBorders>
            <w:vAlign w:val="center"/>
          </w:tcPr>
          <w:p>
            <w:pPr>
              <w:pStyle w:val="TableContents"/>
              <w:bidi w:val="0"/>
              <w:spacing w:before="0" w:after="283"/>
              <w:jc w:val="right"/>
              <w:rPr>
                <w:b/>
                <w:color w:val="231F20"/>
              </w:rPr>
            </w:pPr>
            <w:r>
              <w:rPr>
                <w:b/>
                <w:color w:val="231F20"/>
              </w:rPr>
              <w:t>TOTAL</w:t>
            </w:r>
          </w:p>
        </w:tc>
        <w:tc>
          <w:tcPr>
            <w:tcW w:w="6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145" w:type="dxa"/>
            <w:tcBorders>
              <w:bottom w:val="single" w:sz="12" w:space="0" w:color="3B5AA4"/>
            </w:tcBorders>
            <w:vAlign w:val="center"/>
          </w:tcPr>
          <w:p>
            <w:pPr>
              <w:pStyle w:val="TableContents"/>
              <w:bidi w:val="0"/>
              <w:spacing w:before="0" w:after="283"/>
              <w:jc w:val="right"/>
              <w:rPr>
                <w:b/>
                <w:color w:val="231F20"/>
              </w:rPr>
            </w:pPr>
            <w:r>
              <w:rPr>
                <w:b/>
                <w:color w:val="231F20"/>
              </w:rPr>
              <w:t>63,740</w:t>
            </w:r>
          </w:p>
        </w:tc>
        <w:tc>
          <w:tcPr>
            <w:tcW w:w="6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310" w:type="dxa"/>
            <w:tcBorders>
              <w:bottom w:val="single" w:sz="12" w:space="0" w:color="3B5AA4"/>
            </w:tcBorders>
            <w:vAlign w:val="center"/>
          </w:tcPr>
          <w:p>
            <w:pPr>
              <w:pStyle w:val="TableContents"/>
              <w:bidi w:val="0"/>
              <w:spacing w:before="0" w:after="283"/>
              <w:jc w:val="right"/>
              <w:rPr>
                <w:b/>
                <w:color w:val="231F20"/>
              </w:rPr>
            </w:pPr>
            <w:r>
              <w:rPr>
                <w:b/>
                <w:color w:val="231F20"/>
              </w:rPr>
              <w:t>21,893</w:t>
            </w:r>
          </w:p>
        </w:tc>
        <w:tc>
          <w:tcPr>
            <w:tcW w:w="185" w:type="dxa"/>
            <w:tcBorders>
              <w:bottom w:val="single" w:sz="12" w:space="0" w:color="3B5AA4"/>
            </w:tcBorders>
            <w:vAlign w:val="center"/>
          </w:tcPr>
          <w:p>
            <w:pPr>
              <w:pStyle w:val="TableContents"/>
              <w:bidi w:val="0"/>
              <w:spacing w:before="0" w:after="283"/>
              <w:jc w:val="left"/>
              <w:rPr/>
            </w:pPr>
            <w:r>
              <w:rPr/>
              <w:t> </w:t>
            </w:r>
          </w:p>
        </w:tc>
        <w:tc>
          <w:tcPr>
            <w:tcW w:w="60" w:type="dxa"/>
            <w:tcBorders>
              <w:bottom w:val="single" w:sz="12" w:space="0" w:color="3B5AA4"/>
            </w:tcBorders>
            <w:vAlign w:val="center"/>
          </w:tcPr>
          <w:p>
            <w:pPr>
              <w:pStyle w:val="TableContents"/>
              <w:bidi w:val="0"/>
              <w:spacing w:before="0" w:after="283"/>
              <w:jc w:val="left"/>
              <w:rPr/>
            </w:pPr>
            <w:r>
              <w:rPr/>
              <w:t> </w:t>
            </w:r>
          </w:p>
        </w:tc>
        <w:tc>
          <w:tcPr>
            <w:tcW w:w="1145" w:type="dxa"/>
            <w:tcBorders>
              <w:bottom w:val="single" w:sz="12" w:space="0" w:color="3B5AA4"/>
            </w:tcBorders>
            <w:vAlign w:val="center"/>
          </w:tcPr>
          <w:p>
            <w:pPr>
              <w:pStyle w:val="TableContents"/>
              <w:bidi w:val="0"/>
              <w:spacing w:before="0" w:after="283"/>
              <w:jc w:val="left"/>
              <w:rPr/>
            </w:pPr>
            <w:r>
              <w:rPr/>
              <w:t> </w:t>
            </w:r>
          </w:p>
        </w:tc>
        <w:tc>
          <w:tcPr>
            <w:tcW w:w="60" w:type="dxa"/>
            <w:tcBorders>
              <w:bottom w:val="single" w:sz="12" w:space="0" w:color="3B5AA4"/>
            </w:tcBorders>
            <w:vAlign w:val="center"/>
          </w:tcPr>
          <w:p>
            <w:pPr>
              <w:pStyle w:val="TableContents"/>
              <w:bidi w:val="0"/>
              <w:spacing w:before="0" w:after="283"/>
              <w:jc w:val="left"/>
              <w:rPr/>
            </w:pPr>
            <w:r>
              <w:rPr/>
              <w:t> </w:t>
            </w:r>
          </w:p>
        </w:tc>
        <w:tc>
          <w:tcPr>
            <w:tcW w:w="785" w:type="dxa"/>
            <w:tcBorders>
              <w:bottom w:val="single" w:sz="12" w:space="0" w:color="3B5AA4"/>
            </w:tcBorders>
            <w:vAlign w:val="center"/>
          </w:tcPr>
          <w:p>
            <w:pPr>
              <w:pStyle w:val="TableContents"/>
              <w:bidi w:val="0"/>
              <w:spacing w:before="0" w:after="283"/>
              <w:jc w:val="left"/>
              <w:rPr/>
            </w:pPr>
            <w:r>
              <w:rPr/>
              <w:t> </w:t>
            </w:r>
          </w:p>
        </w:tc>
        <w:tc>
          <w:tcPr>
            <w:tcW w:w="60" w:type="dxa"/>
            <w:tcBorders>
              <w:bottom w:val="single" w:sz="12" w:space="0" w:color="3B5AA4"/>
            </w:tcBorders>
            <w:vAlign w:val="center"/>
          </w:tcPr>
          <w:p>
            <w:pPr>
              <w:pStyle w:val="TableContents"/>
              <w:bidi w:val="0"/>
              <w:spacing w:before="0" w:after="283"/>
              <w:jc w:val="left"/>
              <w:rPr/>
            </w:pPr>
            <w:r>
              <w:rPr/>
              <w:t> </w:t>
            </w:r>
          </w:p>
        </w:tc>
        <w:tc>
          <w:tcPr>
            <w:tcW w:w="965" w:type="dxa"/>
            <w:tcBorders>
              <w:bottom w:val="single" w:sz="12" w:space="0" w:color="3B5AA4"/>
            </w:tcBorders>
            <w:vAlign w:val="center"/>
          </w:tcPr>
          <w:p>
            <w:pPr>
              <w:pStyle w:val="TableContents"/>
              <w:bidi w:val="0"/>
              <w:spacing w:before="0" w:after="283"/>
              <w:jc w:val="left"/>
              <w:rPr/>
            </w:pPr>
            <w:r>
              <w:rPr/>
              <w:t> </w:t>
            </w:r>
          </w:p>
        </w:tc>
        <w:tc>
          <w:tcPr>
            <w:tcW w:w="6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6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800" w:type="dxa"/>
            <w:tcBorders>
              <w:bottom w:val="single" w:sz="12" w:space="0" w:color="3B5AA4"/>
            </w:tcBorders>
            <w:vAlign w:val="center"/>
          </w:tcPr>
          <w:p>
            <w:pPr>
              <w:pStyle w:val="TableContents"/>
              <w:bidi w:val="0"/>
              <w:spacing w:before="0" w:after="283"/>
              <w:jc w:val="right"/>
              <w:rPr>
                <w:b/>
                <w:color w:val="231F20"/>
              </w:rPr>
            </w:pPr>
            <w:r>
              <w:rPr>
                <w:b/>
                <w:color w:val="231F20"/>
              </w:rPr>
              <w:t>6,853</w:t>
            </w:r>
          </w:p>
        </w:tc>
        <w:tc>
          <w:tcPr>
            <w:tcW w:w="29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6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6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220" w:type="dxa"/>
            <w:tcBorders>
              <w:bottom w:val="single" w:sz="12" w:space="0" w:color="3B5AA4"/>
            </w:tcBorders>
            <w:vAlign w:val="center"/>
          </w:tcPr>
          <w:p>
            <w:pPr>
              <w:pStyle w:val="TableContents"/>
              <w:bidi w:val="0"/>
              <w:spacing w:before="0" w:after="283"/>
              <w:jc w:val="right"/>
              <w:rPr>
                <w:b/>
                <w:color w:val="231F20"/>
              </w:rPr>
            </w:pPr>
            <w:r>
              <w:rPr>
                <w:b/>
                <w:color w:val="231F20"/>
              </w:rPr>
              <w:t>4,881,598</w:t>
            </w:r>
          </w:p>
        </w:tc>
        <w:tc>
          <w:tcPr>
            <w:tcW w:w="185"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60" w:type="dxa"/>
            <w:tcBorders>
              <w:bottom w:val="single" w:sz="12" w:space="0" w:color="3B5AA4"/>
            </w:tcBorders>
            <w:vAlign w:val="center"/>
          </w:tcPr>
          <w:p>
            <w:pPr>
              <w:pStyle w:val="TableContents"/>
              <w:bidi w:val="0"/>
              <w:spacing w:before="0" w:after="283"/>
              <w:jc w:val="left"/>
              <w:rPr/>
            </w:pPr>
            <w:r>
              <w:rPr/>
              <w:t> </w:t>
            </w:r>
          </w:p>
        </w:tc>
        <w:tc>
          <w:tcPr>
            <w:tcW w:w="890" w:type="dxa"/>
            <w:tcBorders>
              <w:bottom w:val="single" w:sz="12" w:space="0" w:color="3B5AA4"/>
            </w:tcBorders>
            <w:vAlign w:val="center"/>
          </w:tcPr>
          <w:p>
            <w:pPr>
              <w:pStyle w:val="TableContents"/>
              <w:bidi w:val="0"/>
              <w:spacing w:before="0" w:after="283"/>
              <w:jc w:val="left"/>
              <w:rPr/>
            </w:pPr>
            <w:r>
              <w:rPr/>
              <w:t> </w:t>
            </w:r>
          </w:p>
        </w:tc>
        <w:tc>
          <w:tcPr>
            <w:tcW w:w="60" w:type="dxa"/>
            <w:tcBorders>
              <w:bottom w:val="single" w:sz="12" w:space="0" w:color="3B5AA4"/>
            </w:tcBorders>
            <w:vAlign w:val="center"/>
          </w:tcPr>
          <w:p>
            <w:pPr>
              <w:pStyle w:val="TableContents"/>
              <w:bidi w:val="0"/>
              <w:spacing w:before="0" w:after="283"/>
              <w:jc w:val="left"/>
              <w:rPr/>
            </w:pPr>
            <w:r>
              <w:rPr/>
              <w:t> </w:t>
            </w:r>
          </w:p>
        </w:tc>
        <w:tc>
          <w:tcPr>
            <w:tcW w:w="905" w:type="dxa"/>
            <w:tcBorders>
              <w:bottom w:val="single" w:sz="12" w:space="0" w:color="3B5AA4"/>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29"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10" descr=""/>
                          <pic:cNvPicPr>
                            <a:picLocks noChangeAspect="1" noChangeArrowheads="1"/>
                          </pic:cNvPicPr>
                        </pic:nvPicPr>
                        <pic:blipFill>
                          <a:blip r:embed="rId322"/>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tbl>
      <w:tblPr>
        <w:tblW w:w="12560" w:type="dxa"/>
        <w:jc w:val="left"/>
        <w:tblInd w:w="0" w:type="dxa"/>
        <w:tblLayout w:type="fixed"/>
        <w:tblCellMar>
          <w:top w:w="0" w:type="dxa"/>
          <w:left w:w="0" w:type="dxa"/>
          <w:bottom w:w="28" w:type="dxa"/>
          <w:right w:w="0" w:type="dxa"/>
        </w:tblCellMar>
      </w:tblPr>
      <w:tblGrid>
        <w:gridCol w:w="1595"/>
        <w:gridCol w:w="180"/>
        <w:gridCol w:w="1145"/>
        <w:gridCol w:w="120"/>
        <w:gridCol w:w="1310"/>
        <w:gridCol w:w="185"/>
        <w:gridCol w:w="120"/>
        <w:gridCol w:w="1145"/>
        <w:gridCol w:w="120"/>
        <w:gridCol w:w="785"/>
        <w:gridCol w:w="120"/>
        <w:gridCol w:w="965"/>
        <w:gridCol w:w="120"/>
        <w:gridCol w:w="800"/>
        <w:gridCol w:w="290"/>
        <w:gridCol w:w="120"/>
        <w:gridCol w:w="120"/>
        <w:gridCol w:w="1100"/>
        <w:gridCol w:w="185"/>
        <w:gridCol w:w="120"/>
        <w:gridCol w:w="890"/>
        <w:gridCol w:w="120"/>
        <w:gridCol w:w="905"/>
      </w:tblGrid>
      <w:tr>
        <w:trPr/>
        <w:tc>
          <w:tcPr>
            <w:tcW w:w="1595" w:type="dxa"/>
            <w:tcBorders>
              <w:bottom w:val="single" w:sz="2" w:space="0" w:color="CCCCCC"/>
            </w:tcBorders>
            <w:vAlign w:val="center"/>
          </w:tcPr>
          <w:p>
            <w:pPr>
              <w:pStyle w:val="TableContents"/>
              <w:bidi w:val="0"/>
              <w:spacing w:before="0" w:after="283"/>
              <w:jc w:val="center"/>
              <w:rPr>
                <w:color w:val="3B5AA4"/>
              </w:rPr>
            </w:pPr>
            <w:r>
              <w:rPr>
                <w:color w:val="3B5AA4"/>
              </w:rPr>
              <w:t>A</w:t>
            </w:r>
          </w:p>
        </w:tc>
        <w:tc>
          <w:tcPr>
            <w:tcW w:w="18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center"/>
              <w:rPr>
                <w:color w:val="3B5AA4"/>
              </w:rPr>
            </w:pPr>
            <w:r>
              <w:rPr>
                <w:color w:val="3B5AA4"/>
              </w:rPr>
              <w:t>B</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310" w:type="dxa"/>
            <w:tcBorders>
              <w:bottom w:val="single" w:sz="2" w:space="0" w:color="CCCCCC"/>
            </w:tcBorders>
            <w:vAlign w:val="center"/>
          </w:tcPr>
          <w:p>
            <w:pPr>
              <w:pStyle w:val="TableContents"/>
              <w:bidi w:val="0"/>
              <w:spacing w:before="0" w:after="283"/>
              <w:jc w:val="center"/>
              <w:rPr>
                <w:color w:val="3B5AA4"/>
              </w:rPr>
            </w:pPr>
            <w:r>
              <w:rPr>
                <w:color w:val="3B5AA4"/>
              </w:rPr>
              <w:t>C</w:t>
            </w:r>
          </w:p>
        </w:tc>
        <w:tc>
          <w:tcPr>
            <w:tcW w:w="185"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center"/>
              <w:rPr>
                <w:color w:val="3B5AA4"/>
              </w:rPr>
            </w:pPr>
            <w:r>
              <w:rPr>
                <w:color w:val="3B5AA4"/>
              </w:rPr>
              <w:t>D</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785" w:type="dxa"/>
            <w:tcBorders>
              <w:bottom w:val="single" w:sz="2" w:space="0" w:color="CCCCCC"/>
            </w:tcBorders>
            <w:vAlign w:val="center"/>
          </w:tcPr>
          <w:p>
            <w:pPr>
              <w:pStyle w:val="TableContents"/>
              <w:bidi w:val="0"/>
              <w:spacing w:before="0" w:after="283"/>
              <w:jc w:val="center"/>
              <w:rPr>
                <w:color w:val="3B5AA4"/>
              </w:rPr>
            </w:pPr>
            <w:r>
              <w:rPr>
                <w:color w:val="3B5AA4"/>
              </w:rPr>
              <w:t>E</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65" w:type="dxa"/>
            <w:tcBorders>
              <w:bottom w:val="single" w:sz="2" w:space="0" w:color="CCCCCC"/>
            </w:tcBorders>
            <w:vAlign w:val="center"/>
          </w:tcPr>
          <w:p>
            <w:pPr>
              <w:pStyle w:val="TableContents"/>
              <w:bidi w:val="0"/>
              <w:spacing w:before="0" w:after="283"/>
              <w:jc w:val="center"/>
              <w:rPr>
                <w:color w:val="3B5AA4"/>
              </w:rPr>
            </w:pPr>
            <w:r>
              <w:rPr>
                <w:color w:val="3B5AA4"/>
              </w:rPr>
              <w:t>F</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800" w:type="dxa"/>
            <w:tcBorders>
              <w:bottom w:val="single" w:sz="2" w:space="0" w:color="CCCCCC"/>
            </w:tcBorders>
            <w:vAlign w:val="center"/>
          </w:tcPr>
          <w:p>
            <w:pPr>
              <w:pStyle w:val="TableContents"/>
              <w:bidi w:val="0"/>
              <w:spacing w:before="0" w:after="283"/>
              <w:jc w:val="center"/>
              <w:rPr>
                <w:color w:val="3B5AA4"/>
              </w:rPr>
            </w:pPr>
            <w:r>
              <w:rPr>
                <w:color w:val="3B5AA4"/>
              </w:rPr>
              <w:t>G</w:t>
            </w:r>
          </w:p>
        </w:tc>
        <w:tc>
          <w:tcPr>
            <w:tcW w:w="29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100" w:type="dxa"/>
            <w:tcBorders>
              <w:bottom w:val="single" w:sz="2" w:space="0" w:color="CCCCCC"/>
            </w:tcBorders>
            <w:vAlign w:val="center"/>
          </w:tcPr>
          <w:p>
            <w:pPr>
              <w:pStyle w:val="TableContents"/>
              <w:bidi w:val="0"/>
              <w:spacing w:before="0" w:after="283"/>
              <w:jc w:val="center"/>
              <w:rPr>
                <w:color w:val="3B5AA4"/>
              </w:rPr>
            </w:pPr>
            <w:r>
              <w:rPr>
                <w:color w:val="3B5AA4"/>
              </w:rPr>
              <w:t>H</w:t>
            </w:r>
          </w:p>
        </w:tc>
        <w:tc>
          <w:tcPr>
            <w:tcW w:w="185"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890" w:type="dxa"/>
            <w:tcBorders>
              <w:bottom w:val="single" w:sz="2" w:space="0" w:color="CCCCCC"/>
            </w:tcBorders>
            <w:vAlign w:val="center"/>
          </w:tcPr>
          <w:p>
            <w:pPr>
              <w:pStyle w:val="TableContents"/>
              <w:bidi w:val="0"/>
              <w:spacing w:before="0" w:after="283"/>
              <w:jc w:val="center"/>
              <w:rPr>
                <w:color w:val="3B5AA4"/>
              </w:rPr>
            </w:pPr>
            <w:r>
              <w:rPr>
                <w:color w:val="3B5AA4"/>
              </w:rPr>
              <w:t>I</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05" w:type="dxa"/>
            <w:tcBorders>
              <w:bottom w:val="single" w:sz="2" w:space="0" w:color="CCCCCC"/>
            </w:tcBorders>
            <w:vAlign w:val="center"/>
          </w:tcPr>
          <w:p>
            <w:pPr>
              <w:pStyle w:val="TableContents"/>
              <w:bidi w:val="0"/>
              <w:spacing w:before="0" w:after="283"/>
              <w:jc w:val="center"/>
              <w:rPr>
                <w:color w:val="3B5AA4"/>
              </w:rPr>
            </w:pPr>
            <w:r>
              <w:rPr>
                <w:color w:val="3B5AA4"/>
              </w:rPr>
              <w:t>J</w:t>
            </w:r>
          </w:p>
        </w:tc>
      </w:tr>
      <w:tr>
        <w:trPr/>
        <w:tc>
          <w:tcPr>
            <w:tcW w:w="1595" w:type="dxa"/>
            <w:tcBorders/>
            <w:tcMar>
              <w:bottom w:w="0" w:type="dxa"/>
            </w:tcMar>
            <w:vAlign w:val="center"/>
          </w:tcPr>
          <w:p>
            <w:pPr>
              <w:pStyle w:val="TableContents"/>
              <w:bidi w:val="0"/>
              <w:spacing w:before="0" w:after="283"/>
              <w:jc w:val="left"/>
              <w:rPr/>
            </w:pPr>
            <w:r>
              <w:rPr/>
              <w:t> </w:t>
            </w:r>
          </w:p>
        </w:tc>
        <w:tc>
          <w:tcPr>
            <w:tcW w:w="180" w:type="dxa"/>
            <w:tcBorders/>
            <w:tcMar>
              <w:bottom w:w="0" w:type="dxa"/>
            </w:tcMar>
            <w:vAlign w:val="center"/>
          </w:tcPr>
          <w:p>
            <w:pPr>
              <w:pStyle w:val="TableContents"/>
              <w:bidi w:val="0"/>
              <w:spacing w:before="0" w:after="283"/>
              <w:jc w:val="left"/>
              <w:rPr/>
            </w:pPr>
            <w:r>
              <w:rPr/>
              <w:t> </w:t>
            </w:r>
          </w:p>
        </w:tc>
        <w:tc>
          <w:tcPr>
            <w:tcW w:w="6015" w:type="dxa"/>
            <w:gridSpan w:val="10"/>
            <w:tcBorders>
              <w:bottom w:val="single" w:sz="2" w:space="0" w:color="CCCCCC"/>
            </w:tcBorders>
            <w:vAlign w:val="center"/>
          </w:tcPr>
          <w:p>
            <w:pPr>
              <w:pStyle w:val="TableContents"/>
              <w:bidi w:val="0"/>
              <w:spacing w:before="0" w:after="283"/>
              <w:jc w:val="center"/>
              <w:rPr>
                <w:color w:val="3B5AA4"/>
              </w:rPr>
            </w:pPr>
            <w:r>
              <w:rPr>
                <w:color w:val="3B5AA4"/>
              </w:rPr>
              <w:t>Option Awards</w:t>
            </w:r>
          </w:p>
        </w:tc>
        <w:tc>
          <w:tcPr>
            <w:tcW w:w="120" w:type="dxa"/>
            <w:tcBorders/>
            <w:tcMar>
              <w:bottom w:w="0" w:type="dxa"/>
            </w:tcMar>
            <w:vAlign w:val="center"/>
          </w:tcPr>
          <w:p>
            <w:pPr>
              <w:pStyle w:val="TableContents"/>
              <w:bidi w:val="0"/>
              <w:spacing w:before="0" w:after="283"/>
              <w:jc w:val="left"/>
              <w:rPr/>
            </w:pPr>
            <w:r>
              <w:rPr/>
              <w:t> </w:t>
            </w:r>
          </w:p>
        </w:tc>
        <w:tc>
          <w:tcPr>
            <w:tcW w:w="4650" w:type="dxa"/>
            <w:gridSpan w:val="10"/>
            <w:tcBorders>
              <w:bottom w:val="single" w:sz="2" w:space="0" w:color="CCCCCC"/>
            </w:tcBorders>
            <w:vAlign w:val="center"/>
          </w:tcPr>
          <w:p>
            <w:pPr>
              <w:pStyle w:val="TableContents"/>
              <w:bidi w:val="0"/>
              <w:spacing w:before="0" w:after="283"/>
              <w:jc w:val="center"/>
              <w:rPr>
                <w:color w:val="3B5AA4"/>
              </w:rPr>
            </w:pPr>
            <w:r>
              <w:rPr>
                <w:color w:val="3B5AA4"/>
              </w:rPr>
              <w:t>Stock Awards</w:t>
            </w:r>
          </w:p>
        </w:tc>
      </w:tr>
      <w:tr>
        <w:trPr/>
        <w:tc>
          <w:tcPr>
            <w:tcW w:w="1595" w:type="dxa"/>
            <w:tcBorders>
              <w:bottom w:val="single" w:sz="2" w:space="0" w:color="CCCCCC"/>
            </w:tcBorders>
            <w:vAlign w:val="center"/>
          </w:tcPr>
          <w:p>
            <w:pPr>
              <w:pStyle w:val="TableContents"/>
              <w:bidi w:val="0"/>
              <w:spacing w:before="0" w:after="283"/>
              <w:jc w:val="left"/>
              <w:rPr>
                <w:color w:val="3B5AA4"/>
              </w:rPr>
            </w:pPr>
            <w:r>
              <w:rPr>
                <w:color w:val="3B5AA4"/>
              </w:rPr>
              <w:t>Name</w:t>
            </w:r>
          </w:p>
        </w:tc>
        <w:tc>
          <w:tcPr>
            <w:tcW w:w="18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right"/>
              <w:rPr>
                <w:color w:val="3B5AA4"/>
              </w:rPr>
            </w:pPr>
            <w:r>
              <w:rPr>
                <w:color w:val="3B5AA4"/>
              </w:rPr>
              <w:t>Number of</w:t>
              <w:br/>
              <w:t>securities</w:t>
              <w:br/>
              <w:t>underlying</w:t>
              <w:br/>
              <w:t>unexercised</w:t>
              <w:br/>
              <w:t>options</w:t>
              <w:br/>
              <w:t>exercisable</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310" w:type="dxa"/>
            <w:tcBorders>
              <w:bottom w:val="single" w:sz="2" w:space="0" w:color="CCCCCC"/>
            </w:tcBorders>
            <w:vAlign w:val="center"/>
          </w:tcPr>
          <w:p>
            <w:pPr>
              <w:pStyle w:val="TableContents"/>
              <w:bidi w:val="0"/>
              <w:spacing w:before="0" w:after="283"/>
              <w:jc w:val="right"/>
              <w:rPr>
                <w:color w:val="3B5AA4"/>
              </w:rPr>
            </w:pPr>
            <w:r>
              <w:rPr>
                <w:color w:val="3B5AA4"/>
              </w:rPr>
              <w:t>Number of</w:t>
              <w:br/>
              <w:t>securities</w:t>
              <w:br/>
              <w:t>underlying</w:t>
              <w:br/>
              <w:t>unexercised</w:t>
              <w:br/>
              <w:t>options</w:t>
              <w:br/>
              <w:t>unexercisable</w:t>
              <w:br/>
              <w:t>(#)</w:t>
            </w:r>
          </w:p>
        </w:tc>
        <w:tc>
          <w:tcPr>
            <w:tcW w:w="185"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right"/>
              <w:rPr>
                <w:color w:val="3B5AA4"/>
              </w:rPr>
            </w:pPr>
            <w:r>
              <w:rPr>
                <w:color w:val="3B5AA4"/>
              </w:rPr>
              <w:t>Equity</w:t>
              <w:br/>
              <w:t>incentive</w:t>
              <w:br/>
              <w:t>plan</w:t>
              <w:br/>
              <w:t>awards:</w:t>
              <w:br/>
              <w:t>number of</w:t>
              <w:br/>
              <w:t>securities</w:t>
              <w:br/>
              <w:t>underlying</w:t>
              <w:br/>
              <w:t>unexercised</w:t>
              <w:br/>
              <w:t>unearned</w:t>
              <w:br/>
              <w:t>options</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785" w:type="dxa"/>
            <w:tcBorders>
              <w:bottom w:val="single" w:sz="2" w:space="0" w:color="CCCCCC"/>
            </w:tcBorders>
            <w:vAlign w:val="center"/>
          </w:tcPr>
          <w:p>
            <w:pPr>
              <w:pStyle w:val="TableContents"/>
              <w:bidi w:val="0"/>
              <w:spacing w:before="0" w:after="283"/>
              <w:jc w:val="right"/>
              <w:rPr>
                <w:color w:val="3B5AA4"/>
              </w:rPr>
            </w:pPr>
            <w:r>
              <w:rPr>
                <w:color w:val="3B5AA4"/>
              </w:rPr>
              <w:t>Option</w:t>
              <w:br/>
              <w:t>exercise</w:t>
              <w:br/>
              <w:t>price</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65" w:type="dxa"/>
            <w:tcBorders>
              <w:bottom w:val="single" w:sz="2" w:space="0" w:color="CCCCCC"/>
            </w:tcBorders>
            <w:vAlign w:val="center"/>
          </w:tcPr>
          <w:p>
            <w:pPr>
              <w:pStyle w:val="TableContents"/>
              <w:bidi w:val="0"/>
              <w:spacing w:before="0" w:after="283"/>
              <w:jc w:val="right"/>
              <w:rPr>
                <w:color w:val="3B5AA4"/>
              </w:rPr>
            </w:pPr>
            <w:r>
              <w:rPr>
                <w:color w:val="3B5AA4"/>
              </w:rPr>
              <w:t>Option</w:t>
              <w:br/>
              <w:t>expiration</w:t>
              <w:br/>
              <w:t>date</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800" w:type="dxa"/>
            <w:tcBorders>
              <w:bottom w:val="single" w:sz="2" w:space="0" w:color="CCCCCC"/>
            </w:tcBorders>
            <w:vAlign w:val="center"/>
          </w:tcPr>
          <w:p>
            <w:pPr>
              <w:pStyle w:val="TableContents"/>
              <w:bidi w:val="0"/>
              <w:spacing w:before="0" w:after="283"/>
              <w:jc w:val="right"/>
              <w:rPr>
                <w:color w:val="3B5AA4"/>
              </w:rPr>
            </w:pPr>
            <w:r>
              <w:rPr>
                <w:color w:val="3B5AA4"/>
              </w:rPr>
              <w:t>Number of</w:t>
              <w:br/>
              <w:t>shares</w:t>
              <w:br/>
              <w:t>or units</w:t>
              <w:br/>
              <w:t>of stock</w:t>
              <w:br/>
              <w:t>that have</w:t>
              <w:br/>
              <w:t>not</w:t>
              <w:br/>
              <w:t>vested</w:t>
              <w:br/>
              <w:t>(#)</w:t>
            </w:r>
          </w:p>
        </w:tc>
        <w:tc>
          <w:tcPr>
            <w:tcW w:w="29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100" w:type="dxa"/>
            <w:tcBorders>
              <w:bottom w:val="single" w:sz="2" w:space="0" w:color="CCCCCC"/>
            </w:tcBorders>
            <w:vAlign w:val="center"/>
          </w:tcPr>
          <w:p>
            <w:pPr>
              <w:pStyle w:val="TableContents"/>
              <w:bidi w:val="0"/>
              <w:spacing w:before="0" w:after="283"/>
              <w:jc w:val="right"/>
              <w:rPr>
                <w:color w:val="3B5AA4"/>
              </w:rPr>
            </w:pPr>
            <w:r>
              <w:rPr>
                <w:color w:val="3B5AA4"/>
              </w:rPr>
              <w:t>Market</w:t>
              <w:br/>
              <w:t>value</w:t>
              <w:br/>
              <w:t>of shares</w:t>
              <w:br/>
              <w:t>or units</w:t>
              <w:br/>
              <w:t>of stock</w:t>
              <w:br/>
              <w:t>that have</w:t>
              <w:br/>
              <w:t>not vested</w:t>
              <w:br/>
              <w:t>($)</w:t>
            </w:r>
          </w:p>
        </w:tc>
        <w:tc>
          <w:tcPr>
            <w:tcW w:w="185"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890" w:type="dxa"/>
            <w:tcBorders>
              <w:bottom w:val="single" w:sz="2" w:space="0" w:color="CCCCCC"/>
            </w:tcBorders>
            <w:vAlign w:val="center"/>
          </w:tcPr>
          <w:p>
            <w:pPr>
              <w:pStyle w:val="TableContents"/>
              <w:bidi w:val="0"/>
              <w:spacing w:before="0" w:after="283"/>
              <w:jc w:val="right"/>
              <w:rPr>
                <w:color w:val="3B5AA4"/>
              </w:rPr>
            </w:pPr>
            <w:r>
              <w:rPr>
                <w:color w:val="3B5AA4"/>
              </w:rPr>
              <w:t>Equity</w:t>
              <w:br/>
              <w:t>incentive</w:t>
              <w:br/>
              <w:t>plan</w:t>
              <w:br/>
              <w:t>awards:</w:t>
              <w:br/>
              <w:t>number of</w:t>
              <w:br/>
              <w:t>unearned</w:t>
              <w:br/>
              <w:t>shares,</w:t>
              <w:br/>
              <w:t>units</w:t>
              <w:br/>
              <w:t>or other</w:t>
              <w:br/>
              <w:t>rights</w:t>
              <w:br/>
              <w:t>that have</w:t>
              <w:br/>
              <w:t>not vested</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05" w:type="dxa"/>
            <w:tcBorders>
              <w:bottom w:val="single" w:sz="2" w:space="0" w:color="CCCCCC"/>
            </w:tcBorders>
            <w:vAlign w:val="center"/>
          </w:tcPr>
          <w:p>
            <w:pPr>
              <w:pStyle w:val="TableContents"/>
              <w:bidi w:val="0"/>
              <w:spacing w:before="0" w:after="283"/>
              <w:jc w:val="right"/>
              <w:rPr>
                <w:color w:val="3B5AA4"/>
              </w:rPr>
            </w:pPr>
            <w:r>
              <w:rPr>
                <w:color w:val="3B5AA4"/>
              </w:rPr>
              <w:t>Equity</w:t>
              <w:br/>
              <w:t>incentive</w:t>
              <w:br/>
              <w:t>plan awards:</w:t>
              <w:br/>
              <w:t>market or</w:t>
              <w:br/>
              <w:t>payout value</w:t>
              <w:br/>
              <w:t>of unearned</w:t>
              <w:br/>
              <w:t>shares,</w:t>
              <w:br/>
              <w:t>units or</w:t>
              <w:br/>
              <w:t>other rights</w:t>
              <w:br/>
              <w:t>that have</w:t>
              <w:br/>
              <w:t>not vested</w:t>
              <w:br/>
              <w:t>($)</w:t>
            </w:r>
          </w:p>
        </w:tc>
      </w:tr>
      <w:tr>
        <w:trPr/>
        <w:tc>
          <w:tcPr>
            <w:tcW w:w="1595" w:type="dxa"/>
            <w:vMerge w:val="restart"/>
            <w:tcBorders>
              <w:bottom w:val="single" w:sz="2" w:space="0" w:color="CCCCCC"/>
            </w:tcBorders>
            <w:shd w:fill="EBEBEC" w:val="clear"/>
            <w:vAlign w:val="center"/>
          </w:tcPr>
          <w:p>
            <w:pPr>
              <w:pStyle w:val="TableContents"/>
              <w:bidi w:val="0"/>
              <w:spacing w:before="0" w:after="283"/>
              <w:jc w:val="left"/>
              <w:rPr>
                <w:b/>
                <w:color w:val="3B5AA4"/>
              </w:rPr>
            </w:pPr>
            <w:r>
              <w:rPr>
                <w:b/>
                <w:color w:val="3B5AA4"/>
              </w:rPr>
              <w:t>Daniel P. Van</w:t>
              <w:br/>
              <w:t>Plew</w:t>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310" w:type="dxa"/>
            <w:tcBorders>
              <w:bottom w:val="single" w:sz="2" w:space="0" w:color="CCCCCC"/>
            </w:tcBorders>
            <w:shd w:fill="EBEBEC" w:val="clear"/>
            <w:vAlign w:val="center"/>
          </w:tcPr>
          <w:p>
            <w:pPr>
              <w:pStyle w:val="TableContents"/>
              <w:bidi w:val="0"/>
              <w:spacing w:before="0" w:after="283"/>
              <w:jc w:val="right"/>
              <w:rPr/>
            </w:pPr>
            <w:r>
              <w:rPr/>
              <w:t>13,472</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3</w:t>
            </w: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771.64</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12/06/2034</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2,869</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310" w:type="dxa"/>
            <w:tcBorders>
              <w:bottom w:val="single" w:sz="2" w:space="0" w:color="CCCCCC"/>
            </w:tcBorders>
            <w:shd w:fill="EBEBEC" w:val="clear"/>
            <w:vAlign w:val="center"/>
          </w:tcPr>
          <w:p>
            <w:pPr>
              <w:pStyle w:val="TableContents"/>
              <w:bidi w:val="0"/>
              <w:spacing w:before="0" w:after="283"/>
              <w:jc w:val="right"/>
              <w:rPr/>
            </w:pPr>
            <w:r>
              <w:rPr/>
              <w:t>8,604</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4</w:t>
            </w: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843.79</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12/08/2033</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7,010</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310" w:type="dxa"/>
            <w:tcBorders>
              <w:bottom w:val="single" w:sz="2" w:space="0" w:color="CCCCCC"/>
            </w:tcBorders>
            <w:shd w:fill="EBEBEC" w:val="clear"/>
            <w:vAlign w:val="center"/>
          </w:tcPr>
          <w:p>
            <w:pPr>
              <w:pStyle w:val="TableContents"/>
              <w:bidi w:val="0"/>
              <w:spacing w:before="0" w:after="283"/>
              <w:jc w:val="right"/>
              <w:rPr/>
            </w:pPr>
            <w:r>
              <w:rPr/>
              <w:t>7,009</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5</w:t>
            </w: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726.53</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12/16/2032</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13,911</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310" w:type="dxa"/>
            <w:tcBorders>
              <w:bottom w:val="single" w:sz="2" w:space="0" w:color="CCCCCC"/>
            </w:tcBorders>
            <w:shd w:fill="EBEBEC" w:val="clear"/>
            <w:vAlign w:val="center"/>
          </w:tcPr>
          <w:p>
            <w:pPr>
              <w:pStyle w:val="TableContents"/>
              <w:bidi w:val="0"/>
              <w:spacing w:before="0" w:after="283"/>
              <w:jc w:val="right"/>
              <w:rPr/>
            </w:pPr>
            <w:r>
              <w:rPr/>
              <w:t>4,637</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6</w:t>
            </w: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644.54</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12/08/2031</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19,950</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492.00</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12/09/2030</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12,250</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372.46</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12/11/2029</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800" w:type="dxa"/>
            <w:tcBorders>
              <w:bottom w:val="single" w:sz="2" w:space="0" w:color="CCCCCC"/>
            </w:tcBorders>
            <w:shd w:fill="EBEBEC" w:val="clear"/>
            <w:vAlign w:val="center"/>
          </w:tcPr>
          <w:p>
            <w:pPr>
              <w:pStyle w:val="TableContents"/>
              <w:bidi w:val="0"/>
              <w:spacing w:before="0" w:after="283"/>
              <w:jc w:val="right"/>
              <w:rPr/>
            </w:pPr>
            <w:r>
              <w:rPr/>
              <w:t>3,499</w:t>
            </w:r>
          </w:p>
        </w:tc>
        <w:tc>
          <w:tcPr>
            <w:tcW w:w="290" w:type="dxa"/>
            <w:tcBorders>
              <w:bottom w:val="single" w:sz="2" w:space="0" w:color="CCCCCC"/>
            </w:tcBorders>
            <w:shd w:fill="EBEBEC" w:val="clear"/>
            <w:vAlign w:val="center"/>
          </w:tcPr>
          <w:p>
            <w:pPr>
              <w:pStyle w:val="TableContents"/>
              <w:bidi w:val="0"/>
              <w:spacing w:before="0" w:after="283"/>
              <w:jc w:val="left"/>
              <w:rPr/>
            </w:pPr>
            <w:r>
              <w:rPr>
                <w:position w:val="8"/>
                <w:sz w:val="19"/>
              </w:rPr>
              <w:t>7</w:t>
            </w: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100" w:type="dxa"/>
            <w:tcBorders>
              <w:bottom w:val="single" w:sz="2" w:space="0" w:color="CCCCCC"/>
            </w:tcBorders>
            <w:shd w:fill="EBEBEC" w:val="clear"/>
            <w:vAlign w:val="center"/>
          </w:tcPr>
          <w:p>
            <w:pPr>
              <w:pStyle w:val="TableContents"/>
              <w:bidi w:val="0"/>
              <w:spacing w:before="0" w:after="283"/>
              <w:jc w:val="right"/>
              <w:rPr/>
            </w:pPr>
            <w:r>
              <w:rPr/>
              <w:t>2,492,443</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800" w:type="dxa"/>
            <w:tcBorders>
              <w:bottom w:val="single" w:sz="2" w:space="0" w:color="CCCCCC"/>
            </w:tcBorders>
            <w:shd w:fill="EBEBEC" w:val="clear"/>
            <w:vAlign w:val="center"/>
          </w:tcPr>
          <w:p>
            <w:pPr>
              <w:pStyle w:val="TableContents"/>
              <w:bidi w:val="0"/>
              <w:spacing w:before="0" w:after="283"/>
              <w:jc w:val="right"/>
              <w:rPr/>
            </w:pPr>
            <w:r>
              <w:rPr/>
              <w:t>3,199</w:t>
            </w:r>
          </w:p>
        </w:tc>
        <w:tc>
          <w:tcPr>
            <w:tcW w:w="290" w:type="dxa"/>
            <w:tcBorders>
              <w:bottom w:val="single" w:sz="2" w:space="0" w:color="CCCCCC"/>
            </w:tcBorders>
            <w:shd w:fill="EBEBEC" w:val="clear"/>
            <w:vAlign w:val="center"/>
          </w:tcPr>
          <w:p>
            <w:pPr>
              <w:pStyle w:val="TableContents"/>
              <w:bidi w:val="0"/>
              <w:spacing w:before="0" w:after="283"/>
              <w:jc w:val="left"/>
              <w:rPr/>
            </w:pPr>
            <w:r>
              <w:rPr>
                <w:position w:val="8"/>
                <w:sz w:val="19"/>
              </w:rPr>
              <w:t>8</w:t>
            </w: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100" w:type="dxa"/>
            <w:tcBorders>
              <w:bottom w:val="single" w:sz="2" w:space="0" w:color="CCCCCC"/>
            </w:tcBorders>
            <w:shd w:fill="EBEBEC" w:val="clear"/>
            <w:vAlign w:val="center"/>
          </w:tcPr>
          <w:p>
            <w:pPr>
              <w:pStyle w:val="TableContents"/>
              <w:bidi w:val="0"/>
              <w:spacing w:before="0" w:after="283"/>
              <w:jc w:val="right"/>
              <w:rPr/>
            </w:pPr>
            <w:r>
              <w:rPr/>
              <w:t>2,278,744</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800" w:type="dxa"/>
            <w:tcBorders>
              <w:bottom w:val="single" w:sz="2" w:space="0" w:color="CCCCCC"/>
            </w:tcBorders>
            <w:shd w:fill="EBEBEC" w:val="clear"/>
            <w:vAlign w:val="center"/>
          </w:tcPr>
          <w:p>
            <w:pPr>
              <w:pStyle w:val="TableContents"/>
              <w:bidi w:val="0"/>
              <w:spacing w:before="0" w:after="283"/>
              <w:jc w:val="right"/>
              <w:rPr/>
            </w:pPr>
            <w:r>
              <w:rPr/>
              <w:t>1,899</w:t>
            </w:r>
          </w:p>
        </w:tc>
        <w:tc>
          <w:tcPr>
            <w:tcW w:w="290" w:type="dxa"/>
            <w:tcBorders>
              <w:bottom w:val="single" w:sz="2" w:space="0" w:color="CCCCCC"/>
            </w:tcBorders>
            <w:shd w:fill="EBEBEC" w:val="clear"/>
            <w:vAlign w:val="center"/>
          </w:tcPr>
          <w:p>
            <w:pPr>
              <w:pStyle w:val="TableContents"/>
              <w:bidi w:val="0"/>
              <w:spacing w:before="0" w:after="283"/>
              <w:jc w:val="left"/>
              <w:rPr/>
            </w:pPr>
            <w:r>
              <w:rPr>
                <w:position w:val="8"/>
                <w:sz w:val="19"/>
              </w:rPr>
              <w:t>9</w:t>
            </w: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100" w:type="dxa"/>
            <w:tcBorders>
              <w:bottom w:val="single" w:sz="2" w:space="0" w:color="CCCCCC"/>
            </w:tcBorders>
            <w:shd w:fill="EBEBEC" w:val="clear"/>
            <w:vAlign w:val="center"/>
          </w:tcPr>
          <w:p>
            <w:pPr>
              <w:pStyle w:val="TableContents"/>
              <w:bidi w:val="0"/>
              <w:spacing w:before="0" w:after="283"/>
              <w:jc w:val="right"/>
              <w:rPr/>
            </w:pPr>
            <w:r>
              <w:rPr/>
              <w:t>1,352,715</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800" w:type="dxa"/>
            <w:tcBorders>
              <w:bottom w:val="single" w:sz="2" w:space="0" w:color="CCCCCC"/>
            </w:tcBorders>
            <w:shd w:fill="EBEBEC" w:val="clear"/>
            <w:vAlign w:val="center"/>
          </w:tcPr>
          <w:p>
            <w:pPr>
              <w:pStyle w:val="TableContents"/>
              <w:bidi w:val="0"/>
              <w:spacing w:before="0" w:after="283"/>
              <w:jc w:val="right"/>
              <w:rPr/>
            </w:pPr>
            <w:r>
              <w:rPr/>
              <w:t>2,172</w:t>
            </w:r>
          </w:p>
        </w:tc>
        <w:tc>
          <w:tcPr>
            <w:tcW w:w="290" w:type="dxa"/>
            <w:tcBorders>
              <w:bottom w:val="single" w:sz="2" w:space="0" w:color="CCCCCC"/>
            </w:tcBorders>
            <w:shd w:fill="EBEBEC" w:val="clear"/>
            <w:vAlign w:val="center"/>
          </w:tcPr>
          <w:p>
            <w:pPr>
              <w:pStyle w:val="TableContents"/>
              <w:bidi w:val="0"/>
              <w:spacing w:before="0" w:after="283"/>
              <w:jc w:val="left"/>
              <w:rPr>
                <w:position w:val="8"/>
                <w:sz w:val="19"/>
              </w:rPr>
            </w:pPr>
            <w:r>
              <w:rPr>
                <w:position w:val="8"/>
                <w:sz w:val="19"/>
              </w:rPr>
              <w:t>10</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100" w:type="dxa"/>
            <w:tcBorders>
              <w:bottom w:val="single" w:sz="2" w:space="0" w:color="CCCCCC"/>
            </w:tcBorders>
            <w:shd w:fill="EBEBEC" w:val="clear"/>
            <w:vAlign w:val="center"/>
          </w:tcPr>
          <w:p>
            <w:pPr>
              <w:pStyle w:val="TableContents"/>
              <w:bidi w:val="0"/>
              <w:spacing w:before="0" w:after="283"/>
              <w:jc w:val="right"/>
              <w:rPr/>
            </w:pPr>
            <w:r>
              <w:rPr/>
              <w:t>1,547,181</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shd w:fill="EBEBEC" w:val="clear"/>
            <w:vAlign w:val="center"/>
          </w:tcPr>
          <w:p>
            <w:pPr>
              <w:pStyle w:val="Normal"/>
              <w:bidi w:val="0"/>
              <w:jc w:val="left"/>
              <w:rPr/>
            </w:pPr>
            <w:r>
              <w:rPr/>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800" w:type="dxa"/>
            <w:tcBorders>
              <w:bottom w:val="single" w:sz="2" w:space="0" w:color="CCCCCC"/>
            </w:tcBorders>
            <w:shd w:fill="EBEBEC" w:val="clear"/>
            <w:vAlign w:val="center"/>
          </w:tcPr>
          <w:p>
            <w:pPr>
              <w:pStyle w:val="TableContents"/>
              <w:bidi w:val="0"/>
              <w:spacing w:before="0" w:after="283"/>
              <w:jc w:val="right"/>
              <w:rPr/>
            </w:pPr>
            <w:r>
              <w:rPr/>
              <w:t>5,000</w:t>
            </w:r>
          </w:p>
        </w:tc>
        <w:tc>
          <w:tcPr>
            <w:tcW w:w="290" w:type="dxa"/>
            <w:tcBorders>
              <w:bottom w:val="single" w:sz="2" w:space="0" w:color="CCCCCC"/>
            </w:tcBorders>
            <w:shd w:fill="EBEBEC" w:val="clear"/>
            <w:vAlign w:val="center"/>
          </w:tcPr>
          <w:p>
            <w:pPr>
              <w:pStyle w:val="TableContents"/>
              <w:bidi w:val="0"/>
              <w:spacing w:before="0" w:after="283"/>
              <w:jc w:val="left"/>
              <w:rPr/>
            </w:pPr>
            <w:r>
              <w:rPr>
                <w:position w:val="8"/>
                <w:sz w:val="19"/>
              </w:rPr>
              <w:t>11</w:t>
            </w: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100" w:type="dxa"/>
            <w:tcBorders>
              <w:bottom w:val="single" w:sz="2" w:space="0" w:color="CCCCCC"/>
            </w:tcBorders>
            <w:shd w:fill="EBEBEC" w:val="clear"/>
            <w:vAlign w:val="center"/>
          </w:tcPr>
          <w:p>
            <w:pPr>
              <w:pStyle w:val="TableContents"/>
              <w:bidi w:val="0"/>
              <w:spacing w:before="0" w:after="283"/>
              <w:jc w:val="right"/>
              <w:rPr/>
            </w:pPr>
            <w:r>
              <w:rPr/>
              <w:t>3,561,650</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595" w:type="dxa"/>
            <w:tcBorders>
              <w:bottom w:val="single" w:sz="2" w:space="0" w:color="CCCCCC"/>
            </w:tcBorders>
            <w:shd w:fill="EBEBEC" w:val="clear"/>
            <w:vAlign w:val="center"/>
          </w:tcPr>
          <w:p>
            <w:pPr>
              <w:pStyle w:val="TableContents"/>
              <w:bidi w:val="0"/>
              <w:spacing w:before="0" w:after="283"/>
              <w:jc w:val="right"/>
              <w:rPr>
                <w:b/>
                <w:color w:val="231F20"/>
              </w:rPr>
            </w:pPr>
            <w:r>
              <w:rPr>
                <w:b/>
                <w:color w:val="231F20"/>
              </w:rPr>
              <w:t>TOTAL</w:t>
            </w:r>
          </w:p>
        </w:tc>
        <w:tc>
          <w:tcPr>
            <w:tcW w:w="18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b/>
                <w:color w:val="231F20"/>
              </w:rPr>
            </w:pPr>
            <w:r>
              <w:rPr>
                <w:b/>
                <w:color w:val="231F20"/>
              </w:rPr>
              <w:t>55,990</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b/>
                <w:color w:val="231F20"/>
              </w:rPr>
            </w:pPr>
            <w:r>
              <w:rPr>
                <w:b/>
                <w:color w:val="231F20"/>
              </w:rPr>
              <w:t>33,722</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1145" w:type="dxa"/>
            <w:tcBorders>
              <w:bottom w:val="single" w:sz="2" w:space="0" w:color="CCCCCC"/>
            </w:tcBorders>
            <w:shd w:fill="EBEBEC" w:val="clear"/>
            <w:vAlign w:val="center"/>
          </w:tcPr>
          <w:p>
            <w:pPr>
              <w:pStyle w:val="TableContents"/>
              <w:bidi w:val="0"/>
              <w:spacing w:before="0" w:after="283"/>
              <w:jc w:val="left"/>
              <w:rPr/>
            </w:pP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785" w:type="dxa"/>
            <w:tcBorders>
              <w:bottom w:val="single" w:sz="2" w:space="0" w:color="CCCCCC"/>
            </w:tcBorders>
            <w:shd w:fill="EBEBEC" w:val="clear"/>
            <w:vAlign w:val="center"/>
          </w:tcPr>
          <w:p>
            <w:pPr>
              <w:pStyle w:val="TableContents"/>
              <w:bidi w:val="0"/>
              <w:spacing w:before="0" w:after="283"/>
              <w:jc w:val="left"/>
              <w:rPr/>
            </w:pP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965" w:type="dxa"/>
            <w:tcBorders>
              <w:bottom w:val="single" w:sz="2" w:space="0" w:color="CCCCCC"/>
            </w:tcBorders>
            <w:shd w:fill="EBEBEC" w:val="clear"/>
            <w:vAlign w:val="center"/>
          </w:tcPr>
          <w:p>
            <w:pPr>
              <w:pStyle w:val="TableContents"/>
              <w:bidi w:val="0"/>
              <w:spacing w:before="0" w:after="283"/>
              <w:jc w:val="left"/>
              <w:rPr/>
            </w:pPr>
            <w:r>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b/>
                <w:color w:val="231F20"/>
              </w:rPr>
            </w:pPr>
            <w:r>
              <w:rPr>
                <w:b/>
                <w:color w:val="231F20"/>
              </w:rPr>
              <w:t>15,769</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shd w:fill="EBEBEC" w:val="clear"/>
            <w:vAlign w:val="center"/>
          </w:tcPr>
          <w:p>
            <w:pPr>
              <w:pStyle w:val="TableContents"/>
              <w:bidi w:val="0"/>
              <w:spacing w:before="0" w:after="283"/>
              <w:jc w:val="right"/>
              <w:rPr>
                <w:b/>
                <w:color w:val="231F20"/>
              </w:rPr>
            </w:pPr>
            <w:r>
              <w:rPr>
                <w:b/>
                <w:color w:val="231F20"/>
              </w:rPr>
              <w:t>11,232,733</w:t>
            </w:r>
          </w:p>
        </w:tc>
        <w:tc>
          <w:tcPr>
            <w:tcW w:w="18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890" w:type="dxa"/>
            <w:tcBorders>
              <w:bottom w:val="single" w:sz="2" w:space="0" w:color="CCCCCC"/>
            </w:tcBorders>
            <w:shd w:fill="EBEBEC" w:val="clear"/>
            <w:vAlign w:val="center"/>
          </w:tcPr>
          <w:p>
            <w:pPr>
              <w:pStyle w:val="TableContents"/>
              <w:bidi w:val="0"/>
              <w:spacing w:before="0" w:after="283"/>
              <w:jc w:val="left"/>
              <w:rPr/>
            </w:pPr>
            <w:r>
              <w:rPr/>
              <w:t> </w:t>
            </w:r>
          </w:p>
        </w:tc>
        <w:tc>
          <w:tcPr>
            <w:tcW w:w="120" w:type="dxa"/>
            <w:tcBorders>
              <w:bottom w:val="single" w:sz="2" w:space="0" w:color="CCCCCC"/>
            </w:tcBorders>
            <w:shd w:fill="EBEBEC" w:val="clear"/>
            <w:vAlign w:val="center"/>
          </w:tcPr>
          <w:p>
            <w:pPr>
              <w:pStyle w:val="TableContents"/>
              <w:bidi w:val="0"/>
              <w:spacing w:before="0" w:after="283"/>
              <w:jc w:val="left"/>
              <w:rPr/>
            </w:pPr>
            <w:r>
              <w:rPr/>
              <w:t> </w:t>
            </w:r>
          </w:p>
        </w:tc>
        <w:tc>
          <w:tcPr>
            <w:tcW w:w="905" w:type="dxa"/>
            <w:tcBorders>
              <w:bottom w:val="single" w:sz="2" w:space="0" w:color="CCCCCC"/>
            </w:tcBorders>
            <w:shd w:fill="EBEBEC" w:val="clear"/>
            <w:vAlign w:val="center"/>
          </w:tcPr>
          <w:p>
            <w:pPr>
              <w:pStyle w:val="TableContents"/>
              <w:bidi w:val="0"/>
              <w:spacing w:before="0" w:after="283"/>
              <w:jc w:val="left"/>
              <w:rPr/>
            </w:pPr>
            <w:r>
              <w:rPr/>
              <w:t> </w:t>
            </w:r>
          </w:p>
        </w:tc>
      </w:tr>
      <w:tr>
        <w:trPr/>
        <w:tc>
          <w:tcPr>
            <w:tcW w:w="1595" w:type="dxa"/>
            <w:vMerge w:val="restart"/>
            <w:tcBorders>
              <w:bottom w:val="single" w:sz="2" w:space="0" w:color="CCCCCC"/>
            </w:tcBorders>
            <w:vAlign w:val="center"/>
          </w:tcPr>
          <w:p>
            <w:pPr>
              <w:pStyle w:val="TableContents"/>
              <w:bidi w:val="0"/>
              <w:spacing w:before="0" w:after="283"/>
              <w:jc w:val="left"/>
              <w:rPr>
                <w:b/>
                <w:color w:val="3B5AA4"/>
              </w:rPr>
            </w:pPr>
            <w:r>
              <w:rPr>
                <w:b/>
                <w:color w:val="3B5AA4"/>
              </w:rPr>
              <w:t>Andrew J.</w:t>
              <w:br/>
              <w:t>Murphy, Ph.D.</w:t>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pPr>
            <w:r>
              <w:rPr/>
              <w:t> </w:t>
            </w:r>
          </w:p>
        </w:tc>
        <w:tc>
          <w:tcPr>
            <w:tcW w:w="1310" w:type="dxa"/>
            <w:tcBorders>
              <w:bottom w:val="single" w:sz="2" w:space="0" w:color="CCCCCC"/>
            </w:tcBorders>
            <w:vAlign w:val="center"/>
          </w:tcPr>
          <w:p>
            <w:pPr>
              <w:pStyle w:val="TableContents"/>
              <w:bidi w:val="0"/>
              <w:spacing w:before="0" w:after="283"/>
              <w:jc w:val="right"/>
              <w:rPr/>
            </w:pPr>
            <w:r>
              <w:rPr/>
              <w:t>13,472</w:t>
            </w:r>
          </w:p>
        </w:tc>
        <w:tc>
          <w:tcPr>
            <w:tcW w:w="185" w:type="dxa"/>
            <w:tcBorders>
              <w:bottom w:val="single" w:sz="2" w:space="0" w:color="CCCCCC"/>
            </w:tcBorders>
            <w:vAlign w:val="center"/>
          </w:tcPr>
          <w:p>
            <w:pPr>
              <w:pStyle w:val="TableContents"/>
              <w:bidi w:val="0"/>
              <w:spacing w:before="0" w:after="283"/>
              <w:jc w:val="left"/>
              <w:rPr/>
            </w:pPr>
            <w:r>
              <w:rPr>
                <w:position w:val="8"/>
                <w:sz w:val="19"/>
              </w:rPr>
              <w:t>3</w:t>
            </w:r>
            <w:r>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771.64</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12/06/2034</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2,869</w:t>
            </w:r>
          </w:p>
        </w:tc>
        <w:tc>
          <w:tcPr>
            <w:tcW w:w="120" w:type="dxa"/>
            <w:tcBorders>
              <w:bottom w:val="single" w:sz="2" w:space="0" w:color="CCCCCC"/>
            </w:tcBorders>
            <w:vAlign w:val="center"/>
          </w:tcPr>
          <w:p>
            <w:pPr>
              <w:pStyle w:val="TableContents"/>
              <w:bidi w:val="0"/>
              <w:spacing w:before="0" w:after="283"/>
              <w:jc w:val="left"/>
              <w:rPr/>
            </w:pPr>
            <w:r>
              <w:rPr/>
              <w:t> </w:t>
            </w:r>
          </w:p>
        </w:tc>
        <w:tc>
          <w:tcPr>
            <w:tcW w:w="1310" w:type="dxa"/>
            <w:tcBorders>
              <w:bottom w:val="single" w:sz="2" w:space="0" w:color="CCCCCC"/>
            </w:tcBorders>
            <w:vAlign w:val="center"/>
          </w:tcPr>
          <w:p>
            <w:pPr>
              <w:pStyle w:val="TableContents"/>
              <w:bidi w:val="0"/>
              <w:spacing w:before="0" w:after="283"/>
              <w:jc w:val="right"/>
              <w:rPr/>
            </w:pPr>
            <w:r>
              <w:rPr/>
              <w:t>8,604</w:t>
            </w:r>
          </w:p>
        </w:tc>
        <w:tc>
          <w:tcPr>
            <w:tcW w:w="185" w:type="dxa"/>
            <w:tcBorders>
              <w:bottom w:val="single" w:sz="2" w:space="0" w:color="CCCCCC"/>
            </w:tcBorders>
            <w:vAlign w:val="center"/>
          </w:tcPr>
          <w:p>
            <w:pPr>
              <w:pStyle w:val="TableContents"/>
              <w:bidi w:val="0"/>
              <w:spacing w:before="0" w:after="283"/>
              <w:jc w:val="left"/>
              <w:rPr/>
            </w:pPr>
            <w:r>
              <w:rPr>
                <w:position w:val="8"/>
                <w:sz w:val="19"/>
              </w:rPr>
              <w:t>4</w:t>
            </w:r>
            <w:r>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843.79</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12/08/2033</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7,620</w:t>
            </w:r>
          </w:p>
        </w:tc>
        <w:tc>
          <w:tcPr>
            <w:tcW w:w="120" w:type="dxa"/>
            <w:tcBorders>
              <w:bottom w:val="single" w:sz="2" w:space="0" w:color="CCCCCC"/>
            </w:tcBorders>
            <w:vAlign w:val="center"/>
          </w:tcPr>
          <w:p>
            <w:pPr>
              <w:pStyle w:val="TableContents"/>
              <w:bidi w:val="0"/>
              <w:spacing w:before="0" w:after="283"/>
              <w:jc w:val="left"/>
              <w:rPr/>
            </w:pPr>
            <w:r>
              <w:rPr/>
              <w:t> </w:t>
            </w:r>
          </w:p>
        </w:tc>
        <w:tc>
          <w:tcPr>
            <w:tcW w:w="1310" w:type="dxa"/>
            <w:tcBorders>
              <w:bottom w:val="single" w:sz="2" w:space="0" w:color="CCCCCC"/>
            </w:tcBorders>
            <w:vAlign w:val="center"/>
          </w:tcPr>
          <w:p>
            <w:pPr>
              <w:pStyle w:val="TableContents"/>
              <w:bidi w:val="0"/>
              <w:spacing w:before="0" w:after="283"/>
              <w:jc w:val="right"/>
              <w:rPr/>
            </w:pPr>
            <w:r>
              <w:rPr/>
              <w:t>7,618</w:t>
            </w:r>
          </w:p>
        </w:tc>
        <w:tc>
          <w:tcPr>
            <w:tcW w:w="185" w:type="dxa"/>
            <w:tcBorders>
              <w:bottom w:val="single" w:sz="2" w:space="0" w:color="CCCCCC"/>
            </w:tcBorders>
            <w:vAlign w:val="center"/>
          </w:tcPr>
          <w:p>
            <w:pPr>
              <w:pStyle w:val="TableContents"/>
              <w:bidi w:val="0"/>
              <w:spacing w:before="0" w:after="283"/>
              <w:jc w:val="left"/>
              <w:rPr/>
            </w:pPr>
            <w:r>
              <w:rPr>
                <w:position w:val="8"/>
                <w:sz w:val="19"/>
              </w:rPr>
              <w:t>5</w:t>
            </w:r>
            <w:r>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726.53</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12/16/2032</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11,088</w:t>
            </w:r>
          </w:p>
        </w:tc>
        <w:tc>
          <w:tcPr>
            <w:tcW w:w="120" w:type="dxa"/>
            <w:tcBorders>
              <w:bottom w:val="single" w:sz="2" w:space="0" w:color="CCCCCC"/>
            </w:tcBorders>
            <w:vAlign w:val="center"/>
          </w:tcPr>
          <w:p>
            <w:pPr>
              <w:pStyle w:val="TableContents"/>
              <w:bidi w:val="0"/>
              <w:spacing w:before="0" w:after="283"/>
              <w:jc w:val="left"/>
              <w:rPr/>
            </w:pPr>
            <w:r>
              <w:rPr/>
              <w:t> </w:t>
            </w:r>
          </w:p>
        </w:tc>
        <w:tc>
          <w:tcPr>
            <w:tcW w:w="1310" w:type="dxa"/>
            <w:tcBorders>
              <w:bottom w:val="single" w:sz="2" w:space="0" w:color="CCCCCC"/>
            </w:tcBorders>
            <w:vAlign w:val="center"/>
          </w:tcPr>
          <w:p>
            <w:pPr>
              <w:pStyle w:val="TableContents"/>
              <w:bidi w:val="0"/>
              <w:spacing w:before="0" w:after="283"/>
              <w:jc w:val="right"/>
              <w:rPr/>
            </w:pPr>
            <w:r>
              <w:rPr/>
              <w:t>3,695</w:t>
            </w:r>
          </w:p>
        </w:tc>
        <w:tc>
          <w:tcPr>
            <w:tcW w:w="185" w:type="dxa"/>
            <w:tcBorders>
              <w:bottom w:val="single" w:sz="2" w:space="0" w:color="CCCCCC"/>
            </w:tcBorders>
            <w:vAlign w:val="center"/>
          </w:tcPr>
          <w:p>
            <w:pPr>
              <w:pStyle w:val="TableContents"/>
              <w:bidi w:val="0"/>
              <w:spacing w:before="0" w:after="283"/>
              <w:jc w:val="left"/>
              <w:rPr/>
            </w:pPr>
            <w:r>
              <w:rPr>
                <w:position w:val="8"/>
                <w:sz w:val="19"/>
              </w:rPr>
              <w:t>6</w:t>
            </w:r>
            <w:r>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644.54</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12/08/2031</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25,000</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492.00</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12/09/2030</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24,500</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372.46</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12/11/2029</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25,000</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381.40</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12/12/2028</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50,000</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378.98</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12/12/2027</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34,000</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381.92</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12/16/2026</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35,000</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555.67</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12/16/2025</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3,499</w:t>
            </w:r>
          </w:p>
        </w:tc>
        <w:tc>
          <w:tcPr>
            <w:tcW w:w="290" w:type="dxa"/>
            <w:tcBorders>
              <w:bottom w:val="single" w:sz="2" w:space="0" w:color="CCCCCC"/>
            </w:tcBorders>
            <w:vAlign w:val="center"/>
          </w:tcPr>
          <w:p>
            <w:pPr>
              <w:pStyle w:val="TableContents"/>
              <w:bidi w:val="0"/>
              <w:spacing w:before="0" w:after="283"/>
              <w:jc w:val="left"/>
              <w:rPr/>
            </w:pPr>
            <w:r>
              <w:rPr>
                <w:position w:val="8"/>
                <w:sz w:val="19"/>
              </w:rPr>
              <w:t>7</w:t>
            </w: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100" w:type="dxa"/>
            <w:tcBorders>
              <w:bottom w:val="single" w:sz="2" w:space="0" w:color="CCCCCC"/>
            </w:tcBorders>
            <w:vAlign w:val="center"/>
          </w:tcPr>
          <w:p>
            <w:pPr>
              <w:pStyle w:val="TableContents"/>
              <w:bidi w:val="0"/>
              <w:spacing w:before="0" w:after="283"/>
              <w:jc w:val="right"/>
              <w:rPr/>
            </w:pPr>
            <w:r>
              <w:rPr/>
              <w:t>2,492,443</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3,199</w:t>
            </w:r>
          </w:p>
        </w:tc>
        <w:tc>
          <w:tcPr>
            <w:tcW w:w="290" w:type="dxa"/>
            <w:tcBorders>
              <w:bottom w:val="single" w:sz="2" w:space="0" w:color="CCCCCC"/>
            </w:tcBorders>
            <w:vAlign w:val="center"/>
          </w:tcPr>
          <w:p>
            <w:pPr>
              <w:pStyle w:val="TableContents"/>
              <w:bidi w:val="0"/>
              <w:spacing w:before="0" w:after="283"/>
              <w:jc w:val="left"/>
              <w:rPr/>
            </w:pPr>
            <w:r>
              <w:rPr>
                <w:position w:val="8"/>
                <w:sz w:val="19"/>
              </w:rPr>
              <w:t>8</w:t>
            </w: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100" w:type="dxa"/>
            <w:tcBorders>
              <w:bottom w:val="single" w:sz="2" w:space="0" w:color="CCCCCC"/>
            </w:tcBorders>
            <w:vAlign w:val="center"/>
          </w:tcPr>
          <w:p>
            <w:pPr>
              <w:pStyle w:val="TableContents"/>
              <w:bidi w:val="0"/>
              <w:spacing w:before="0" w:after="283"/>
              <w:jc w:val="right"/>
              <w:rPr/>
            </w:pPr>
            <w:r>
              <w:rPr/>
              <w:t>2,278,744</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2,064</w:t>
            </w:r>
          </w:p>
        </w:tc>
        <w:tc>
          <w:tcPr>
            <w:tcW w:w="290" w:type="dxa"/>
            <w:tcBorders>
              <w:bottom w:val="single" w:sz="2" w:space="0" w:color="CCCCCC"/>
            </w:tcBorders>
            <w:vAlign w:val="center"/>
          </w:tcPr>
          <w:p>
            <w:pPr>
              <w:pStyle w:val="TableContents"/>
              <w:bidi w:val="0"/>
              <w:spacing w:before="0" w:after="283"/>
              <w:jc w:val="left"/>
              <w:rPr/>
            </w:pPr>
            <w:r>
              <w:rPr>
                <w:position w:val="8"/>
                <w:sz w:val="19"/>
              </w:rPr>
              <w:t>9</w:t>
            </w: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100" w:type="dxa"/>
            <w:tcBorders>
              <w:bottom w:val="single" w:sz="2" w:space="0" w:color="CCCCCC"/>
            </w:tcBorders>
            <w:vAlign w:val="center"/>
          </w:tcPr>
          <w:p>
            <w:pPr>
              <w:pStyle w:val="TableContents"/>
              <w:bidi w:val="0"/>
              <w:spacing w:before="0" w:after="283"/>
              <w:jc w:val="right"/>
              <w:rPr/>
            </w:pPr>
            <w:r>
              <w:rPr/>
              <w:t>1,470,249</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1,731</w:t>
            </w:r>
          </w:p>
        </w:tc>
        <w:tc>
          <w:tcPr>
            <w:tcW w:w="290" w:type="dxa"/>
            <w:tcBorders>
              <w:bottom w:val="single" w:sz="2" w:space="0" w:color="CCCCCC"/>
            </w:tcBorders>
            <w:vAlign w:val="center"/>
          </w:tcPr>
          <w:p>
            <w:pPr>
              <w:pStyle w:val="TableContents"/>
              <w:bidi w:val="0"/>
              <w:spacing w:before="0" w:after="283"/>
              <w:jc w:val="left"/>
              <w:rPr/>
            </w:pPr>
            <w:r>
              <w:rPr>
                <w:position w:val="8"/>
                <w:sz w:val="19"/>
              </w:rPr>
              <w:t>10</w:t>
            </w: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100" w:type="dxa"/>
            <w:tcBorders>
              <w:bottom w:val="single" w:sz="2" w:space="0" w:color="CCCCCC"/>
            </w:tcBorders>
            <w:vAlign w:val="center"/>
          </w:tcPr>
          <w:p>
            <w:pPr>
              <w:pStyle w:val="TableContents"/>
              <w:bidi w:val="0"/>
              <w:spacing w:before="0" w:after="283"/>
              <w:jc w:val="right"/>
              <w:rPr/>
            </w:pPr>
            <w:r>
              <w:rPr/>
              <w:t>1,233,043</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vMerge w:val="continue"/>
            <w:tcBorders>
              <w:bottom w:val="single" w:sz="2" w:space="0" w:color="CCCCCC"/>
            </w:tcBorders>
            <w:vAlign w:val="center"/>
          </w:tcPr>
          <w:p>
            <w:pPr>
              <w:pStyle w:val="Normal"/>
              <w:bidi w:val="0"/>
              <w:jc w:val="left"/>
              <w:rPr/>
            </w:pPr>
            <w:r>
              <w:rPr/>
            </w:r>
          </w:p>
        </w:tc>
        <w:tc>
          <w:tcPr>
            <w:tcW w:w="18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pPr>
            <w:r>
              <w:rPr/>
              <w:t> </w:t>
            </w:r>
          </w:p>
        </w:tc>
        <w:tc>
          <w:tcPr>
            <w:tcW w:w="800" w:type="dxa"/>
            <w:tcBorders>
              <w:bottom w:val="single" w:sz="2" w:space="0" w:color="CCCCCC"/>
            </w:tcBorders>
            <w:vAlign w:val="center"/>
          </w:tcPr>
          <w:p>
            <w:pPr>
              <w:pStyle w:val="TableContents"/>
              <w:bidi w:val="0"/>
              <w:spacing w:before="0" w:after="283"/>
              <w:jc w:val="right"/>
              <w:rPr/>
            </w:pPr>
            <w:r>
              <w:rPr/>
              <w:t>8,285</w:t>
            </w:r>
          </w:p>
        </w:tc>
        <w:tc>
          <w:tcPr>
            <w:tcW w:w="290" w:type="dxa"/>
            <w:tcBorders>
              <w:bottom w:val="single" w:sz="2" w:space="0" w:color="CCCCCC"/>
            </w:tcBorders>
            <w:vAlign w:val="center"/>
          </w:tcPr>
          <w:p>
            <w:pPr>
              <w:pStyle w:val="TableContents"/>
              <w:bidi w:val="0"/>
              <w:spacing w:before="0" w:after="283"/>
              <w:jc w:val="left"/>
              <w:rPr/>
            </w:pPr>
            <w:r>
              <w:rPr>
                <w:position w:val="8"/>
                <w:sz w:val="19"/>
              </w:rPr>
              <w:t>11</w:t>
            </w: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1100" w:type="dxa"/>
            <w:tcBorders>
              <w:bottom w:val="single" w:sz="2" w:space="0" w:color="CCCCCC"/>
            </w:tcBorders>
            <w:vAlign w:val="center"/>
          </w:tcPr>
          <w:p>
            <w:pPr>
              <w:pStyle w:val="TableContents"/>
              <w:bidi w:val="0"/>
              <w:spacing w:before="0" w:after="283"/>
              <w:jc w:val="right"/>
              <w:rPr/>
            </w:pPr>
            <w:r>
              <w:rPr/>
              <w:t>5,901,654</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1595" w:type="dxa"/>
            <w:tcBorders>
              <w:bottom w:val="single" w:sz="12" w:space="0" w:color="3B5AA4"/>
            </w:tcBorders>
            <w:vAlign w:val="center"/>
          </w:tcPr>
          <w:p>
            <w:pPr>
              <w:pStyle w:val="TableContents"/>
              <w:bidi w:val="0"/>
              <w:spacing w:before="0" w:after="283"/>
              <w:jc w:val="right"/>
              <w:rPr>
                <w:b/>
                <w:color w:val="231F20"/>
              </w:rPr>
            </w:pPr>
            <w:r>
              <w:rPr>
                <w:b/>
                <w:color w:val="231F20"/>
              </w:rPr>
              <w:t>TOTAL</w:t>
            </w:r>
          </w:p>
        </w:tc>
        <w:tc>
          <w:tcPr>
            <w:tcW w:w="18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145" w:type="dxa"/>
            <w:tcBorders>
              <w:bottom w:val="single" w:sz="12" w:space="0" w:color="3B5AA4"/>
            </w:tcBorders>
            <w:vAlign w:val="center"/>
          </w:tcPr>
          <w:p>
            <w:pPr>
              <w:pStyle w:val="TableContents"/>
              <w:bidi w:val="0"/>
              <w:spacing w:before="0" w:after="283"/>
              <w:jc w:val="right"/>
              <w:rPr>
                <w:b/>
                <w:color w:val="231F20"/>
              </w:rPr>
            </w:pPr>
            <w:r>
              <w:rPr>
                <w:b/>
                <w:color w:val="231F20"/>
              </w:rPr>
              <w:t>215,077</w:t>
            </w:r>
          </w:p>
        </w:tc>
        <w:tc>
          <w:tcPr>
            <w:tcW w:w="12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310" w:type="dxa"/>
            <w:tcBorders>
              <w:bottom w:val="single" w:sz="12" w:space="0" w:color="3B5AA4"/>
            </w:tcBorders>
            <w:vAlign w:val="center"/>
          </w:tcPr>
          <w:p>
            <w:pPr>
              <w:pStyle w:val="TableContents"/>
              <w:bidi w:val="0"/>
              <w:spacing w:before="0" w:after="283"/>
              <w:jc w:val="right"/>
              <w:rPr>
                <w:b/>
                <w:color w:val="231F20"/>
              </w:rPr>
            </w:pPr>
            <w:r>
              <w:rPr>
                <w:b/>
                <w:color w:val="231F20"/>
              </w:rPr>
              <w:t>33,389</w:t>
            </w:r>
          </w:p>
        </w:tc>
        <w:tc>
          <w:tcPr>
            <w:tcW w:w="185"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20" w:type="dxa"/>
            <w:tcBorders>
              <w:bottom w:val="single" w:sz="12" w:space="0" w:color="3B5AA4"/>
            </w:tcBorders>
            <w:vAlign w:val="center"/>
          </w:tcPr>
          <w:p>
            <w:pPr>
              <w:pStyle w:val="TableContents"/>
              <w:bidi w:val="0"/>
              <w:spacing w:before="0" w:after="283"/>
              <w:jc w:val="left"/>
              <w:rPr/>
            </w:pPr>
            <w:r>
              <w:rPr/>
              <w:t> </w:t>
            </w:r>
          </w:p>
        </w:tc>
        <w:tc>
          <w:tcPr>
            <w:tcW w:w="1145" w:type="dxa"/>
            <w:tcBorders>
              <w:bottom w:val="single" w:sz="12" w:space="0" w:color="3B5AA4"/>
            </w:tcBorders>
            <w:vAlign w:val="center"/>
          </w:tcPr>
          <w:p>
            <w:pPr>
              <w:pStyle w:val="TableContents"/>
              <w:bidi w:val="0"/>
              <w:spacing w:before="0" w:after="283"/>
              <w:jc w:val="left"/>
              <w:rPr/>
            </w:pPr>
            <w:r>
              <w:rPr/>
              <w:t> </w:t>
            </w:r>
          </w:p>
        </w:tc>
        <w:tc>
          <w:tcPr>
            <w:tcW w:w="120" w:type="dxa"/>
            <w:tcBorders>
              <w:bottom w:val="single" w:sz="12" w:space="0" w:color="3B5AA4"/>
            </w:tcBorders>
            <w:vAlign w:val="center"/>
          </w:tcPr>
          <w:p>
            <w:pPr>
              <w:pStyle w:val="TableContents"/>
              <w:bidi w:val="0"/>
              <w:spacing w:before="0" w:after="283"/>
              <w:jc w:val="left"/>
              <w:rPr/>
            </w:pPr>
            <w:r>
              <w:rPr/>
              <w:t> </w:t>
            </w:r>
          </w:p>
        </w:tc>
        <w:tc>
          <w:tcPr>
            <w:tcW w:w="785" w:type="dxa"/>
            <w:tcBorders>
              <w:bottom w:val="single" w:sz="12" w:space="0" w:color="3B5AA4"/>
            </w:tcBorders>
            <w:vAlign w:val="center"/>
          </w:tcPr>
          <w:p>
            <w:pPr>
              <w:pStyle w:val="TableContents"/>
              <w:bidi w:val="0"/>
              <w:spacing w:before="0" w:after="283"/>
              <w:jc w:val="left"/>
              <w:rPr/>
            </w:pPr>
            <w:r>
              <w:rPr/>
              <w:t> </w:t>
            </w:r>
          </w:p>
        </w:tc>
        <w:tc>
          <w:tcPr>
            <w:tcW w:w="120" w:type="dxa"/>
            <w:tcBorders>
              <w:bottom w:val="single" w:sz="12" w:space="0" w:color="3B5AA4"/>
            </w:tcBorders>
            <w:vAlign w:val="center"/>
          </w:tcPr>
          <w:p>
            <w:pPr>
              <w:pStyle w:val="TableContents"/>
              <w:bidi w:val="0"/>
              <w:spacing w:before="0" w:after="283"/>
              <w:jc w:val="left"/>
              <w:rPr/>
            </w:pPr>
            <w:r>
              <w:rPr/>
              <w:t> </w:t>
            </w:r>
          </w:p>
        </w:tc>
        <w:tc>
          <w:tcPr>
            <w:tcW w:w="965" w:type="dxa"/>
            <w:tcBorders>
              <w:bottom w:val="single" w:sz="12" w:space="0" w:color="3B5AA4"/>
            </w:tcBorders>
            <w:vAlign w:val="center"/>
          </w:tcPr>
          <w:p>
            <w:pPr>
              <w:pStyle w:val="TableContents"/>
              <w:bidi w:val="0"/>
              <w:spacing w:before="0" w:after="283"/>
              <w:jc w:val="left"/>
              <w:rPr/>
            </w:pPr>
            <w:r>
              <w:rPr/>
              <w:t> </w:t>
            </w:r>
          </w:p>
        </w:tc>
        <w:tc>
          <w:tcPr>
            <w:tcW w:w="12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800" w:type="dxa"/>
            <w:tcBorders>
              <w:bottom w:val="single" w:sz="12" w:space="0" w:color="3B5AA4"/>
            </w:tcBorders>
            <w:vAlign w:val="center"/>
          </w:tcPr>
          <w:p>
            <w:pPr>
              <w:pStyle w:val="TableContents"/>
              <w:bidi w:val="0"/>
              <w:spacing w:before="0" w:after="283"/>
              <w:jc w:val="right"/>
              <w:rPr>
                <w:b/>
                <w:color w:val="231F20"/>
              </w:rPr>
            </w:pPr>
            <w:r>
              <w:rPr>
                <w:b/>
                <w:color w:val="231F20"/>
              </w:rPr>
              <w:t>18,778</w:t>
            </w:r>
          </w:p>
        </w:tc>
        <w:tc>
          <w:tcPr>
            <w:tcW w:w="29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2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20"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100" w:type="dxa"/>
            <w:tcBorders>
              <w:bottom w:val="single" w:sz="12" w:space="0" w:color="3B5AA4"/>
            </w:tcBorders>
            <w:vAlign w:val="center"/>
          </w:tcPr>
          <w:p>
            <w:pPr>
              <w:pStyle w:val="TableContents"/>
              <w:bidi w:val="0"/>
              <w:spacing w:before="0" w:after="283"/>
              <w:jc w:val="right"/>
              <w:rPr>
                <w:b/>
                <w:color w:val="231F20"/>
              </w:rPr>
            </w:pPr>
            <w:r>
              <w:rPr>
                <w:b/>
                <w:color w:val="231F20"/>
              </w:rPr>
              <w:t>13,376,133</w:t>
            </w:r>
          </w:p>
        </w:tc>
        <w:tc>
          <w:tcPr>
            <w:tcW w:w="185" w:type="dxa"/>
            <w:tcBorders>
              <w:bottom w:val="single" w:sz="12" w:space="0" w:color="3B5AA4"/>
            </w:tcBorders>
            <w:vAlign w:val="center"/>
          </w:tcPr>
          <w:p>
            <w:pPr>
              <w:pStyle w:val="TableContents"/>
              <w:bidi w:val="0"/>
              <w:spacing w:before="0" w:after="283"/>
              <w:jc w:val="left"/>
              <w:rPr>
                <w:color w:val="231F20"/>
              </w:rPr>
            </w:pPr>
            <w:r>
              <w:rPr>
                <w:color w:val="231F20"/>
              </w:rPr>
              <w:t> </w:t>
            </w:r>
          </w:p>
        </w:tc>
        <w:tc>
          <w:tcPr>
            <w:tcW w:w="120" w:type="dxa"/>
            <w:tcBorders>
              <w:bottom w:val="single" w:sz="12" w:space="0" w:color="3B5AA4"/>
            </w:tcBorders>
            <w:vAlign w:val="center"/>
          </w:tcPr>
          <w:p>
            <w:pPr>
              <w:pStyle w:val="TableContents"/>
              <w:bidi w:val="0"/>
              <w:spacing w:before="0" w:after="283"/>
              <w:jc w:val="left"/>
              <w:rPr/>
            </w:pPr>
            <w:r>
              <w:rPr/>
              <w:t> </w:t>
            </w:r>
          </w:p>
        </w:tc>
        <w:tc>
          <w:tcPr>
            <w:tcW w:w="890" w:type="dxa"/>
            <w:tcBorders>
              <w:bottom w:val="single" w:sz="12" w:space="0" w:color="3B5AA4"/>
            </w:tcBorders>
            <w:vAlign w:val="center"/>
          </w:tcPr>
          <w:p>
            <w:pPr>
              <w:pStyle w:val="TableContents"/>
              <w:bidi w:val="0"/>
              <w:spacing w:before="0" w:after="283"/>
              <w:jc w:val="left"/>
              <w:rPr/>
            </w:pPr>
            <w:r>
              <w:rPr/>
              <w:t> </w:t>
            </w:r>
          </w:p>
        </w:tc>
        <w:tc>
          <w:tcPr>
            <w:tcW w:w="120" w:type="dxa"/>
            <w:tcBorders>
              <w:bottom w:val="single" w:sz="12" w:space="0" w:color="3B5AA4"/>
            </w:tcBorders>
            <w:vAlign w:val="center"/>
          </w:tcPr>
          <w:p>
            <w:pPr>
              <w:pStyle w:val="TableContents"/>
              <w:bidi w:val="0"/>
              <w:spacing w:before="0" w:after="283"/>
              <w:jc w:val="left"/>
              <w:rPr/>
            </w:pPr>
            <w:r>
              <w:rPr/>
              <w:t> </w:t>
            </w:r>
          </w:p>
        </w:tc>
        <w:tc>
          <w:tcPr>
            <w:tcW w:w="905" w:type="dxa"/>
            <w:tcBorders>
              <w:bottom w:val="single" w:sz="12" w:space="0" w:color="3B5AA4"/>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30"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11" descr=""/>
                          <pic:cNvPicPr>
                            <a:picLocks noChangeAspect="1" noChangeArrowheads="1"/>
                          </pic:cNvPicPr>
                        </pic:nvPicPr>
                        <pic:blipFill>
                          <a:blip r:embed="rId323"/>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tbl>
      <w:tblPr>
        <w:tblW w:w="11120" w:type="dxa"/>
        <w:jc w:val="left"/>
        <w:tblInd w:w="0" w:type="dxa"/>
        <w:tblLayout w:type="fixed"/>
        <w:tblCellMar>
          <w:top w:w="0" w:type="dxa"/>
          <w:left w:w="0" w:type="dxa"/>
          <w:bottom w:w="28" w:type="dxa"/>
          <w:right w:w="0" w:type="dxa"/>
        </w:tblCellMar>
      </w:tblPr>
      <w:tblGrid>
        <w:gridCol w:w="1040"/>
        <w:gridCol w:w="120"/>
        <w:gridCol w:w="1145"/>
        <w:gridCol w:w="120"/>
        <w:gridCol w:w="1310"/>
        <w:gridCol w:w="60"/>
        <w:gridCol w:w="120"/>
        <w:gridCol w:w="1145"/>
        <w:gridCol w:w="120"/>
        <w:gridCol w:w="785"/>
        <w:gridCol w:w="120"/>
        <w:gridCol w:w="965"/>
        <w:gridCol w:w="120"/>
        <w:gridCol w:w="800"/>
        <w:gridCol w:w="120"/>
        <w:gridCol w:w="120"/>
        <w:gridCol w:w="60"/>
        <w:gridCol w:w="695"/>
        <w:gridCol w:w="120"/>
        <w:gridCol w:w="120"/>
        <w:gridCol w:w="890"/>
        <w:gridCol w:w="120"/>
        <w:gridCol w:w="905"/>
      </w:tblGrid>
      <w:tr>
        <w:trPr/>
        <w:tc>
          <w:tcPr>
            <w:tcW w:w="1040" w:type="dxa"/>
            <w:tcBorders>
              <w:bottom w:val="single" w:sz="2" w:space="0" w:color="CCCCCC"/>
            </w:tcBorders>
            <w:vAlign w:val="center"/>
          </w:tcPr>
          <w:p>
            <w:pPr>
              <w:pStyle w:val="TableContents"/>
              <w:bidi w:val="0"/>
              <w:spacing w:before="0" w:after="283"/>
              <w:jc w:val="center"/>
              <w:rPr>
                <w:color w:val="3B5AA4"/>
              </w:rPr>
            </w:pPr>
            <w:r>
              <w:rPr>
                <w:color w:val="3B5AA4"/>
              </w:rPr>
              <w:t>A</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center"/>
              <w:rPr>
                <w:color w:val="3B5AA4"/>
              </w:rPr>
            </w:pPr>
            <w:r>
              <w:rPr>
                <w:color w:val="3B5AA4"/>
              </w:rPr>
              <w:t>B</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310" w:type="dxa"/>
            <w:tcBorders>
              <w:bottom w:val="single" w:sz="2" w:space="0" w:color="CCCCCC"/>
            </w:tcBorders>
            <w:vAlign w:val="center"/>
          </w:tcPr>
          <w:p>
            <w:pPr>
              <w:pStyle w:val="TableContents"/>
              <w:bidi w:val="0"/>
              <w:spacing w:before="0" w:after="283"/>
              <w:jc w:val="center"/>
              <w:rPr>
                <w:color w:val="3B5AA4"/>
              </w:rPr>
            </w:pPr>
            <w:r>
              <w:rPr>
                <w:color w:val="3B5AA4"/>
              </w:rPr>
              <w:t>C</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center"/>
              <w:rPr>
                <w:color w:val="3B5AA4"/>
              </w:rPr>
            </w:pPr>
            <w:r>
              <w:rPr>
                <w:color w:val="3B5AA4"/>
              </w:rPr>
              <w:t>D</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785" w:type="dxa"/>
            <w:tcBorders>
              <w:bottom w:val="single" w:sz="2" w:space="0" w:color="CCCCCC"/>
            </w:tcBorders>
            <w:vAlign w:val="center"/>
          </w:tcPr>
          <w:p>
            <w:pPr>
              <w:pStyle w:val="TableContents"/>
              <w:bidi w:val="0"/>
              <w:spacing w:before="0" w:after="283"/>
              <w:jc w:val="center"/>
              <w:rPr>
                <w:color w:val="3B5AA4"/>
              </w:rPr>
            </w:pPr>
            <w:r>
              <w:rPr>
                <w:color w:val="3B5AA4"/>
              </w:rPr>
              <w:t>E</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65" w:type="dxa"/>
            <w:tcBorders>
              <w:bottom w:val="single" w:sz="2" w:space="0" w:color="CCCCCC"/>
            </w:tcBorders>
            <w:vAlign w:val="center"/>
          </w:tcPr>
          <w:p>
            <w:pPr>
              <w:pStyle w:val="TableContents"/>
              <w:bidi w:val="0"/>
              <w:spacing w:before="0" w:after="283"/>
              <w:jc w:val="center"/>
              <w:rPr>
                <w:color w:val="3B5AA4"/>
              </w:rPr>
            </w:pPr>
            <w:r>
              <w:rPr>
                <w:color w:val="3B5AA4"/>
              </w:rPr>
              <w:t>F</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800" w:type="dxa"/>
            <w:tcBorders>
              <w:bottom w:val="single" w:sz="2" w:space="0" w:color="CCCCCC"/>
            </w:tcBorders>
            <w:vAlign w:val="center"/>
          </w:tcPr>
          <w:p>
            <w:pPr>
              <w:pStyle w:val="TableContents"/>
              <w:bidi w:val="0"/>
              <w:spacing w:before="0" w:after="283"/>
              <w:jc w:val="center"/>
              <w:rPr>
                <w:color w:val="3B5AA4"/>
              </w:rPr>
            </w:pPr>
            <w:r>
              <w:rPr>
                <w:color w:val="3B5AA4"/>
              </w:rPr>
              <w:t>G</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695" w:type="dxa"/>
            <w:tcBorders>
              <w:bottom w:val="single" w:sz="2" w:space="0" w:color="CCCCCC"/>
            </w:tcBorders>
            <w:vAlign w:val="center"/>
          </w:tcPr>
          <w:p>
            <w:pPr>
              <w:pStyle w:val="TableContents"/>
              <w:bidi w:val="0"/>
              <w:spacing w:before="0" w:after="283"/>
              <w:jc w:val="center"/>
              <w:rPr>
                <w:color w:val="3B5AA4"/>
              </w:rPr>
            </w:pPr>
            <w:r>
              <w:rPr>
                <w:color w:val="3B5AA4"/>
              </w:rPr>
              <w:t>H</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890" w:type="dxa"/>
            <w:tcBorders>
              <w:bottom w:val="single" w:sz="2" w:space="0" w:color="CCCCCC"/>
            </w:tcBorders>
            <w:vAlign w:val="center"/>
          </w:tcPr>
          <w:p>
            <w:pPr>
              <w:pStyle w:val="TableContents"/>
              <w:bidi w:val="0"/>
              <w:spacing w:before="0" w:after="283"/>
              <w:jc w:val="center"/>
              <w:rPr>
                <w:color w:val="3B5AA4"/>
              </w:rPr>
            </w:pPr>
            <w:r>
              <w:rPr>
                <w:color w:val="3B5AA4"/>
              </w:rPr>
              <w:t>I</w:t>
            </w:r>
          </w:p>
        </w:tc>
        <w:tc>
          <w:tcPr>
            <w:tcW w:w="120" w:type="dxa"/>
            <w:tcBorders>
              <w:bottom w:val="single" w:sz="2" w:space="0" w:color="CCCCCC"/>
            </w:tcBorders>
            <w:vAlign w:val="center"/>
          </w:tcPr>
          <w:p>
            <w:pPr>
              <w:pStyle w:val="TableContents"/>
              <w:bidi w:val="0"/>
              <w:spacing w:before="0" w:after="283"/>
              <w:jc w:val="center"/>
              <w:rPr>
                <w:color w:val="3B5AA4"/>
              </w:rPr>
            </w:pPr>
            <w:r>
              <w:rPr>
                <w:color w:val="3B5AA4"/>
              </w:rPr>
              <w:t>  </w:t>
            </w:r>
          </w:p>
        </w:tc>
        <w:tc>
          <w:tcPr>
            <w:tcW w:w="905" w:type="dxa"/>
            <w:tcBorders>
              <w:bottom w:val="single" w:sz="2" w:space="0" w:color="CCCCCC"/>
            </w:tcBorders>
            <w:vAlign w:val="center"/>
          </w:tcPr>
          <w:p>
            <w:pPr>
              <w:pStyle w:val="TableContents"/>
              <w:bidi w:val="0"/>
              <w:spacing w:before="0" w:after="283"/>
              <w:jc w:val="center"/>
              <w:rPr>
                <w:color w:val="3B5AA4"/>
              </w:rPr>
            </w:pPr>
            <w:r>
              <w:rPr>
                <w:color w:val="3B5AA4"/>
              </w:rPr>
              <w:t>J</w:t>
            </w:r>
          </w:p>
        </w:tc>
      </w:tr>
      <w:tr>
        <w:trPr/>
        <w:tc>
          <w:tcPr>
            <w:tcW w:w="1040" w:type="dxa"/>
            <w:tcBorders>
              <w:bottom w:val="single" w:sz="2" w:space="0" w:color="CCCCCC"/>
            </w:tcBorders>
            <w:vAlign w:val="center"/>
          </w:tcPr>
          <w:p>
            <w:pPr>
              <w:pStyle w:val="TableContents"/>
              <w:bidi w:val="0"/>
              <w:spacing w:before="0" w:after="283"/>
              <w:jc w:val="left"/>
              <w:rPr/>
            </w:pPr>
            <w:r>
              <w:rPr/>
              <w:t> </w:t>
            </w:r>
          </w:p>
        </w:tc>
        <w:tc>
          <w:tcPr>
            <w:tcW w:w="120" w:type="dxa"/>
            <w:tcBorders>
              <w:bottom w:val="single" w:sz="2" w:space="0" w:color="CCCCCC"/>
            </w:tcBorders>
            <w:vAlign w:val="center"/>
          </w:tcPr>
          <w:p>
            <w:pPr>
              <w:pStyle w:val="TableContents"/>
              <w:bidi w:val="0"/>
              <w:spacing w:before="0" w:after="283"/>
              <w:jc w:val="left"/>
              <w:rPr/>
            </w:pPr>
            <w:r>
              <w:rPr/>
              <w:t> </w:t>
            </w:r>
          </w:p>
        </w:tc>
        <w:tc>
          <w:tcPr>
            <w:tcW w:w="5890" w:type="dxa"/>
            <w:gridSpan w:val="10"/>
            <w:tcBorders>
              <w:bottom w:val="single" w:sz="2" w:space="0" w:color="CCCCCC"/>
            </w:tcBorders>
            <w:vAlign w:val="center"/>
          </w:tcPr>
          <w:p>
            <w:pPr>
              <w:pStyle w:val="TableContents"/>
              <w:bidi w:val="0"/>
              <w:spacing w:before="0" w:after="283"/>
              <w:jc w:val="center"/>
              <w:rPr>
                <w:color w:val="3B5AA4"/>
              </w:rPr>
            </w:pPr>
            <w:r>
              <w:rPr>
                <w:color w:val="3B5AA4"/>
              </w:rPr>
              <w:t>Option Awards</w:t>
            </w:r>
          </w:p>
        </w:tc>
        <w:tc>
          <w:tcPr>
            <w:tcW w:w="120" w:type="dxa"/>
            <w:tcBorders/>
            <w:tcMar>
              <w:bottom w:w="0" w:type="dxa"/>
            </w:tcMar>
            <w:vAlign w:val="center"/>
          </w:tcPr>
          <w:p>
            <w:pPr>
              <w:pStyle w:val="TableContents"/>
              <w:bidi w:val="0"/>
              <w:spacing w:before="0" w:after="283"/>
              <w:jc w:val="left"/>
              <w:rPr/>
            </w:pPr>
            <w:r>
              <w:rPr/>
              <w:t> </w:t>
            </w:r>
          </w:p>
        </w:tc>
        <w:tc>
          <w:tcPr>
            <w:tcW w:w="3950" w:type="dxa"/>
            <w:gridSpan w:val="10"/>
            <w:tcBorders>
              <w:bottom w:val="single" w:sz="2" w:space="0" w:color="CCCCCC"/>
            </w:tcBorders>
            <w:vAlign w:val="center"/>
          </w:tcPr>
          <w:p>
            <w:pPr>
              <w:pStyle w:val="TableContents"/>
              <w:bidi w:val="0"/>
              <w:spacing w:before="0" w:after="283"/>
              <w:jc w:val="center"/>
              <w:rPr>
                <w:color w:val="3B5AA4"/>
              </w:rPr>
            </w:pPr>
            <w:r>
              <w:rPr>
                <w:color w:val="3B5AA4"/>
              </w:rPr>
              <w:t>Stock Awards</w:t>
            </w:r>
          </w:p>
        </w:tc>
      </w:tr>
      <w:tr>
        <w:trPr/>
        <w:tc>
          <w:tcPr>
            <w:tcW w:w="1040" w:type="dxa"/>
            <w:tcBorders>
              <w:bottom w:val="single" w:sz="2" w:space="0" w:color="CCCCCC"/>
            </w:tcBorders>
            <w:vAlign w:val="center"/>
          </w:tcPr>
          <w:p>
            <w:pPr>
              <w:pStyle w:val="TableContents"/>
              <w:bidi w:val="0"/>
              <w:spacing w:before="0" w:after="283"/>
              <w:jc w:val="left"/>
              <w:rPr>
                <w:color w:val="3B5AA4"/>
              </w:rPr>
            </w:pPr>
            <w:r>
              <w:rPr>
                <w:color w:val="3B5AA4"/>
              </w:rPr>
              <w:t>Name</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right"/>
              <w:rPr>
                <w:color w:val="3B5AA4"/>
              </w:rPr>
            </w:pPr>
            <w:r>
              <w:rPr>
                <w:color w:val="3B5AA4"/>
              </w:rPr>
              <w:t>Number of</w:t>
              <w:br/>
              <w:t>securities</w:t>
              <w:br/>
              <w:t>underlying</w:t>
              <w:br/>
              <w:t>unexercised</w:t>
              <w:br/>
              <w:t>options</w:t>
              <w:br/>
              <w:t>exercisable</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310" w:type="dxa"/>
            <w:tcBorders>
              <w:bottom w:val="single" w:sz="2" w:space="0" w:color="CCCCCC"/>
            </w:tcBorders>
            <w:vAlign w:val="center"/>
          </w:tcPr>
          <w:p>
            <w:pPr>
              <w:pStyle w:val="TableContents"/>
              <w:bidi w:val="0"/>
              <w:spacing w:before="0" w:after="283"/>
              <w:jc w:val="right"/>
              <w:rPr>
                <w:color w:val="3B5AA4"/>
              </w:rPr>
            </w:pPr>
            <w:r>
              <w:rPr>
                <w:color w:val="3B5AA4"/>
              </w:rPr>
              <w:t>Number of</w:t>
              <w:br/>
              <w:t>securities</w:t>
              <w:br/>
              <w:t>underlying</w:t>
              <w:br/>
              <w:t xml:space="preserve">unexercised </w:t>
              <w:br/>
              <w:t>options</w:t>
              <w:br/>
              <w:t>unexercisable</w:t>
              <w:br/>
              <w:t>(#)</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145" w:type="dxa"/>
            <w:tcBorders>
              <w:bottom w:val="single" w:sz="2" w:space="0" w:color="CCCCCC"/>
            </w:tcBorders>
            <w:vAlign w:val="center"/>
          </w:tcPr>
          <w:p>
            <w:pPr>
              <w:pStyle w:val="TableContents"/>
              <w:bidi w:val="0"/>
              <w:spacing w:before="0" w:after="283"/>
              <w:jc w:val="right"/>
              <w:rPr>
                <w:color w:val="3B5AA4"/>
              </w:rPr>
            </w:pPr>
            <w:r>
              <w:rPr>
                <w:color w:val="3B5AA4"/>
              </w:rPr>
              <w:t>Equity</w:t>
              <w:br/>
              <w:t>incentive</w:t>
              <w:br/>
              <w:t>plan</w:t>
              <w:br/>
              <w:t>awards:</w:t>
              <w:br/>
              <w:t>number of</w:t>
              <w:br/>
              <w:t>securities</w:t>
              <w:br/>
              <w:t>underlying</w:t>
              <w:br/>
              <w:t>unexercised</w:t>
              <w:br/>
              <w:t>unearned</w:t>
              <w:br/>
              <w:t>options</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785" w:type="dxa"/>
            <w:tcBorders>
              <w:bottom w:val="single" w:sz="2" w:space="0" w:color="CCCCCC"/>
            </w:tcBorders>
            <w:vAlign w:val="center"/>
          </w:tcPr>
          <w:p>
            <w:pPr>
              <w:pStyle w:val="TableContents"/>
              <w:bidi w:val="0"/>
              <w:spacing w:before="0" w:after="283"/>
              <w:jc w:val="right"/>
              <w:rPr>
                <w:color w:val="3B5AA4"/>
              </w:rPr>
            </w:pPr>
            <w:r>
              <w:rPr>
                <w:color w:val="3B5AA4"/>
              </w:rPr>
              <w:t>Option</w:t>
              <w:br/>
              <w:t>exercise</w:t>
              <w:br/>
              <w:t>price</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65" w:type="dxa"/>
            <w:tcBorders>
              <w:bottom w:val="single" w:sz="2" w:space="0" w:color="CCCCCC"/>
            </w:tcBorders>
            <w:vAlign w:val="center"/>
          </w:tcPr>
          <w:p>
            <w:pPr>
              <w:pStyle w:val="TableContents"/>
              <w:bidi w:val="0"/>
              <w:spacing w:before="0" w:after="283"/>
              <w:jc w:val="right"/>
              <w:rPr>
                <w:color w:val="3B5AA4"/>
              </w:rPr>
            </w:pPr>
            <w:r>
              <w:rPr>
                <w:color w:val="3B5AA4"/>
              </w:rPr>
              <w:t>Option</w:t>
              <w:br/>
              <w:t>expiration</w:t>
              <w:br/>
              <w:t>date</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800" w:type="dxa"/>
            <w:tcBorders>
              <w:bottom w:val="single" w:sz="2" w:space="0" w:color="CCCCCC"/>
            </w:tcBorders>
            <w:vAlign w:val="center"/>
          </w:tcPr>
          <w:p>
            <w:pPr>
              <w:pStyle w:val="TableContents"/>
              <w:bidi w:val="0"/>
              <w:spacing w:before="0" w:after="283"/>
              <w:jc w:val="right"/>
              <w:rPr>
                <w:color w:val="3B5AA4"/>
              </w:rPr>
            </w:pPr>
            <w:r>
              <w:rPr>
                <w:color w:val="3B5AA4"/>
              </w:rPr>
              <w:t>Number of</w:t>
              <w:br/>
              <w:t>shares</w:t>
              <w:br/>
              <w:t>or units</w:t>
              <w:br/>
              <w:t>of stock</w:t>
              <w:br/>
              <w:t>that have</w:t>
              <w:br/>
              <w:t>not</w:t>
              <w:br/>
              <w:t>vested</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6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695" w:type="dxa"/>
            <w:tcBorders>
              <w:bottom w:val="single" w:sz="2" w:space="0" w:color="CCCCCC"/>
            </w:tcBorders>
            <w:vAlign w:val="center"/>
          </w:tcPr>
          <w:p>
            <w:pPr>
              <w:pStyle w:val="TableContents"/>
              <w:bidi w:val="0"/>
              <w:spacing w:before="0" w:after="283"/>
              <w:jc w:val="right"/>
              <w:rPr>
                <w:color w:val="3B5AA4"/>
              </w:rPr>
            </w:pPr>
            <w:r>
              <w:rPr>
                <w:color w:val="3B5AA4"/>
              </w:rPr>
              <w:t>Market</w:t>
              <w:br/>
              <w:t>value</w:t>
              <w:br/>
              <w:t>of shares</w:t>
              <w:br/>
              <w:t>or units</w:t>
              <w:br/>
              <w:t>of stock</w:t>
              <w:br/>
              <w:t>that have</w:t>
              <w:br/>
              <w:t>not vested</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890" w:type="dxa"/>
            <w:tcBorders>
              <w:bottom w:val="single" w:sz="2" w:space="0" w:color="CCCCCC"/>
            </w:tcBorders>
            <w:vAlign w:val="center"/>
          </w:tcPr>
          <w:p>
            <w:pPr>
              <w:pStyle w:val="TableContents"/>
              <w:bidi w:val="0"/>
              <w:spacing w:before="0" w:after="283"/>
              <w:jc w:val="right"/>
              <w:rPr>
                <w:color w:val="3B5AA4"/>
              </w:rPr>
            </w:pPr>
            <w:r>
              <w:rPr>
                <w:color w:val="3B5AA4"/>
              </w:rPr>
              <w:t>Equity</w:t>
              <w:br/>
              <w:t>incentive</w:t>
              <w:br/>
              <w:t>plan</w:t>
              <w:br/>
              <w:t>awards:</w:t>
              <w:br/>
              <w:t>number of</w:t>
              <w:br/>
              <w:t>unearned</w:t>
              <w:br/>
              <w:t>shares,</w:t>
              <w:br/>
              <w:t>units</w:t>
              <w:br/>
              <w:t>or other</w:t>
              <w:br/>
              <w:t>rights</w:t>
              <w:br/>
              <w:t>that have</w:t>
              <w:br/>
              <w:t>not vested</w:t>
              <w:br/>
              <w:t>(#)</w:t>
            </w:r>
          </w:p>
        </w:tc>
        <w:tc>
          <w:tcPr>
            <w:tcW w:w="120" w:type="dxa"/>
            <w:tcBorders>
              <w:bottom w:val="single" w:sz="2" w:space="0" w:color="CCCCCC"/>
            </w:tcBorders>
            <w:vAlign w:val="center"/>
          </w:tcPr>
          <w:p>
            <w:pPr>
              <w:pStyle w:val="TableContents"/>
              <w:bidi w:val="0"/>
              <w:spacing w:before="0" w:after="283"/>
              <w:jc w:val="left"/>
              <w:rPr>
                <w:color w:val="3B5AA4"/>
              </w:rPr>
            </w:pPr>
            <w:r>
              <w:rPr>
                <w:color w:val="3B5AA4"/>
              </w:rPr>
              <w:t> </w:t>
            </w:r>
          </w:p>
        </w:tc>
        <w:tc>
          <w:tcPr>
            <w:tcW w:w="905" w:type="dxa"/>
            <w:tcBorders>
              <w:bottom w:val="single" w:sz="2" w:space="0" w:color="CCCCCC"/>
            </w:tcBorders>
            <w:vAlign w:val="center"/>
          </w:tcPr>
          <w:p>
            <w:pPr>
              <w:pStyle w:val="TableContents"/>
              <w:bidi w:val="0"/>
              <w:spacing w:before="0" w:after="283"/>
              <w:jc w:val="right"/>
              <w:rPr>
                <w:color w:val="3B5AA4"/>
              </w:rPr>
            </w:pPr>
            <w:r>
              <w:rPr>
                <w:color w:val="3B5AA4"/>
              </w:rPr>
              <w:t>Equity</w:t>
              <w:br/>
              <w:t>incentive</w:t>
              <w:br/>
              <w:t>plan awards:</w:t>
              <w:br/>
              <w:t>market or</w:t>
              <w:br/>
              <w:t>payout value</w:t>
              <w:br/>
              <w:t>of unearned</w:t>
              <w:br/>
              <w:t>shares,</w:t>
              <w:br/>
              <w:t>units or</w:t>
              <w:br/>
              <w:t>other rights</w:t>
              <w:br/>
              <w:t>that have</w:t>
              <w:br/>
              <w:t>not vested</w:t>
              <w:br/>
              <w:t>($)</w:t>
            </w:r>
          </w:p>
        </w:tc>
      </w:tr>
      <w:tr>
        <w:trPr/>
        <w:tc>
          <w:tcPr>
            <w:tcW w:w="1040" w:type="dxa"/>
            <w:vMerge w:val="restart"/>
            <w:tcBorders>
              <w:bottom w:val="single" w:sz="2" w:space="0" w:color="CCCCCC"/>
            </w:tcBorders>
            <w:shd w:fill="EBEBEC" w:val="clear"/>
            <w:vAlign w:val="center"/>
          </w:tcPr>
          <w:p>
            <w:pPr>
              <w:pStyle w:val="TableContents"/>
              <w:bidi w:val="0"/>
              <w:spacing w:before="0" w:after="283"/>
              <w:jc w:val="left"/>
              <w:rPr>
                <w:b/>
                <w:color w:val="3B5AA4"/>
              </w:rPr>
            </w:pPr>
            <w:r>
              <w:rPr>
                <w:b/>
                <w:color w:val="3B5AA4"/>
              </w:rPr>
              <w:t>Robert E.</w:t>
              <w:br/>
              <w:t xml:space="preserve">Landry </w:t>
              <w:br/>
            </w:r>
            <w:r>
              <w:rPr>
                <w:b/>
                <w:i/>
                <w:color w:val="3B5AA4"/>
              </w:rPr>
              <w:t>(retired)</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7,112</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726.53</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12/16/2032</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040" w:type="dxa"/>
            <w:vMerge w:val="continue"/>
            <w:tcBorders>
              <w:bottom w:val="single" w:sz="2" w:space="0" w:color="CCCCCC"/>
            </w:tcBorders>
            <w:shd w:fill="EBEBEC" w:val="clear"/>
            <w:vAlign w:val="center"/>
          </w:tcPr>
          <w:p>
            <w:pPr>
              <w:pStyle w:val="Normal"/>
              <w:bidi w:val="0"/>
              <w:jc w:val="left"/>
              <w:rPr/>
            </w:pPr>
            <w:r>
              <w:rPr/>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12,719</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644.54</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12/08/2031</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040" w:type="dxa"/>
            <w:vMerge w:val="continue"/>
            <w:tcBorders>
              <w:bottom w:val="single" w:sz="2" w:space="0" w:color="CCCCCC"/>
            </w:tcBorders>
            <w:shd w:fill="EBEBEC" w:val="clear"/>
            <w:vAlign w:val="center"/>
          </w:tcPr>
          <w:p>
            <w:pPr>
              <w:pStyle w:val="Normal"/>
              <w:bidi w:val="0"/>
              <w:jc w:val="left"/>
              <w:rPr/>
            </w:pPr>
            <w:r>
              <w:rPr/>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19,950</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492.00</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12/09/2030</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040" w:type="dxa"/>
            <w:vMerge w:val="continue"/>
            <w:tcBorders>
              <w:bottom w:val="single" w:sz="2" w:space="0" w:color="CCCCCC"/>
            </w:tcBorders>
            <w:shd w:fill="EBEBEC" w:val="clear"/>
            <w:vAlign w:val="center"/>
          </w:tcPr>
          <w:p>
            <w:pPr>
              <w:pStyle w:val="Normal"/>
              <w:bidi w:val="0"/>
              <w:jc w:val="left"/>
              <w:rPr/>
            </w:pPr>
            <w:r>
              <w:rPr/>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24,500</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7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372.46</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6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12/11/2029</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89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12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1040" w:type="dxa"/>
            <w:tcBorders>
              <w:bottom w:val="single" w:sz="12" w:space="0" w:color="3B5AA4"/>
            </w:tcBorders>
            <w:shd w:fill="EBEBEC" w:val="clear"/>
            <w:vAlign w:val="center"/>
          </w:tcPr>
          <w:p>
            <w:pPr>
              <w:pStyle w:val="TableContents"/>
              <w:bidi w:val="0"/>
              <w:spacing w:before="0" w:after="283"/>
              <w:jc w:val="right"/>
              <w:rPr>
                <w:b/>
                <w:color w:val="231F20"/>
              </w:rPr>
            </w:pPr>
            <w:r>
              <w:rPr>
                <w:b/>
                <w:color w:val="231F20"/>
              </w:rPr>
              <w:t>TOTAL</w:t>
            </w:r>
          </w:p>
        </w:tc>
        <w:tc>
          <w:tcPr>
            <w:tcW w:w="120" w:type="dxa"/>
            <w:tcBorders>
              <w:bottom w:val="single" w:sz="12" w:space="0" w:color="3B5AA4"/>
            </w:tcBorders>
            <w:shd w:fill="EBEBEC" w:val="clear"/>
            <w:vAlign w:val="center"/>
          </w:tcPr>
          <w:p>
            <w:pPr>
              <w:pStyle w:val="TableContents"/>
              <w:bidi w:val="0"/>
              <w:spacing w:before="0" w:after="283"/>
              <w:jc w:val="left"/>
              <w:rPr>
                <w:color w:val="231F20"/>
              </w:rPr>
            </w:pPr>
            <w:r>
              <w:rPr>
                <w:color w:val="231F20"/>
              </w:rPr>
              <w:t> </w:t>
            </w:r>
          </w:p>
        </w:tc>
        <w:tc>
          <w:tcPr>
            <w:tcW w:w="1145" w:type="dxa"/>
            <w:tcBorders>
              <w:bottom w:val="single" w:sz="12" w:space="0" w:color="3B5AA4"/>
            </w:tcBorders>
            <w:shd w:fill="EBEBEC" w:val="clear"/>
            <w:vAlign w:val="center"/>
          </w:tcPr>
          <w:p>
            <w:pPr>
              <w:pStyle w:val="TableContents"/>
              <w:bidi w:val="0"/>
              <w:spacing w:before="0" w:after="283"/>
              <w:jc w:val="right"/>
              <w:rPr>
                <w:b/>
                <w:color w:val="231F20"/>
              </w:rPr>
            </w:pPr>
            <w:r>
              <w:rPr>
                <w:b/>
                <w:color w:val="231F20"/>
              </w:rPr>
              <w:t>64,281</w:t>
            </w:r>
          </w:p>
        </w:tc>
        <w:tc>
          <w:tcPr>
            <w:tcW w:w="120" w:type="dxa"/>
            <w:tcBorders>
              <w:bottom w:val="single" w:sz="12" w:space="0" w:color="3B5AA4"/>
            </w:tcBorders>
            <w:shd w:fill="EBEBEC" w:val="clear"/>
            <w:vAlign w:val="center"/>
          </w:tcPr>
          <w:p>
            <w:pPr>
              <w:pStyle w:val="TableContents"/>
              <w:bidi w:val="0"/>
              <w:spacing w:before="0" w:after="283"/>
              <w:jc w:val="left"/>
              <w:rPr/>
            </w:pPr>
            <w:r>
              <w:rPr/>
              <w:t> </w:t>
            </w:r>
          </w:p>
        </w:tc>
        <w:tc>
          <w:tcPr>
            <w:tcW w:w="1310" w:type="dxa"/>
            <w:tcBorders>
              <w:bottom w:val="single" w:sz="12" w:space="0" w:color="3B5AA4"/>
            </w:tcBorders>
            <w:shd w:fill="EBEBEC" w:val="clear"/>
            <w:vAlign w:val="center"/>
          </w:tcPr>
          <w:p>
            <w:pPr>
              <w:pStyle w:val="TableContents"/>
              <w:bidi w:val="0"/>
              <w:spacing w:before="0" w:after="283"/>
              <w:jc w:val="left"/>
              <w:rPr/>
            </w:pPr>
            <w:r>
              <w:rPr/>
              <w:t> </w:t>
            </w:r>
          </w:p>
        </w:tc>
        <w:tc>
          <w:tcPr>
            <w:tcW w:w="60" w:type="dxa"/>
            <w:tcBorders>
              <w:bottom w:val="single" w:sz="12" w:space="0" w:color="3B5AA4"/>
            </w:tcBorders>
            <w:shd w:fill="EBEBEC" w:val="clear"/>
            <w:vAlign w:val="center"/>
          </w:tcPr>
          <w:p>
            <w:pPr>
              <w:pStyle w:val="TableContents"/>
              <w:bidi w:val="0"/>
              <w:spacing w:before="0" w:after="283"/>
              <w:jc w:val="left"/>
              <w:rPr/>
            </w:pPr>
            <w:r>
              <w:rPr/>
              <w:t> </w:t>
            </w:r>
          </w:p>
        </w:tc>
        <w:tc>
          <w:tcPr>
            <w:tcW w:w="120" w:type="dxa"/>
            <w:tcBorders>
              <w:bottom w:val="single" w:sz="12" w:space="0" w:color="3B5AA4"/>
            </w:tcBorders>
            <w:shd w:fill="EBEBEC" w:val="clear"/>
            <w:vAlign w:val="center"/>
          </w:tcPr>
          <w:p>
            <w:pPr>
              <w:pStyle w:val="TableContents"/>
              <w:bidi w:val="0"/>
              <w:spacing w:before="0" w:after="283"/>
              <w:jc w:val="left"/>
              <w:rPr/>
            </w:pPr>
            <w:r>
              <w:rPr/>
              <w:t> </w:t>
            </w:r>
          </w:p>
        </w:tc>
        <w:tc>
          <w:tcPr>
            <w:tcW w:w="1145" w:type="dxa"/>
            <w:tcBorders>
              <w:bottom w:val="single" w:sz="12" w:space="0" w:color="3B5AA4"/>
            </w:tcBorders>
            <w:shd w:fill="EBEBEC" w:val="clear"/>
            <w:vAlign w:val="center"/>
          </w:tcPr>
          <w:p>
            <w:pPr>
              <w:pStyle w:val="TableContents"/>
              <w:bidi w:val="0"/>
              <w:spacing w:before="0" w:after="283"/>
              <w:jc w:val="left"/>
              <w:rPr/>
            </w:pPr>
            <w:r>
              <w:rPr/>
              <w:t> </w:t>
            </w:r>
          </w:p>
        </w:tc>
        <w:tc>
          <w:tcPr>
            <w:tcW w:w="120" w:type="dxa"/>
            <w:tcBorders>
              <w:bottom w:val="single" w:sz="12" w:space="0" w:color="3B5AA4"/>
            </w:tcBorders>
            <w:shd w:fill="EBEBEC" w:val="clear"/>
            <w:vAlign w:val="center"/>
          </w:tcPr>
          <w:p>
            <w:pPr>
              <w:pStyle w:val="TableContents"/>
              <w:bidi w:val="0"/>
              <w:spacing w:before="0" w:after="283"/>
              <w:jc w:val="left"/>
              <w:rPr/>
            </w:pPr>
            <w:r>
              <w:rPr/>
              <w:t> </w:t>
            </w:r>
          </w:p>
        </w:tc>
        <w:tc>
          <w:tcPr>
            <w:tcW w:w="785" w:type="dxa"/>
            <w:tcBorders>
              <w:bottom w:val="single" w:sz="12" w:space="0" w:color="3B5AA4"/>
            </w:tcBorders>
            <w:shd w:fill="EBEBEC" w:val="clear"/>
            <w:vAlign w:val="center"/>
          </w:tcPr>
          <w:p>
            <w:pPr>
              <w:pStyle w:val="TableContents"/>
              <w:bidi w:val="0"/>
              <w:spacing w:before="0" w:after="283"/>
              <w:jc w:val="left"/>
              <w:rPr/>
            </w:pPr>
            <w:r>
              <w:rPr/>
              <w:t> </w:t>
            </w:r>
          </w:p>
        </w:tc>
        <w:tc>
          <w:tcPr>
            <w:tcW w:w="120" w:type="dxa"/>
            <w:tcBorders>
              <w:bottom w:val="single" w:sz="12" w:space="0" w:color="3B5AA4"/>
            </w:tcBorders>
            <w:shd w:fill="EBEBEC" w:val="clear"/>
            <w:vAlign w:val="center"/>
          </w:tcPr>
          <w:p>
            <w:pPr>
              <w:pStyle w:val="TableContents"/>
              <w:bidi w:val="0"/>
              <w:spacing w:before="0" w:after="283"/>
              <w:jc w:val="left"/>
              <w:rPr/>
            </w:pPr>
            <w:r>
              <w:rPr/>
              <w:t> </w:t>
            </w:r>
          </w:p>
        </w:tc>
        <w:tc>
          <w:tcPr>
            <w:tcW w:w="965" w:type="dxa"/>
            <w:tcBorders>
              <w:bottom w:val="single" w:sz="12" w:space="0" w:color="3B5AA4"/>
            </w:tcBorders>
            <w:shd w:fill="EBEBEC" w:val="clear"/>
            <w:vAlign w:val="center"/>
          </w:tcPr>
          <w:p>
            <w:pPr>
              <w:pStyle w:val="TableContents"/>
              <w:bidi w:val="0"/>
              <w:spacing w:before="0" w:after="283"/>
              <w:jc w:val="left"/>
              <w:rPr/>
            </w:pPr>
            <w:r>
              <w:rPr/>
              <w:t> </w:t>
            </w:r>
          </w:p>
        </w:tc>
        <w:tc>
          <w:tcPr>
            <w:tcW w:w="120" w:type="dxa"/>
            <w:tcBorders>
              <w:bottom w:val="single" w:sz="12" w:space="0" w:color="3B59A4"/>
            </w:tcBorders>
            <w:shd w:fill="EBEBEC" w:val="clear"/>
            <w:vAlign w:val="center"/>
          </w:tcPr>
          <w:p>
            <w:pPr>
              <w:pStyle w:val="TableContents"/>
              <w:bidi w:val="0"/>
              <w:spacing w:before="0" w:after="283"/>
              <w:jc w:val="left"/>
              <w:rPr/>
            </w:pPr>
            <w:r>
              <w:rPr/>
              <w:t> </w:t>
            </w:r>
          </w:p>
        </w:tc>
        <w:tc>
          <w:tcPr>
            <w:tcW w:w="800" w:type="dxa"/>
            <w:tcBorders>
              <w:bottom w:val="single" w:sz="12" w:space="0" w:color="3B5AA4"/>
            </w:tcBorders>
            <w:shd w:fill="EBEBEC" w:val="clear"/>
            <w:vAlign w:val="center"/>
          </w:tcPr>
          <w:p>
            <w:pPr>
              <w:pStyle w:val="TableContents"/>
              <w:bidi w:val="0"/>
              <w:spacing w:before="0" w:after="283"/>
              <w:jc w:val="left"/>
              <w:rPr/>
            </w:pPr>
            <w:r>
              <w:rPr/>
              <w:t> </w:t>
            </w:r>
          </w:p>
        </w:tc>
        <w:tc>
          <w:tcPr>
            <w:tcW w:w="120" w:type="dxa"/>
            <w:tcBorders>
              <w:bottom w:val="single" w:sz="12" w:space="0" w:color="3B5AA4"/>
            </w:tcBorders>
            <w:shd w:fill="EBEBEC" w:val="clear"/>
            <w:vAlign w:val="center"/>
          </w:tcPr>
          <w:p>
            <w:pPr>
              <w:pStyle w:val="TableContents"/>
              <w:bidi w:val="0"/>
              <w:spacing w:before="0" w:after="283"/>
              <w:jc w:val="left"/>
              <w:rPr/>
            </w:pPr>
            <w:r>
              <w:rPr/>
              <w:t> </w:t>
            </w:r>
          </w:p>
        </w:tc>
        <w:tc>
          <w:tcPr>
            <w:tcW w:w="120" w:type="dxa"/>
            <w:tcBorders>
              <w:bottom w:val="single" w:sz="12" w:space="0" w:color="3B5AA4"/>
            </w:tcBorders>
            <w:shd w:fill="EBEBEC" w:val="clear"/>
            <w:vAlign w:val="center"/>
          </w:tcPr>
          <w:p>
            <w:pPr>
              <w:pStyle w:val="TableContents"/>
              <w:bidi w:val="0"/>
              <w:spacing w:before="0" w:after="283"/>
              <w:jc w:val="left"/>
              <w:rPr/>
            </w:pPr>
            <w:r>
              <w:rPr/>
              <w:t> </w:t>
            </w:r>
          </w:p>
        </w:tc>
        <w:tc>
          <w:tcPr>
            <w:tcW w:w="60" w:type="dxa"/>
            <w:tcBorders>
              <w:bottom w:val="single" w:sz="12" w:space="0" w:color="3B5AA4"/>
            </w:tcBorders>
            <w:shd w:fill="EBEBEC" w:val="clear"/>
            <w:vAlign w:val="center"/>
          </w:tcPr>
          <w:p>
            <w:pPr>
              <w:pStyle w:val="TableContents"/>
              <w:bidi w:val="0"/>
              <w:spacing w:before="0" w:after="283"/>
              <w:jc w:val="left"/>
              <w:rPr/>
            </w:pPr>
            <w:r>
              <w:rPr/>
              <w:t> </w:t>
            </w:r>
          </w:p>
        </w:tc>
        <w:tc>
          <w:tcPr>
            <w:tcW w:w="695" w:type="dxa"/>
            <w:tcBorders>
              <w:bottom w:val="single" w:sz="12" w:space="0" w:color="3B5AA4"/>
            </w:tcBorders>
            <w:shd w:fill="EBEBEC" w:val="clear"/>
            <w:vAlign w:val="center"/>
          </w:tcPr>
          <w:p>
            <w:pPr>
              <w:pStyle w:val="TableContents"/>
              <w:bidi w:val="0"/>
              <w:spacing w:before="0" w:after="283"/>
              <w:jc w:val="left"/>
              <w:rPr/>
            </w:pPr>
            <w:r>
              <w:rPr/>
              <w:t> </w:t>
            </w:r>
          </w:p>
        </w:tc>
        <w:tc>
          <w:tcPr>
            <w:tcW w:w="120" w:type="dxa"/>
            <w:tcBorders>
              <w:bottom w:val="single" w:sz="12" w:space="0" w:color="3B5AA4"/>
            </w:tcBorders>
            <w:shd w:fill="EBEBEC" w:val="clear"/>
            <w:vAlign w:val="center"/>
          </w:tcPr>
          <w:p>
            <w:pPr>
              <w:pStyle w:val="TableContents"/>
              <w:bidi w:val="0"/>
              <w:spacing w:before="0" w:after="283"/>
              <w:jc w:val="left"/>
              <w:rPr/>
            </w:pPr>
            <w:r>
              <w:rPr/>
              <w:t> </w:t>
            </w:r>
          </w:p>
        </w:tc>
        <w:tc>
          <w:tcPr>
            <w:tcW w:w="120" w:type="dxa"/>
            <w:tcBorders>
              <w:bottom w:val="single" w:sz="12" w:space="0" w:color="3B5AA4"/>
            </w:tcBorders>
            <w:shd w:fill="EBEBEC" w:val="clear"/>
            <w:vAlign w:val="center"/>
          </w:tcPr>
          <w:p>
            <w:pPr>
              <w:pStyle w:val="TableContents"/>
              <w:bidi w:val="0"/>
              <w:spacing w:before="0" w:after="283"/>
              <w:jc w:val="left"/>
              <w:rPr/>
            </w:pPr>
            <w:r>
              <w:rPr/>
              <w:t> </w:t>
            </w:r>
          </w:p>
        </w:tc>
        <w:tc>
          <w:tcPr>
            <w:tcW w:w="890" w:type="dxa"/>
            <w:tcBorders>
              <w:bottom w:val="single" w:sz="12" w:space="0" w:color="3B5AA4"/>
            </w:tcBorders>
            <w:shd w:fill="EBEBEC" w:val="clear"/>
            <w:vAlign w:val="center"/>
          </w:tcPr>
          <w:p>
            <w:pPr>
              <w:pStyle w:val="TableContents"/>
              <w:bidi w:val="0"/>
              <w:spacing w:before="0" w:after="283"/>
              <w:jc w:val="left"/>
              <w:rPr/>
            </w:pPr>
            <w:r>
              <w:rPr/>
              <w:t> </w:t>
            </w:r>
          </w:p>
        </w:tc>
        <w:tc>
          <w:tcPr>
            <w:tcW w:w="120" w:type="dxa"/>
            <w:tcBorders>
              <w:bottom w:val="single" w:sz="12" w:space="0" w:color="3B5AA4"/>
            </w:tcBorders>
            <w:shd w:fill="EBEBEC" w:val="clear"/>
            <w:vAlign w:val="center"/>
          </w:tcPr>
          <w:p>
            <w:pPr>
              <w:pStyle w:val="TableContents"/>
              <w:bidi w:val="0"/>
              <w:spacing w:before="0" w:after="283"/>
              <w:jc w:val="left"/>
              <w:rPr/>
            </w:pPr>
            <w:r>
              <w:rPr/>
              <w:t> </w:t>
            </w:r>
          </w:p>
        </w:tc>
        <w:tc>
          <w:tcPr>
            <w:tcW w:w="905" w:type="dxa"/>
            <w:tcBorders>
              <w:bottom w:val="single" w:sz="12" w:space="0" w:color="3B5AA4"/>
            </w:tcBorders>
            <w:shd w:fill="EBEBEC" w:val="cle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9960" w:type="dxa"/>
            <w:tcBorders/>
            <w:vAlign w:val="center"/>
          </w:tcPr>
          <w:p>
            <w:pPr>
              <w:pStyle w:val="TableContents"/>
              <w:bidi w:val="0"/>
              <w:spacing w:before="0" w:after="283"/>
              <w:jc w:val="left"/>
              <w:rPr>
                <w:color w:val="231F20"/>
              </w:rPr>
            </w:pPr>
            <w:r>
              <w:rPr>
                <w:color w:val="231F20"/>
              </w:rPr>
              <w:t>This PSU award was granted to the NEO on December 31, 2020 and has a five-year performance period from the date of grant. The number of PSUs shown in this table reflects the maximum level of payout, which was earned pursuant to the terms of underlying award agreement in 2024.</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9960" w:type="dxa"/>
            <w:tcBorders/>
            <w:vAlign w:val="center"/>
          </w:tcPr>
          <w:p>
            <w:pPr>
              <w:pStyle w:val="TableContents"/>
              <w:bidi w:val="0"/>
              <w:spacing w:before="0" w:after="283"/>
              <w:jc w:val="left"/>
              <w:rPr>
                <w:color w:val="231F20"/>
              </w:rPr>
            </w:pPr>
            <w:r>
              <w:rPr>
                <w:color w:val="231F20"/>
              </w:rPr>
              <w:t>Reflects the closing price of $712.33 per share of the Company’s common stock on the Nasdaq Global Select Market on December 31, 2024.</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9960" w:type="dxa"/>
            <w:tcBorders/>
            <w:vAlign w:val="center"/>
          </w:tcPr>
          <w:p>
            <w:pPr>
              <w:pStyle w:val="TableContents"/>
              <w:bidi w:val="0"/>
              <w:spacing w:before="0" w:after="283"/>
              <w:jc w:val="left"/>
              <w:rPr>
                <w:color w:val="231F20"/>
              </w:rPr>
            </w:pPr>
            <w:r>
              <w:rPr>
                <w:color w:val="231F20"/>
              </w:rPr>
              <w:t>This stock option award was granted to the NEO on December 6, 2024 and vests at a rate of 25% per year over the first four years of the option term.</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9960" w:type="dxa"/>
            <w:tcBorders/>
            <w:vAlign w:val="center"/>
          </w:tcPr>
          <w:p>
            <w:pPr>
              <w:pStyle w:val="TableContents"/>
              <w:bidi w:val="0"/>
              <w:spacing w:before="0" w:after="283"/>
              <w:jc w:val="left"/>
              <w:rPr>
                <w:color w:val="231F20"/>
              </w:rPr>
            </w:pPr>
            <w:r>
              <w:rPr>
                <w:color w:val="231F20"/>
              </w:rPr>
              <w:t>This stock option award was granted to the NEO on December 8, 2023 and vests at a rate of 25% per year over the first four years of the option term.</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9960" w:type="dxa"/>
            <w:tcBorders/>
            <w:vAlign w:val="center"/>
          </w:tcPr>
          <w:p>
            <w:pPr>
              <w:pStyle w:val="TableContents"/>
              <w:bidi w:val="0"/>
              <w:spacing w:before="0" w:after="283"/>
              <w:jc w:val="left"/>
              <w:rPr>
                <w:color w:val="231F20"/>
              </w:rPr>
            </w:pPr>
            <w:r>
              <w:rPr>
                <w:color w:val="231F20"/>
              </w:rPr>
              <w:t>This stock option award was granted to the NEO on December 16, 2022 and vests at a rate of 25% per year over the first four years of the option term.</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6</w:t>
            </w:r>
          </w:p>
        </w:tc>
        <w:tc>
          <w:tcPr>
            <w:tcW w:w="9960" w:type="dxa"/>
            <w:tcBorders/>
            <w:vAlign w:val="center"/>
          </w:tcPr>
          <w:p>
            <w:pPr>
              <w:pStyle w:val="TableContents"/>
              <w:bidi w:val="0"/>
              <w:spacing w:before="0" w:after="283"/>
              <w:jc w:val="left"/>
              <w:rPr>
                <w:color w:val="231F20"/>
              </w:rPr>
            </w:pPr>
            <w:r>
              <w:rPr>
                <w:color w:val="231F20"/>
              </w:rPr>
              <w:t>This stock option award was granted to the NEO on December 8, 2021 and vests at a rate of 25% per year over the first four years of the option term.</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7</w:t>
            </w:r>
          </w:p>
        </w:tc>
        <w:tc>
          <w:tcPr>
            <w:tcW w:w="9960" w:type="dxa"/>
            <w:tcBorders/>
            <w:vAlign w:val="center"/>
          </w:tcPr>
          <w:p>
            <w:pPr>
              <w:pStyle w:val="TableContents"/>
              <w:bidi w:val="0"/>
              <w:spacing w:before="0" w:after="283"/>
              <w:jc w:val="left"/>
              <w:rPr>
                <w:color w:val="231F20"/>
              </w:rPr>
            </w:pPr>
            <w:r>
              <w:rPr>
                <w:color w:val="231F20"/>
              </w:rPr>
              <w:t>This RSA was granted to the NEO on December 6, 2024 and vests 50% on the second anniversary of the date of grant and 50% on the fourth anniversary of the date of grant, subject to the NEO’s continued employment.</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8</w:t>
            </w:r>
          </w:p>
        </w:tc>
        <w:tc>
          <w:tcPr>
            <w:tcW w:w="9960" w:type="dxa"/>
            <w:tcBorders/>
            <w:vAlign w:val="center"/>
          </w:tcPr>
          <w:p>
            <w:pPr>
              <w:pStyle w:val="TableContents"/>
              <w:bidi w:val="0"/>
              <w:spacing w:before="0" w:after="283"/>
              <w:jc w:val="left"/>
              <w:rPr>
                <w:color w:val="231F20"/>
              </w:rPr>
            </w:pPr>
            <w:r>
              <w:rPr>
                <w:color w:val="231F20"/>
              </w:rPr>
              <w:t>This RSA was granted to the NEO on December 8, 2023 and vests 50% on the second anniversary of the date of grant and 50% on the fourth anniversary of the date of grant, subject to the NEO’s continued employment.</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9</w:t>
            </w:r>
          </w:p>
        </w:tc>
        <w:tc>
          <w:tcPr>
            <w:tcW w:w="9960" w:type="dxa"/>
            <w:tcBorders/>
            <w:vAlign w:val="center"/>
          </w:tcPr>
          <w:p>
            <w:pPr>
              <w:pStyle w:val="TableContents"/>
              <w:bidi w:val="0"/>
              <w:spacing w:before="0" w:after="283"/>
              <w:jc w:val="left"/>
              <w:rPr>
                <w:color w:val="231F20"/>
              </w:rPr>
            </w:pPr>
            <w:r>
              <w:rPr>
                <w:color w:val="231F20"/>
              </w:rPr>
              <w:t>This RSA was granted to the NEO on December 16, 2022 and vests 50% on the second anniversary of the date of grant and 50% on the fourth anniversary of the date of grant, subject to the NEO’s continued employment.</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10</w:t>
            </w:r>
          </w:p>
        </w:tc>
        <w:tc>
          <w:tcPr>
            <w:tcW w:w="9960" w:type="dxa"/>
            <w:tcBorders/>
            <w:vAlign w:val="center"/>
          </w:tcPr>
          <w:p>
            <w:pPr>
              <w:pStyle w:val="TableContents"/>
              <w:bidi w:val="0"/>
              <w:spacing w:before="0" w:after="283"/>
              <w:jc w:val="left"/>
              <w:rPr>
                <w:color w:val="231F20"/>
              </w:rPr>
            </w:pPr>
            <w:r>
              <w:rPr>
                <w:color w:val="231F20"/>
              </w:rPr>
              <w:t>This RSA was granted to the NEO on December 8, 2021 and vests 50% on the second anniversary of the date of grant and 50% on the fourth anniversary of the date of grant, subject to the NEO’s continued employment.</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11</w:t>
            </w:r>
          </w:p>
        </w:tc>
        <w:tc>
          <w:tcPr>
            <w:tcW w:w="9960" w:type="dxa"/>
            <w:tcBorders/>
            <w:vAlign w:val="center"/>
          </w:tcPr>
          <w:p>
            <w:pPr>
              <w:pStyle w:val="TableContents"/>
              <w:bidi w:val="0"/>
              <w:spacing w:before="0" w:after="283"/>
              <w:jc w:val="left"/>
              <w:rPr>
                <w:color w:val="231F20"/>
              </w:rPr>
            </w:pPr>
            <w:r>
              <w:rPr>
                <w:color w:val="231F20"/>
              </w:rPr>
              <w:t>This RSA was granted to the NEO on December 9, 2020 and vests 100% on the fifth anniversary of the date of grant, subject to the NEO’s continued employment.</w:t>
            </w:r>
          </w:p>
        </w:tc>
      </w:tr>
    </w:tbl>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34" w:name="regn013211-def14aa079"/>
      <w:bookmarkStart w:id="135" w:name="lregnb031"/>
      <w:bookmarkEnd w:id="134"/>
      <w:bookmarkEnd w:id="135"/>
      <w:r>
        <w:rPr>
          <w:rFonts w:ascii="Arial;Helvetica;Sans-Serif" w:hAnsi="Arial;Helvetica;Sans-Serif"/>
          <w:b/>
          <w:i w:val="false"/>
          <w:caps w:val="false"/>
          <w:smallCaps w:val="false"/>
          <w:color w:val="C60C45"/>
          <w:sz w:val="28"/>
        </w:rPr>
        <w:t>2024 Option Exercises and Stock Vested</w:t>
      </w:r>
    </w:p>
    <w:p>
      <w:pPr>
        <w:pStyle w:val="TextBody"/>
        <w:bidi w:val="0"/>
        <w:spacing w:before="0" w:after="0"/>
        <w:ind w:left="0" w:right="0" w:hanging="0"/>
        <w:jc w:val="left"/>
        <w:rPr>
          <w:caps w:val="false"/>
          <w:smallCaps w:val="false"/>
          <w:color w:val="DB0A67"/>
        </w:rPr>
      </w:pPr>
      <w:r>
        <w:rPr>
          <w:caps w:val="false"/>
          <w:smallCaps w:val="false"/>
          <w:color w:val="DB0A67"/>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and explanatory footnotes provide information with regard to amounts realized by our NEOs during 2024 as a result of the exercise of stock options or the vesting of RSAs.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9220" w:type="dxa"/>
        <w:jc w:val="left"/>
        <w:tblInd w:w="0" w:type="dxa"/>
        <w:tblLayout w:type="fixed"/>
        <w:tblCellMar>
          <w:top w:w="0" w:type="dxa"/>
          <w:left w:w="0" w:type="dxa"/>
          <w:bottom w:w="28" w:type="dxa"/>
          <w:right w:w="0" w:type="dxa"/>
        </w:tblCellMar>
      </w:tblPr>
      <w:tblGrid>
        <w:gridCol w:w="3800"/>
        <w:gridCol w:w="60"/>
        <w:gridCol w:w="1475"/>
        <w:gridCol w:w="60"/>
        <w:gridCol w:w="1220"/>
        <w:gridCol w:w="60"/>
        <w:gridCol w:w="1475"/>
        <w:gridCol w:w="60"/>
        <w:gridCol w:w="1010"/>
      </w:tblGrid>
      <w:tr>
        <w:trPr/>
        <w:tc>
          <w:tcPr>
            <w:tcW w:w="3800" w:type="dxa"/>
            <w:tcBorders>
              <w:bottom w:val="single" w:sz="12" w:space="0" w:color="325AA4"/>
            </w:tcBorders>
            <w:vAlign w:val="center"/>
          </w:tcPr>
          <w:p>
            <w:pPr>
              <w:pStyle w:val="TableContents"/>
              <w:bidi w:val="0"/>
              <w:spacing w:before="0" w:after="283"/>
              <w:jc w:val="center"/>
              <w:rPr>
                <w:color w:val="3B5AA4"/>
              </w:rPr>
            </w:pPr>
            <w:r>
              <w:rPr>
                <w:color w:val="3B5AA4"/>
              </w:rPr>
              <w:t>A</w:t>
            </w:r>
          </w:p>
        </w:tc>
        <w:tc>
          <w:tcPr>
            <w:tcW w:w="60" w:type="dxa"/>
            <w:tcBorders>
              <w:bottom w:val="single" w:sz="12" w:space="0" w:color="325AA4"/>
            </w:tcBorders>
            <w:vAlign w:val="center"/>
          </w:tcPr>
          <w:p>
            <w:pPr>
              <w:pStyle w:val="TableContents"/>
              <w:bidi w:val="0"/>
              <w:spacing w:before="0" w:after="283"/>
              <w:jc w:val="center"/>
              <w:rPr>
                <w:color w:val="3B5AA4"/>
              </w:rPr>
            </w:pPr>
            <w:r>
              <w:rPr>
                <w:color w:val="3B5AA4"/>
              </w:rPr>
              <w:t> </w:t>
            </w:r>
          </w:p>
        </w:tc>
        <w:tc>
          <w:tcPr>
            <w:tcW w:w="1475" w:type="dxa"/>
            <w:tcBorders>
              <w:bottom w:val="single" w:sz="12" w:space="0" w:color="325AA4"/>
            </w:tcBorders>
            <w:vAlign w:val="center"/>
          </w:tcPr>
          <w:p>
            <w:pPr>
              <w:pStyle w:val="TableContents"/>
              <w:bidi w:val="0"/>
              <w:spacing w:before="0" w:after="283"/>
              <w:jc w:val="center"/>
              <w:rPr>
                <w:color w:val="3B5AA4"/>
              </w:rPr>
            </w:pPr>
            <w:r>
              <w:rPr>
                <w:color w:val="3B5AA4"/>
              </w:rPr>
              <w:t>B</w:t>
            </w:r>
          </w:p>
        </w:tc>
        <w:tc>
          <w:tcPr>
            <w:tcW w:w="60" w:type="dxa"/>
            <w:tcBorders>
              <w:bottom w:val="single" w:sz="12" w:space="0" w:color="325AA4"/>
            </w:tcBorders>
            <w:vAlign w:val="center"/>
          </w:tcPr>
          <w:p>
            <w:pPr>
              <w:pStyle w:val="TableContents"/>
              <w:bidi w:val="0"/>
              <w:spacing w:before="0" w:after="283"/>
              <w:jc w:val="center"/>
              <w:rPr>
                <w:color w:val="3B5AA4"/>
              </w:rPr>
            </w:pPr>
            <w:r>
              <w:rPr>
                <w:color w:val="3B5AA4"/>
              </w:rPr>
              <w:t> </w:t>
            </w:r>
          </w:p>
        </w:tc>
        <w:tc>
          <w:tcPr>
            <w:tcW w:w="1220" w:type="dxa"/>
            <w:tcBorders>
              <w:bottom w:val="single" w:sz="12" w:space="0" w:color="325AA4"/>
            </w:tcBorders>
            <w:vAlign w:val="center"/>
          </w:tcPr>
          <w:p>
            <w:pPr>
              <w:pStyle w:val="TableContents"/>
              <w:bidi w:val="0"/>
              <w:spacing w:before="0" w:after="283"/>
              <w:jc w:val="center"/>
              <w:rPr>
                <w:color w:val="3B5AA4"/>
              </w:rPr>
            </w:pPr>
            <w:r>
              <w:rPr>
                <w:color w:val="3B5AA4"/>
              </w:rPr>
              <w:t>C</w:t>
            </w:r>
          </w:p>
        </w:tc>
        <w:tc>
          <w:tcPr>
            <w:tcW w:w="60" w:type="dxa"/>
            <w:tcBorders>
              <w:bottom w:val="single" w:sz="12" w:space="0" w:color="325AA4"/>
            </w:tcBorders>
            <w:vAlign w:val="center"/>
          </w:tcPr>
          <w:p>
            <w:pPr>
              <w:pStyle w:val="TableContents"/>
              <w:bidi w:val="0"/>
              <w:spacing w:before="0" w:after="283"/>
              <w:jc w:val="center"/>
              <w:rPr>
                <w:color w:val="3B5AA4"/>
              </w:rPr>
            </w:pPr>
            <w:r>
              <w:rPr>
                <w:color w:val="3B5AA4"/>
              </w:rPr>
              <w:t> </w:t>
            </w:r>
          </w:p>
        </w:tc>
        <w:tc>
          <w:tcPr>
            <w:tcW w:w="1475" w:type="dxa"/>
            <w:tcBorders>
              <w:bottom w:val="single" w:sz="12" w:space="0" w:color="325AA4"/>
            </w:tcBorders>
            <w:vAlign w:val="center"/>
          </w:tcPr>
          <w:p>
            <w:pPr>
              <w:pStyle w:val="TableContents"/>
              <w:bidi w:val="0"/>
              <w:spacing w:before="0" w:after="283"/>
              <w:jc w:val="center"/>
              <w:rPr>
                <w:color w:val="3B5AA4"/>
              </w:rPr>
            </w:pPr>
            <w:r>
              <w:rPr>
                <w:color w:val="3B5AA4"/>
              </w:rPr>
              <w:t>D</w:t>
            </w:r>
          </w:p>
        </w:tc>
        <w:tc>
          <w:tcPr>
            <w:tcW w:w="60" w:type="dxa"/>
            <w:tcBorders>
              <w:bottom w:val="single" w:sz="12" w:space="0" w:color="325AA4"/>
            </w:tcBorders>
            <w:vAlign w:val="center"/>
          </w:tcPr>
          <w:p>
            <w:pPr>
              <w:pStyle w:val="TableContents"/>
              <w:bidi w:val="0"/>
              <w:spacing w:before="0" w:after="283"/>
              <w:jc w:val="center"/>
              <w:rPr>
                <w:color w:val="3B5AA4"/>
              </w:rPr>
            </w:pPr>
            <w:r>
              <w:rPr>
                <w:color w:val="3B5AA4"/>
              </w:rPr>
              <w:t> </w:t>
            </w:r>
          </w:p>
        </w:tc>
        <w:tc>
          <w:tcPr>
            <w:tcW w:w="1010" w:type="dxa"/>
            <w:tcBorders>
              <w:bottom w:val="single" w:sz="12" w:space="0" w:color="325AA4"/>
            </w:tcBorders>
            <w:vAlign w:val="center"/>
          </w:tcPr>
          <w:p>
            <w:pPr>
              <w:pStyle w:val="TableContents"/>
              <w:bidi w:val="0"/>
              <w:spacing w:before="0" w:after="283"/>
              <w:jc w:val="center"/>
              <w:rPr>
                <w:color w:val="3B5AA4"/>
              </w:rPr>
            </w:pPr>
            <w:r>
              <w:rPr>
                <w:color w:val="3B5AA4"/>
              </w:rPr>
              <w:t>E</w:t>
            </w:r>
          </w:p>
        </w:tc>
      </w:tr>
      <w:tr>
        <w:trPr/>
        <w:tc>
          <w:tcPr>
            <w:tcW w:w="38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olor w:val="3B5AA4"/>
              </w:rPr>
            </w:pPr>
            <w:r>
              <w:rPr>
                <w:color w:val="3B5AA4"/>
              </w:rPr>
              <w:t> </w:t>
            </w:r>
          </w:p>
        </w:tc>
        <w:tc>
          <w:tcPr>
            <w:tcW w:w="2755" w:type="dxa"/>
            <w:gridSpan w:val="3"/>
            <w:tcBorders>
              <w:bottom w:val="single" w:sz="12" w:space="0" w:color="325AA4"/>
            </w:tcBorders>
            <w:vAlign w:val="center"/>
          </w:tcPr>
          <w:p>
            <w:pPr>
              <w:pStyle w:val="TableContents"/>
              <w:bidi w:val="0"/>
              <w:spacing w:before="0" w:after="283"/>
              <w:jc w:val="center"/>
              <w:rPr>
                <w:color w:val="3B5AA4"/>
              </w:rPr>
            </w:pPr>
            <w:r>
              <w:rPr>
                <w:color w:val="3B5AA4"/>
              </w:rPr>
              <w:t>Option awards</w:t>
            </w:r>
          </w:p>
        </w:tc>
        <w:tc>
          <w:tcPr>
            <w:tcW w:w="60" w:type="dxa"/>
            <w:tcBorders/>
            <w:tcMar>
              <w:bottom w:w="0" w:type="dxa"/>
            </w:tcMar>
            <w:vAlign w:val="center"/>
          </w:tcPr>
          <w:p>
            <w:pPr>
              <w:pStyle w:val="TableContents"/>
              <w:bidi w:val="0"/>
              <w:spacing w:before="0" w:after="283"/>
              <w:jc w:val="left"/>
              <w:rPr/>
            </w:pPr>
            <w:r>
              <w:rPr/>
              <w:t> </w:t>
            </w:r>
          </w:p>
        </w:tc>
        <w:tc>
          <w:tcPr>
            <w:tcW w:w="2545" w:type="dxa"/>
            <w:gridSpan w:val="3"/>
            <w:tcBorders>
              <w:bottom w:val="single" w:sz="12" w:space="0" w:color="325AA4"/>
            </w:tcBorders>
            <w:vAlign w:val="center"/>
          </w:tcPr>
          <w:p>
            <w:pPr>
              <w:pStyle w:val="TableContents"/>
              <w:bidi w:val="0"/>
              <w:spacing w:before="0" w:after="283"/>
              <w:jc w:val="center"/>
              <w:rPr>
                <w:color w:val="2763AF"/>
              </w:rPr>
            </w:pPr>
            <w:r>
              <w:rPr>
                <w:color w:val="2763AF"/>
              </w:rPr>
              <w:t>Stock awards</w:t>
            </w:r>
          </w:p>
        </w:tc>
      </w:tr>
      <w:tr>
        <w:trPr/>
        <w:tc>
          <w:tcPr>
            <w:tcW w:w="3800" w:type="dxa"/>
            <w:tcBorders>
              <w:bottom w:val="single" w:sz="12" w:space="0" w:color="325AA4"/>
            </w:tcBorders>
            <w:vAlign w:val="center"/>
          </w:tcPr>
          <w:p>
            <w:pPr>
              <w:pStyle w:val="TableContents"/>
              <w:bidi w:val="0"/>
              <w:spacing w:before="0" w:after="283"/>
              <w:jc w:val="left"/>
              <w:rPr>
                <w:color w:val="3B5AA4"/>
              </w:rPr>
            </w:pPr>
            <w:r>
              <w:rPr>
                <w:color w:val="3B5AA4"/>
              </w:rPr>
              <w:t>Name</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475" w:type="dxa"/>
            <w:tcBorders>
              <w:bottom w:val="single" w:sz="12" w:space="0" w:color="325AA4"/>
            </w:tcBorders>
            <w:vAlign w:val="center"/>
          </w:tcPr>
          <w:p>
            <w:pPr>
              <w:pStyle w:val="TableContents"/>
              <w:bidi w:val="0"/>
              <w:spacing w:before="0" w:after="283"/>
              <w:jc w:val="right"/>
              <w:rPr>
                <w:color w:val="3B5AA4"/>
              </w:rPr>
            </w:pPr>
            <w:r>
              <w:rPr>
                <w:color w:val="3B5AA4"/>
              </w:rPr>
              <w:t>Number of</w:t>
              <w:br/>
              <w:t>shares acquired</w:t>
              <w:br/>
              <w:t>on exercise</w:t>
              <w:br/>
              <w:t>(#)</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220" w:type="dxa"/>
            <w:tcBorders>
              <w:bottom w:val="single" w:sz="12" w:space="0" w:color="325AA4"/>
            </w:tcBorders>
            <w:vAlign w:val="center"/>
          </w:tcPr>
          <w:p>
            <w:pPr>
              <w:pStyle w:val="TableContents"/>
              <w:bidi w:val="0"/>
              <w:spacing w:before="0" w:after="283"/>
              <w:jc w:val="right"/>
              <w:rPr>
                <w:color w:val="3B5AA4"/>
              </w:rPr>
            </w:pPr>
            <w:r>
              <w:rPr>
                <w:color w:val="3B5AA4"/>
              </w:rPr>
              <w:t>Value</w:t>
              <w:br/>
              <w:t>realized</w:t>
              <w:br/>
              <w:t>on exercise</w:t>
              <w:br/>
              <w:t>($)</w:t>
            </w:r>
            <w:r>
              <w:rPr>
                <w:color w:val="3B5AA4"/>
                <w:position w:val="8"/>
                <w:sz w:val="19"/>
              </w:rPr>
              <w:t>1</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475" w:type="dxa"/>
            <w:tcBorders>
              <w:bottom w:val="single" w:sz="12" w:space="0" w:color="325AA4"/>
            </w:tcBorders>
            <w:vAlign w:val="center"/>
          </w:tcPr>
          <w:p>
            <w:pPr>
              <w:pStyle w:val="TableContents"/>
              <w:bidi w:val="0"/>
              <w:spacing w:before="0" w:after="283"/>
              <w:jc w:val="right"/>
              <w:rPr>
                <w:color w:val="3B5AA4"/>
              </w:rPr>
            </w:pPr>
            <w:r>
              <w:rPr>
                <w:color w:val="3B5AA4"/>
              </w:rPr>
              <w:t>Number of</w:t>
              <w:br/>
              <w:t>shares acquired</w:t>
              <w:br/>
              <w:t>on vesting</w:t>
              <w:br/>
              <w:t>(#)</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010" w:type="dxa"/>
            <w:tcBorders>
              <w:bottom w:val="single" w:sz="12" w:space="0" w:color="325AA4"/>
            </w:tcBorders>
            <w:vAlign w:val="center"/>
          </w:tcPr>
          <w:p>
            <w:pPr>
              <w:pStyle w:val="TableContents"/>
              <w:bidi w:val="0"/>
              <w:spacing w:before="0" w:after="283"/>
              <w:jc w:val="right"/>
              <w:rPr>
                <w:color w:val="3B5AA4"/>
              </w:rPr>
            </w:pPr>
            <w:r>
              <w:rPr>
                <w:color w:val="3B5AA4"/>
              </w:rPr>
              <w:t>Value</w:t>
              <w:br/>
              <w:t>realized</w:t>
              <w:br/>
              <w:t>on vesting</w:t>
              <w:br/>
              <w:t>($)</w:t>
            </w:r>
            <w:r>
              <w:rPr>
                <w:color w:val="3B5AA4"/>
                <w:position w:val="8"/>
                <w:sz w:val="19"/>
              </w:rPr>
              <w:t>2</w:t>
            </w:r>
          </w:p>
        </w:tc>
      </w:tr>
      <w:tr>
        <w:trPr/>
        <w:tc>
          <w:tcPr>
            <w:tcW w:w="3800" w:type="dxa"/>
            <w:tcBorders>
              <w:bottom w:val="single" w:sz="2" w:space="0" w:color="CCCCCC"/>
            </w:tcBorders>
            <w:vAlign w:val="center"/>
          </w:tcPr>
          <w:p>
            <w:pPr>
              <w:pStyle w:val="TableContents"/>
              <w:bidi w:val="0"/>
              <w:spacing w:before="0" w:after="283"/>
              <w:jc w:val="left"/>
              <w:rPr>
                <w:b/>
                <w:color w:val="3B5AA4"/>
              </w:rPr>
            </w:pPr>
            <w:r>
              <w:rPr>
                <w:b/>
                <w:color w:val="3B5AA4"/>
              </w:rPr>
              <w:t>Leonard S. Schleifer, M.D., Ph.D.</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vAlign w:val="center"/>
          </w:tcPr>
          <w:p>
            <w:pPr>
              <w:pStyle w:val="TableContents"/>
              <w:bidi w:val="0"/>
              <w:spacing w:before="0" w:after="283"/>
              <w:jc w:val="right"/>
              <w:rPr>
                <w:color w:val="231F20"/>
              </w:rPr>
            </w:pPr>
            <w:r>
              <w:rPr>
                <w:color w:val="231F20"/>
              </w:rPr>
              <w:t>203,204</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117,275,125</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010" w:type="dxa"/>
            <w:tcBorders>
              <w:bottom w:val="single" w:sz="2" w:space="0" w:color="CCCCCC"/>
            </w:tcBorders>
            <w:vAlign w:val="center"/>
          </w:tcPr>
          <w:p>
            <w:pPr>
              <w:pStyle w:val="TableContents"/>
              <w:bidi w:val="0"/>
              <w:spacing w:before="0" w:after="283"/>
              <w:jc w:val="right"/>
              <w:rPr>
                <w:color w:val="231F20"/>
              </w:rPr>
            </w:pPr>
            <w:r>
              <w:rPr>
                <w:color w:val="231F20"/>
              </w:rPr>
              <w:t>—</w:t>
            </w:r>
          </w:p>
        </w:tc>
      </w:tr>
      <w:tr>
        <w:trPr/>
        <w:tc>
          <w:tcPr>
            <w:tcW w:w="3800" w:type="dxa"/>
            <w:tcBorders>
              <w:bottom w:val="single" w:sz="2" w:space="0" w:color="CCCCCC"/>
            </w:tcBorders>
            <w:shd w:fill="EBEBEC" w:val="clear"/>
            <w:vAlign w:val="center"/>
          </w:tcPr>
          <w:p>
            <w:pPr>
              <w:pStyle w:val="TableContents"/>
              <w:bidi w:val="0"/>
              <w:spacing w:before="0" w:after="283"/>
              <w:jc w:val="left"/>
              <w:rPr>
                <w:b/>
                <w:color w:val="3B5AA4"/>
              </w:rPr>
            </w:pPr>
            <w:r>
              <w:rPr>
                <w:b/>
                <w:color w:val="3B5AA4"/>
              </w:rPr>
              <w:t>George D. Yancopoulos, M.D., Ph.D.</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172,723</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95,717,905</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0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r>
      <w:tr>
        <w:trPr/>
        <w:tc>
          <w:tcPr>
            <w:tcW w:w="3800" w:type="dxa"/>
            <w:tcBorders>
              <w:bottom w:val="single" w:sz="2" w:space="0" w:color="CCCCCC"/>
            </w:tcBorders>
            <w:shd w:fill="FFFFFF" w:val="clear"/>
            <w:vAlign w:val="center"/>
          </w:tcPr>
          <w:p>
            <w:pPr>
              <w:pStyle w:val="TableContents"/>
              <w:bidi w:val="0"/>
              <w:spacing w:before="0" w:after="283"/>
              <w:jc w:val="left"/>
              <w:rPr>
                <w:b/>
                <w:color w:val="3B5AA4"/>
              </w:rPr>
            </w:pPr>
            <w:r>
              <w:rPr>
                <w:b/>
                <w:color w:val="3B5AA4"/>
              </w:rPr>
              <w:t>Christopher Fenimore</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20,000</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9,054,700</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3,197</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010"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2,461,928</w:t>
            </w:r>
          </w:p>
        </w:tc>
      </w:tr>
      <w:tr>
        <w:trPr/>
        <w:tc>
          <w:tcPr>
            <w:tcW w:w="3800" w:type="dxa"/>
            <w:tcBorders>
              <w:bottom w:val="single" w:sz="2" w:space="0" w:color="CCCCCC"/>
            </w:tcBorders>
            <w:shd w:fill="EBEBEC" w:val="clear"/>
            <w:vAlign w:val="center"/>
          </w:tcPr>
          <w:p>
            <w:pPr>
              <w:pStyle w:val="TableContents"/>
              <w:bidi w:val="0"/>
              <w:spacing w:before="0" w:after="283"/>
              <w:jc w:val="left"/>
              <w:rPr>
                <w:b/>
                <w:color w:val="3B5AA4"/>
              </w:rPr>
            </w:pPr>
            <w:r>
              <w:rPr>
                <w:b/>
                <w:color w:val="3B5AA4"/>
              </w:rPr>
              <w:t>Daniel P. Van Plew</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35,375</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20,283,170</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2,864</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01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2,147,263</w:t>
            </w:r>
          </w:p>
        </w:tc>
      </w:tr>
      <w:tr>
        <w:trPr/>
        <w:tc>
          <w:tcPr>
            <w:tcW w:w="3800" w:type="dxa"/>
            <w:tcBorders>
              <w:bottom w:val="single" w:sz="2" w:space="0" w:color="CCCCCC"/>
            </w:tcBorders>
            <w:shd w:fill="FFFFFF" w:val="clear"/>
            <w:vAlign w:val="center"/>
          </w:tcPr>
          <w:p>
            <w:pPr>
              <w:pStyle w:val="TableContents"/>
              <w:bidi w:val="0"/>
              <w:spacing w:before="0" w:after="283"/>
              <w:jc w:val="left"/>
              <w:rPr>
                <w:b/>
                <w:color w:val="3B5AA4"/>
              </w:rPr>
            </w:pPr>
            <w:r>
              <w:rPr>
                <w:b/>
                <w:color w:val="3B5AA4"/>
              </w:rPr>
              <w:t>Andrew J. Murphy, Ph.D.</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40,000</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26,279,800</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475"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3,029</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010"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2,267,791</w:t>
            </w:r>
          </w:p>
        </w:tc>
      </w:tr>
      <w:tr>
        <w:trPr/>
        <w:tc>
          <w:tcPr>
            <w:tcW w:w="3800" w:type="dxa"/>
            <w:tcBorders>
              <w:bottom w:val="single" w:sz="12" w:space="0" w:color="325AA4"/>
            </w:tcBorders>
            <w:shd w:fill="EBEBEC" w:val="clear"/>
            <w:vAlign w:val="center"/>
          </w:tcPr>
          <w:p>
            <w:pPr>
              <w:pStyle w:val="TableContents"/>
              <w:bidi w:val="0"/>
              <w:spacing w:before="0" w:after="283"/>
              <w:jc w:val="left"/>
              <w:rPr>
                <w:b/>
                <w:color w:val="3B5AA4"/>
              </w:rPr>
            </w:pPr>
            <w:r>
              <w:rPr>
                <w:b/>
                <w:color w:val="3B5AA4"/>
              </w:rPr>
              <w:t xml:space="preserve">Robert E. Landry </w:t>
            </w:r>
            <w:r>
              <w:rPr>
                <w:b/>
                <w:i/>
                <w:color w:val="3B5AA4"/>
              </w:rPr>
              <w:t>(retired)</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475"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37,737</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23,643,005</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475"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2,892</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010"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2,167,726</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Amounts reflect the difference between the exercise price of the option(s) and the average of the high and low sales price per share of the Company’s common stock on the Nasdaq Global Select Market on the exercise date(s).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 xml:space="preserve">Amount reflects the average of the high and low sales price per share of the Company’s common stock on the Nasdaq Global Select Market on the vesting date.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31"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12" descr=""/>
                          <pic:cNvPicPr>
                            <a:picLocks noChangeAspect="1" noChangeArrowheads="1"/>
                          </pic:cNvPicPr>
                        </pic:nvPicPr>
                        <pic:blipFill>
                          <a:blip r:embed="rId324"/>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36" w:name="regn013211-def14aa080"/>
      <w:bookmarkStart w:id="137" w:name="lregnb032"/>
      <w:bookmarkEnd w:id="136"/>
      <w:bookmarkEnd w:id="137"/>
      <w:r>
        <w:rPr>
          <w:rFonts w:ascii="Arial;Helvetica;Sans-Serif" w:hAnsi="Arial;Helvetica;Sans-Serif"/>
          <w:b/>
          <w:i w:val="false"/>
          <w:caps w:val="false"/>
          <w:smallCaps w:val="false"/>
          <w:color w:val="C60C45"/>
          <w:sz w:val="28"/>
        </w:rPr>
        <w:t>Post-Employment Compensation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discussed in “Compensation Dashboard—Additional Compensation Information—Potential Severance Payments,” our NEOs are entitled to certain severance benefits upon the voluntary or involuntary termination of their employment. We provide additional information regarding the severance benefits available to our NEOs in the tables set out below in this subsection. For our CEO, the table shows the amounts payable under his employment agreement upon his involuntary or not-for-cause termination, termination in connection with a corporate change of control, and in the event of his disability or death. For the other NEOs, the table shows their post-termination compensation arrangements under our change in control severance plan upon an involuntary or not-for-cause termination in connection with a corporate change of control.</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caps w:val="false"/>
          <w:smallCaps w:val="false"/>
          <w:color w:val="C60C45"/>
          <w:sz w:val="18"/>
        </w:rPr>
      </w:pPr>
      <w:r>
        <w:rPr>
          <w:rFonts w:ascii="Arial;Helvetica;Sans-Serif" w:hAnsi="Arial;Helvetica;Sans-Serif"/>
          <w:b/>
          <w:i/>
          <w:caps w:val="false"/>
          <w:smallCaps w:val="false"/>
          <w:color w:val="C60C45"/>
          <w:sz w:val="18"/>
        </w:rPr>
        <w:t>Leonard S. Schleifer, M.D., Ph.D., Employment Agreement</w:t>
      </w:r>
    </w:p>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entered into an employment agreement with our CEO, Dr. Schleifer, effective as of December 20, 2002, providing for his employment with the Company through December 31, 2003 and continuing thereafter on a year-by-year basis. On November 14, 2008, this employment agreement was amended and restated to bring the employment agreement into compliance with Section 409A of the Internal Revenue Code (“Section 409A”). Pursuant to this agreement, we agreed that in the event that Dr. Schleifer’s employment is terminated by us other than for cause (as defined in the employment agreement) or is terminated by Dr. Schleifer for good reason (as defined in the employment agreement to include specified acts of constructive termination (which Dr. Schleifer has agreed does not include the election of Dr. Yancopoulos as co-Chair of the Board), together called an “involuntary termination”), we will pay Dr. Schleifer an amount equal to 125% of the sum of his base salary plus his average cash incentive paid over the prior three years. This amount will be paid in a lump-sum severance payment. In addition, we will continue to provide Dr. Schleifer and his dependents medical, dental, and life insurance benefits for 18 months. Subject to the discussion in the following paragraph, in the event that Dr. Schleifer’s employment terminates for any reason other than for cause, any unvested stock options will continue to vest in accordance with the terms of the applicable award grant and he will be entitled to exercise all outstanding stock options throughout their original term, which is generally ten years from the date of grant. The treatment of Dr. Schleifer’s unvested PSUs from the 2020 grant upon certain termination events is governed by the terms of the 2020 PSU award agreement, notwithstanding any provision to the contrary in his employment agreement. The terms of the 2020 PSU award agreement provide that (i) in the case of a termination of employment due to death or disability, the PSUs remain outstanding and may be earned during their term (and, to the extent earned, are not subject to the three-year mandatory deferral and holding period (the “Holding Period”)); (ii) in the case of a termination by the Company without cause or a departure by Dr. Schleifer for good reason (each as defined in his employment agreement), the performance period ends as of the termination date and all PSUs earned as of that date vest and remain subject to the Holding Period; and (iii) in the case of a change in control, the performance period ends as of the date of the change in control and all PSUs earned as of that date vest with no Holding Period.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Upon an involuntary termination (i.e., a termination by the Company without cause or by Dr. Schleifer for good reason, each as defined in the employment agreement) within three years after a change of control of the Company or within three months prior to such a change of control, we will pay Dr. Schleifer an amount equal to three times the sum of his annual base salary plus his average cash incentive over the prior three years. This amount will be paid in a lump-sum severance payment. In addition, we will continue to provide Dr. Schleifer and his dependents medical, dental, and life insurance benefits for 36 months. Upon such an involuntary termination in connection with a change of control, any unvested stock options will vest immediately and all outstanding stock options will remain exercisable throughout their original term, which is generally ten years from the date of grant. Pursuant to the terms of his 2020 PSU award agreement, any such PSUs that vest upon a change of control as discussed above will be immediately deliverable to Dr. Schleifer (with no Holding Period).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 by less than 10%, in which case such benefits and payments will be reduced accordingly.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reflects the potential payments to our CEO under his employment agreement assuming a termination effective December 31, 2024 under different scenarios (including following a change of control), as well as upon death or disability. The information in the table below is based on the assumptions set forth in the footnotes to the table; actual values and amounts may differ from those presented below.</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32"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13" descr=""/>
                          <pic:cNvPicPr>
                            <a:picLocks noChangeAspect="1" noChangeArrowheads="1"/>
                          </pic:cNvPicPr>
                        </pic:nvPicPr>
                        <pic:blipFill>
                          <a:blip r:embed="rId325"/>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Potential Severance Payments under Dr. Schleifer’s Employment Agreement</w:t>
      </w:r>
    </w:p>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10725" w:type="dxa"/>
        <w:jc w:val="left"/>
        <w:tblInd w:w="0" w:type="dxa"/>
        <w:tblLayout w:type="fixed"/>
        <w:tblCellMar>
          <w:top w:w="0" w:type="dxa"/>
          <w:left w:w="0" w:type="dxa"/>
          <w:bottom w:w="28" w:type="dxa"/>
          <w:right w:w="0" w:type="dxa"/>
        </w:tblCellMar>
      </w:tblPr>
      <w:tblGrid>
        <w:gridCol w:w="1310"/>
        <w:gridCol w:w="60"/>
        <w:gridCol w:w="60"/>
        <w:gridCol w:w="1100"/>
        <w:gridCol w:w="185"/>
        <w:gridCol w:w="60"/>
        <w:gridCol w:w="60"/>
        <w:gridCol w:w="1250"/>
        <w:gridCol w:w="185"/>
        <w:gridCol w:w="60"/>
        <w:gridCol w:w="905"/>
        <w:gridCol w:w="60"/>
        <w:gridCol w:w="60"/>
        <w:gridCol w:w="980"/>
        <w:gridCol w:w="290"/>
        <w:gridCol w:w="60"/>
        <w:gridCol w:w="60"/>
        <w:gridCol w:w="1220"/>
        <w:gridCol w:w="290"/>
        <w:gridCol w:w="60"/>
        <w:gridCol w:w="995"/>
        <w:gridCol w:w="60"/>
        <w:gridCol w:w="60"/>
        <w:gridCol w:w="1220"/>
        <w:gridCol w:w="75"/>
      </w:tblGrid>
      <w:tr>
        <w:trPr/>
        <w:tc>
          <w:tcPr>
            <w:tcW w:w="1310" w:type="dxa"/>
            <w:tcBorders>
              <w:bottom w:val="single" w:sz="12" w:space="0" w:color="325AA4"/>
            </w:tcBorders>
            <w:vAlign w:val="center"/>
          </w:tcPr>
          <w:p>
            <w:pPr>
              <w:pStyle w:val="TableContents"/>
              <w:bidi w:val="0"/>
              <w:spacing w:before="0" w:after="283"/>
              <w:jc w:val="left"/>
              <w:rPr/>
            </w:pPr>
            <w:r>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100" w:type="dxa"/>
            <w:tcBorders>
              <w:bottom w:val="single" w:sz="12" w:space="0" w:color="325AA4"/>
            </w:tcBorders>
            <w:vAlign w:val="center"/>
          </w:tcPr>
          <w:p>
            <w:pPr>
              <w:pStyle w:val="TableContents"/>
              <w:bidi w:val="0"/>
              <w:spacing w:before="0" w:after="283"/>
              <w:jc w:val="right"/>
              <w:rPr>
                <w:color w:val="3B5AA4"/>
              </w:rPr>
            </w:pPr>
            <w:r>
              <w:rPr>
                <w:color w:val="3B5AA4"/>
              </w:rPr>
              <w:t>Cash</w:t>
              <w:br/>
              <w:t>Severance</w:t>
              <w:br/>
              <w:t>($)</w:t>
            </w:r>
          </w:p>
        </w:tc>
        <w:tc>
          <w:tcPr>
            <w:tcW w:w="185"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250" w:type="dxa"/>
            <w:tcBorders>
              <w:bottom w:val="single" w:sz="12" w:space="0" w:color="325AA4"/>
            </w:tcBorders>
            <w:vAlign w:val="center"/>
          </w:tcPr>
          <w:p>
            <w:pPr>
              <w:pStyle w:val="TableContents"/>
              <w:bidi w:val="0"/>
              <w:spacing w:before="0" w:after="283"/>
              <w:jc w:val="right"/>
              <w:rPr>
                <w:color w:val="3B5AA4"/>
              </w:rPr>
            </w:pPr>
            <w:r>
              <w:rPr>
                <w:color w:val="3B5AA4"/>
              </w:rPr>
              <w:t>Benefits</w:t>
              <w:br/>
              <w:t>Continuation</w:t>
              <w:br/>
              <w:t>($)</w:t>
            </w:r>
          </w:p>
        </w:tc>
        <w:tc>
          <w:tcPr>
            <w:tcW w:w="185"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905" w:type="dxa"/>
            <w:tcBorders>
              <w:bottom w:val="single" w:sz="12" w:space="0" w:color="325AA4"/>
            </w:tcBorders>
            <w:vAlign w:val="center"/>
          </w:tcPr>
          <w:p>
            <w:pPr>
              <w:pStyle w:val="TableContents"/>
              <w:bidi w:val="0"/>
              <w:spacing w:before="0" w:after="283"/>
              <w:jc w:val="right"/>
              <w:rPr>
                <w:color w:val="3B5AA4"/>
              </w:rPr>
            </w:pPr>
            <w:r>
              <w:rPr>
                <w:color w:val="3B5AA4"/>
              </w:rPr>
              <w:t>Death</w:t>
              <w:br/>
              <w:t>Benefits</w:t>
            </w:r>
            <w:r>
              <w:rPr>
                <w:color w:val="3B5AA4"/>
                <w:position w:val="8"/>
                <w:sz w:val="19"/>
              </w:rPr>
              <w:t>4</w:t>
            </w:r>
            <w:r>
              <w:rPr>
                <w:color w:val="3B5AA4"/>
              </w:rPr>
              <w:br/>
              <w:t>($)</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980" w:type="dxa"/>
            <w:tcBorders>
              <w:bottom w:val="single" w:sz="12" w:space="0" w:color="325AA4"/>
            </w:tcBorders>
            <w:vAlign w:val="center"/>
          </w:tcPr>
          <w:p>
            <w:pPr>
              <w:pStyle w:val="TableContents"/>
              <w:bidi w:val="0"/>
              <w:spacing w:before="0" w:after="283"/>
              <w:jc w:val="right"/>
              <w:rPr>
                <w:color w:val="3B5AA4"/>
              </w:rPr>
            </w:pPr>
            <w:r>
              <w:rPr>
                <w:color w:val="3B5AA4"/>
              </w:rPr>
              <w:t>Disability</w:t>
              <w:br/>
              <w:t>Benefits</w:t>
              <w:br/>
              <w:t>($)</w:t>
            </w:r>
          </w:p>
        </w:tc>
        <w:tc>
          <w:tcPr>
            <w:tcW w:w="29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220" w:type="dxa"/>
            <w:tcBorders>
              <w:bottom w:val="single" w:sz="12" w:space="0" w:color="325AA4"/>
            </w:tcBorders>
            <w:vAlign w:val="center"/>
          </w:tcPr>
          <w:p>
            <w:pPr>
              <w:pStyle w:val="TableContents"/>
              <w:bidi w:val="0"/>
              <w:spacing w:before="0" w:after="283"/>
              <w:jc w:val="right"/>
              <w:rPr>
                <w:color w:val="3B5AA4"/>
              </w:rPr>
            </w:pPr>
            <w:r>
              <w:rPr>
                <w:color w:val="3B5AA4"/>
              </w:rPr>
              <w:t>Value of</w:t>
              <w:br/>
              <w:t>Accelerated</w:t>
              <w:br/>
              <w:t>PSUs</w:t>
              <w:br/>
              <w:t>($)</w:t>
            </w:r>
          </w:p>
        </w:tc>
        <w:tc>
          <w:tcPr>
            <w:tcW w:w="29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995" w:type="dxa"/>
            <w:tcBorders>
              <w:bottom w:val="single" w:sz="12" w:space="0" w:color="325AA4"/>
            </w:tcBorders>
            <w:vAlign w:val="center"/>
          </w:tcPr>
          <w:p>
            <w:pPr>
              <w:pStyle w:val="TableContents"/>
              <w:bidi w:val="0"/>
              <w:spacing w:before="0" w:after="283"/>
              <w:jc w:val="right"/>
              <w:rPr>
                <w:color w:val="3B5AA4"/>
              </w:rPr>
            </w:pPr>
            <w:r>
              <w:rPr>
                <w:color w:val="3B5AA4"/>
              </w:rPr>
              <w:t>Cutback/</w:t>
              <w:br/>
              <w:t>Gross-up</w:t>
            </w:r>
            <w:r>
              <w:rPr>
                <w:color w:val="3B5AA4"/>
                <w:position w:val="8"/>
                <w:sz w:val="19"/>
              </w:rPr>
              <w:t>6</w:t>
            </w:r>
            <w:r>
              <w:rPr>
                <w:color w:val="3B5AA4"/>
              </w:rPr>
              <w:br/>
              <w:t>($)</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220" w:type="dxa"/>
            <w:tcBorders>
              <w:bottom w:val="single" w:sz="12" w:space="0" w:color="325AA4"/>
            </w:tcBorders>
            <w:vAlign w:val="center"/>
          </w:tcPr>
          <w:p>
            <w:pPr>
              <w:pStyle w:val="TableContents"/>
              <w:bidi w:val="0"/>
              <w:spacing w:before="0" w:after="283"/>
              <w:jc w:val="right"/>
              <w:rPr>
                <w:color w:val="3B5AA4"/>
              </w:rPr>
            </w:pPr>
            <w:r>
              <w:rPr>
                <w:color w:val="3B5AA4"/>
              </w:rPr>
              <w:t>Total</w:t>
              <w:br/>
              <w:t>Amount</w:t>
              <w:br/>
              <w:t>($)</w:t>
            </w:r>
          </w:p>
        </w:tc>
        <w:tc>
          <w:tcPr>
            <w:tcW w:w="75" w:type="dxa"/>
            <w:tcBorders>
              <w:bottom w:val="single" w:sz="12" w:space="0" w:color="325AA4"/>
            </w:tcBorders>
            <w:vAlign w:val="center"/>
          </w:tcPr>
          <w:p>
            <w:pPr>
              <w:pStyle w:val="TableContents"/>
              <w:bidi w:val="0"/>
              <w:spacing w:before="0" w:after="283"/>
              <w:jc w:val="left"/>
              <w:rPr>
                <w:color w:val="3B5AA4"/>
              </w:rPr>
            </w:pPr>
            <w:r>
              <w:rPr>
                <w:color w:val="3B5AA4"/>
              </w:rPr>
              <w:t> </w:t>
            </w:r>
          </w:p>
        </w:tc>
      </w:tr>
      <w:tr>
        <w:trPr/>
        <w:tc>
          <w:tcPr>
            <w:tcW w:w="1310" w:type="dxa"/>
            <w:tcBorders>
              <w:bottom w:val="single" w:sz="2" w:space="0" w:color="CCCCCC"/>
            </w:tcBorders>
            <w:vAlign w:val="center"/>
          </w:tcPr>
          <w:p>
            <w:pPr>
              <w:pStyle w:val="TableContents"/>
              <w:bidi w:val="0"/>
              <w:spacing w:before="0" w:after="283"/>
              <w:jc w:val="left"/>
              <w:rPr>
                <w:b/>
                <w:color w:val="3B5AA4"/>
              </w:rPr>
            </w:pPr>
            <w:r>
              <w:rPr>
                <w:b/>
                <w:color w:val="3B5AA4"/>
              </w:rPr>
              <w:t>Involuntary Termination Following a Change of Control</w:t>
            </w:r>
            <w:r>
              <w:rPr>
                <w:b/>
                <w:color w:val="365FA5"/>
                <w:position w:val="8"/>
                <w:sz w:val="19"/>
              </w:rPr>
              <w:t>1</w:t>
            </w:r>
            <w:r>
              <w:rPr>
                <w:b/>
                <w:color w:val="3B5AA4"/>
              </w:rPr>
              <w:t xml:space="preserve">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100" w:type="dxa"/>
            <w:tcBorders>
              <w:bottom w:val="single" w:sz="2" w:space="0" w:color="CCCCCC"/>
            </w:tcBorders>
            <w:vAlign w:val="center"/>
          </w:tcPr>
          <w:p>
            <w:pPr>
              <w:pStyle w:val="TableContents"/>
              <w:bidi w:val="0"/>
              <w:spacing w:before="0" w:after="283"/>
              <w:jc w:val="right"/>
              <w:rPr/>
            </w:pPr>
            <w:r>
              <w:rPr/>
              <w:t>18,261,178</w:t>
            </w:r>
          </w:p>
        </w:tc>
        <w:tc>
          <w:tcPr>
            <w:tcW w:w="185" w:type="dxa"/>
            <w:tcBorders>
              <w:bottom w:val="single" w:sz="2" w:space="0" w:color="CCCCCC"/>
            </w:tcBorders>
            <w:vAlign w:val="center"/>
          </w:tcPr>
          <w:p>
            <w:pPr>
              <w:pStyle w:val="TableContents"/>
              <w:bidi w:val="0"/>
              <w:spacing w:before="0" w:after="283"/>
              <w:jc w:val="left"/>
              <w:rPr/>
            </w:pPr>
            <w:r>
              <w:rPr>
                <w:position w:val="8"/>
                <w:sz w:val="19"/>
              </w:rPr>
              <w:t>2</w:t>
            </w: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250" w:type="dxa"/>
            <w:tcBorders>
              <w:bottom w:val="single" w:sz="2" w:space="0" w:color="CCCCCC"/>
            </w:tcBorders>
            <w:vAlign w:val="center"/>
          </w:tcPr>
          <w:p>
            <w:pPr>
              <w:pStyle w:val="TableContents"/>
              <w:bidi w:val="0"/>
              <w:spacing w:before="0" w:after="283"/>
              <w:jc w:val="right"/>
              <w:rPr/>
            </w:pPr>
            <w:r>
              <w:rPr/>
              <w:t>366,205</w:t>
            </w:r>
          </w:p>
        </w:tc>
        <w:tc>
          <w:tcPr>
            <w:tcW w:w="185" w:type="dxa"/>
            <w:tcBorders>
              <w:bottom w:val="single" w:sz="2" w:space="0" w:color="CCCCCC"/>
            </w:tcBorders>
            <w:vAlign w:val="center"/>
          </w:tcPr>
          <w:p>
            <w:pPr>
              <w:pStyle w:val="TableContents"/>
              <w:bidi w:val="0"/>
              <w:spacing w:before="0" w:after="283"/>
              <w:jc w:val="left"/>
              <w:rPr/>
            </w:pPr>
            <w:r>
              <w:rPr>
                <w:position w:val="8"/>
                <w:sz w:val="19"/>
              </w:rPr>
              <w:t>3</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220" w:type="dxa"/>
            <w:tcBorders>
              <w:bottom w:val="single" w:sz="2" w:space="0" w:color="CCCCCC"/>
            </w:tcBorders>
            <w:vAlign w:val="center"/>
          </w:tcPr>
          <w:p>
            <w:pPr>
              <w:pStyle w:val="TableContents"/>
              <w:bidi w:val="0"/>
              <w:spacing w:before="0" w:after="283"/>
              <w:jc w:val="right"/>
              <w:rPr/>
            </w:pPr>
            <w:r>
              <w:rPr/>
              <w:t>441,836,929</w:t>
            </w:r>
          </w:p>
        </w:tc>
        <w:tc>
          <w:tcPr>
            <w:tcW w:w="290" w:type="dxa"/>
            <w:tcBorders>
              <w:bottom w:val="single" w:sz="2" w:space="0" w:color="CCCCCC"/>
            </w:tcBorders>
            <w:vAlign w:val="center"/>
          </w:tcPr>
          <w:p>
            <w:pPr>
              <w:pStyle w:val="TableContents"/>
              <w:bidi w:val="0"/>
              <w:spacing w:before="0" w:after="283"/>
              <w:jc w:val="left"/>
              <w:rPr/>
            </w:pPr>
            <w:r>
              <w:rPr>
                <w:position w:val="8"/>
                <w:sz w:val="19"/>
              </w:rPr>
              <w:t>5</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460,464,312</w:t>
            </w:r>
          </w:p>
        </w:tc>
        <w:tc>
          <w:tcPr>
            <w:tcW w:w="75" w:type="dxa"/>
            <w:tcBorders>
              <w:bottom w:val="single" w:sz="2" w:space="0" w:color="CCCCCC"/>
            </w:tcBorders>
            <w:vAlign w:val="center"/>
          </w:tcPr>
          <w:p>
            <w:pPr>
              <w:pStyle w:val="TableContents"/>
              <w:bidi w:val="0"/>
              <w:spacing w:before="0" w:after="283"/>
              <w:jc w:val="left"/>
              <w:rPr>
                <w:color w:val="231F20"/>
              </w:rPr>
            </w:pPr>
            <w:r>
              <w:rPr>
                <w:color w:val="231F20"/>
              </w:rPr>
              <w:t> </w:t>
            </w:r>
          </w:p>
        </w:tc>
      </w:tr>
      <w:tr>
        <w:trPr/>
        <w:tc>
          <w:tcPr>
            <w:tcW w:w="1310" w:type="dxa"/>
            <w:tcBorders>
              <w:bottom w:val="single" w:sz="2" w:space="0" w:color="CCCCCC"/>
            </w:tcBorders>
            <w:shd w:fill="EBEBEC" w:val="clear"/>
            <w:vAlign w:val="center"/>
          </w:tcPr>
          <w:p>
            <w:pPr>
              <w:pStyle w:val="TableContents"/>
              <w:bidi w:val="0"/>
              <w:spacing w:before="0" w:after="283"/>
              <w:jc w:val="left"/>
              <w:rPr>
                <w:b/>
                <w:color w:val="3B5AA4"/>
              </w:rPr>
            </w:pPr>
            <w:r>
              <w:rPr>
                <w:b/>
                <w:color w:val="3B5AA4"/>
              </w:rPr>
              <w:t>Involuntary Termination</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100" w:type="dxa"/>
            <w:tcBorders>
              <w:bottom w:val="single" w:sz="2" w:space="0" w:color="CCCCCC"/>
            </w:tcBorders>
            <w:shd w:fill="EBEBEC" w:val="clear"/>
            <w:vAlign w:val="center"/>
          </w:tcPr>
          <w:p>
            <w:pPr>
              <w:pStyle w:val="TableContents"/>
              <w:bidi w:val="0"/>
              <w:spacing w:before="0" w:after="283"/>
              <w:jc w:val="right"/>
              <w:rPr/>
            </w:pPr>
            <w:r>
              <w:rPr/>
              <w:t>7,608,824</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7</w:t>
            </w: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250" w:type="dxa"/>
            <w:tcBorders>
              <w:bottom w:val="single" w:sz="2" w:space="0" w:color="CCCCCC"/>
            </w:tcBorders>
            <w:shd w:fill="EBEBEC" w:val="clear"/>
            <w:vAlign w:val="center"/>
          </w:tcPr>
          <w:p>
            <w:pPr>
              <w:pStyle w:val="TableContents"/>
              <w:bidi w:val="0"/>
              <w:spacing w:before="0" w:after="283"/>
              <w:jc w:val="right"/>
              <w:rPr/>
            </w:pPr>
            <w:r>
              <w:rPr/>
              <w:t>174,600</w:t>
            </w:r>
          </w:p>
        </w:tc>
        <w:tc>
          <w:tcPr>
            <w:tcW w:w="185" w:type="dxa"/>
            <w:tcBorders>
              <w:bottom w:val="single" w:sz="2" w:space="0" w:color="CCCCCC"/>
            </w:tcBorders>
            <w:shd w:fill="EBEBEC" w:val="clear"/>
            <w:vAlign w:val="center"/>
          </w:tcPr>
          <w:p>
            <w:pPr>
              <w:pStyle w:val="TableContents"/>
              <w:bidi w:val="0"/>
              <w:spacing w:before="0" w:after="283"/>
              <w:jc w:val="left"/>
              <w:rPr/>
            </w:pPr>
            <w:r>
              <w:rPr>
                <w:position w:val="8"/>
                <w:sz w:val="19"/>
              </w:rPr>
              <w:t>8</w:t>
            </w: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220" w:type="dxa"/>
            <w:tcBorders>
              <w:bottom w:val="single" w:sz="2" w:space="0" w:color="CCCCCC"/>
            </w:tcBorders>
            <w:shd w:fill="EBEBEC" w:val="clear"/>
            <w:vAlign w:val="center"/>
          </w:tcPr>
          <w:p>
            <w:pPr>
              <w:pStyle w:val="TableContents"/>
              <w:bidi w:val="0"/>
              <w:spacing w:before="0" w:after="283"/>
              <w:jc w:val="right"/>
              <w:rPr/>
            </w:pPr>
            <w:r>
              <w:rPr/>
              <w:t>441,836,929</w:t>
            </w:r>
          </w:p>
        </w:tc>
        <w:tc>
          <w:tcPr>
            <w:tcW w:w="290" w:type="dxa"/>
            <w:tcBorders>
              <w:bottom w:val="single" w:sz="2" w:space="0" w:color="CCCCCC"/>
            </w:tcBorders>
            <w:shd w:fill="EBEBEC" w:val="clear"/>
            <w:vAlign w:val="center"/>
          </w:tcPr>
          <w:p>
            <w:pPr>
              <w:pStyle w:val="TableContents"/>
              <w:bidi w:val="0"/>
              <w:spacing w:before="0" w:after="283"/>
              <w:jc w:val="left"/>
              <w:rPr/>
            </w:pPr>
            <w:r>
              <w:rPr>
                <w:position w:val="8"/>
                <w:sz w:val="19"/>
              </w:rPr>
              <w:t>5</w:t>
            </w:r>
            <w:r>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449,620,353</w:t>
            </w:r>
          </w:p>
        </w:tc>
        <w:tc>
          <w:tcPr>
            <w:tcW w:w="75"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r>
      <w:tr>
        <w:trPr/>
        <w:tc>
          <w:tcPr>
            <w:tcW w:w="1310" w:type="dxa"/>
            <w:tcBorders>
              <w:bottom w:val="single" w:sz="2" w:space="0" w:color="CCCCCC"/>
            </w:tcBorders>
            <w:vAlign w:val="center"/>
          </w:tcPr>
          <w:p>
            <w:pPr>
              <w:pStyle w:val="TableContents"/>
              <w:bidi w:val="0"/>
              <w:spacing w:before="0" w:after="283"/>
              <w:jc w:val="left"/>
              <w:rPr>
                <w:b/>
                <w:color w:val="3B5AA4"/>
              </w:rPr>
            </w:pPr>
            <w:r>
              <w:rPr>
                <w:b/>
                <w:color w:val="3B5AA4"/>
              </w:rPr>
              <w:t>Death</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185"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250" w:type="dxa"/>
            <w:tcBorders>
              <w:bottom w:val="single" w:sz="2" w:space="0" w:color="CCCCCC"/>
            </w:tcBorders>
            <w:vAlign w:val="center"/>
          </w:tcPr>
          <w:p>
            <w:pPr>
              <w:pStyle w:val="TableContents"/>
              <w:bidi w:val="0"/>
              <w:spacing w:before="0" w:after="283"/>
              <w:jc w:val="right"/>
              <w:rPr/>
            </w:pPr>
            <w:r>
              <w:rPr/>
              <w:t>143,514</w:t>
            </w:r>
          </w:p>
        </w:tc>
        <w:tc>
          <w:tcPr>
            <w:tcW w:w="185" w:type="dxa"/>
            <w:tcBorders>
              <w:bottom w:val="single" w:sz="2" w:space="0" w:color="CCCCCC"/>
            </w:tcBorders>
            <w:vAlign w:val="center"/>
          </w:tcPr>
          <w:p>
            <w:pPr>
              <w:pStyle w:val="TableContents"/>
              <w:bidi w:val="0"/>
              <w:spacing w:before="0" w:after="283"/>
              <w:jc w:val="left"/>
              <w:rPr/>
            </w:pPr>
            <w:r>
              <w:rPr>
                <w:position w:val="8"/>
                <w:sz w:val="19"/>
              </w:rPr>
              <w:t>9</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0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8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29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60" w:type="dxa"/>
            <w:tcBorders>
              <w:bottom w:val="single" w:sz="2" w:space="0" w:color="CCCCCC"/>
            </w:tcBorders>
            <w:vAlign w:val="center"/>
          </w:tcPr>
          <w:p>
            <w:pPr>
              <w:pStyle w:val="TableContents"/>
              <w:bidi w:val="0"/>
              <w:spacing w:before="0" w:after="283"/>
              <w:jc w:val="left"/>
              <w:rPr/>
            </w:pPr>
            <w:r>
              <w:rPr/>
              <w:t> </w:t>
            </w:r>
          </w:p>
        </w:tc>
        <w:tc>
          <w:tcPr>
            <w:tcW w:w="1220" w:type="dxa"/>
            <w:tcBorders>
              <w:bottom w:val="single" w:sz="2" w:space="0" w:color="CCCCCC"/>
            </w:tcBorders>
            <w:vAlign w:val="center"/>
          </w:tcPr>
          <w:p>
            <w:pPr>
              <w:pStyle w:val="TableContents"/>
              <w:bidi w:val="0"/>
              <w:spacing w:before="0" w:after="283"/>
              <w:jc w:val="right"/>
              <w:rPr/>
            </w:pPr>
            <w:r>
              <w:rPr/>
              <w:t>—</w:t>
            </w:r>
          </w:p>
        </w:tc>
        <w:tc>
          <w:tcPr>
            <w:tcW w:w="290" w:type="dxa"/>
            <w:tcBorders>
              <w:bottom w:val="single" w:sz="2" w:space="0" w:color="CCCCCC"/>
            </w:tcBorders>
            <w:vAlign w:val="center"/>
          </w:tcPr>
          <w:p>
            <w:pPr>
              <w:pStyle w:val="TableContents"/>
              <w:bidi w:val="0"/>
              <w:spacing w:before="0" w:after="283"/>
              <w:jc w:val="left"/>
              <w:rPr/>
            </w:pPr>
            <w:r>
              <w:rPr>
                <w:position w:val="8"/>
                <w:sz w:val="19"/>
              </w:rPr>
              <w:t>10</w:t>
            </w:r>
            <w:r>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95"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20" w:type="dxa"/>
            <w:tcBorders>
              <w:bottom w:val="single" w:sz="2" w:space="0" w:color="CCCCCC"/>
            </w:tcBorders>
            <w:vAlign w:val="center"/>
          </w:tcPr>
          <w:p>
            <w:pPr>
              <w:pStyle w:val="TableContents"/>
              <w:bidi w:val="0"/>
              <w:spacing w:before="0" w:after="283"/>
              <w:jc w:val="right"/>
              <w:rPr>
                <w:color w:val="231F20"/>
              </w:rPr>
            </w:pPr>
            <w:r>
              <w:rPr>
                <w:color w:val="231F20"/>
              </w:rPr>
              <w:t>143,514</w:t>
            </w:r>
          </w:p>
        </w:tc>
        <w:tc>
          <w:tcPr>
            <w:tcW w:w="75" w:type="dxa"/>
            <w:tcBorders>
              <w:bottom w:val="single" w:sz="2" w:space="0" w:color="CCCCCC"/>
            </w:tcBorders>
            <w:vAlign w:val="center"/>
          </w:tcPr>
          <w:p>
            <w:pPr>
              <w:pStyle w:val="TableContents"/>
              <w:bidi w:val="0"/>
              <w:spacing w:before="0" w:after="283"/>
              <w:jc w:val="left"/>
              <w:rPr>
                <w:color w:val="231F20"/>
              </w:rPr>
            </w:pPr>
            <w:r>
              <w:rPr>
                <w:color w:val="231F20"/>
              </w:rPr>
              <w:t> </w:t>
            </w:r>
          </w:p>
        </w:tc>
      </w:tr>
      <w:tr>
        <w:trPr/>
        <w:tc>
          <w:tcPr>
            <w:tcW w:w="1310" w:type="dxa"/>
            <w:tcBorders>
              <w:bottom w:val="single" w:sz="12" w:space="0" w:color="325AA4"/>
            </w:tcBorders>
            <w:shd w:fill="EBEBEC" w:val="clear"/>
            <w:vAlign w:val="center"/>
          </w:tcPr>
          <w:p>
            <w:pPr>
              <w:pStyle w:val="TableContents"/>
              <w:bidi w:val="0"/>
              <w:spacing w:before="0" w:after="283"/>
              <w:jc w:val="left"/>
              <w:rPr>
                <w:b/>
                <w:color w:val="3B5AA4"/>
              </w:rPr>
            </w:pPr>
            <w:r>
              <w:rPr>
                <w:b/>
                <w:color w:val="3B5AA4"/>
              </w:rPr>
              <w:t>Disability</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w:t>
            </w:r>
          </w:p>
        </w:tc>
        <w:tc>
          <w:tcPr>
            <w:tcW w:w="185"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12" w:space="0" w:color="325AA4"/>
            </w:tcBorders>
            <w:shd w:fill="EBEBEC" w:val="clear"/>
            <w:vAlign w:val="center"/>
          </w:tcPr>
          <w:p>
            <w:pPr>
              <w:pStyle w:val="TableContents"/>
              <w:bidi w:val="0"/>
              <w:spacing w:before="0" w:after="283"/>
              <w:jc w:val="left"/>
              <w:rPr/>
            </w:pPr>
            <w:r>
              <w:rPr/>
              <w:t> </w:t>
            </w:r>
          </w:p>
        </w:tc>
        <w:tc>
          <w:tcPr>
            <w:tcW w:w="60" w:type="dxa"/>
            <w:tcBorders>
              <w:bottom w:val="single" w:sz="12" w:space="0" w:color="325AA4"/>
            </w:tcBorders>
            <w:shd w:fill="EBEBEC" w:val="clear"/>
            <w:vAlign w:val="center"/>
          </w:tcPr>
          <w:p>
            <w:pPr>
              <w:pStyle w:val="TableContents"/>
              <w:bidi w:val="0"/>
              <w:spacing w:before="0" w:after="283"/>
              <w:jc w:val="left"/>
              <w:rPr/>
            </w:pPr>
            <w:r>
              <w:rPr/>
              <w:t> </w:t>
            </w:r>
          </w:p>
        </w:tc>
        <w:tc>
          <w:tcPr>
            <w:tcW w:w="1250" w:type="dxa"/>
            <w:tcBorders>
              <w:bottom w:val="single" w:sz="12" w:space="0" w:color="325AA4"/>
            </w:tcBorders>
            <w:shd w:fill="EBEBEC" w:val="clear"/>
            <w:vAlign w:val="center"/>
          </w:tcPr>
          <w:p>
            <w:pPr>
              <w:pStyle w:val="TableContents"/>
              <w:bidi w:val="0"/>
              <w:spacing w:before="0" w:after="283"/>
              <w:jc w:val="right"/>
              <w:rPr/>
            </w:pPr>
            <w:r>
              <w:rPr/>
              <w:t>174,600</w:t>
            </w:r>
          </w:p>
        </w:tc>
        <w:tc>
          <w:tcPr>
            <w:tcW w:w="185" w:type="dxa"/>
            <w:tcBorders>
              <w:bottom w:val="single" w:sz="12" w:space="0" w:color="325AA4"/>
            </w:tcBorders>
            <w:shd w:fill="EBEBEC" w:val="clear"/>
            <w:vAlign w:val="center"/>
          </w:tcPr>
          <w:p>
            <w:pPr>
              <w:pStyle w:val="TableContents"/>
              <w:bidi w:val="0"/>
              <w:spacing w:before="0" w:after="283"/>
              <w:jc w:val="left"/>
              <w:rPr/>
            </w:pPr>
            <w:r>
              <w:rPr>
                <w:position w:val="8"/>
                <w:sz w:val="19"/>
              </w:rPr>
              <w:t>8</w:t>
            </w:r>
            <w:r>
              <w:rPr/>
              <w:t> </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905"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25AA4"/>
            </w:tcBorders>
            <w:shd w:fill="EBEBEC" w:val="clear"/>
            <w:vAlign w:val="center"/>
          </w:tcPr>
          <w:p>
            <w:pPr>
              <w:pStyle w:val="TableContents"/>
              <w:bidi w:val="0"/>
              <w:spacing w:before="0" w:after="283"/>
              <w:jc w:val="left"/>
              <w:rPr/>
            </w:pPr>
            <w:r>
              <w:rPr/>
              <w:t> </w:t>
            </w:r>
          </w:p>
        </w:tc>
        <w:tc>
          <w:tcPr>
            <w:tcW w:w="60" w:type="dxa"/>
            <w:tcBorders>
              <w:bottom w:val="single" w:sz="12" w:space="0" w:color="325AA4"/>
            </w:tcBorders>
            <w:shd w:fill="EBEBEC" w:val="clear"/>
            <w:vAlign w:val="center"/>
          </w:tcPr>
          <w:p>
            <w:pPr>
              <w:pStyle w:val="TableContents"/>
              <w:bidi w:val="0"/>
              <w:spacing w:before="0" w:after="283"/>
              <w:jc w:val="left"/>
              <w:rPr/>
            </w:pPr>
            <w:r>
              <w:rPr/>
              <w:t> </w:t>
            </w:r>
          </w:p>
        </w:tc>
        <w:tc>
          <w:tcPr>
            <w:tcW w:w="980" w:type="dxa"/>
            <w:tcBorders>
              <w:bottom w:val="single" w:sz="12" w:space="0" w:color="325AA4"/>
            </w:tcBorders>
            <w:shd w:fill="EBEBEC" w:val="clear"/>
            <w:vAlign w:val="center"/>
          </w:tcPr>
          <w:p>
            <w:pPr>
              <w:pStyle w:val="TableContents"/>
              <w:bidi w:val="0"/>
              <w:spacing w:before="0" w:after="283"/>
              <w:jc w:val="right"/>
              <w:rPr/>
            </w:pPr>
            <w:r>
              <w:rPr/>
              <w:t>1,019,078</w:t>
            </w:r>
          </w:p>
        </w:tc>
        <w:tc>
          <w:tcPr>
            <w:tcW w:w="290" w:type="dxa"/>
            <w:tcBorders>
              <w:bottom w:val="single" w:sz="12" w:space="0" w:color="325AA4"/>
            </w:tcBorders>
            <w:shd w:fill="EBEBEC" w:val="clear"/>
            <w:vAlign w:val="center"/>
          </w:tcPr>
          <w:p>
            <w:pPr>
              <w:pStyle w:val="TableContents"/>
              <w:bidi w:val="0"/>
              <w:spacing w:before="0" w:after="283"/>
              <w:jc w:val="left"/>
              <w:rPr/>
            </w:pPr>
            <w:r>
              <w:rPr>
                <w:position w:val="8"/>
                <w:sz w:val="19"/>
              </w:rPr>
              <w:t>11</w:t>
            </w:r>
            <w:r>
              <w:rPr/>
              <w:t> </w:t>
            </w:r>
          </w:p>
        </w:tc>
        <w:tc>
          <w:tcPr>
            <w:tcW w:w="60" w:type="dxa"/>
            <w:tcBorders>
              <w:bottom w:val="single" w:sz="12" w:space="0" w:color="325AA4"/>
            </w:tcBorders>
            <w:shd w:fill="EBEBEC" w:val="clear"/>
            <w:vAlign w:val="center"/>
          </w:tcPr>
          <w:p>
            <w:pPr>
              <w:pStyle w:val="TableContents"/>
              <w:bidi w:val="0"/>
              <w:spacing w:before="0" w:after="283"/>
              <w:jc w:val="left"/>
              <w:rPr/>
            </w:pPr>
            <w:r>
              <w:rPr/>
              <w:t> </w:t>
            </w:r>
          </w:p>
        </w:tc>
        <w:tc>
          <w:tcPr>
            <w:tcW w:w="60" w:type="dxa"/>
            <w:tcBorders>
              <w:bottom w:val="single" w:sz="12" w:space="0" w:color="325AA4"/>
            </w:tcBorders>
            <w:shd w:fill="EBEBEC" w:val="clear"/>
            <w:vAlign w:val="center"/>
          </w:tcPr>
          <w:p>
            <w:pPr>
              <w:pStyle w:val="TableContents"/>
              <w:bidi w:val="0"/>
              <w:spacing w:before="0" w:after="283"/>
              <w:jc w:val="left"/>
              <w:rPr/>
            </w:pPr>
            <w:r>
              <w:rPr/>
              <w:t> </w:t>
            </w:r>
          </w:p>
        </w:tc>
        <w:tc>
          <w:tcPr>
            <w:tcW w:w="1220" w:type="dxa"/>
            <w:tcBorders>
              <w:bottom w:val="single" w:sz="12" w:space="0" w:color="325AA4"/>
            </w:tcBorders>
            <w:shd w:fill="EBEBEC" w:val="clear"/>
            <w:vAlign w:val="center"/>
          </w:tcPr>
          <w:p>
            <w:pPr>
              <w:pStyle w:val="TableContents"/>
              <w:bidi w:val="0"/>
              <w:spacing w:before="0" w:after="283"/>
              <w:jc w:val="right"/>
              <w:rPr/>
            </w:pPr>
            <w:r>
              <w:rPr/>
              <w:t>—</w:t>
            </w:r>
          </w:p>
        </w:tc>
        <w:tc>
          <w:tcPr>
            <w:tcW w:w="290" w:type="dxa"/>
            <w:tcBorders>
              <w:bottom w:val="single" w:sz="12" w:space="0" w:color="325AA4"/>
            </w:tcBorders>
            <w:shd w:fill="EBEBEC" w:val="clear"/>
            <w:vAlign w:val="center"/>
          </w:tcPr>
          <w:p>
            <w:pPr>
              <w:pStyle w:val="TableContents"/>
              <w:bidi w:val="0"/>
              <w:spacing w:before="0" w:after="283"/>
              <w:jc w:val="left"/>
              <w:rPr/>
            </w:pPr>
            <w:r>
              <w:rPr>
                <w:position w:val="8"/>
                <w:sz w:val="19"/>
              </w:rPr>
              <w:t>12</w:t>
            </w:r>
            <w:r>
              <w:rPr/>
              <w:t> </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995"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220"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1,193,678</w:t>
            </w:r>
          </w:p>
        </w:tc>
        <w:tc>
          <w:tcPr>
            <w:tcW w:w="75"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9960" w:type="dxa"/>
            <w:tcBorders/>
            <w:vAlign w:val="center"/>
          </w:tcPr>
          <w:p>
            <w:pPr>
              <w:pStyle w:val="TableContents"/>
              <w:bidi w:val="0"/>
              <w:spacing w:before="0" w:after="283"/>
              <w:jc w:val="left"/>
              <w:rPr>
                <w:color w:val="231F20"/>
              </w:rPr>
            </w:pPr>
            <w:r>
              <w:rPr>
                <w:color w:val="231F20"/>
              </w:rPr>
              <w:t>For purposes of these calculations, (i) we used Dr. Schleifer’s 2024 base salary and the annual cash incentives paid to Dr. Schleifer for performance in 2021, 2022, and 2023, respectively; (ii) we assumed that Dr. Schleifer received his annual cash incentive that was earned in 2024 and paid in 2025 (described in the Summary Compensation Table above); (iii) we assumed a 9.0% annual increase in medical premiums, 4% annual increase in dental premiums, and no increase in annual disability or life insurance premiums; (iv) we assumed that the medical and dental insurance benefits received in 2025, 2026, and 2027 would be taxable and that Dr. Schleifer would be eligible for a tax gross-up for these benefits under the terms of his employment agreement; (v) although Dr. Schleifer’s employment agreement provides for restrictive covenants, including a six-month non-compete obligation, no specific value has been ascribed to these covenants solely for purposes of assessing excise tax liabilities and potential cutbacks; and (vi) although certain payments to Dr. Schleifer would be subject to potential delays upon separation of service under Section 409A, we did not attempt to determine which, if any, payments would be delayed or revise the values to reflect any such delay.</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9960" w:type="dxa"/>
            <w:tcBorders/>
            <w:vAlign w:val="center"/>
          </w:tcPr>
          <w:p>
            <w:pPr>
              <w:pStyle w:val="TableContents"/>
              <w:bidi w:val="0"/>
              <w:spacing w:before="0" w:after="283"/>
              <w:jc w:val="left"/>
              <w:rPr>
                <w:color w:val="231F20"/>
              </w:rPr>
            </w:pPr>
            <w:r>
              <w:rPr>
                <w:color w:val="231F20"/>
              </w:rPr>
              <w:t>Equal to three times the sum of (a) Dr. Schleifer’s 2024 base salary and (b) the average annual cash incentive paid to Dr. Schleifer for performance in the three completed years prior to the termination date. For purposes of this calculation, we used Dr. Schleifer’s annual cash incentives for performance in 2021, 2022, and 2023.</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9960" w:type="dxa"/>
            <w:tcBorders/>
            <w:vAlign w:val="center"/>
          </w:tcPr>
          <w:p>
            <w:pPr>
              <w:pStyle w:val="TableContents"/>
              <w:bidi w:val="0"/>
              <w:spacing w:before="0" w:after="283"/>
              <w:jc w:val="left"/>
              <w:rPr>
                <w:color w:val="231F20"/>
              </w:rPr>
            </w:pPr>
            <w:r>
              <w:rPr>
                <w:color w:val="231F20"/>
              </w:rPr>
              <w:t>Equal to the estimated cost of providing Dr. Schleifer and his dependents medical, dental, and life insurance benefits for 36 months.</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9960" w:type="dxa"/>
            <w:tcBorders/>
            <w:vAlign w:val="center"/>
          </w:tcPr>
          <w:p>
            <w:pPr>
              <w:pStyle w:val="TableContents"/>
              <w:bidi w:val="0"/>
              <w:spacing w:before="0" w:after="283"/>
              <w:jc w:val="left"/>
              <w:rPr>
                <w:color w:val="231F20"/>
              </w:rPr>
            </w:pPr>
            <w:r>
              <w:rPr>
                <w:color w:val="231F20"/>
              </w:rPr>
              <w:t>We maintain $1 million of term life insurance covering Dr. Schleifer payable to his designated beneficiary.</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9960" w:type="dxa"/>
            <w:tcBorders/>
            <w:vAlign w:val="center"/>
          </w:tcPr>
          <w:p>
            <w:pPr>
              <w:pStyle w:val="TableContents"/>
              <w:bidi w:val="0"/>
              <w:spacing w:before="0" w:after="283"/>
              <w:jc w:val="left"/>
              <w:rPr>
                <w:color w:val="231F20"/>
              </w:rPr>
            </w:pPr>
            <w:r>
              <w:rPr>
                <w:color w:val="231F20"/>
              </w:rPr>
              <w:t>Equal to the value of 620,270 PSUs from his 2020 grant (i.e., the maximum payout) that were earned as of December 31, 2024 (but remained subject to time-based vesting) multiplied by a closing price of $712.33 of the Company’s common stock on the Nasdaq Global Select Market on December 31, 2024.</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6</w:t>
            </w:r>
          </w:p>
        </w:tc>
        <w:tc>
          <w:tcPr>
            <w:tcW w:w="9960" w:type="dxa"/>
            <w:tcBorders/>
            <w:vAlign w:val="center"/>
          </w:tcPr>
          <w:p>
            <w:pPr>
              <w:pStyle w:val="TableContents"/>
              <w:bidi w:val="0"/>
              <w:spacing w:before="0" w:after="283"/>
              <w:jc w:val="left"/>
              <w:rPr>
                <w:color w:val="231F20"/>
              </w:rPr>
            </w:pPr>
            <w:r>
              <w:rPr>
                <w:color w:val="231F20"/>
              </w:rPr>
              <w:t>Under Dr. Schleifer’s employment agreement, if payments due in connection with a change of control are subject to excise taxes under Section 280G of the Internal Revenue Code, we will cut back the payments if the excise tax can be eliminated by reducing his cash severance payments and benefits by less than 10%. Otherwise, we will pay him an additional “gross up” amount so that his after-tax benefits are the same as though no excise tax had been applied. We have determined that Dr. Schleifer would not have been subject to excise taxes if he had been terminated on December 31, 2024 as a result of a change of control.</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7</w:t>
            </w:r>
          </w:p>
        </w:tc>
        <w:tc>
          <w:tcPr>
            <w:tcW w:w="9960" w:type="dxa"/>
            <w:tcBorders/>
            <w:vAlign w:val="center"/>
          </w:tcPr>
          <w:p>
            <w:pPr>
              <w:pStyle w:val="TableContents"/>
              <w:bidi w:val="0"/>
              <w:spacing w:before="0" w:after="283"/>
              <w:jc w:val="left"/>
              <w:rPr>
                <w:color w:val="231F20"/>
              </w:rPr>
            </w:pPr>
            <w:r>
              <w:rPr>
                <w:color w:val="231F20"/>
              </w:rPr>
              <w:t>Equal to 1.25 times the sum of (a) Dr. Schleifer’s 2024 base salary and (b) the average annual cash incentive paid to Dr. Schleifer for performance in the three completed years prior to the termination date. For purposes of this calculation, we used Dr. Schleifer’s year-end cash incentive awards for performance in 2021, 2022, and 2023.</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8</w:t>
            </w:r>
          </w:p>
        </w:tc>
        <w:tc>
          <w:tcPr>
            <w:tcW w:w="9960" w:type="dxa"/>
            <w:tcBorders/>
            <w:vAlign w:val="center"/>
          </w:tcPr>
          <w:p>
            <w:pPr>
              <w:pStyle w:val="TableContents"/>
              <w:bidi w:val="0"/>
              <w:spacing w:before="0" w:after="283"/>
              <w:jc w:val="left"/>
              <w:rPr>
                <w:color w:val="231F20"/>
              </w:rPr>
            </w:pPr>
            <w:r>
              <w:rPr>
                <w:color w:val="231F20"/>
              </w:rPr>
              <w:t>Equal to the estimated cost of providing Dr. Schleifer and his dependents medical, dental, and life insurance benefits for 18 months.</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9</w:t>
            </w:r>
          </w:p>
        </w:tc>
        <w:tc>
          <w:tcPr>
            <w:tcW w:w="9960" w:type="dxa"/>
            <w:tcBorders/>
            <w:vAlign w:val="center"/>
          </w:tcPr>
          <w:p>
            <w:pPr>
              <w:pStyle w:val="TableContents"/>
              <w:bidi w:val="0"/>
              <w:spacing w:before="0" w:after="283"/>
              <w:jc w:val="left"/>
              <w:rPr>
                <w:color w:val="231F20"/>
              </w:rPr>
            </w:pPr>
            <w:r>
              <w:rPr>
                <w:color w:val="231F20"/>
              </w:rPr>
              <w:t>Equal to the estimated cost of providing Dr. Schleifer’s dependents medical and dental benefits for 18 months.</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10</w:t>
            </w:r>
          </w:p>
        </w:tc>
        <w:tc>
          <w:tcPr>
            <w:tcW w:w="9960" w:type="dxa"/>
            <w:tcBorders/>
            <w:vAlign w:val="center"/>
          </w:tcPr>
          <w:p>
            <w:pPr>
              <w:pStyle w:val="TableContents"/>
              <w:bidi w:val="0"/>
              <w:spacing w:before="0" w:after="283"/>
              <w:jc w:val="left"/>
              <w:rPr>
                <w:color w:val="231F20"/>
              </w:rPr>
            </w:pPr>
            <w:r>
              <w:rPr>
                <w:color w:val="231F20"/>
              </w:rPr>
              <w:t>As discussed in “Compensation Dashboard—Additional Compensation Information—Potential Severance Payments,” unvested stock options held by any employee (including Dr. Schleifer) become immediately exercisable upon his or her death. However, since all of Dr. Schleifer’s options are currently exercisable, there is no additional value for stock option acceleration. In addition, any PSUs held by Dr. Schleifer will remain outstanding upon his death, and any vesting or forfeiture of such PSUs will be determined following the completion of the applicable performance period as it otherwise would have been determined if he remained employed by the Company for the duration of such performance period.</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11</w:t>
            </w:r>
          </w:p>
        </w:tc>
        <w:tc>
          <w:tcPr>
            <w:tcW w:w="9960" w:type="dxa"/>
            <w:tcBorders/>
            <w:vAlign w:val="center"/>
          </w:tcPr>
          <w:p>
            <w:pPr>
              <w:pStyle w:val="TableContents"/>
              <w:bidi w:val="0"/>
              <w:spacing w:before="0" w:after="283"/>
              <w:jc w:val="left"/>
              <w:rPr>
                <w:color w:val="231F20"/>
              </w:rPr>
            </w:pPr>
            <w:r>
              <w:rPr>
                <w:color w:val="231F20"/>
              </w:rPr>
              <w:t>Represents 35% of Dr. Schleifer’s 2024 salary over a period of 18 months. We have assumed long-term disability coverage exists pursuant to Dr. Schleifer’s employment agreement for the remaining 65% of Dr. Schleifer’s salary.</w:t>
            </w:r>
          </w:p>
        </w:tc>
      </w:tr>
      <w:tr>
        <w:trPr/>
        <w:tc>
          <w:tcPr>
            <w:tcW w:w="245" w:type="dxa"/>
            <w:tcBorders/>
            <w:vAlign w:val="center"/>
          </w:tcPr>
          <w:p>
            <w:pPr>
              <w:pStyle w:val="TableContents"/>
              <w:bidi w:val="0"/>
              <w:spacing w:before="0" w:after="283"/>
              <w:jc w:val="left"/>
              <w:rPr>
                <w:color w:val="010101"/>
                <w:position w:val="8"/>
                <w:sz w:val="19"/>
              </w:rPr>
            </w:pPr>
            <w:r>
              <w:rPr>
                <w:color w:val="010101"/>
                <w:position w:val="8"/>
                <w:sz w:val="19"/>
              </w:rPr>
              <w:t>12</w:t>
            </w:r>
          </w:p>
        </w:tc>
        <w:tc>
          <w:tcPr>
            <w:tcW w:w="9960" w:type="dxa"/>
            <w:tcBorders/>
            <w:vAlign w:val="center"/>
          </w:tcPr>
          <w:p>
            <w:pPr>
              <w:pStyle w:val="TableContents"/>
              <w:bidi w:val="0"/>
              <w:spacing w:before="0" w:after="283"/>
              <w:jc w:val="left"/>
              <w:rPr>
                <w:color w:val="231F20"/>
              </w:rPr>
            </w:pPr>
            <w:r>
              <w:rPr>
                <w:color w:val="231F20"/>
              </w:rPr>
              <w:t xml:space="preserve">In the case of a termination of Dr. Schleifer’s employment due to disability, (i) any unvested stock options would continue to vest in accordance with the terms of the applicable award grant and he would be entitled to exercise all outstanding stock options throughout their original term, and (ii) any PSUs held by Dr. Schleifer would remain outstanding (with vesting and forfeiture determined in the manner set forth in the applicable award agreement).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33"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14" descr=""/>
                          <pic:cNvPicPr>
                            <a:picLocks noChangeAspect="1" noChangeArrowheads="1"/>
                          </pic:cNvPicPr>
                        </pic:nvPicPr>
                        <pic:blipFill>
                          <a:blip r:embed="rId326"/>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TextBody"/>
        <w:bidi w:val="0"/>
        <w:spacing w:before="0" w:after="0"/>
        <w:ind w:left="0" w:right="0" w:hanging="0"/>
        <w:jc w:val="left"/>
        <w:rPr>
          <w:rFonts w:ascii="Arial;Helvetica;Sans-Serif" w:hAnsi="Arial;Helvetica;Sans-Serif"/>
          <w:b/>
          <w:i/>
          <w:caps w:val="false"/>
          <w:smallCaps w:val="false"/>
          <w:color w:val="C60C45"/>
          <w:sz w:val="18"/>
        </w:rPr>
      </w:pPr>
      <w:r>
        <w:rPr>
          <w:rFonts w:ascii="Arial;Helvetica;Sans-Serif" w:hAnsi="Arial;Helvetica;Sans-Serif"/>
          <w:b/>
          <w:i/>
          <w:caps w:val="false"/>
          <w:smallCaps w:val="false"/>
          <w:color w:val="C60C45"/>
          <w:sz w:val="18"/>
        </w:rPr>
        <w:t>Change in Control Severance Plan</w:t>
      </w:r>
    </w:p>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Each of the current NEOs, other than our CEO, participates in our change in control severance plan that was adopted by the board of directors on January 20, 2006. The purposes of the plan are (i) 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 On November 14, 2008, the change in control severance plan was amended and restated to bring it into compliance with Section 409A.</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Under the plan, each participant is entitled to receive a cash severance payment in an amount equal to one, or, in designated cases, including with respect to the NEOs other than Dr. Schleifer, two times the sum of the participant’s annual base salary and his or her average annual cash incentive over the prior three years if, within two years after or 180 days before a change in control, either the participant resigns his or her employment for Good Reason (as defined in the plan) or the participant’s employment is terminated by the Company for any reason other than Cause (as defined in the plan). This amount will be paid in a lump-sum severance payment. A participant so terminated is also entitled to receive a pro-rata annual cash incentive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his or her employment with the Company.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the event that a plan participant resigns his or her employment for Good Reason (which generally conforms to the definition in Section 409A), or the participant’s employment is terminated by the Company for any reason other than Cause, in either case within two years after or 180 days before a change in control, then, unless otherwise provided in an award agreement,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30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shows the potential payments to our current NEOs (other than (i) our CEO and (ii) our former CFO, who retired from the Company in 2024), upon their hypothetical termination (other than for Cause) or resignation for Good Reason, in the two years following, or the 180 days prior to, a change in control. The information in the table below assumes an effective termination or resignation date of December 31, 2024 and is further based on the assumptions set forth in the footnotes to the table; actual values and amounts may differ from those presented below.</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34"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15" descr=""/>
                          <pic:cNvPicPr>
                            <a:picLocks noChangeAspect="1" noChangeArrowheads="1"/>
                          </pic:cNvPicPr>
                        </pic:nvPicPr>
                        <pic:blipFill>
                          <a:blip r:embed="rId327"/>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C60C44"/>
        </w:rPr>
      </w:pPr>
      <w:r>
        <w:rPr>
          <w:caps w:val="false"/>
          <w:smallCaps w:val="false"/>
          <w:color w:val="C60C44"/>
        </w:rPr>
        <w:t> </w:t>
      </w:r>
    </w:p>
    <w:p>
      <w:pPr>
        <w:pStyle w:val="Heading5"/>
        <w:bidi w:val="0"/>
        <w:spacing w:before="0" w:after="0"/>
        <w:ind w:left="0" w:right="0" w:hanging="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Potential Payments under Change in Control Severance Plan</w:t>
      </w:r>
    </w:p>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10170" w:type="dxa"/>
        <w:jc w:val="left"/>
        <w:tblInd w:w="0" w:type="dxa"/>
        <w:tblLayout w:type="fixed"/>
        <w:tblCellMar>
          <w:top w:w="0" w:type="dxa"/>
          <w:left w:w="0" w:type="dxa"/>
          <w:bottom w:w="28" w:type="dxa"/>
          <w:right w:w="0" w:type="dxa"/>
        </w:tblCellMar>
      </w:tblPr>
      <w:tblGrid>
        <w:gridCol w:w="3800"/>
        <w:gridCol w:w="60"/>
        <w:gridCol w:w="1100"/>
        <w:gridCol w:w="60"/>
        <w:gridCol w:w="1355"/>
        <w:gridCol w:w="60"/>
        <w:gridCol w:w="1460"/>
        <w:gridCol w:w="60"/>
        <w:gridCol w:w="920"/>
        <w:gridCol w:w="60"/>
        <w:gridCol w:w="1235"/>
      </w:tblGrid>
      <w:tr>
        <w:trPr/>
        <w:tc>
          <w:tcPr>
            <w:tcW w:w="3800" w:type="dxa"/>
            <w:tcBorders>
              <w:bottom w:val="single" w:sz="12" w:space="0" w:color="325AA4"/>
            </w:tcBorders>
            <w:vAlign w:val="center"/>
          </w:tcPr>
          <w:p>
            <w:pPr>
              <w:pStyle w:val="TableContents"/>
              <w:bidi w:val="0"/>
              <w:spacing w:before="0" w:after="283"/>
              <w:jc w:val="left"/>
              <w:rPr/>
            </w:pPr>
            <w:r>
              <w:rPr/>
              <w:t> </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100" w:type="dxa"/>
            <w:tcBorders>
              <w:bottom w:val="single" w:sz="12" w:space="0" w:color="325AA4"/>
            </w:tcBorders>
            <w:vAlign w:val="center"/>
          </w:tcPr>
          <w:p>
            <w:pPr>
              <w:pStyle w:val="TableContents"/>
              <w:bidi w:val="0"/>
              <w:spacing w:before="0" w:after="283"/>
              <w:jc w:val="right"/>
              <w:rPr>
                <w:color w:val="3B5AA4"/>
              </w:rPr>
            </w:pPr>
            <w:r>
              <w:rPr>
                <w:color w:val="3B5AA4"/>
              </w:rPr>
              <w:t>Cash</w:t>
              <w:br/>
              <w:t>Severance</w:t>
            </w:r>
            <w:r>
              <w:rPr>
                <w:color w:val="3B5AA4"/>
                <w:position w:val="8"/>
                <w:sz w:val="19"/>
              </w:rPr>
              <w:t>1</w:t>
            </w:r>
            <w:r>
              <w:rPr>
                <w:color w:val="3B5AA4"/>
              </w:rPr>
              <w:br/>
              <w:t>($)</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355" w:type="dxa"/>
            <w:tcBorders>
              <w:bottom w:val="single" w:sz="12" w:space="0" w:color="325AA4"/>
            </w:tcBorders>
            <w:vAlign w:val="center"/>
          </w:tcPr>
          <w:p>
            <w:pPr>
              <w:pStyle w:val="TableContents"/>
              <w:bidi w:val="0"/>
              <w:spacing w:before="0" w:after="283"/>
              <w:jc w:val="right"/>
              <w:rPr>
                <w:color w:val="3B5AA4"/>
              </w:rPr>
            </w:pPr>
            <w:r>
              <w:rPr>
                <w:color w:val="3B5AA4"/>
              </w:rPr>
              <w:t>Benefits</w:t>
              <w:br/>
              <w:t>Continuation</w:t>
            </w:r>
            <w:r>
              <w:rPr>
                <w:color w:val="3B5AA4"/>
                <w:position w:val="8"/>
                <w:sz w:val="19"/>
              </w:rPr>
              <w:t>2</w:t>
            </w:r>
            <w:r>
              <w:rPr>
                <w:color w:val="3B5AA4"/>
              </w:rPr>
              <w:br/>
              <w:t>($)</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460" w:type="dxa"/>
            <w:tcBorders>
              <w:bottom w:val="single" w:sz="12" w:space="0" w:color="325AA4"/>
            </w:tcBorders>
            <w:vAlign w:val="center"/>
          </w:tcPr>
          <w:p>
            <w:pPr>
              <w:pStyle w:val="TableContents"/>
              <w:bidi w:val="0"/>
              <w:spacing w:before="0" w:after="283"/>
              <w:jc w:val="right"/>
              <w:rPr>
                <w:color w:val="3B5AA4"/>
              </w:rPr>
            </w:pPr>
            <w:r>
              <w:rPr>
                <w:color w:val="3B5AA4"/>
              </w:rPr>
              <w:t>Value of</w:t>
              <w:br/>
              <w:t>Accelerated</w:t>
              <w:br/>
              <w:t>Stock</w:t>
              <w:br/>
              <w:t>Options/RSAs/</w:t>
              <w:br/>
              <w:t>PSUs</w:t>
            </w:r>
            <w:r>
              <w:rPr>
                <w:color w:val="3B5AA4"/>
                <w:position w:val="8"/>
                <w:sz w:val="19"/>
              </w:rPr>
              <w:t>3</w:t>
            </w:r>
            <w:r>
              <w:rPr>
                <w:color w:val="3B5AA4"/>
              </w:rPr>
              <w:br/>
              <w:t>($)</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920" w:type="dxa"/>
            <w:tcBorders>
              <w:bottom w:val="single" w:sz="12" w:space="0" w:color="325AA4"/>
            </w:tcBorders>
            <w:vAlign w:val="center"/>
          </w:tcPr>
          <w:p>
            <w:pPr>
              <w:pStyle w:val="TableContents"/>
              <w:bidi w:val="0"/>
              <w:spacing w:before="0" w:after="283"/>
              <w:jc w:val="right"/>
              <w:rPr>
                <w:color w:val="3B5AA4"/>
              </w:rPr>
            </w:pPr>
            <w:r>
              <w:rPr>
                <w:color w:val="3B5AA4"/>
              </w:rPr>
              <w:t>Cutback</w:t>
            </w:r>
            <w:r>
              <w:rPr>
                <w:color w:val="3B5AA4"/>
                <w:position w:val="8"/>
                <w:sz w:val="19"/>
              </w:rPr>
              <w:t>4</w:t>
            </w:r>
            <w:r>
              <w:rPr>
                <w:color w:val="3B5AA4"/>
              </w:rPr>
              <w:br/>
              <w:t>($)</w:t>
            </w:r>
          </w:p>
        </w:tc>
        <w:tc>
          <w:tcPr>
            <w:tcW w:w="60" w:type="dxa"/>
            <w:tcBorders>
              <w:bottom w:val="single" w:sz="12" w:space="0" w:color="325AA4"/>
            </w:tcBorders>
            <w:vAlign w:val="center"/>
          </w:tcPr>
          <w:p>
            <w:pPr>
              <w:pStyle w:val="TableContents"/>
              <w:bidi w:val="0"/>
              <w:spacing w:before="0" w:after="283"/>
              <w:jc w:val="left"/>
              <w:rPr>
                <w:color w:val="3B5AA4"/>
              </w:rPr>
            </w:pPr>
            <w:r>
              <w:rPr>
                <w:color w:val="3B5AA4"/>
              </w:rPr>
              <w:t> </w:t>
            </w:r>
          </w:p>
        </w:tc>
        <w:tc>
          <w:tcPr>
            <w:tcW w:w="1235" w:type="dxa"/>
            <w:tcBorders>
              <w:bottom w:val="single" w:sz="12" w:space="0" w:color="325AA4"/>
            </w:tcBorders>
            <w:vAlign w:val="center"/>
          </w:tcPr>
          <w:p>
            <w:pPr>
              <w:pStyle w:val="TableContents"/>
              <w:bidi w:val="0"/>
              <w:spacing w:before="0" w:after="283"/>
              <w:jc w:val="right"/>
              <w:rPr>
                <w:color w:val="3B5AA4"/>
              </w:rPr>
            </w:pPr>
            <w:r>
              <w:rPr>
                <w:color w:val="3B5AA4"/>
              </w:rPr>
              <w:t>Total</w:t>
              <w:br/>
              <w:t>Amount</w:t>
            </w:r>
            <w:r>
              <w:rPr>
                <w:color w:val="3B5AA4"/>
                <w:position w:val="8"/>
                <w:sz w:val="19"/>
              </w:rPr>
              <w:t>5</w:t>
            </w:r>
            <w:r>
              <w:rPr>
                <w:color w:val="3B5AA4"/>
              </w:rPr>
              <w:br/>
              <w:t>($)</w:t>
            </w:r>
          </w:p>
        </w:tc>
      </w:tr>
      <w:tr>
        <w:trPr/>
        <w:tc>
          <w:tcPr>
            <w:tcW w:w="3800" w:type="dxa"/>
            <w:tcBorders>
              <w:bottom w:val="single" w:sz="2" w:space="0" w:color="CCCCCC"/>
            </w:tcBorders>
            <w:vAlign w:val="center"/>
          </w:tcPr>
          <w:p>
            <w:pPr>
              <w:pStyle w:val="TableContents"/>
              <w:bidi w:val="0"/>
              <w:spacing w:before="0" w:after="283"/>
              <w:jc w:val="left"/>
              <w:rPr>
                <w:b/>
                <w:color w:val="3B5AA4"/>
              </w:rPr>
            </w:pPr>
            <w:r>
              <w:rPr>
                <w:b/>
                <w:color w:val="3B5AA4"/>
              </w:rPr>
              <w:t>George D. Yancopoulos, M.D., Ph.D.</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vAlign w:val="center"/>
          </w:tcPr>
          <w:p>
            <w:pPr>
              <w:pStyle w:val="TableContents"/>
              <w:bidi w:val="0"/>
              <w:spacing w:before="0" w:after="283"/>
              <w:jc w:val="right"/>
              <w:rPr>
                <w:color w:val="231F20"/>
              </w:rPr>
            </w:pPr>
            <w:r>
              <w:rPr>
                <w:color w:val="231F20"/>
              </w:rPr>
              <w:t>12,174,119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355" w:type="dxa"/>
            <w:tcBorders>
              <w:bottom w:val="single" w:sz="2" w:space="0" w:color="CCCCCC"/>
            </w:tcBorders>
            <w:vAlign w:val="center"/>
          </w:tcPr>
          <w:p>
            <w:pPr>
              <w:pStyle w:val="TableContents"/>
              <w:bidi w:val="0"/>
              <w:spacing w:before="0" w:after="283"/>
              <w:jc w:val="right"/>
              <w:rPr>
                <w:color w:val="231F20"/>
              </w:rPr>
            </w:pPr>
            <w:r>
              <w:rPr>
                <w:color w:val="231F20"/>
              </w:rPr>
              <w:t>116,005</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460" w:type="dxa"/>
            <w:tcBorders>
              <w:bottom w:val="single" w:sz="2" w:space="0" w:color="CCCCCC"/>
            </w:tcBorders>
            <w:vAlign w:val="center"/>
          </w:tcPr>
          <w:p>
            <w:pPr>
              <w:pStyle w:val="TableContents"/>
              <w:bidi w:val="0"/>
              <w:spacing w:before="0" w:after="283"/>
              <w:jc w:val="right"/>
              <w:rPr>
                <w:color w:val="231F20"/>
              </w:rPr>
            </w:pPr>
            <w:r>
              <w:rPr>
                <w:color w:val="231F20"/>
              </w:rPr>
              <w:t>441,836,929</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920" w:type="dxa"/>
            <w:tcBorders>
              <w:bottom w:val="single" w:sz="2" w:space="0" w:color="CCCCCC"/>
            </w:tcBorders>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vAlign w:val="center"/>
          </w:tcPr>
          <w:p>
            <w:pPr>
              <w:pStyle w:val="TableContents"/>
              <w:bidi w:val="0"/>
              <w:spacing w:before="0" w:after="283"/>
              <w:jc w:val="left"/>
              <w:rPr>
                <w:color w:val="231F20"/>
              </w:rPr>
            </w:pPr>
            <w:r>
              <w:rPr>
                <w:color w:val="231F20"/>
              </w:rPr>
              <w:t> </w:t>
            </w:r>
          </w:p>
        </w:tc>
        <w:tc>
          <w:tcPr>
            <w:tcW w:w="1235" w:type="dxa"/>
            <w:tcBorders>
              <w:bottom w:val="single" w:sz="2" w:space="0" w:color="CCCCCC"/>
            </w:tcBorders>
            <w:vAlign w:val="center"/>
          </w:tcPr>
          <w:p>
            <w:pPr>
              <w:pStyle w:val="TableContents"/>
              <w:bidi w:val="0"/>
              <w:spacing w:before="0" w:after="283"/>
              <w:jc w:val="right"/>
              <w:rPr>
                <w:color w:val="231F20"/>
              </w:rPr>
            </w:pPr>
            <w:r>
              <w:rPr>
                <w:color w:val="231F20"/>
              </w:rPr>
              <w:t>454,127,053</w:t>
            </w:r>
          </w:p>
        </w:tc>
      </w:tr>
      <w:tr>
        <w:trPr/>
        <w:tc>
          <w:tcPr>
            <w:tcW w:w="3800" w:type="dxa"/>
            <w:tcBorders>
              <w:bottom w:val="single" w:sz="2" w:space="0" w:color="CCCCCC"/>
            </w:tcBorders>
            <w:shd w:fill="EBEBEC" w:val="clear"/>
            <w:vAlign w:val="center"/>
          </w:tcPr>
          <w:p>
            <w:pPr>
              <w:pStyle w:val="TableContents"/>
              <w:bidi w:val="0"/>
              <w:spacing w:before="0" w:after="283"/>
              <w:jc w:val="left"/>
              <w:rPr>
                <w:b/>
                <w:color w:val="3B5AA4"/>
              </w:rPr>
            </w:pPr>
            <w:r>
              <w:rPr>
                <w:b/>
                <w:color w:val="3B5AA4"/>
              </w:rPr>
              <w:t>Christopher Fenimore</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2,080,228</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35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200,503</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46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5,016,161</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92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 </w:t>
            </w:r>
          </w:p>
        </w:tc>
        <w:tc>
          <w:tcPr>
            <w:tcW w:w="123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7,296,892</w:t>
            </w:r>
          </w:p>
        </w:tc>
      </w:tr>
      <w:tr>
        <w:trPr/>
        <w:tc>
          <w:tcPr>
            <w:tcW w:w="3800" w:type="dxa"/>
            <w:tcBorders>
              <w:bottom w:val="single" w:sz="2" w:space="0" w:color="CCCCCC"/>
            </w:tcBorders>
            <w:shd w:fill="FFFFFF" w:val="clear"/>
            <w:vAlign w:val="center"/>
          </w:tcPr>
          <w:p>
            <w:pPr>
              <w:pStyle w:val="TableContents"/>
              <w:bidi w:val="0"/>
              <w:spacing w:before="0" w:after="283"/>
              <w:jc w:val="left"/>
              <w:rPr>
                <w:b/>
                <w:color w:val="3B5AA4"/>
              </w:rPr>
            </w:pPr>
            <w:r>
              <w:rPr>
                <w:b/>
                <w:color w:val="3B5AA4"/>
              </w:rPr>
              <w:t>Daniel P. Van Plew</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100"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3,929,542</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355"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195,336</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460"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11,547,074</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920"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FFFFFF" w:val="clear"/>
            <w:vAlign w:val="center"/>
          </w:tcPr>
          <w:p>
            <w:pPr>
              <w:pStyle w:val="TableContents"/>
              <w:bidi w:val="0"/>
              <w:spacing w:before="0" w:after="283"/>
              <w:jc w:val="left"/>
              <w:rPr>
                <w:color w:val="231F20"/>
              </w:rPr>
            </w:pPr>
            <w:r>
              <w:rPr>
                <w:color w:val="231F20"/>
              </w:rPr>
              <w:t> </w:t>
            </w:r>
          </w:p>
        </w:tc>
        <w:tc>
          <w:tcPr>
            <w:tcW w:w="1235" w:type="dxa"/>
            <w:tcBorders>
              <w:bottom w:val="single" w:sz="2" w:space="0" w:color="CCCCCC"/>
            </w:tcBorders>
            <w:shd w:fill="FFFFFF" w:val="clear"/>
            <w:vAlign w:val="center"/>
          </w:tcPr>
          <w:p>
            <w:pPr>
              <w:pStyle w:val="TableContents"/>
              <w:bidi w:val="0"/>
              <w:spacing w:before="0" w:after="283"/>
              <w:jc w:val="right"/>
              <w:rPr>
                <w:color w:val="231F20"/>
              </w:rPr>
            </w:pPr>
            <w:r>
              <w:rPr>
                <w:color w:val="231F20"/>
              </w:rPr>
              <w:t>15,671,952</w:t>
            </w:r>
          </w:p>
        </w:tc>
      </w:tr>
      <w:tr>
        <w:trPr/>
        <w:tc>
          <w:tcPr>
            <w:tcW w:w="3800" w:type="dxa"/>
            <w:tcBorders>
              <w:bottom w:val="single" w:sz="12" w:space="0" w:color="325AA4"/>
            </w:tcBorders>
            <w:shd w:fill="EBEBEC" w:val="clear"/>
            <w:vAlign w:val="center"/>
          </w:tcPr>
          <w:p>
            <w:pPr>
              <w:pStyle w:val="TableContents"/>
              <w:bidi w:val="0"/>
              <w:spacing w:before="0" w:after="283"/>
              <w:jc w:val="left"/>
              <w:rPr>
                <w:b/>
                <w:color w:val="3B5AA4"/>
              </w:rPr>
            </w:pPr>
            <w:r>
              <w:rPr>
                <w:b/>
                <w:color w:val="3B5AA4"/>
              </w:rPr>
              <w:t>Andrew J. Murphy, Ph.D.</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100"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3,304,266</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355"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133,507</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460"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13,626,617</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920"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12" w:space="0" w:color="325AA4"/>
            </w:tcBorders>
            <w:shd w:fill="EBEBEC" w:val="clear"/>
            <w:vAlign w:val="center"/>
          </w:tcPr>
          <w:p>
            <w:pPr>
              <w:pStyle w:val="TableContents"/>
              <w:bidi w:val="0"/>
              <w:spacing w:before="0" w:after="283"/>
              <w:jc w:val="left"/>
              <w:rPr>
                <w:color w:val="231F20"/>
              </w:rPr>
            </w:pPr>
            <w:r>
              <w:rPr>
                <w:color w:val="231F20"/>
              </w:rPr>
              <w:t> </w:t>
            </w:r>
          </w:p>
        </w:tc>
        <w:tc>
          <w:tcPr>
            <w:tcW w:w="1235" w:type="dxa"/>
            <w:tcBorders>
              <w:bottom w:val="single" w:sz="12" w:space="0" w:color="325AA4"/>
            </w:tcBorders>
            <w:shd w:fill="EBEBEC" w:val="clear"/>
            <w:vAlign w:val="center"/>
          </w:tcPr>
          <w:p>
            <w:pPr>
              <w:pStyle w:val="TableContents"/>
              <w:bidi w:val="0"/>
              <w:spacing w:before="0" w:after="283"/>
              <w:jc w:val="right"/>
              <w:rPr>
                <w:color w:val="231F20"/>
              </w:rPr>
            </w:pPr>
            <w:r>
              <w:rPr>
                <w:color w:val="231F20"/>
              </w:rPr>
              <w:t>17,064,390</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Equal to two times the sum of (a) the NEO’s 2024 base salary and (b) the average annual cash incentives paid to the NEO over the prior three years.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Equal to the estimated cost of providing each NEO and his dependents medical, dental, vision, disability, and life insurance coverage for 24 months, plus the estimated cost of providing each NEO tax and financial planning advisory services for 24 months.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10065" w:type="dxa"/>
            <w:tcBorders/>
            <w:vAlign w:val="center"/>
          </w:tcPr>
          <w:p>
            <w:pPr>
              <w:pStyle w:val="TableContents"/>
              <w:bidi w:val="0"/>
              <w:spacing w:before="0" w:after="283"/>
              <w:jc w:val="left"/>
              <w:rPr>
                <w:color w:val="231F20"/>
              </w:rPr>
            </w:pPr>
            <w:r>
              <w:rPr>
                <w:color w:val="231F20"/>
              </w:rPr>
              <w:t>For stock options, equal to the aggregate amount of the differences between the exercise prices of each NEO’s accelerated “in-the-money” stock options and the closing sales price per share of the Company’s common stock on the Nasdaq Global Select Market on December 31, 2024, of $712.33. In the case of Messrs. Fenimore and Van Plew and Dr. Murphy, the amounts also include the value as of December 31, 2024 of accelerated RSAs. In the case of Dr. Yancopoulos, the amount includes the value of 620,270 PSUs from his 2020 grant (i.e., the maximum payout) that were earned as of December 31, 2024 (but remained subject to time-based vesting) multiplied by a closing price of $712.33 of the Company’s common stock on the Nasdaq Global Select Market on December 31, 2024.</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10065" w:type="dxa"/>
            <w:tcBorders/>
            <w:vAlign w:val="center"/>
          </w:tcPr>
          <w:p>
            <w:pPr>
              <w:pStyle w:val="TableContents"/>
              <w:bidi w:val="0"/>
              <w:spacing w:before="0" w:after="283"/>
              <w:jc w:val="left"/>
              <w:rPr>
                <w:color w:val="231F20"/>
              </w:rPr>
            </w:pPr>
            <w:r>
              <w:rPr>
                <w:color w:val="231F20"/>
              </w:rPr>
              <w:t>We have determined (using the assumptions outlined in footnote 5) that none of the NEOs listed in the table above would have been subject to any cutbacks or excise taxes if terminated on December 31, 2024.</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10065" w:type="dxa"/>
            <w:tcBorders/>
            <w:vAlign w:val="center"/>
          </w:tcPr>
          <w:p>
            <w:pPr>
              <w:pStyle w:val="TableContents"/>
              <w:bidi w:val="0"/>
              <w:spacing w:before="0" w:after="283"/>
              <w:jc w:val="left"/>
              <w:rPr>
                <w:color w:val="231F20"/>
              </w:rPr>
            </w:pPr>
            <w:r>
              <w:rPr>
                <w:color w:val="231F20"/>
              </w:rPr>
              <w:t xml:space="preserve">For purposes of these calculations, (i) we used base salaries as of December 31, 2024, and annual cash incentives paid to the NEOs for performance in 2021, 2022, and 2023, respectively; (ii) we assumed that each NEO received his annual cash incentive that was earned in 2024 and paid in 2025 (described in the Summary Compensation Table above); (iii) we took into consideration, for purposes of determining whether each NEO was subject to a reduction under the terms of the change in control severance plan, the fact that each NEO’s equity awards may vest in full or in part following a change in control (parachute payments for time vesting stock options and restricted stock were valued using Internal Revenue Code Treas. Reg. Section 1.28G-1 Q&amp;A 24(c)); (iv) we assumed a 9.0% annual increase in medical premiums, 4% annual increase in dental premiums, 3% annual increase in vision premiums, and no increase in disability or life insurance premiums or employer cost of tax and financial planning advisory services for 2025 and 2026; (v) we assumed that the medical insurance benefits received in 2025 and 2026 would be taxable and that the NEOs would be eligible for a tax gross-up for these benefits under the terms of the change in control severance plan; (vi) although the change in control severance plan provides for restrictive covenants, including a one-year covenant prohibiting the solicitation of Company employees, no specific value has been ascribed to these covenants for purposes of assessing excise tax liabilities and potential cutbacks; and (vii) although certain payments to the NEOs would be subject to potential delays upon separation of service under Section 409A, we did not attempt to determine which, if any, payments would be delayed or revise the values to reflect any such delay. </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35"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16" descr=""/>
                          <pic:cNvPicPr>
                            <a:picLocks noChangeAspect="1" noChangeArrowheads="1"/>
                          </pic:cNvPicPr>
                        </pic:nvPicPr>
                        <pic:blipFill>
                          <a:blip r:embed="rId328"/>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3"/>
        <w:bidi w:val="0"/>
        <w:spacing w:before="0" w:after="0"/>
        <w:ind w:left="0" w:right="0" w:hanging="0"/>
        <w:jc w:val="left"/>
        <w:rPr>
          <w:rFonts w:ascii="Arial;Helvetica;Sans-Serif" w:hAnsi="Arial;Helvetica;Sans-Serif"/>
          <w:b/>
          <w:i w:val="false"/>
          <w:caps w:val="false"/>
          <w:smallCaps w:val="false"/>
          <w:color w:val="2864AF"/>
          <w:sz w:val="32"/>
        </w:rPr>
      </w:pPr>
      <w:bookmarkStart w:id="138" w:name="regn013211-def14aa081"/>
      <w:bookmarkStart w:id="139" w:name="lregnb033"/>
      <w:bookmarkEnd w:id="138"/>
      <w:bookmarkEnd w:id="139"/>
      <w:r>
        <w:rPr>
          <w:rFonts w:ascii="Arial;Helvetica;Sans-Serif" w:hAnsi="Arial;Helvetica;Sans-Serif"/>
          <w:b/>
          <w:i w:val="false"/>
          <w:caps w:val="false"/>
          <w:smallCaps w:val="false"/>
          <w:color w:val="2864AF"/>
          <w:sz w:val="32"/>
        </w:rPr>
        <w:t>Additional Compensation Information</w:t>
      </w:r>
    </w:p>
    <w:p>
      <w:pPr>
        <w:pStyle w:val="TextBody"/>
        <w:bidi w:val="0"/>
        <w:spacing w:before="0" w:after="0"/>
        <w:ind w:left="0" w:right="0" w:hanging="0"/>
        <w:jc w:val="left"/>
        <w:rPr>
          <w:caps w:val="false"/>
          <w:smallCaps w:val="false"/>
          <w:color w:val="DB0A67"/>
        </w:rPr>
      </w:pPr>
      <w:r>
        <w:rPr>
          <w:caps w:val="false"/>
          <w:smallCaps w:val="false"/>
          <w:color w:val="DB0A67"/>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40" w:name="regn013211-def14aa082"/>
      <w:bookmarkStart w:id="141" w:name="lregnb034"/>
      <w:bookmarkEnd w:id="140"/>
      <w:bookmarkEnd w:id="141"/>
      <w:r>
        <w:rPr>
          <w:rFonts w:ascii="Arial;Helvetica;Sans-Serif" w:hAnsi="Arial;Helvetica;Sans-Serif"/>
          <w:b/>
          <w:i w:val="false"/>
          <w:caps w:val="false"/>
          <w:smallCaps w:val="false"/>
          <w:color w:val="C60C45"/>
          <w:sz w:val="28"/>
        </w:rPr>
        <w:t>Annual Cash Incentives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originally adopted our Cash Incentive Bonus Plan for purposes of allowing our annual cash incentives to qualify as performance-based compensation under Section 162(m) of the Internal Revenue Code and permitting us to deduct cash incentive compensation that might otherwise not be deductible by reason of Section 162(m) (as in effect at the time of adoption). Although the Tax Cuts and Jobs Act eliminated the performance-based compensation exception for compensation, we have continued to use the Cash Incentive Bonus Plan for annual cash incentives because we believe it furthers our compensation philosophy and objectives regardless of tax treatment. For 2024 annual cash incentives for the current NEOs, in March 2024 the Compensation Committee set up a cash incentive pool under the Cash Incentive Bonus Plan; specified maximum allocations of such pool to the current NEOs and certain other senior executives; and established a R&amp;D-related performance goal consisting of (i) the submission of one or more Investigational New Drug Applications, Biologics License Applications, or supplemental Biologics License Applications with the FDA (or its equivalent outside the United States) or (ii) the approval of any regulatory filing of the type described in clause (i) by the FDA or the applicable regulatory authority outside the United States. In November 2024, the Compensation Committee determined that Regeneron’s performance in 2024 exceeded the established goal, thus enabling the funding of the cash incentive pool. The Compensation Committee then exercised “negative discretion” (as permitted under the Plan) to reduce the respective allocations of such pool for each current NEO. In exercising negative discretion for the current NEOs, the Compensation Committee determined that their annual cash incentives should be set consistent with the Company’s historical practice of using a formula that utilizes their respective cash incentive targets, a corporate performance component, and, if applicable, an individual performance component, as described below.</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targets for the 2024 annual cash incentives for the current NEOs were unchanged year over year and set as percentages of their respective base salaries as follows: Dr. Schleifer—120%; Dr. Yancopoulos—120%; Mr. Fenimore—60%; Mr. Van Plew—65%; and Dr. Murphy—65%.</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For 2024, Dr. Schleifer’s cash incentive target amount represented approximately the median of the Peer Group. In determining the cash incentive target for Dr. Yancopoulos, the Compensation Committee took into consideration the importance of his scientific leadership as President &amp; CSO and the significant contributions he has made to the success of the Company and, specifically, to the discovery and development of the Company’s commercial products, its pipeline of internally developed product candidates, and its platform technologies. The Compensation Committee determined that there were no meaningful comparative data for Dr. Yancopoulos relating to similarly situated executives and that his cash incentive target for 2024 would be set to equal Dr. Schleifer’s. In determining the cash incentive targets for 2024 for Messrs. Fenimore and Van Plew and Dr. Murphy, the Compensation Committee took into consideration the compensation of similarly situated executive officers at companies in the Peer Group.</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Other than with respect to Drs. Schleifer and Yancopoulos as discussed below, the cash incentives were determined through the use of both an individual and a Company performance component with a range of 0 to 1.5 for the personal performance multiplier and a range of 0 to 2.0 for the Company performance multiplier, depending upon performance during the year. Both the personal performance multiplier (if applicable) and the Company performance multiplier were determined by the Compensation Committee for each current NEO based on the Committee’s assessment of the Company’s performance in accordance with the framework described under the subsection “Compensation Discussion and Analysis—Components of Executive Pay: What We Pay and Why We Pay It—Annual Cash Incentives” and, in the case of each of Messrs. Fenimore and Van Plew and Dr. Murphy, the NEO’s personal performance during the year.</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With respect to 2024, the Compensation Committee approved a personal performance multiplier of 1.5 for Mr. Fenimore and Dr. Murphy and 1.4 for Mr. Van Plew. The personal performance component remained unchanged and accounted for 40% of these NEOs’ cash incentives. The Company component was based on a Company performance multiplier that was determined based on the Company’s overall corporate performance (as described below) in 2024, including against 2024 milestone goals that were presented to the board of directors in January 2024. This Company performance component also remained unchanged and accounted for 60% of the cash incentives awarded to Messrs. Fenimore and Van Plew and Dr. Murphy. In the case of Drs. Schleifer and Yancopoulos, consistent with prior practice the Compensation Committee focused exclusively on overall Company performance in 2024 when determining their cash incentives and did not utilize a personal performance multiplier.</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36"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17" descr=""/>
                          <pic:cNvPicPr>
                            <a:picLocks noChangeAspect="1" noChangeArrowheads="1"/>
                          </pic:cNvPicPr>
                        </pic:nvPicPr>
                        <pic:blipFill>
                          <a:blip r:embed="rId32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determining the annual cash incentive for Mr. Fenimore, the Compensation Committee gave special consideration to Mr. Fenimore’s leadership of and accomplishments in the Company’s accounting, finance, and tax functions and across his other responsibilities, including the successful execution of the Company’s capital allocation priorities in 2024 through investment in R&amp;D capabilities, funding of business development opportunities, and the return of cash to our shareholders through share buybacks. In the case of Mr. Van Plew, the Compensation Committee focused primarily on Mr.</w:t>
      </w:r>
      <w:r>
        <w:rPr>
          <w:rFonts w:ascii="Times New Roman;Times;Serif" w:hAnsi="Times New Roman;Times;Serif"/>
          <w:b w:val="false"/>
          <w:i w:val="false"/>
          <w:caps w:val="false"/>
          <w:smallCaps w:val="false"/>
          <w:color w:val="231F20"/>
          <w:sz w:val="18"/>
        </w:rPr>
        <w:t xml:space="preserve"> </w:t>
      </w:r>
      <w:r>
        <w:rPr>
          <w:rFonts w:ascii="Arial;Helvetica;Sans-Serif" w:hAnsi="Arial;Helvetica;Sans-Serif"/>
          <w:b w:val="false"/>
          <w:i w:val="false"/>
          <w:caps w:val="false"/>
          <w:smallCaps w:val="false"/>
          <w:color w:val="231F20"/>
          <w:sz w:val="18"/>
        </w:rPr>
        <w:t>Van Plew’s leadership of and accomplishments in the Company’s Industrial Operations and Product Supply organization, including preparations for new product launches and expanded manufacturing capabilities, while also taking into account the CRL issued by the FDA in respect of the Company’s BLA for linvoseltamab in relapsed/refractory multiple myeloma due to findings resulting from an inspection at a third-party fill/finish manufacturer. In the case of Dr. Murphy, the Compensation Committee considered the progress and continued expansion of the Company’s research and preclinical development pipeline, including several innovative research advances demonstrating potentially transformative first-in-class or best-in-class therapeutic approaches.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With respect to 2024, the Compensation Committee set the Company performance multiplier at 1.5. For a discussion of the framework that the Committee established and utilized in 2024 for its year-end assessment of Company performance and its determination of the Company performance multiplier, see the subsection “Compensation Discussion and Analysis—Components of Executive Pay: What We Pay and Why We Pay It—Annual Cash Incentives.” Under the framework, the Committee began its assessment with a review of performance across the entire organization to establish a baseline for the Company performance multiplier, taking into account the Company milestones for the year in review (discussed in the subsection “Compensation Discussion and Analysis—Components of Executive Pay: What We Pay and Why We Pay It —Annual Cash Incentives”) as well as the additional performance factors shown below.</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5273"/>
        <w:gridCol w:w="240"/>
        <w:gridCol w:w="240"/>
        <w:gridCol w:w="4452"/>
      </w:tblGrid>
      <w:tr>
        <w:trPr/>
        <w:tc>
          <w:tcPr>
            <w:tcW w:w="10205" w:type="dxa"/>
            <w:gridSpan w:val="4"/>
            <w:tcBorders/>
            <w:vAlign w:val="center"/>
          </w:tcPr>
          <w:p>
            <w:pPr>
              <w:pStyle w:val="TableContents"/>
              <w:bidi w:val="0"/>
              <w:spacing w:before="0" w:after="283"/>
              <w:jc w:val="left"/>
              <w:rPr>
                <w:b/>
                <w:color w:val="3B5AA4"/>
                <w:sz w:val="24"/>
              </w:rPr>
            </w:pPr>
            <w:r>
              <w:rPr>
                <w:b/>
                <w:color w:val="3B5AA4"/>
                <w:sz w:val="24"/>
              </w:rPr>
              <w:t>(1) PRODUCT PIPELINE AND DEVELOPMENT (primary factors)</w:t>
            </w:r>
          </w:p>
        </w:tc>
      </w:tr>
      <w:tr>
        <w:trPr/>
        <w:tc>
          <w:tcPr>
            <w:tcW w:w="5273" w:type="dxa"/>
            <w:tcBorders/>
            <w:vAlign w:val="center"/>
          </w:tcPr>
          <w:p>
            <w:pPr>
              <w:pStyle w:val="TableContents"/>
              <w:bidi w:val="0"/>
              <w:spacing w:before="0" w:after="283"/>
              <w:jc w:val="left"/>
              <w:rPr/>
            </w:pPr>
            <w:r>
              <w:rPr/>
              <w:t> </w:t>
            </w:r>
          </w:p>
        </w:tc>
        <w:tc>
          <w:tcPr>
            <w:tcW w:w="240" w:type="dxa"/>
            <w:tcBorders>
              <w:right w:val="single" w:sz="2" w:space="0" w:color="ED2575"/>
            </w:tcBorders>
            <w:tcMar>
              <w:right w:w="28" w:type="dxa"/>
            </w:tcMar>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4452" w:type="dxa"/>
            <w:tcBorders/>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100"/>
              <w:ind w:left="0" w:right="0" w:hanging="0"/>
              <w:jc w:val="left"/>
              <w:rPr/>
            </w:pPr>
            <w:r>
              <w:rPr>
                <w:b/>
                <w:color w:val="3B5AA4"/>
                <w:sz w:val="24"/>
              </w:rPr>
              <w:t>Regulatory &amp; Clinical Milestones; Commercial Support</w:t>
            </w:r>
            <w:r>
              <w:rPr>
                <w:color w:val="2864AF"/>
              </w:rPr>
              <w:t xml:space="preserve"> </w:t>
            </w:r>
          </w:p>
          <w:p>
            <w:pPr>
              <w:pStyle w:val="TableContents"/>
              <w:bidi w:val="0"/>
              <w:spacing w:before="0" w:after="0"/>
              <w:ind w:left="0" w:right="0" w:hanging="0"/>
              <w:jc w:val="left"/>
              <w:rPr/>
            </w:pPr>
            <w:r>
              <w:rPr>
                <w:color w:val="231F20"/>
              </w:rPr>
              <w:t>•</w:t>
            </w:r>
            <w:r>
              <w:rPr/>
              <w:t>   </w:t>
            </w:r>
          </w:p>
          <w:p>
            <w:pPr>
              <w:pStyle w:val="TableContents"/>
              <w:bidi w:val="0"/>
              <w:spacing w:before="0" w:after="0"/>
              <w:ind w:left="180" w:right="0" w:hanging="0"/>
              <w:jc w:val="left"/>
              <w:rPr>
                <w:color w:val="231F20"/>
              </w:rPr>
            </w:pPr>
            <w:r>
              <w:rPr>
                <w:color w:val="231F20"/>
              </w:rPr>
              <w:t>Approval of new products or indications by the FDA or applicable regulatory authorities outside the United States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Regulatory submissions for new products and new indications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pPr>
            <w:r>
              <w:rPr>
                <w:color w:val="231F20"/>
              </w:rPr>
              <w:t>Breakthrough Therapy or orphan drug designations by the FDA (or</w:t>
            </w:r>
            <w:r>
              <w:rPr/>
              <w:t xml:space="preserve"> </w:t>
            </w:r>
            <w:r>
              <w:rPr>
                <w:color w:val="231F20"/>
              </w:rPr>
              <w:t>its equivalent outside the United States)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Data readouts and key publications from potentially pivotal/ registrational studies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Initiation of new Phase 3 or Phase 2 studies</w:t>
            </w:r>
          </w:p>
        </w:tc>
        <w:tc>
          <w:tcPr>
            <w:tcW w:w="240" w:type="dxa"/>
            <w:tcBorders>
              <w:right w:val="single" w:sz="2" w:space="0" w:color="ED2575"/>
            </w:tcBorders>
            <w:tcMar>
              <w:right w:w="28" w:type="dxa"/>
            </w:tcMar>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4452" w:type="dxa"/>
            <w:tcBorders/>
            <w:vAlign w:val="center"/>
          </w:tcPr>
          <w:p>
            <w:pPr>
              <w:pStyle w:val="TableContents"/>
              <w:bidi w:val="0"/>
              <w:spacing w:before="0" w:after="100"/>
              <w:ind w:left="0" w:right="0" w:hanging="0"/>
              <w:jc w:val="left"/>
              <w:rPr>
                <w:b/>
                <w:color w:val="3B5AA4"/>
                <w:sz w:val="24"/>
              </w:rPr>
            </w:pPr>
            <w:r>
              <w:rPr>
                <w:b/>
                <w:color w:val="3B5AA4"/>
                <w:sz w:val="24"/>
              </w:rPr>
              <w:t>Progress in Earlier-Stage Clinical Programs; New Candidates Advanced into Clinical Development</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pPr>
            <w:r>
              <w:rPr>
                <w:color w:val="231F20"/>
              </w:rPr>
              <w:t>Data readouts and key publications from</w:t>
            </w:r>
            <w:r>
              <w:rPr/>
              <w:t xml:space="preserve"> </w:t>
            </w:r>
            <w:r>
              <w:rPr>
                <w:color w:val="231F20"/>
              </w:rPr>
              <w:t>existing Phase 1 studies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Initiation of new Phase 1 studies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pPr>
            <w:r>
              <w:rPr>
                <w:color w:val="231F20"/>
              </w:rPr>
              <w:t>Notable early research milestones and</w:t>
            </w:r>
            <w:r>
              <w:rPr/>
              <w:t xml:space="preserve"> </w:t>
            </w:r>
            <w:r>
              <w:rPr>
                <w:color w:val="231F20"/>
              </w:rPr>
              <w:t>collaborations</w:t>
            </w:r>
          </w:p>
        </w:tc>
      </w:tr>
      <w:tr>
        <w:trPr/>
        <w:tc>
          <w:tcPr>
            <w:tcW w:w="5273" w:type="dxa"/>
            <w:tcBorders/>
            <w:vAlign w:val="center"/>
          </w:tcPr>
          <w:p>
            <w:pPr>
              <w:pStyle w:val="TableContents"/>
              <w:bidi w:val="0"/>
              <w:spacing w:before="0" w:after="283"/>
              <w:jc w:val="left"/>
              <w:rPr/>
            </w:pPr>
            <w:r>
              <w:rPr/>
              <w:t> </w:t>
            </w:r>
          </w:p>
        </w:tc>
        <w:tc>
          <w:tcPr>
            <w:tcW w:w="240" w:type="dxa"/>
            <w:tcBorders>
              <w:right w:val="single" w:sz="2" w:space="0" w:color="ED2575"/>
            </w:tcBorders>
            <w:tcMar>
              <w:right w:w="28" w:type="dxa"/>
            </w:tcMar>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445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br/>
        <w:t> </w:t>
      </w:r>
      <w:r>
        <mc:AlternateContent>
          <mc:Choice Requires="wps">
            <w:drawing>
              <wp:anchor behindDoc="0" distT="0" distB="0" distL="0" distR="0" simplePos="0" locked="0" layoutInCell="1" allowOverlap="1" relativeHeight="370">
                <wp:simplePos x="0" y="0"/>
                <wp:positionH relativeFrom="column">
                  <wp:align>left</wp:align>
                </wp:positionH>
                <wp:positionV relativeFrom="line">
                  <wp:posOffset>635</wp:posOffset>
                </wp:positionV>
                <wp:extent cx="3110230" cy="4919980"/>
                <wp:effectExtent l="0" t="0" r="0" b="0"/>
                <wp:wrapSquare wrapText="right"/>
                <wp:docPr id="337" name="Frame9"/>
                <a:graphic xmlns:a="http://schemas.openxmlformats.org/drawingml/2006/main">
                  <a:graphicData uri="http://schemas.microsoft.com/office/word/2010/wordprocessingShape">
                    <wps:wsp>
                      <wps:cNvSpPr txBox="1"/>
                      <wps:spPr>
                        <a:xfrm>
                          <a:off x="0" y="0"/>
                          <a:ext cx="3110230" cy="4919980"/>
                        </a:xfrm>
                        <a:prstGeom prst="rect"/>
                        <a:solidFill>
                          <a:srgbClr val="FFFFFF"/>
                        </a:solidFill>
                      </wps:spPr>
                      <wps:txbx>
                        <w:txbxContent>
                          <w:tbl>
                            <w:tblPr>
                              <w:tblW w:w="5765" w:type="dxa"/>
                              <w:jc w:val="left"/>
                              <w:tblInd w:w="0" w:type="dxa"/>
                              <w:tblLayout w:type="fixed"/>
                              <w:tblCellMar>
                                <w:top w:w="0" w:type="dxa"/>
                                <w:left w:w="0" w:type="dxa"/>
                                <w:bottom w:w="28" w:type="dxa"/>
                                <w:right w:w="0" w:type="dxa"/>
                              </w:tblCellMar>
                            </w:tblPr>
                            <w:tblGrid>
                              <w:gridCol w:w="5765"/>
                            </w:tblGrid>
                            <w:tr>
                              <w:trPr/>
                              <w:tc>
                                <w:tcPr>
                                  <w:tcW w:w="5765" w:type="dxa"/>
                                  <w:tcBorders>
                                    <w:bottom w:val="single" w:sz="2" w:space="0" w:color="ED2575"/>
                                  </w:tcBorders>
                                  <w:vAlign w:val="center"/>
                                </w:tcPr>
                                <w:p>
                                  <w:pPr>
                                    <w:pStyle w:val="TableContents"/>
                                    <w:bidi w:val="0"/>
                                    <w:spacing w:before="0" w:after="0"/>
                                    <w:ind w:left="0" w:right="0" w:hanging="0"/>
                                    <w:jc w:val="left"/>
                                    <w:rPr>
                                      <w:b/>
                                      <w:color w:val="2864AF"/>
                                      <w:sz w:val="24"/>
                                    </w:rPr>
                                  </w:pPr>
                                  <w:r>
                                    <w:rPr>
                                      <w:b/>
                                      <w:color w:val="2864AF"/>
                                      <w:sz w:val="24"/>
                                    </w:rPr>
                                    <w:t>(2) FINANCE AND OPERATIONS (secondary factors)</w:t>
                                  </w:r>
                                </w:p>
                                <w:p>
                                  <w:pPr>
                                    <w:pStyle w:val="TableContents"/>
                                    <w:bidi w:val="0"/>
                                    <w:spacing w:before="0" w:after="0"/>
                                    <w:ind w:left="0" w:right="0" w:hanging="0"/>
                                    <w:jc w:val="left"/>
                                    <w:rPr/>
                                  </w:pPr>
                                  <w:r>
                                    <w:rPr/>
                                    <w:t> </w:t>
                                  </w:r>
                                </w:p>
                                <w:p>
                                  <w:pPr>
                                    <w:pStyle w:val="TableContents"/>
                                    <w:bidi w:val="0"/>
                                    <w:spacing w:before="0" w:after="100"/>
                                    <w:ind w:left="0" w:right="0" w:hanging="0"/>
                                    <w:jc w:val="left"/>
                                    <w:rPr>
                                      <w:b/>
                                      <w:color w:val="2864AF"/>
                                      <w:sz w:val="24"/>
                                    </w:rPr>
                                  </w:pPr>
                                  <w:r>
                                    <w:rPr>
                                      <w:b/>
                                      <w:color w:val="2864AF"/>
                                      <w:sz w:val="24"/>
                                    </w:rPr>
                                    <w:t>Financial Metrics; Capital Structure</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Growth in total revenues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Growth in net product sales for key marketed products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Growth in profitability metrics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Collaboration agreements</w:t>
                                  </w:r>
                                </w:p>
                                <w:p>
                                  <w:pPr>
                                    <w:pStyle w:val="TableContents"/>
                                    <w:bidi w:val="0"/>
                                    <w:spacing w:before="0" w:after="0"/>
                                    <w:ind w:left="0" w:right="0" w:hanging="0"/>
                                    <w:jc w:val="left"/>
                                    <w:rPr>
                                      <w:color w:val="231F20"/>
                                    </w:rPr>
                                  </w:pPr>
                                  <w:r>
                                    <w:rPr>
                                      <w:color w:val="231F20"/>
                                    </w:rPr>
                                    <w:t>•   </w:t>
                                  </w:r>
                                </w:p>
                                <w:p>
                                  <w:pPr>
                                    <w:pStyle w:val="TableContents"/>
                                    <w:bidi w:val="0"/>
                                    <w:spacing w:before="0" w:after="60"/>
                                    <w:ind w:left="180" w:right="0" w:hanging="0"/>
                                    <w:jc w:val="left"/>
                                    <w:rPr>
                                      <w:color w:val="231F20"/>
                                    </w:rPr>
                                  </w:pPr>
                                  <w:r>
                                    <w:rPr>
                                      <w:color w:val="231F20"/>
                                    </w:rPr>
                                    <w:t>Finance projects</w:t>
                                  </w:r>
                                </w:p>
                              </w:tc>
                            </w:tr>
                            <w:tr>
                              <w:trPr/>
                              <w:tc>
                                <w:tcPr>
                                  <w:tcW w:w="5765" w:type="dxa"/>
                                  <w:tcBorders/>
                                  <w:tcMar>
                                    <w:bottom w:w="0" w:type="dxa"/>
                                  </w:tcMar>
                                  <w:vAlign w:val="center"/>
                                </w:tcPr>
                                <w:p>
                                  <w:pPr>
                                    <w:pStyle w:val="TableContents"/>
                                    <w:bidi w:val="0"/>
                                    <w:spacing w:before="0" w:after="283"/>
                                    <w:jc w:val="left"/>
                                    <w:rPr/>
                                  </w:pPr>
                                  <w:r>
                                    <w:rPr/>
                                    <w:t> </w:t>
                                  </w:r>
                                </w:p>
                              </w:tc>
                            </w:tr>
                            <w:tr>
                              <w:trPr/>
                              <w:tc>
                                <w:tcPr>
                                  <w:tcW w:w="5765" w:type="dxa"/>
                                  <w:tcBorders/>
                                  <w:tcMar>
                                    <w:bottom w:w="0" w:type="dxa"/>
                                  </w:tcMar>
                                  <w:vAlign w:val="center"/>
                                </w:tcPr>
                                <w:p>
                                  <w:pPr>
                                    <w:pStyle w:val="TableContents"/>
                                    <w:bidi w:val="0"/>
                                    <w:spacing w:before="0" w:after="100"/>
                                    <w:ind w:left="0" w:right="0" w:hanging="0"/>
                                    <w:jc w:val="left"/>
                                    <w:rPr>
                                      <w:b/>
                                      <w:color w:val="2864AF"/>
                                      <w:sz w:val="24"/>
                                    </w:rPr>
                                  </w:pPr>
                                  <w:r>
                                    <w:rPr>
                                      <w:b/>
                                      <w:color w:val="2864AF"/>
                                      <w:sz w:val="24"/>
                                    </w:rPr>
                                    <w:t>Operational &amp; Manufacturing</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Marketing structure &amp; strategy</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Pricing, policy &amp; legal developments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Successful completion of audits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Expansion of facilities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Increase in manufacturing capabilities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87.4pt;mso-wrap-distance-left:0pt;mso-wrap-distance-right:0pt;mso-wrap-distance-top:0pt;mso-wrap-distance-bottom:0pt;margin-top:0pt;mso-position-vertical:top;mso-position-vertical-relative:text;margin-left:0pt;mso-position-horizontal:left;mso-position-horizontal-relative:text">
                <v:textbox>
                  <w:txbxContent>
                    <w:tbl>
                      <w:tblPr>
                        <w:tblW w:w="5765" w:type="dxa"/>
                        <w:jc w:val="left"/>
                        <w:tblInd w:w="0" w:type="dxa"/>
                        <w:tblLayout w:type="fixed"/>
                        <w:tblCellMar>
                          <w:top w:w="0" w:type="dxa"/>
                          <w:left w:w="0" w:type="dxa"/>
                          <w:bottom w:w="28" w:type="dxa"/>
                          <w:right w:w="0" w:type="dxa"/>
                        </w:tblCellMar>
                      </w:tblPr>
                      <w:tblGrid>
                        <w:gridCol w:w="5765"/>
                      </w:tblGrid>
                      <w:tr>
                        <w:trPr/>
                        <w:tc>
                          <w:tcPr>
                            <w:tcW w:w="5765" w:type="dxa"/>
                            <w:tcBorders>
                              <w:bottom w:val="single" w:sz="2" w:space="0" w:color="ED2575"/>
                            </w:tcBorders>
                            <w:vAlign w:val="center"/>
                          </w:tcPr>
                          <w:p>
                            <w:pPr>
                              <w:pStyle w:val="TableContents"/>
                              <w:bidi w:val="0"/>
                              <w:spacing w:before="0" w:after="0"/>
                              <w:ind w:left="0" w:right="0" w:hanging="0"/>
                              <w:jc w:val="left"/>
                              <w:rPr>
                                <w:b/>
                                <w:color w:val="2864AF"/>
                                <w:sz w:val="24"/>
                              </w:rPr>
                            </w:pPr>
                            <w:r>
                              <w:rPr>
                                <w:b/>
                                <w:color w:val="2864AF"/>
                                <w:sz w:val="24"/>
                              </w:rPr>
                              <w:t>(2) FINANCE AND OPERATIONS (secondary factors)</w:t>
                            </w:r>
                          </w:p>
                          <w:p>
                            <w:pPr>
                              <w:pStyle w:val="TableContents"/>
                              <w:bidi w:val="0"/>
                              <w:spacing w:before="0" w:after="0"/>
                              <w:ind w:left="0" w:right="0" w:hanging="0"/>
                              <w:jc w:val="left"/>
                              <w:rPr/>
                            </w:pPr>
                            <w:r>
                              <w:rPr/>
                              <w:t> </w:t>
                            </w:r>
                          </w:p>
                          <w:p>
                            <w:pPr>
                              <w:pStyle w:val="TableContents"/>
                              <w:bidi w:val="0"/>
                              <w:spacing w:before="0" w:after="100"/>
                              <w:ind w:left="0" w:right="0" w:hanging="0"/>
                              <w:jc w:val="left"/>
                              <w:rPr>
                                <w:b/>
                                <w:color w:val="2864AF"/>
                                <w:sz w:val="24"/>
                              </w:rPr>
                            </w:pPr>
                            <w:r>
                              <w:rPr>
                                <w:b/>
                                <w:color w:val="2864AF"/>
                                <w:sz w:val="24"/>
                              </w:rPr>
                              <w:t>Financial Metrics; Capital Structure</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Growth in total revenues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Growth in net product sales for key marketed products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Growth in profitability metrics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Collaboration agreements</w:t>
                            </w:r>
                          </w:p>
                          <w:p>
                            <w:pPr>
                              <w:pStyle w:val="TableContents"/>
                              <w:bidi w:val="0"/>
                              <w:spacing w:before="0" w:after="0"/>
                              <w:ind w:left="0" w:right="0" w:hanging="0"/>
                              <w:jc w:val="left"/>
                              <w:rPr>
                                <w:color w:val="231F20"/>
                              </w:rPr>
                            </w:pPr>
                            <w:r>
                              <w:rPr>
                                <w:color w:val="231F20"/>
                              </w:rPr>
                              <w:t>•   </w:t>
                            </w:r>
                          </w:p>
                          <w:p>
                            <w:pPr>
                              <w:pStyle w:val="TableContents"/>
                              <w:bidi w:val="0"/>
                              <w:spacing w:before="0" w:after="60"/>
                              <w:ind w:left="180" w:right="0" w:hanging="0"/>
                              <w:jc w:val="left"/>
                              <w:rPr>
                                <w:color w:val="231F20"/>
                              </w:rPr>
                            </w:pPr>
                            <w:r>
                              <w:rPr>
                                <w:color w:val="231F20"/>
                              </w:rPr>
                              <w:t>Finance projects</w:t>
                            </w:r>
                          </w:p>
                        </w:tc>
                      </w:tr>
                      <w:tr>
                        <w:trPr/>
                        <w:tc>
                          <w:tcPr>
                            <w:tcW w:w="5765" w:type="dxa"/>
                            <w:tcBorders/>
                            <w:tcMar>
                              <w:bottom w:w="0" w:type="dxa"/>
                            </w:tcMar>
                            <w:vAlign w:val="center"/>
                          </w:tcPr>
                          <w:p>
                            <w:pPr>
                              <w:pStyle w:val="TableContents"/>
                              <w:bidi w:val="0"/>
                              <w:spacing w:before="0" w:after="283"/>
                              <w:jc w:val="left"/>
                              <w:rPr/>
                            </w:pPr>
                            <w:r>
                              <w:rPr/>
                              <w:t> </w:t>
                            </w:r>
                          </w:p>
                        </w:tc>
                      </w:tr>
                      <w:tr>
                        <w:trPr/>
                        <w:tc>
                          <w:tcPr>
                            <w:tcW w:w="5765" w:type="dxa"/>
                            <w:tcBorders/>
                            <w:tcMar>
                              <w:bottom w:w="0" w:type="dxa"/>
                            </w:tcMar>
                            <w:vAlign w:val="center"/>
                          </w:tcPr>
                          <w:p>
                            <w:pPr>
                              <w:pStyle w:val="TableContents"/>
                              <w:bidi w:val="0"/>
                              <w:spacing w:before="0" w:after="100"/>
                              <w:ind w:left="0" w:right="0" w:hanging="0"/>
                              <w:jc w:val="left"/>
                              <w:rPr>
                                <w:b/>
                                <w:color w:val="2864AF"/>
                                <w:sz w:val="24"/>
                              </w:rPr>
                            </w:pPr>
                            <w:r>
                              <w:rPr>
                                <w:b/>
                                <w:color w:val="2864AF"/>
                                <w:sz w:val="24"/>
                              </w:rPr>
                              <w:t>Operational &amp; Manufacturing</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Marketing structure &amp; strategy</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Pricing, policy &amp; legal developments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Successful completion of audits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Expansion of facilities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Increase in manufacturing capabilities</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71">
                <wp:simplePos x="0" y="0"/>
                <wp:positionH relativeFrom="column">
                  <wp:align>right</wp:align>
                </wp:positionH>
                <wp:positionV relativeFrom="line">
                  <wp:posOffset>635</wp:posOffset>
                </wp:positionV>
                <wp:extent cx="3110230" cy="3517900"/>
                <wp:effectExtent l="0" t="0" r="0" b="0"/>
                <wp:wrapSquare wrapText="left"/>
                <wp:docPr id="338" name="Frame10"/>
                <a:graphic xmlns:a="http://schemas.openxmlformats.org/drawingml/2006/main">
                  <a:graphicData uri="http://schemas.microsoft.com/office/word/2010/wordprocessingShape">
                    <wps:wsp>
                      <wps:cNvSpPr txBox="1"/>
                      <wps:spPr>
                        <a:xfrm>
                          <a:off x="0" y="0"/>
                          <a:ext cx="3110230" cy="3517900"/>
                        </a:xfrm>
                        <a:prstGeom prst="rect"/>
                        <a:solidFill>
                          <a:srgbClr val="FFFFFF"/>
                        </a:solidFill>
                      </wps:spPr>
                      <wps:txbx>
                        <w:txbxContent>
                          <w:tbl>
                            <w:tblPr>
                              <w:tblW w:w="9140" w:type="dxa"/>
                              <w:jc w:val="left"/>
                              <w:tblInd w:w="0" w:type="dxa"/>
                              <w:tblLayout w:type="fixed"/>
                              <w:tblCellMar>
                                <w:top w:w="0" w:type="dxa"/>
                                <w:left w:w="0" w:type="dxa"/>
                                <w:bottom w:w="28" w:type="dxa"/>
                                <w:right w:w="0" w:type="dxa"/>
                              </w:tblCellMar>
                            </w:tblPr>
                            <w:tblGrid>
                              <w:gridCol w:w="9140"/>
                            </w:tblGrid>
                            <w:tr>
                              <w:trPr/>
                              <w:tc>
                                <w:tcPr>
                                  <w:tcW w:w="9140" w:type="dxa"/>
                                  <w:tcBorders>
                                    <w:bottom w:val="single" w:sz="2" w:space="0" w:color="ED2575"/>
                                  </w:tcBorders>
                                  <w:vAlign w:val="center"/>
                                </w:tcPr>
                                <w:p>
                                  <w:pPr>
                                    <w:pStyle w:val="TableContents"/>
                                    <w:bidi w:val="0"/>
                                    <w:spacing w:before="0" w:after="0"/>
                                    <w:ind w:left="0" w:right="0" w:hanging="0"/>
                                    <w:jc w:val="left"/>
                                    <w:rPr>
                                      <w:b/>
                                      <w:color w:val="2864AF"/>
                                      <w:sz w:val="24"/>
                                    </w:rPr>
                                  </w:pPr>
                                  <w:r>
                                    <w:rPr>
                                      <w:b/>
                                      <w:color w:val="2864AF"/>
                                      <w:sz w:val="24"/>
                                    </w:rPr>
                                    <w:t>(3) TALENT, CULTURE, AND CORPORATE RESPONSIBILITY (secondary factors)</w:t>
                                  </w:r>
                                </w:p>
                                <w:p>
                                  <w:pPr>
                                    <w:pStyle w:val="TableContents"/>
                                    <w:bidi w:val="0"/>
                                    <w:spacing w:before="0" w:after="0"/>
                                    <w:ind w:left="0" w:right="0" w:hanging="0"/>
                                    <w:jc w:val="left"/>
                                    <w:rPr/>
                                  </w:pPr>
                                  <w:r>
                                    <w:rPr/>
                                    <w:t> </w:t>
                                  </w:r>
                                </w:p>
                                <w:p>
                                  <w:pPr>
                                    <w:pStyle w:val="TableContents"/>
                                    <w:bidi w:val="0"/>
                                    <w:spacing w:before="0" w:after="100"/>
                                    <w:ind w:left="0" w:right="0" w:hanging="0"/>
                                    <w:jc w:val="left"/>
                                    <w:rPr>
                                      <w:b/>
                                      <w:color w:val="2864AF"/>
                                      <w:sz w:val="24"/>
                                    </w:rPr>
                                  </w:pPr>
                                  <w:r>
                                    <w:rPr>
                                      <w:b/>
                                      <w:color w:val="2864AF"/>
                                      <w:sz w:val="24"/>
                                    </w:rPr>
                                    <w:t>Talent Management &amp; Retention</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Growth of global workforce to support our long-term strategic objectives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Employee retention and below-industry attrition rate</w:t>
                                  </w:r>
                                </w:p>
                                <w:p>
                                  <w:pPr>
                                    <w:pStyle w:val="TableContents"/>
                                    <w:bidi w:val="0"/>
                                    <w:spacing w:before="0" w:after="0"/>
                                    <w:ind w:left="0" w:right="0" w:hanging="0"/>
                                    <w:jc w:val="left"/>
                                    <w:rPr>
                                      <w:color w:val="231F20"/>
                                    </w:rPr>
                                  </w:pPr>
                                  <w:r>
                                    <w:rPr>
                                      <w:color w:val="231F20"/>
                                    </w:rPr>
                                    <w:t>•   </w:t>
                                  </w:r>
                                </w:p>
                                <w:p>
                                  <w:pPr>
                                    <w:pStyle w:val="TableContents"/>
                                    <w:bidi w:val="0"/>
                                    <w:spacing w:before="0" w:after="60"/>
                                    <w:ind w:left="180" w:right="0" w:hanging="0"/>
                                    <w:jc w:val="left"/>
                                    <w:rPr>
                                      <w:color w:val="231F20"/>
                                    </w:rPr>
                                  </w:pPr>
                                  <w:r>
                                    <w:rPr>
                                      <w:color w:val="231F20"/>
                                    </w:rPr>
                                    <w:t>Outside recognition and employee feedback</w:t>
                                  </w:r>
                                </w:p>
                              </w:tc>
                            </w:tr>
                            <w:tr>
                              <w:trPr/>
                              <w:tc>
                                <w:tcPr>
                                  <w:tcW w:w="9140" w:type="dxa"/>
                                  <w:tcBorders/>
                                  <w:tcMar>
                                    <w:bottom w:w="0" w:type="dxa"/>
                                  </w:tcMar>
                                  <w:vAlign w:val="center"/>
                                </w:tcPr>
                                <w:p>
                                  <w:pPr>
                                    <w:pStyle w:val="TableContents"/>
                                    <w:bidi w:val="0"/>
                                    <w:spacing w:before="0" w:after="283"/>
                                    <w:jc w:val="left"/>
                                    <w:rPr/>
                                  </w:pPr>
                                  <w:r>
                                    <w:rPr/>
                                    <w:t> </w:t>
                                  </w:r>
                                </w:p>
                              </w:tc>
                            </w:tr>
                            <w:tr>
                              <w:trPr/>
                              <w:tc>
                                <w:tcPr>
                                  <w:tcW w:w="9140" w:type="dxa"/>
                                  <w:tcBorders/>
                                  <w:tcMar>
                                    <w:bottom w:w="0" w:type="dxa"/>
                                  </w:tcMar>
                                  <w:vAlign w:val="center"/>
                                </w:tcPr>
                                <w:p>
                                  <w:pPr>
                                    <w:pStyle w:val="TableContents"/>
                                    <w:bidi w:val="0"/>
                                    <w:spacing w:before="0" w:after="100"/>
                                    <w:ind w:left="0" w:right="0" w:hanging="0"/>
                                    <w:jc w:val="left"/>
                                    <w:rPr>
                                      <w:b/>
                                      <w:color w:val="2864AF"/>
                                      <w:sz w:val="24"/>
                                    </w:rPr>
                                  </w:pPr>
                                  <w:r>
                                    <w:rPr>
                                      <w:b/>
                                      <w:color w:val="2864AF"/>
                                      <w:sz w:val="24"/>
                                    </w:rPr>
                                    <w:t>Corporate Responsibility</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Corporate responsibility and sustainability activities, reporting, ratings, and rankings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Corporate giving</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Philanthropic and citizenship programs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7pt;mso-wrap-distance-left:0pt;mso-wrap-distance-right:0pt;mso-wrap-distance-top:0pt;mso-wrap-distance-bottom:0pt;margin-top:0pt;mso-position-vertical:top;mso-position-vertical-relative:text;margin-left:265.35pt;mso-position-horizontal:right;mso-position-horizontal-relative:text">
                <v:textbox>
                  <w:txbxContent>
                    <w:tbl>
                      <w:tblPr>
                        <w:tblW w:w="9140" w:type="dxa"/>
                        <w:jc w:val="left"/>
                        <w:tblInd w:w="0" w:type="dxa"/>
                        <w:tblLayout w:type="fixed"/>
                        <w:tblCellMar>
                          <w:top w:w="0" w:type="dxa"/>
                          <w:left w:w="0" w:type="dxa"/>
                          <w:bottom w:w="28" w:type="dxa"/>
                          <w:right w:w="0" w:type="dxa"/>
                        </w:tblCellMar>
                      </w:tblPr>
                      <w:tblGrid>
                        <w:gridCol w:w="9140"/>
                      </w:tblGrid>
                      <w:tr>
                        <w:trPr/>
                        <w:tc>
                          <w:tcPr>
                            <w:tcW w:w="9140" w:type="dxa"/>
                            <w:tcBorders>
                              <w:bottom w:val="single" w:sz="2" w:space="0" w:color="ED2575"/>
                            </w:tcBorders>
                            <w:vAlign w:val="center"/>
                          </w:tcPr>
                          <w:p>
                            <w:pPr>
                              <w:pStyle w:val="TableContents"/>
                              <w:bidi w:val="0"/>
                              <w:spacing w:before="0" w:after="0"/>
                              <w:ind w:left="0" w:right="0" w:hanging="0"/>
                              <w:jc w:val="left"/>
                              <w:rPr>
                                <w:b/>
                                <w:color w:val="2864AF"/>
                                <w:sz w:val="24"/>
                              </w:rPr>
                            </w:pPr>
                            <w:r>
                              <w:rPr>
                                <w:b/>
                                <w:color w:val="2864AF"/>
                                <w:sz w:val="24"/>
                              </w:rPr>
                              <w:t>(3) TALENT, CULTURE, AND CORPORATE RESPONSIBILITY (secondary factors)</w:t>
                            </w:r>
                          </w:p>
                          <w:p>
                            <w:pPr>
                              <w:pStyle w:val="TableContents"/>
                              <w:bidi w:val="0"/>
                              <w:spacing w:before="0" w:after="0"/>
                              <w:ind w:left="0" w:right="0" w:hanging="0"/>
                              <w:jc w:val="left"/>
                              <w:rPr/>
                            </w:pPr>
                            <w:r>
                              <w:rPr/>
                              <w:t> </w:t>
                            </w:r>
                          </w:p>
                          <w:p>
                            <w:pPr>
                              <w:pStyle w:val="TableContents"/>
                              <w:bidi w:val="0"/>
                              <w:spacing w:before="0" w:after="100"/>
                              <w:ind w:left="0" w:right="0" w:hanging="0"/>
                              <w:jc w:val="left"/>
                              <w:rPr>
                                <w:b/>
                                <w:color w:val="2864AF"/>
                                <w:sz w:val="24"/>
                              </w:rPr>
                            </w:pPr>
                            <w:r>
                              <w:rPr>
                                <w:b/>
                                <w:color w:val="2864AF"/>
                                <w:sz w:val="24"/>
                              </w:rPr>
                              <w:t>Talent Management &amp; Retention</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Growth of global workforce to support our long-term strategic objectives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Employee retention and below-industry attrition rate</w:t>
                            </w:r>
                          </w:p>
                          <w:p>
                            <w:pPr>
                              <w:pStyle w:val="TableContents"/>
                              <w:bidi w:val="0"/>
                              <w:spacing w:before="0" w:after="0"/>
                              <w:ind w:left="0" w:right="0" w:hanging="0"/>
                              <w:jc w:val="left"/>
                              <w:rPr>
                                <w:color w:val="231F20"/>
                              </w:rPr>
                            </w:pPr>
                            <w:r>
                              <w:rPr>
                                <w:color w:val="231F20"/>
                              </w:rPr>
                              <w:t>•   </w:t>
                            </w:r>
                          </w:p>
                          <w:p>
                            <w:pPr>
                              <w:pStyle w:val="TableContents"/>
                              <w:bidi w:val="0"/>
                              <w:spacing w:before="0" w:after="60"/>
                              <w:ind w:left="180" w:right="0" w:hanging="0"/>
                              <w:jc w:val="left"/>
                              <w:rPr>
                                <w:color w:val="231F20"/>
                              </w:rPr>
                            </w:pPr>
                            <w:r>
                              <w:rPr>
                                <w:color w:val="231F20"/>
                              </w:rPr>
                              <w:t>Outside recognition and employee feedback</w:t>
                            </w:r>
                          </w:p>
                        </w:tc>
                      </w:tr>
                      <w:tr>
                        <w:trPr/>
                        <w:tc>
                          <w:tcPr>
                            <w:tcW w:w="9140" w:type="dxa"/>
                            <w:tcBorders/>
                            <w:tcMar>
                              <w:bottom w:w="0" w:type="dxa"/>
                            </w:tcMar>
                            <w:vAlign w:val="center"/>
                          </w:tcPr>
                          <w:p>
                            <w:pPr>
                              <w:pStyle w:val="TableContents"/>
                              <w:bidi w:val="0"/>
                              <w:spacing w:before="0" w:after="283"/>
                              <w:jc w:val="left"/>
                              <w:rPr/>
                            </w:pPr>
                            <w:r>
                              <w:rPr/>
                              <w:t> </w:t>
                            </w:r>
                          </w:p>
                        </w:tc>
                      </w:tr>
                      <w:tr>
                        <w:trPr/>
                        <w:tc>
                          <w:tcPr>
                            <w:tcW w:w="9140" w:type="dxa"/>
                            <w:tcBorders/>
                            <w:tcMar>
                              <w:bottom w:w="0" w:type="dxa"/>
                            </w:tcMar>
                            <w:vAlign w:val="center"/>
                          </w:tcPr>
                          <w:p>
                            <w:pPr>
                              <w:pStyle w:val="TableContents"/>
                              <w:bidi w:val="0"/>
                              <w:spacing w:before="0" w:after="100"/>
                              <w:ind w:left="0" w:right="0" w:hanging="0"/>
                              <w:jc w:val="left"/>
                              <w:rPr>
                                <w:b/>
                                <w:color w:val="2864AF"/>
                                <w:sz w:val="24"/>
                              </w:rPr>
                            </w:pPr>
                            <w:r>
                              <w:rPr>
                                <w:b/>
                                <w:color w:val="2864AF"/>
                                <w:sz w:val="24"/>
                              </w:rPr>
                              <w:t>Corporate Responsibility</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Corporate responsibility and sustainability activities, reporting, ratings, and rankings</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Corporate giving</w:t>
                            </w:r>
                          </w:p>
                          <w:p>
                            <w:pPr>
                              <w:pStyle w:val="TableContents"/>
                              <w:bidi w:val="0"/>
                              <w:spacing w:before="0" w:after="0"/>
                              <w:ind w:left="0" w:right="0" w:hanging="0"/>
                              <w:jc w:val="left"/>
                              <w:rPr>
                                <w:color w:val="231F20"/>
                              </w:rPr>
                            </w:pPr>
                            <w:r>
                              <w:rPr>
                                <w:color w:val="231F20"/>
                              </w:rPr>
                              <w:t>•   </w:t>
                            </w:r>
                          </w:p>
                          <w:p>
                            <w:pPr>
                              <w:pStyle w:val="TableContents"/>
                              <w:bidi w:val="0"/>
                              <w:spacing w:before="0" w:after="0"/>
                              <w:ind w:left="180" w:right="0" w:hanging="0"/>
                              <w:jc w:val="left"/>
                              <w:rPr>
                                <w:color w:val="231F20"/>
                              </w:rPr>
                            </w:pPr>
                            <w:r>
                              <w:rPr>
                                <w:color w:val="231F20"/>
                              </w:rPr>
                              <w:t>Philanthropic and citizenship programs</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39"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318" descr=""/>
                          <pic:cNvPicPr>
                            <a:picLocks noChangeAspect="1" noChangeArrowheads="1"/>
                          </pic:cNvPicPr>
                        </pic:nvPicPr>
                        <pic:blipFill>
                          <a:blip r:embed="rId33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42" w:name="regn013211-def14aa083"/>
      <w:bookmarkStart w:id="143" w:name="lregnb035"/>
      <w:bookmarkEnd w:id="142"/>
      <w:bookmarkEnd w:id="143"/>
      <w:r>
        <w:rPr>
          <w:rFonts w:ascii="Arial;Helvetica;Sans-Serif" w:hAnsi="Arial;Helvetica;Sans-Serif"/>
          <w:b/>
          <w:i w:val="false"/>
          <w:caps w:val="false"/>
          <w:smallCaps w:val="false"/>
          <w:color w:val="C60C45"/>
          <w:sz w:val="28"/>
        </w:rPr>
        <w:t>Perquisites and Personal Benefits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All employees who participate in our 401(k) Savings Plan, including the NEOs, are eligible to receive certain matching contributions. In each plan year, we contribute to each participant’s account a matching contribution (in the form of shares of our common stock) equal to 50% of a specified percentage of the participant’s compensation that the participant has contributed to the plan (which was 10% with respect to each of the last three years), up to a maximum level established under the Internal Revenue Code. Each of our NEOs participated in our 401(k) Savings Plan during 2024 and received matching contributions in the aggregate amount of $15,250 in the form of shares of our common stock. The contributions were paid quarterly up and until the maximum level was reached and are included in the compensation amounts reported for each of our NEOs in the Summary Compensation Table included in this proxy statement. As with all employees, the number of shares of common stock that each NEO received in a particular quarter was determined using the average market price per share of our common stock during that quarter.</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Subject to any existing contractual obligations, other Company policies, and applicable legal requirements, our NEOs are eligible to receive certain perquisites that, in the Compensation Committee’s judgment, serve a business purpose or are otherwise needed to further Regeneron’s business objectives. Any perquisites provided to our NEOs must be in compliance with a Compensation Committee-approved policy regarding senior officer perquisites and are periodically reviewed by the Committee. Certain of the perquisites provided to our NEOs in, or with respect to, 2024 are described below, and additional information is given in the applicable footnotes to the Summary Compensation Table included in this proxy statement.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To achieve increased efficiencies and a more secure traveling environment, the Company provides air transportation for certain executive and director travel in accordance with guidelines approved by our board of directors. Based on the recommendation of an independent, third-party security study, the guidelines and our security policy require Drs. Schleifer and Yancopoulos to use, as much as practicable, Company-provided aircraft for all business and personal air travel. Family members or other guests may accompany Drs. Schleifer and Yancopoulos during Company-provided air travel, space permitting, so long as, except as provided below, they cover any incremental cost related to such guests. Regeneron covers the cost of any such personal air travel for up to $300,000 in incremental cost (as described below) annually for each of Drs. Schleifer and Yancopoulos (as well as their permitted guests). The current annual limit was set in 2024 to take into account the rising cost of fuel, labor, and other miscellaneous costs since the adoption of the security policy in 2015. Family members or other guests may also accompany our other NEOs and directors during Company-provided air business travel, space permitting, so long as they cover any incremental cost related to such guests. In addition, in limited circumstances personal use of Company-provided air travel by our other NEOs or directors may be permitted if authorized by either co-Chair of the Board and any incremental cost is paid by the lead passenger. Any required reimbursement or other payment of the incremental cost is made to the extent permitted by applicable Federal Aviation Administration rules.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determine the incremental cost of any Company-provided personal or guest air travel based on the direct variable operating cost. Items included in the calculation include (as applicable) fuel costs; landing, non-home-base hangar or aircraft parking, and ground handling fees; in-flight catering; travel, lodging, and other expenses for flight crew; and other trip-related variable cost, including the use of our fractional jet interests. Because Company-provided air transportation is used primarily for business travel, incremental costs exclude fixed costs that generally do not change based on usage, such as (as applicable) flight crew salaries; aircraft purchase or lease costs; depreciation; insurance costs; certain maintenance fees based on minimum usage; and home-base hangar costs. When the aircraft is already flying to a destination for business purposes, only the direct variable costs associated with the guest (for example, catering), if any, are included in determining the aggregate incremental cost to Regeneron. If any aircraft flies empty before picking up or after dropping off a passenger for personal reasons, this “deadhead” segment would be included in the aggregate incremental cost based on the methodology described above. The amount of disallowed corporate tax deductions attributable to Company-provided personal and guest air travel is not included in the NEO incremental cost calculation.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security policy also covers other security services consisting of secure car transportation, on-site residential security at the primary residence for each of Drs. Schleifer and Yancopoulos, and 24/7 personal security services for Drs. Schleifer and Yancopoulos. Such services are rendered by third-party providers and/or full-time employees of the Company depending on availability and time of day. The incremental costs of such services are calculated based on the methodology described below and exclude costs that the Company would have incurred in any event, such as the ordinary wages, taxes, and benefits of drivers that are employed full-time by the Company for business travel and the costs of security services provided at the Company’s offices during normal business hours. We generally calculate the incremental costs of such services based on (a) an assumed fuel cost per mile (based on then applicable standard mileage rates published by the Internal Revenue Service) times total miles traveled in connection with secure car transportation for</w:t>
      </w:r>
    </w:p>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40"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319" descr=""/>
                          <pic:cNvPicPr>
                            <a:picLocks noChangeAspect="1" noChangeArrowheads="1"/>
                          </pic:cNvPicPr>
                        </pic:nvPicPr>
                        <pic:blipFill>
                          <a:blip r:embed="rId33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personal travel or security services outside of the office; (b) the amount paid by the Company to the third-party providers of such services or any overtime wages of full-time employees of the Company attributed to such services based on the number of hours expended; and (c) the costs of leasing or renting vehicles dedicated to the provision of such services.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Amounts associated with personal or guest Company-provided air transportation and other security services are imputed as income to the NEOs to the extent required by applicable tax regulations. The NEOs do not receive a tax gross-up from us to cover their personal income tax obligations in respect of any such imputed income.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amounts disclosed in the “All other compensation” column of the Summary Compensation Table relating to personal and guest use of Company-provided air transportation and other security services in accordance with our security policy attributable to Drs. Schleifer and Yancopoulos are based on the incremental cost resulting from such transportation/ services as described above.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Corporate Governance and Compliance Committee monitors business and any personal or guest Company-provided air travel on a periodic basis.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44" w:name="regn013211-def14aa084"/>
      <w:bookmarkStart w:id="145" w:name="lregnb036"/>
      <w:bookmarkEnd w:id="144"/>
      <w:bookmarkEnd w:id="145"/>
      <w:r>
        <w:rPr>
          <w:rFonts w:ascii="Arial;Helvetica;Sans-Serif" w:hAnsi="Arial;Helvetica;Sans-Serif"/>
          <w:b/>
          <w:i w:val="false"/>
          <w:caps w:val="false"/>
          <w:smallCaps w:val="false"/>
          <w:color w:val="C60C45"/>
          <w:sz w:val="28"/>
        </w:rPr>
        <w:t>Potential Severance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Except for the 2020 PSU award agreements,</w:t>
      </w:r>
      <w:r>
        <w:rPr>
          <w:rFonts w:ascii="Arial;Helvetica;Sans-Serif" w:hAnsi="Arial;Helvetica;Sans-Serif"/>
          <w:b w:val="false"/>
          <w:i w:val="false"/>
          <w:caps w:val="false"/>
          <w:smallCaps w:val="false"/>
          <w:color w:val="010101"/>
          <w:position w:val="6"/>
          <w:sz w:val="14"/>
          <w:sz w:val="18"/>
        </w:rPr>
        <w:t xml:space="preserve">9 </w:t>
      </w:r>
      <w:r>
        <w:rPr>
          <w:rFonts w:ascii="Arial;Helvetica;Sans-Serif" w:hAnsi="Arial;Helvetica;Sans-Serif"/>
          <w:b w:val="false"/>
          <w:i w:val="false"/>
          <w:caps w:val="false"/>
          <w:smallCaps w:val="false"/>
          <w:color w:val="231F20"/>
          <w:sz w:val="18"/>
        </w:rPr>
        <w:t>outstanding equity award agreements for all employees include a “double trigger” provision for the acceleration of vesting of unvested equity awards upon a termination by the Company without cause or by the employee for good reason within two years following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CEO has an employment agreement that provides for certain severance benefits following termination, including following death or disability, resignation following defined “good reason” events, or termination in connection with a change in control. The other NEOs are covered by a change in control severance plan, which provides certain benefits to them and other designated officers if they are terminated in connection with a change in control. In addition, in the case of our CSO, stock option, RSA, and PSU award agreements applicable to his awards provide that he would have a “good reason” for terminating his employment with Regeneron upon or within two years after the occurrence of a change in control if the employment of our CEO has ended due to our CEO’s involuntary termination (as defined in the CEO’s employment agreement). Information regarding applicable payments under this employment agreement and change in control severance plan is provided in the subsection “2024 Executive Compensation Tables—Post-Employment Compensation.”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Our NEOs will forfeit any unvested stock options or RSAs upon the termination of their employment for any reason (including disability or retirement) other than death, except as provided in our change in control severance plan. In the event of the death of an employee, any unvested stock options held by such employee become immediately exercisable, and any shares subject to RSAs/RSUs will become fully vested. In the case of the 2020 PSU awards to our CEO and CSO, upon a termination of employment due to death or disability, the PSU award will remain outstanding, and any vesting of the PSUs will be determined following the completion of the applicable performance period. For information regarding the value of accelerated stock options, RSAs, and PSUs held by our CEO and other NEOs (as applicable) as of December 31, 2024, see the subsection “2024 Executive Compensation Tables—Post-Employment Compensation” under “Value of Accelerated PSUs” in the table entitled “Potential Severance Payments under Dr. Schleifer’s Employment Agreement” (for our CEO) and under “Value of Accelerated Stock Options/RSAs/PSUs” in the table entitled “Potential Payments under Change in Control Severance Plan” (for other NEOs).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When employees retire, they forfeit all unvested stock options, RSAs, and PSUs, including the PSUs granted to our CEO and CSO in 2020. An employee considered “retirement eligible” upon separation under our employee policies as in effect from time to time has the remaining life of the 10-year stock option term to exercise stock options that are vested as of the date of his or her retirement.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change-in-control severance benefits provided to our NEOs are designed to promote stability and continuity of our senior management and are intended to preserve employee morale and productivity and encourage retention in the face of the disruptive impact of an actual, threatened, or rumored change in control of the Company. These severance benefits were established following a review of comparable practices at the Company’s peer companies and with the advice of the Compensation Committee’s consultant.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have no pension, deferred compensation, or retirement plans applicable to our NEOs, other than our 401(k) Savings Plan described above.</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28" w:type="dxa"/>
          <w:left w:w="0" w:type="dxa"/>
          <w:bottom w:w="0" w:type="dxa"/>
          <w:right w:w="0" w:type="dxa"/>
        </w:tblCellMar>
      </w:tblPr>
      <w:tblGrid>
        <w:gridCol w:w="140"/>
        <w:gridCol w:w="10065"/>
      </w:tblGrid>
      <w:tr>
        <w:trPr/>
        <w:tc>
          <w:tcPr>
            <w:tcW w:w="140" w:type="dxa"/>
            <w:tcBorders>
              <w:top w:val="single" w:sz="2" w:space="0" w:color="CCCCCC"/>
            </w:tcBorders>
            <w:vAlign w:val="center"/>
          </w:tcPr>
          <w:p>
            <w:pPr>
              <w:pStyle w:val="TableContents"/>
              <w:bidi w:val="0"/>
              <w:spacing w:before="0" w:after="283"/>
              <w:jc w:val="left"/>
              <w:rPr/>
            </w:pPr>
            <w:r>
              <w:rPr/>
              <w:t> </w:t>
            </w:r>
          </w:p>
        </w:tc>
        <w:tc>
          <w:tcPr>
            <w:tcW w:w="10065" w:type="dxa"/>
            <w:tcBorders>
              <w:top w:val="single" w:sz="2" w:space="0" w:color="CCCCCC"/>
            </w:tcBorders>
            <w:vAlign w:val="center"/>
          </w:tcPr>
          <w:p>
            <w:pPr>
              <w:pStyle w:val="TableContents"/>
              <w:bidi w:val="0"/>
              <w:spacing w:before="0" w:after="283"/>
              <w:jc w:val="left"/>
              <w:rPr/>
            </w:pPr>
            <w:r>
              <w:rPr/>
              <w:t> </w:t>
            </w:r>
          </w:p>
        </w:tc>
      </w:tr>
      <w:tr>
        <w:trPr/>
        <w:tc>
          <w:tcPr>
            <w:tcW w:w="140" w:type="dxa"/>
            <w:tcBorders/>
            <w:tcMar>
              <w:top w:w="0" w:type="dxa"/>
            </w:tcMar>
            <w:vAlign w:val="center"/>
          </w:tcPr>
          <w:p>
            <w:pPr>
              <w:pStyle w:val="TableContents"/>
              <w:bidi w:val="0"/>
              <w:spacing w:before="0" w:after="283"/>
              <w:jc w:val="left"/>
              <w:rPr>
                <w:color w:val="010101"/>
                <w:position w:val="8"/>
                <w:sz w:val="19"/>
              </w:rPr>
            </w:pPr>
            <w:r>
              <w:rPr>
                <w:color w:val="010101"/>
                <w:position w:val="8"/>
                <w:sz w:val="19"/>
              </w:rPr>
              <w:t>9</w:t>
            </w:r>
          </w:p>
        </w:tc>
        <w:tc>
          <w:tcPr>
            <w:tcW w:w="10065" w:type="dxa"/>
            <w:tcBorders/>
            <w:tcMar>
              <w:top w:w="0" w:type="dxa"/>
            </w:tcMar>
            <w:vAlign w:val="center"/>
          </w:tcPr>
          <w:p>
            <w:pPr>
              <w:pStyle w:val="TableContents"/>
              <w:bidi w:val="0"/>
              <w:spacing w:before="0" w:after="283"/>
              <w:jc w:val="left"/>
              <w:rPr>
                <w:color w:val="231F20"/>
              </w:rPr>
            </w:pPr>
            <w:r>
              <w:rPr>
                <w:color w:val="231F20"/>
              </w:rPr>
              <w:t>In the case of these PSUs (granted to our CEO and CSO), if there is a change in control, all PSUs earned as of that date vest with no Holding Period.</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41"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320" descr=""/>
                          <pic:cNvPicPr>
                            <a:picLocks noChangeAspect="1" noChangeArrowheads="1"/>
                          </pic:cNvPicPr>
                        </pic:nvPicPr>
                        <pic:blipFill>
                          <a:blip r:embed="rId332"/>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46" w:name="regn013211-def14aa085"/>
      <w:bookmarkStart w:id="147" w:name="lregnb037"/>
      <w:bookmarkEnd w:id="146"/>
      <w:bookmarkEnd w:id="147"/>
      <w:r>
        <w:rPr>
          <w:rFonts w:ascii="Arial;Helvetica;Sans-Serif" w:hAnsi="Arial;Helvetica;Sans-Serif"/>
          <w:b/>
          <w:i w:val="false"/>
          <w:caps w:val="false"/>
          <w:smallCaps w:val="false"/>
          <w:color w:val="C60C45"/>
          <w:sz w:val="28"/>
        </w:rPr>
        <w:t>Pay Ratio</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required by Section 953(b) of the Dodd-Frank Wall Street Reform and Consumer Protection Act and Item 402(u) of Regulation S-K, we are required to disclose the median of the annual total compensation of our employees (excluding our principal executive officer), the annual total compensation of our principal executive officer, Dr. Schleifer, and the ratio of these two amounts.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Times New Roman;Times;Serif" w:hAnsi="Times New Roman;Times;Serif"/>
          <w:b w:val="false"/>
          <w:i w:val="false"/>
          <w:caps w:val="false"/>
          <w:smallCaps w:val="false"/>
          <w:sz w:val="18"/>
        </w:rPr>
      </w:pPr>
      <w:r>
        <w:rPr>
          <w:rFonts w:ascii="Arial;Helvetica;Sans-Serif" w:hAnsi="Arial;Helvetica;Sans-Serif"/>
          <w:b w:val="false"/>
          <w:i w:val="false"/>
          <w:caps w:val="false"/>
          <w:smallCaps w:val="false"/>
          <w:color w:val="231F20"/>
          <w:sz w:val="18"/>
        </w:rPr>
        <w:t>We have determined the total compensation of our median employee (based on the 2024 annual total compensation of our employees, excluding Dr. Schleifer) to be $164,447. The total 2024 compensation of Dr. Schleifer, as reported in the Summary Compensation Table above, was $6,823,034. Accordingly, the ratio of the 2024 annual total compensation of Dr. Schleifer to the median of the 2024 annual total compensation of our employees was approximately 41 to 1.</w:t>
      </w:r>
      <w:r>
        <w:rPr>
          <w:rFonts w:ascii="Arial;Helvetica;Sans-Serif" w:hAnsi="Arial;Helvetica;Sans-Serif"/>
          <w:b w:val="false"/>
          <w:i w:val="false"/>
          <w:caps w:val="false"/>
          <w:smallCaps w:val="false"/>
          <w:color w:val="010101"/>
          <w:position w:val="6"/>
          <w:sz w:val="14"/>
          <w:sz w:val="18"/>
        </w:rPr>
        <w:t>10</w:t>
      </w:r>
      <w:r>
        <w:rPr>
          <w:rFonts w:ascii="Times New Roman;Times;Serif" w:hAnsi="Times New Roman;Times;Serif"/>
          <w:b w:val="false"/>
          <w:i w:val="false"/>
          <w:caps w:val="false"/>
          <w:smallCaps w:val="false"/>
          <w:color w:val="231F20"/>
          <w:sz w:val="18"/>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For 2024, we identified the median employee as of December 31, 2024 by (i) aggregating for each applicable employee (a)</w:t>
      </w:r>
      <w:r>
        <w:rPr>
          <w:rFonts w:ascii="Times New Roman;Times;Serif" w:hAnsi="Times New Roman;Times;Serif"/>
          <w:b w:val="false"/>
          <w:i w:val="false"/>
          <w:caps w:val="false"/>
          <w:smallCaps w:val="false"/>
          <w:color w:val="231F20"/>
          <w:sz w:val="18"/>
        </w:rPr>
        <w:t xml:space="preserve"> </w:t>
      </w:r>
      <w:r>
        <w:rPr>
          <w:rFonts w:ascii="Arial;Helvetica;Sans-Serif" w:hAnsi="Arial;Helvetica;Sans-Serif"/>
          <w:b w:val="false"/>
          <w:i w:val="false"/>
          <w:caps w:val="false"/>
          <w:smallCaps w:val="false"/>
          <w:color w:val="231F20"/>
          <w:sz w:val="18"/>
        </w:rPr>
        <w:t>annual base salary for salaried employees (or wages plus overtime, based on annual work schedule, for permanent hourly employees), (b) the target annual cash incentive, and (c) the grant date fair value of any equity awards granted during 2024, and (ii) ranking this compensation measure from lowest to highest. This calculation was performed for all employees, excluding Dr. Schleifer, whether employed on a full-time, part-time, or seasonal basis. For purposes of identifying the median employee, we converted amounts paid in foreign currencies to U.S. dollars based on the applicable 2024 average exchange rate.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believe that 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28" w:type="dxa"/>
          <w:left w:w="0" w:type="dxa"/>
          <w:bottom w:w="0" w:type="dxa"/>
          <w:right w:w="0" w:type="dxa"/>
        </w:tblCellMar>
      </w:tblPr>
      <w:tblGrid>
        <w:gridCol w:w="245"/>
        <w:gridCol w:w="9960"/>
      </w:tblGrid>
      <w:tr>
        <w:trPr/>
        <w:tc>
          <w:tcPr>
            <w:tcW w:w="245" w:type="dxa"/>
            <w:tcBorders>
              <w:top w:val="single" w:sz="2" w:space="0" w:color="CCCCCC"/>
            </w:tcBorders>
            <w:vAlign w:val="center"/>
          </w:tcPr>
          <w:p>
            <w:pPr>
              <w:pStyle w:val="TableContents"/>
              <w:bidi w:val="0"/>
              <w:spacing w:before="0" w:after="283"/>
              <w:jc w:val="left"/>
              <w:rPr/>
            </w:pPr>
            <w:r>
              <w:rPr/>
              <w:t> </w:t>
            </w:r>
          </w:p>
        </w:tc>
        <w:tc>
          <w:tcPr>
            <w:tcW w:w="9960" w:type="dxa"/>
            <w:tcBorders>
              <w:top w:val="single" w:sz="2" w:space="0" w:color="CCCCCC"/>
            </w:tcBorders>
            <w:vAlign w:val="center"/>
          </w:tcPr>
          <w:p>
            <w:pPr>
              <w:pStyle w:val="TableContents"/>
              <w:bidi w:val="0"/>
              <w:spacing w:before="0" w:after="283"/>
              <w:jc w:val="left"/>
              <w:rPr/>
            </w:pPr>
            <w:r>
              <w:rPr/>
              <w:t> </w:t>
            </w:r>
          </w:p>
        </w:tc>
      </w:tr>
      <w:tr>
        <w:trPr/>
        <w:tc>
          <w:tcPr>
            <w:tcW w:w="245" w:type="dxa"/>
            <w:tcBorders/>
            <w:tcMar>
              <w:top w:w="0" w:type="dxa"/>
            </w:tcMar>
            <w:vAlign w:val="center"/>
          </w:tcPr>
          <w:p>
            <w:pPr>
              <w:pStyle w:val="TableContents"/>
              <w:bidi w:val="0"/>
              <w:spacing w:before="0" w:after="283"/>
              <w:jc w:val="left"/>
              <w:rPr>
                <w:color w:val="010101"/>
                <w:position w:val="8"/>
                <w:sz w:val="19"/>
              </w:rPr>
            </w:pPr>
            <w:r>
              <w:rPr>
                <w:color w:val="010101"/>
                <w:position w:val="8"/>
                <w:sz w:val="19"/>
              </w:rPr>
              <w:t>10</w:t>
            </w:r>
          </w:p>
        </w:tc>
        <w:tc>
          <w:tcPr>
            <w:tcW w:w="9960" w:type="dxa"/>
            <w:tcBorders/>
            <w:tcMar>
              <w:top w:w="0" w:type="dxa"/>
            </w:tcMar>
            <w:vAlign w:val="center"/>
          </w:tcPr>
          <w:p>
            <w:pPr>
              <w:pStyle w:val="TableContents"/>
              <w:bidi w:val="0"/>
              <w:spacing w:before="0" w:after="283"/>
              <w:jc w:val="left"/>
              <w:rPr>
                <w:color w:val="231F20"/>
              </w:rPr>
            </w:pPr>
            <w:r>
              <w:rPr>
                <w:color w:val="231F20"/>
              </w:rPr>
              <w:t>This ratio would have been approximately 200 to 1 if the five-year, front-loaded PSU award granted to Dr. Schleifer in 2020 in lieu of five years of annual equity awards (i.e., until the Company’s regular year-end grant cycle in December 2025) were annualized over such five-year period.</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42"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21" descr=""/>
                          <pic:cNvPicPr>
                            <a:picLocks noChangeAspect="1" noChangeArrowheads="1"/>
                          </pic:cNvPicPr>
                        </pic:nvPicPr>
                        <pic:blipFill>
                          <a:blip r:embed="rId333"/>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148" w:name="regn013211-def14aa086"/>
      <w:bookmarkStart w:id="149" w:name="lregnb038"/>
      <w:bookmarkStart w:id="150" w:name="xdx_80E_eecd--PvpTableTextBlock_dU_z8oR7"/>
      <w:bookmarkEnd w:id="148"/>
      <w:bookmarkEnd w:id="149"/>
      <w:bookmarkEnd w:id="150"/>
      <w:r>
        <w:rPr>
          <w:rFonts w:ascii="Arial;Helvetica;Sans-Serif" w:hAnsi="Arial;Helvetica;Sans-Serif"/>
          <w:b/>
          <w:i w:val="false"/>
          <w:caps w:val="false"/>
          <w:smallCaps w:val="false"/>
          <w:color w:val="C60C45"/>
          <w:sz w:val="28"/>
        </w:rPr>
        <w:t>Pay Versus Performance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required by Item 402(v) of Regulation S-K, the following table and accompanying footnotes and discussion provide certain information regarding executive compensation of our principal executive officer (“PEO”) and non-PEO NEOs (“Non-PEO NEOs”) and measures of Company performance for the years presented. Except where expressly stated, the information presented below was not considered by the Compensation Committee in structuring our executive compensation program for the years presented, and the reader should instead refer to the section “Compensation Discussion and Analysis” for a description of the philosophy, objectives, and structure of our pay program.</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Normal"/>
        <w:bidi w:val="0"/>
        <w:spacing w:before="0" w:after="0"/>
        <w:jc w:val="left"/>
        <w:rPr>
          <w:sz w:val="4"/>
          <w:szCs w:val="4"/>
        </w:rPr>
      </w:pPr>
      <w:r>
        <w:rPr>
          <w:sz w:val="4"/>
          <w:szCs w:val="4"/>
        </w:rPr>
      </w:r>
      <w:bookmarkStart w:id="151" w:name="xdx_302_z3QEzeMmcgp8"/>
      <w:bookmarkStart w:id="152" w:name="xdx_302_z3QEzeMmcgp8"/>
      <w:bookmarkEnd w:id="152"/>
    </w:p>
    <w:tbl>
      <w:tblPr>
        <w:tblW w:w="11910" w:type="dxa"/>
        <w:jc w:val="left"/>
        <w:tblInd w:w="0" w:type="dxa"/>
        <w:tblLayout w:type="fixed"/>
        <w:tblCellMar>
          <w:top w:w="0" w:type="dxa"/>
          <w:left w:w="0" w:type="dxa"/>
          <w:bottom w:w="28" w:type="dxa"/>
          <w:right w:w="0" w:type="dxa"/>
        </w:tblCellMar>
      </w:tblPr>
      <w:tblGrid>
        <w:gridCol w:w="515"/>
        <w:gridCol w:w="300"/>
        <w:gridCol w:w="1385"/>
        <w:gridCol w:w="300"/>
        <w:gridCol w:w="1385"/>
        <w:gridCol w:w="300"/>
        <w:gridCol w:w="1385"/>
        <w:gridCol w:w="300"/>
        <w:gridCol w:w="1385"/>
        <w:gridCol w:w="300"/>
        <w:gridCol w:w="680"/>
        <w:gridCol w:w="300"/>
        <w:gridCol w:w="680"/>
        <w:gridCol w:w="300"/>
        <w:gridCol w:w="1400"/>
        <w:gridCol w:w="300"/>
        <w:gridCol w:w="695"/>
      </w:tblGrid>
      <w:tr>
        <w:trPr/>
        <w:tc>
          <w:tcPr>
            <w:tcW w:w="515" w:type="dxa"/>
            <w:tcBorders>
              <w:bottom w:val="single" w:sz="2" w:space="0" w:color="3B58A4"/>
            </w:tcBorders>
            <w:vAlign w:val="center"/>
          </w:tcPr>
          <w:p>
            <w:pPr>
              <w:pStyle w:val="TableContents"/>
              <w:bidi w:val="0"/>
              <w:spacing w:before="0" w:after="283"/>
              <w:jc w:val="center"/>
              <w:rPr>
                <w:color w:val="2864AF"/>
              </w:rPr>
            </w:pPr>
            <w:r>
              <w:rPr>
                <w:color w:val="2864AF"/>
              </w:rPr>
              <w:t>A</w:t>
            </w:r>
          </w:p>
        </w:tc>
        <w:tc>
          <w:tcPr>
            <w:tcW w:w="300" w:type="dxa"/>
            <w:tcBorders>
              <w:bottom w:val="single" w:sz="2" w:space="0" w:color="3B58A4"/>
            </w:tcBorders>
            <w:vAlign w:val="center"/>
          </w:tcPr>
          <w:p>
            <w:pPr>
              <w:pStyle w:val="TableContents"/>
              <w:bidi w:val="0"/>
              <w:spacing w:before="0" w:after="283"/>
              <w:jc w:val="center"/>
              <w:rPr/>
            </w:pPr>
            <w:r>
              <w:rPr/>
              <w:t> </w:t>
            </w:r>
          </w:p>
        </w:tc>
        <w:tc>
          <w:tcPr>
            <w:tcW w:w="1385" w:type="dxa"/>
            <w:tcBorders>
              <w:bottom w:val="single" w:sz="2" w:space="0" w:color="3B58A4"/>
            </w:tcBorders>
            <w:vAlign w:val="center"/>
          </w:tcPr>
          <w:p>
            <w:pPr>
              <w:pStyle w:val="TableContents"/>
              <w:bidi w:val="0"/>
              <w:spacing w:before="0" w:after="283"/>
              <w:jc w:val="center"/>
              <w:rPr>
                <w:color w:val="2864AF"/>
              </w:rPr>
            </w:pPr>
            <w:r>
              <w:rPr>
                <w:color w:val="2864AF"/>
              </w:rPr>
              <w:t>B</w:t>
            </w:r>
          </w:p>
        </w:tc>
        <w:tc>
          <w:tcPr>
            <w:tcW w:w="300" w:type="dxa"/>
            <w:tcBorders>
              <w:bottom w:val="single" w:sz="2" w:space="0" w:color="3B58A4"/>
            </w:tcBorders>
            <w:vAlign w:val="center"/>
          </w:tcPr>
          <w:p>
            <w:pPr>
              <w:pStyle w:val="TableContents"/>
              <w:bidi w:val="0"/>
              <w:spacing w:before="0" w:after="283"/>
              <w:jc w:val="center"/>
              <w:rPr/>
            </w:pPr>
            <w:r>
              <w:rPr/>
              <w:t> </w:t>
            </w:r>
          </w:p>
        </w:tc>
        <w:tc>
          <w:tcPr>
            <w:tcW w:w="1385" w:type="dxa"/>
            <w:tcBorders>
              <w:bottom w:val="single" w:sz="2" w:space="0" w:color="3B58A4"/>
            </w:tcBorders>
            <w:vAlign w:val="center"/>
          </w:tcPr>
          <w:p>
            <w:pPr>
              <w:pStyle w:val="TableContents"/>
              <w:bidi w:val="0"/>
              <w:spacing w:before="0" w:after="283"/>
              <w:jc w:val="center"/>
              <w:rPr>
                <w:color w:val="2864AF"/>
              </w:rPr>
            </w:pPr>
            <w:r>
              <w:rPr>
                <w:color w:val="2864AF"/>
              </w:rPr>
              <w:t>C</w:t>
            </w:r>
          </w:p>
        </w:tc>
        <w:tc>
          <w:tcPr>
            <w:tcW w:w="300" w:type="dxa"/>
            <w:tcBorders>
              <w:bottom w:val="single" w:sz="2" w:space="0" w:color="3B58A4"/>
            </w:tcBorders>
            <w:vAlign w:val="center"/>
          </w:tcPr>
          <w:p>
            <w:pPr>
              <w:pStyle w:val="TableContents"/>
              <w:bidi w:val="0"/>
              <w:spacing w:before="0" w:after="283"/>
              <w:jc w:val="center"/>
              <w:rPr/>
            </w:pPr>
            <w:r>
              <w:rPr/>
              <w:t> </w:t>
            </w:r>
          </w:p>
        </w:tc>
        <w:tc>
          <w:tcPr>
            <w:tcW w:w="1385" w:type="dxa"/>
            <w:tcBorders>
              <w:bottom w:val="single" w:sz="2" w:space="0" w:color="3B58A4"/>
            </w:tcBorders>
            <w:vAlign w:val="center"/>
          </w:tcPr>
          <w:p>
            <w:pPr>
              <w:pStyle w:val="TableContents"/>
              <w:bidi w:val="0"/>
              <w:spacing w:before="0" w:after="283"/>
              <w:jc w:val="center"/>
              <w:rPr>
                <w:color w:val="2864AF"/>
              </w:rPr>
            </w:pPr>
            <w:r>
              <w:rPr>
                <w:color w:val="2864AF"/>
              </w:rPr>
              <w:t>D</w:t>
            </w:r>
          </w:p>
        </w:tc>
        <w:tc>
          <w:tcPr>
            <w:tcW w:w="300" w:type="dxa"/>
            <w:tcBorders>
              <w:bottom w:val="single" w:sz="2" w:space="0" w:color="3B58A4"/>
            </w:tcBorders>
            <w:vAlign w:val="center"/>
          </w:tcPr>
          <w:p>
            <w:pPr>
              <w:pStyle w:val="TableContents"/>
              <w:bidi w:val="0"/>
              <w:spacing w:before="0" w:after="283"/>
              <w:jc w:val="center"/>
              <w:rPr/>
            </w:pPr>
            <w:r>
              <w:rPr/>
              <w:t> </w:t>
            </w:r>
          </w:p>
        </w:tc>
        <w:tc>
          <w:tcPr>
            <w:tcW w:w="1385" w:type="dxa"/>
            <w:tcBorders>
              <w:bottom w:val="single" w:sz="2" w:space="0" w:color="3B58A4"/>
            </w:tcBorders>
            <w:vAlign w:val="center"/>
          </w:tcPr>
          <w:p>
            <w:pPr>
              <w:pStyle w:val="TableContents"/>
              <w:bidi w:val="0"/>
              <w:spacing w:before="0" w:after="283"/>
              <w:jc w:val="center"/>
              <w:rPr>
                <w:color w:val="2864AF"/>
              </w:rPr>
            </w:pPr>
            <w:r>
              <w:rPr>
                <w:color w:val="2864AF"/>
              </w:rPr>
              <w:t>E</w:t>
            </w:r>
          </w:p>
        </w:tc>
        <w:tc>
          <w:tcPr>
            <w:tcW w:w="300" w:type="dxa"/>
            <w:tcBorders>
              <w:bottom w:val="single" w:sz="2" w:space="0" w:color="3B58A4"/>
            </w:tcBorders>
            <w:vAlign w:val="center"/>
          </w:tcPr>
          <w:p>
            <w:pPr>
              <w:pStyle w:val="TableContents"/>
              <w:bidi w:val="0"/>
              <w:spacing w:before="0" w:after="283"/>
              <w:jc w:val="center"/>
              <w:rPr/>
            </w:pPr>
            <w:r>
              <w:rPr/>
              <w:t> </w:t>
            </w:r>
          </w:p>
        </w:tc>
        <w:tc>
          <w:tcPr>
            <w:tcW w:w="680" w:type="dxa"/>
            <w:tcBorders>
              <w:bottom w:val="single" w:sz="2" w:space="0" w:color="3B58A4"/>
            </w:tcBorders>
            <w:vAlign w:val="center"/>
          </w:tcPr>
          <w:p>
            <w:pPr>
              <w:pStyle w:val="TableContents"/>
              <w:bidi w:val="0"/>
              <w:spacing w:before="0" w:after="283"/>
              <w:jc w:val="center"/>
              <w:rPr>
                <w:color w:val="2864AF"/>
              </w:rPr>
            </w:pPr>
            <w:r>
              <w:rPr>
                <w:color w:val="2864AF"/>
              </w:rPr>
              <w:t>F</w:t>
            </w:r>
          </w:p>
        </w:tc>
        <w:tc>
          <w:tcPr>
            <w:tcW w:w="300" w:type="dxa"/>
            <w:tcBorders>
              <w:bottom w:val="single" w:sz="2" w:space="0" w:color="3B58A4"/>
            </w:tcBorders>
            <w:vAlign w:val="center"/>
          </w:tcPr>
          <w:p>
            <w:pPr>
              <w:pStyle w:val="TableContents"/>
              <w:bidi w:val="0"/>
              <w:spacing w:before="0" w:after="283"/>
              <w:jc w:val="center"/>
              <w:rPr/>
            </w:pPr>
            <w:r>
              <w:rPr/>
              <w:t> </w:t>
            </w:r>
          </w:p>
        </w:tc>
        <w:tc>
          <w:tcPr>
            <w:tcW w:w="680" w:type="dxa"/>
            <w:tcBorders>
              <w:bottom w:val="single" w:sz="2" w:space="0" w:color="3B58A4"/>
            </w:tcBorders>
            <w:vAlign w:val="center"/>
          </w:tcPr>
          <w:p>
            <w:pPr>
              <w:pStyle w:val="TableContents"/>
              <w:bidi w:val="0"/>
              <w:spacing w:before="0" w:after="283"/>
              <w:jc w:val="center"/>
              <w:rPr>
                <w:color w:val="2864AF"/>
              </w:rPr>
            </w:pPr>
            <w:r>
              <w:rPr>
                <w:color w:val="2864AF"/>
              </w:rPr>
              <w:t>G</w:t>
            </w:r>
          </w:p>
        </w:tc>
        <w:tc>
          <w:tcPr>
            <w:tcW w:w="300" w:type="dxa"/>
            <w:tcBorders>
              <w:bottom w:val="single" w:sz="2" w:space="0" w:color="3B58A4"/>
            </w:tcBorders>
            <w:vAlign w:val="center"/>
          </w:tcPr>
          <w:p>
            <w:pPr>
              <w:pStyle w:val="TableContents"/>
              <w:bidi w:val="0"/>
              <w:spacing w:before="0" w:after="283"/>
              <w:jc w:val="center"/>
              <w:rPr/>
            </w:pPr>
            <w:r>
              <w:rPr/>
              <w:t> </w:t>
            </w:r>
          </w:p>
        </w:tc>
        <w:tc>
          <w:tcPr>
            <w:tcW w:w="1400" w:type="dxa"/>
            <w:tcBorders>
              <w:bottom w:val="single" w:sz="2" w:space="0" w:color="3B58A4"/>
            </w:tcBorders>
            <w:vAlign w:val="center"/>
          </w:tcPr>
          <w:p>
            <w:pPr>
              <w:pStyle w:val="TableContents"/>
              <w:bidi w:val="0"/>
              <w:spacing w:before="0" w:after="283"/>
              <w:jc w:val="center"/>
              <w:rPr>
                <w:color w:val="2864AF"/>
              </w:rPr>
            </w:pPr>
            <w:r>
              <w:rPr>
                <w:color w:val="2864AF"/>
              </w:rPr>
              <w:t>H</w:t>
            </w:r>
          </w:p>
        </w:tc>
        <w:tc>
          <w:tcPr>
            <w:tcW w:w="300" w:type="dxa"/>
            <w:tcBorders>
              <w:bottom w:val="single" w:sz="2" w:space="0" w:color="3B58A4"/>
            </w:tcBorders>
            <w:vAlign w:val="center"/>
          </w:tcPr>
          <w:p>
            <w:pPr>
              <w:pStyle w:val="TableContents"/>
              <w:bidi w:val="0"/>
              <w:spacing w:before="0" w:after="283"/>
              <w:jc w:val="center"/>
              <w:rPr/>
            </w:pPr>
            <w:r>
              <w:rPr/>
              <w:t> </w:t>
            </w:r>
          </w:p>
        </w:tc>
        <w:tc>
          <w:tcPr>
            <w:tcW w:w="695" w:type="dxa"/>
            <w:tcBorders>
              <w:bottom w:val="single" w:sz="2" w:space="0" w:color="3B58A4"/>
            </w:tcBorders>
            <w:vAlign w:val="center"/>
          </w:tcPr>
          <w:p>
            <w:pPr>
              <w:pStyle w:val="TableContents"/>
              <w:bidi w:val="0"/>
              <w:spacing w:before="0" w:after="283"/>
              <w:jc w:val="center"/>
              <w:rPr>
                <w:color w:val="2864AF"/>
              </w:rPr>
            </w:pPr>
            <w:r>
              <w:rPr>
                <w:color w:val="2864AF"/>
              </w:rPr>
              <w:t>I</w:t>
            </w:r>
          </w:p>
        </w:tc>
      </w:tr>
      <w:tr>
        <w:trPr/>
        <w:tc>
          <w:tcPr>
            <w:tcW w:w="515" w:type="dxa"/>
            <w:tcBorders>
              <w:bottom w:val="single" w:sz="2" w:space="0" w:color="3B58A4"/>
            </w:tcBorders>
            <w:vAlign w:val="center"/>
          </w:tcPr>
          <w:p>
            <w:pPr>
              <w:pStyle w:val="TableContents"/>
              <w:bidi w:val="0"/>
              <w:spacing w:before="0" w:after="283"/>
              <w:jc w:val="left"/>
              <w:rPr/>
            </w:pPr>
            <w:r>
              <w:rPr/>
              <w:t> </w:t>
            </w:r>
          </w:p>
        </w:tc>
        <w:tc>
          <w:tcPr>
            <w:tcW w:w="300" w:type="dxa"/>
            <w:tcBorders>
              <w:bottom w:val="single" w:sz="2" w:space="0" w:color="3B58A4"/>
            </w:tcBorders>
            <w:vAlign w:val="center"/>
          </w:tcPr>
          <w:p>
            <w:pPr>
              <w:pStyle w:val="TableContents"/>
              <w:bidi w:val="0"/>
              <w:spacing w:before="0" w:after="283"/>
              <w:jc w:val="right"/>
              <w:rPr/>
            </w:pPr>
            <w:r>
              <w:rPr/>
              <w:t> </w:t>
            </w:r>
          </w:p>
        </w:tc>
        <w:tc>
          <w:tcPr>
            <w:tcW w:w="1385" w:type="dxa"/>
            <w:tcBorders>
              <w:bottom w:val="single" w:sz="2" w:space="0" w:color="3B58A4"/>
            </w:tcBorders>
            <w:vAlign w:val="center"/>
          </w:tcPr>
          <w:p>
            <w:pPr>
              <w:pStyle w:val="TableContents"/>
              <w:bidi w:val="0"/>
              <w:spacing w:before="0" w:after="283"/>
              <w:jc w:val="left"/>
              <w:rPr/>
            </w:pPr>
            <w:r>
              <w:rPr/>
              <w:t> </w:t>
            </w:r>
          </w:p>
        </w:tc>
        <w:tc>
          <w:tcPr>
            <w:tcW w:w="300" w:type="dxa"/>
            <w:tcBorders>
              <w:bottom w:val="single" w:sz="2" w:space="0" w:color="3B58A4"/>
            </w:tcBorders>
            <w:vAlign w:val="center"/>
          </w:tcPr>
          <w:p>
            <w:pPr>
              <w:pStyle w:val="TableContents"/>
              <w:bidi w:val="0"/>
              <w:spacing w:before="0" w:after="283"/>
              <w:jc w:val="right"/>
              <w:rPr/>
            </w:pPr>
            <w:r>
              <w:rPr/>
              <w:t> </w:t>
            </w:r>
          </w:p>
        </w:tc>
        <w:tc>
          <w:tcPr>
            <w:tcW w:w="1385" w:type="dxa"/>
            <w:tcBorders>
              <w:bottom w:val="single" w:sz="2" w:space="0" w:color="3B58A4"/>
            </w:tcBorders>
            <w:vAlign w:val="center"/>
          </w:tcPr>
          <w:p>
            <w:pPr>
              <w:pStyle w:val="TableContents"/>
              <w:bidi w:val="0"/>
              <w:spacing w:before="0" w:after="283"/>
              <w:jc w:val="left"/>
              <w:rPr/>
            </w:pPr>
            <w:r>
              <w:rPr/>
              <w:t> </w:t>
            </w:r>
          </w:p>
        </w:tc>
        <w:tc>
          <w:tcPr>
            <w:tcW w:w="300" w:type="dxa"/>
            <w:tcBorders>
              <w:bottom w:val="single" w:sz="2" w:space="0" w:color="3B58A4"/>
            </w:tcBorders>
            <w:vAlign w:val="center"/>
          </w:tcPr>
          <w:p>
            <w:pPr>
              <w:pStyle w:val="TableContents"/>
              <w:bidi w:val="0"/>
              <w:spacing w:before="0" w:after="283"/>
              <w:jc w:val="right"/>
              <w:rPr/>
            </w:pPr>
            <w:r>
              <w:rPr/>
              <w:t> </w:t>
            </w:r>
          </w:p>
        </w:tc>
        <w:tc>
          <w:tcPr>
            <w:tcW w:w="1385" w:type="dxa"/>
            <w:tcBorders>
              <w:bottom w:val="single" w:sz="2" w:space="0" w:color="3B58A4"/>
            </w:tcBorders>
            <w:vAlign w:val="center"/>
          </w:tcPr>
          <w:p>
            <w:pPr>
              <w:pStyle w:val="TableContents"/>
              <w:bidi w:val="0"/>
              <w:spacing w:before="0" w:after="283"/>
              <w:jc w:val="left"/>
              <w:rPr/>
            </w:pPr>
            <w:r>
              <w:rPr/>
              <w:t> </w:t>
            </w:r>
          </w:p>
        </w:tc>
        <w:tc>
          <w:tcPr>
            <w:tcW w:w="300" w:type="dxa"/>
            <w:tcBorders>
              <w:bottom w:val="single" w:sz="2" w:space="0" w:color="3B58A4"/>
            </w:tcBorders>
            <w:vAlign w:val="center"/>
          </w:tcPr>
          <w:p>
            <w:pPr>
              <w:pStyle w:val="TableContents"/>
              <w:bidi w:val="0"/>
              <w:spacing w:before="0" w:after="283"/>
              <w:jc w:val="right"/>
              <w:rPr/>
            </w:pPr>
            <w:r>
              <w:rPr/>
              <w:t> </w:t>
            </w:r>
          </w:p>
        </w:tc>
        <w:tc>
          <w:tcPr>
            <w:tcW w:w="1385" w:type="dxa"/>
            <w:tcBorders>
              <w:bottom w:val="single" w:sz="2" w:space="0" w:color="3B58A4"/>
            </w:tcBorders>
            <w:vAlign w:val="center"/>
          </w:tcPr>
          <w:p>
            <w:pPr>
              <w:pStyle w:val="TableContents"/>
              <w:bidi w:val="0"/>
              <w:spacing w:before="0" w:after="283"/>
              <w:jc w:val="left"/>
              <w:rPr/>
            </w:pPr>
            <w:r>
              <w:rPr/>
              <w:t> </w:t>
            </w:r>
          </w:p>
        </w:tc>
        <w:tc>
          <w:tcPr>
            <w:tcW w:w="300" w:type="dxa"/>
            <w:tcBorders>
              <w:bottom w:val="single" w:sz="2" w:space="0" w:color="3B58A4"/>
            </w:tcBorders>
            <w:vAlign w:val="center"/>
          </w:tcPr>
          <w:p>
            <w:pPr>
              <w:pStyle w:val="TableContents"/>
              <w:bidi w:val="0"/>
              <w:spacing w:before="0" w:after="283"/>
              <w:jc w:val="right"/>
              <w:rPr/>
            </w:pPr>
            <w:r>
              <w:rPr/>
              <w:t> </w:t>
            </w:r>
          </w:p>
        </w:tc>
        <w:tc>
          <w:tcPr>
            <w:tcW w:w="1660" w:type="dxa"/>
            <w:gridSpan w:val="3"/>
            <w:tcBorders>
              <w:bottom w:val="single" w:sz="2" w:space="0" w:color="3B58A4"/>
            </w:tcBorders>
            <w:vAlign w:val="center"/>
          </w:tcPr>
          <w:p>
            <w:pPr>
              <w:pStyle w:val="TableContents"/>
              <w:bidi w:val="0"/>
              <w:spacing w:before="0" w:after="283"/>
              <w:jc w:val="center"/>
              <w:rPr>
                <w:color w:val="2864AF"/>
              </w:rPr>
            </w:pPr>
            <w:r>
              <w:rPr>
                <w:color w:val="2864AF"/>
              </w:rPr>
              <w:t xml:space="preserve">Value of Initial Fixed </w:t>
              <w:br/>
              <w:t xml:space="preserve">$100 Investment </w:t>
              <w:br/>
              <w:t>Based On:</w:t>
            </w:r>
          </w:p>
        </w:tc>
        <w:tc>
          <w:tcPr>
            <w:tcW w:w="300" w:type="dxa"/>
            <w:tcBorders>
              <w:bottom w:val="single" w:sz="2" w:space="0" w:color="3B58A4"/>
            </w:tcBorders>
            <w:vAlign w:val="center"/>
          </w:tcPr>
          <w:p>
            <w:pPr>
              <w:pStyle w:val="TableContents"/>
              <w:bidi w:val="0"/>
              <w:spacing w:before="0" w:after="283"/>
              <w:jc w:val="right"/>
              <w:rPr/>
            </w:pPr>
            <w:r>
              <w:rPr/>
              <w:t> </w:t>
            </w:r>
          </w:p>
        </w:tc>
        <w:tc>
          <w:tcPr>
            <w:tcW w:w="1400" w:type="dxa"/>
            <w:tcBorders>
              <w:bottom w:val="single" w:sz="2" w:space="0" w:color="3B58A4"/>
            </w:tcBorders>
            <w:vAlign w:val="center"/>
          </w:tcPr>
          <w:p>
            <w:pPr>
              <w:pStyle w:val="TableContents"/>
              <w:bidi w:val="0"/>
              <w:spacing w:before="0" w:after="283"/>
              <w:jc w:val="left"/>
              <w:rPr/>
            </w:pPr>
            <w:r>
              <w:rPr/>
              <w:t> </w:t>
            </w:r>
          </w:p>
        </w:tc>
        <w:tc>
          <w:tcPr>
            <w:tcW w:w="300" w:type="dxa"/>
            <w:tcBorders>
              <w:bottom w:val="single" w:sz="2" w:space="0" w:color="3B58A4"/>
            </w:tcBorders>
            <w:vAlign w:val="center"/>
          </w:tcPr>
          <w:p>
            <w:pPr>
              <w:pStyle w:val="TableContents"/>
              <w:bidi w:val="0"/>
              <w:spacing w:before="0" w:after="283"/>
              <w:jc w:val="right"/>
              <w:rPr/>
            </w:pPr>
            <w:r>
              <w:rPr/>
              <w:t> </w:t>
            </w:r>
          </w:p>
        </w:tc>
        <w:tc>
          <w:tcPr>
            <w:tcW w:w="695" w:type="dxa"/>
            <w:tcBorders>
              <w:bottom w:val="single" w:sz="2" w:space="0" w:color="3B58A4"/>
            </w:tcBorders>
            <w:vAlign w:val="center"/>
          </w:tcPr>
          <w:p>
            <w:pPr>
              <w:pStyle w:val="TableContents"/>
              <w:bidi w:val="0"/>
              <w:spacing w:before="0" w:after="283"/>
              <w:jc w:val="left"/>
              <w:rPr/>
            </w:pPr>
            <w:r>
              <w:rPr/>
              <w:t> </w:t>
            </w:r>
          </w:p>
        </w:tc>
      </w:tr>
      <w:tr>
        <w:trPr/>
        <w:tc>
          <w:tcPr>
            <w:tcW w:w="515" w:type="dxa"/>
            <w:tcBorders>
              <w:bottom w:val="single" w:sz="2" w:space="0" w:color="3B58A4"/>
            </w:tcBorders>
            <w:vAlign w:val="center"/>
          </w:tcPr>
          <w:p>
            <w:pPr>
              <w:pStyle w:val="TableContents"/>
              <w:bidi w:val="0"/>
              <w:spacing w:before="0" w:after="283"/>
              <w:jc w:val="left"/>
              <w:rPr>
                <w:color w:val="2864AF"/>
              </w:rPr>
            </w:pPr>
            <w:r>
              <w:rPr>
                <w:color w:val="2864AF"/>
              </w:rPr>
              <w:t>Year</w:t>
            </w:r>
          </w:p>
        </w:tc>
        <w:tc>
          <w:tcPr>
            <w:tcW w:w="300" w:type="dxa"/>
            <w:tcBorders>
              <w:bottom w:val="single" w:sz="2" w:space="0" w:color="3B58A4"/>
            </w:tcBorders>
            <w:vAlign w:val="center"/>
          </w:tcPr>
          <w:p>
            <w:pPr>
              <w:pStyle w:val="TableContents"/>
              <w:bidi w:val="0"/>
              <w:spacing w:before="0" w:after="283"/>
              <w:jc w:val="center"/>
              <w:rPr/>
            </w:pPr>
            <w:r>
              <w:rPr/>
              <w:t>     </w:t>
            </w:r>
          </w:p>
        </w:tc>
        <w:tc>
          <w:tcPr>
            <w:tcW w:w="1385" w:type="dxa"/>
            <w:tcBorders>
              <w:bottom w:val="single" w:sz="2" w:space="0" w:color="3B58A4"/>
            </w:tcBorders>
            <w:vAlign w:val="center"/>
          </w:tcPr>
          <w:p>
            <w:pPr>
              <w:pStyle w:val="TableContents"/>
              <w:bidi w:val="0"/>
              <w:spacing w:before="0" w:after="283"/>
              <w:jc w:val="right"/>
              <w:rPr/>
            </w:pPr>
            <w:r>
              <w:rPr>
                <w:color w:val="2864AF"/>
              </w:rPr>
              <w:t>Summary</w:t>
            </w:r>
            <w:r>
              <w:rPr/>
              <w:t xml:space="preserve"> </w:t>
              <w:br/>
            </w:r>
            <w:r>
              <w:rPr>
                <w:color w:val="2864AF"/>
              </w:rPr>
              <w:t>Compensation</w:t>
            </w:r>
            <w:r>
              <w:rPr/>
              <w:t xml:space="preserve"> </w:t>
              <w:br/>
            </w:r>
            <w:r>
              <w:rPr>
                <w:color w:val="2864AF"/>
              </w:rPr>
              <w:t>Table Total for</w:t>
            </w:r>
            <w:r>
              <w:rPr/>
              <w:t xml:space="preserve"> </w:t>
              <w:br/>
            </w:r>
            <w:r>
              <w:rPr>
                <w:color w:val="2864AF"/>
              </w:rPr>
              <w:t>PEO ($)</w:t>
            </w:r>
            <w:r>
              <w:rPr>
                <w:color w:val="2864AF"/>
                <w:position w:val="8"/>
                <w:sz w:val="19"/>
              </w:rPr>
              <w:t>1</w:t>
            </w:r>
          </w:p>
        </w:tc>
        <w:tc>
          <w:tcPr>
            <w:tcW w:w="300" w:type="dxa"/>
            <w:tcBorders>
              <w:bottom w:val="single" w:sz="2" w:space="0" w:color="3B58A4"/>
            </w:tcBorders>
            <w:vAlign w:val="center"/>
          </w:tcPr>
          <w:p>
            <w:pPr>
              <w:pStyle w:val="TableContents"/>
              <w:bidi w:val="0"/>
              <w:spacing w:before="0" w:after="283"/>
              <w:jc w:val="right"/>
              <w:rPr/>
            </w:pPr>
            <w:r>
              <w:rPr/>
              <w:t>     </w:t>
            </w:r>
          </w:p>
        </w:tc>
        <w:tc>
          <w:tcPr>
            <w:tcW w:w="1385" w:type="dxa"/>
            <w:tcBorders>
              <w:bottom w:val="single" w:sz="2" w:space="0" w:color="3B58A4"/>
            </w:tcBorders>
            <w:vAlign w:val="center"/>
          </w:tcPr>
          <w:p>
            <w:pPr>
              <w:pStyle w:val="TableContents"/>
              <w:bidi w:val="0"/>
              <w:spacing w:before="0" w:after="283"/>
              <w:jc w:val="right"/>
              <w:rPr/>
            </w:pPr>
            <w:r>
              <w:rPr>
                <w:color w:val="2864AF"/>
              </w:rPr>
              <w:t>Compensation</w:t>
            </w:r>
            <w:r>
              <w:rPr/>
              <w:t xml:space="preserve"> </w:t>
              <w:br/>
            </w:r>
            <w:r>
              <w:rPr>
                <w:color w:val="2864AF"/>
              </w:rPr>
              <w:t>“Actually Paid”</w:t>
            </w:r>
            <w:r>
              <w:rPr/>
              <w:t xml:space="preserve"> </w:t>
              <w:br/>
            </w:r>
            <w:r>
              <w:rPr>
                <w:color w:val="2864AF"/>
              </w:rPr>
              <w:t>to PEO ($)</w:t>
            </w:r>
            <w:r>
              <w:rPr>
                <w:color w:val="2864AF"/>
                <w:position w:val="8"/>
                <w:sz w:val="19"/>
              </w:rPr>
              <w:t>1,2,3</w:t>
            </w:r>
          </w:p>
        </w:tc>
        <w:tc>
          <w:tcPr>
            <w:tcW w:w="300" w:type="dxa"/>
            <w:tcBorders>
              <w:bottom w:val="single" w:sz="2" w:space="0" w:color="3B58A4"/>
            </w:tcBorders>
            <w:vAlign w:val="center"/>
          </w:tcPr>
          <w:p>
            <w:pPr>
              <w:pStyle w:val="TableContents"/>
              <w:bidi w:val="0"/>
              <w:spacing w:before="0" w:after="283"/>
              <w:jc w:val="right"/>
              <w:rPr/>
            </w:pPr>
            <w:r>
              <w:rPr/>
              <w:t>     </w:t>
            </w:r>
          </w:p>
        </w:tc>
        <w:tc>
          <w:tcPr>
            <w:tcW w:w="1385" w:type="dxa"/>
            <w:tcBorders>
              <w:bottom w:val="single" w:sz="2" w:space="0" w:color="3B58A4"/>
            </w:tcBorders>
            <w:vAlign w:val="center"/>
          </w:tcPr>
          <w:p>
            <w:pPr>
              <w:pStyle w:val="TableContents"/>
              <w:bidi w:val="0"/>
              <w:spacing w:before="0" w:after="283"/>
              <w:jc w:val="right"/>
              <w:rPr/>
            </w:pPr>
            <w:r>
              <w:rPr>
                <w:color w:val="2864AF"/>
              </w:rPr>
              <w:t>Average Summary</w:t>
            </w:r>
            <w:r>
              <w:rPr/>
              <w:t xml:space="preserve"> </w:t>
              <w:br/>
            </w:r>
            <w:r>
              <w:rPr>
                <w:color w:val="2864AF"/>
              </w:rPr>
              <w:t>Compensation</w:t>
            </w:r>
            <w:r>
              <w:rPr/>
              <w:t xml:space="preserve"> </w:t>
              <w:br/>
            </w:r>
            <w:r>
              <w:rPr>
                <w:color w:val="2864AF"/>
              </w:rPr>
              <w:t>Table</w:t>
            </w:r>
            <w:r>
              <w:rPr/>
              <w:t xml:space="preserve"> </w:t>
              <w:br/>
            </w:r>
            <w:r>
              <w:rPr>
                <w:color w:val="2864AF"/>
              </w:rPr>
              <w:t>Total for Non-PEO</w:t>
            </w:r>
            <w:r>
              <w:rPr/>
              <w:t xml:space="preserve"> </w:t>
              <w:br/>
            </w:r>
            <w:r>
              <w:rPr>
                <w:color w:val="2864AF"/>
              </w:rPr>
              <w:t>NEOs ($)</w:t>
            </w:r>
            <w:r>
              <w:rPr>
                <w:color w:val="2864AF"/>
                <w:position w:val="8"/>
                <w:sz w:val="19"/>
              </w:rPr>
              <w:t>1</w:t>
            </w:r>
          </w:p>
        </w:tc>
        <w:tc>
          <w:tcPr>
            <w:tcW w:w="300" w:type="dxa"/>
            <w:tcBorders>
              <w:bottom w:val="single" w:sz="2" w:space="0" w:color="3B58A4"/>
            </w:tcBorders>
            <w:vAlign w:val="center"/>
          </w:tcPr>
          <w:p>
            <w:pPr>
              <w:pStyle w:val="TableContents"/>
              <w:bidi w:val="0"/>
              <w:spacing w:before="0" w:after="283"/>
              <w:jc w:val="right"/>
              <w:rPr/>
            </w:pPr>
            <w:r>
              <w:rPr/>
              <w:t>     </w:t>
            </w:r>
          </w:p>
        </w:tc>
        <w:tc>
          <w:tcPr>
            <w:tcW w:w="1385" w:type="dxa"/>
            <w:tcBorders>
              <w:bottom w:val="single" w:sz="2" w:space="0" w:color="3B58A4"/>
            </w:tcBorders>
            <w:vAlign w:val="center"/>
          </w:tcPr>
          <w:p>
            <w:pPr>
              <w:pStyle w:val="TableContents"/>
              <w:bidi w:val="0"/>
              <w:spacing w:before="0" w:after="283"/>
              <w:jc w:val="right"/>
              <w:rPr/>
            </w:pPr>
            <w:r>
              <w:rPr>
                <w:color w:val="2864AF"/>
              </w:rPr>
              <w:t>Average</w:t>
            </w:r>
            <w:r>
              <w:rPr/>
              <w:t xml:space="preserve"> </w:t>
              <w:br/>
            </w:r>
            <w:r>
              <w:rPr>
                <w:color w:val="2864AF"/>
              </w:rPr>
              <w:t>Compensation</w:t>
            </w:r>
            <w:r>
              <w:rPr/>
              <w:t xml:space="preserve"> </w:t>
              <w:br/>
            </w:r>
            <w:r>
              <w:rPr>
                <w:color w:val="2864AF"/>
              </w:rPr>
              <w:t>“Actually Paid”</w:t>
            </w:r>
            <w:r>
              <w:rPr/>
              <w:t xml:space="preserve"> </w:t>
              <w:br/>
            </w:r>
            <w:r>
              <w:rPr>
                <w:color w:val="2864AF"/>
              </w:rPr>
              <w:t>to</w:t>
            </w:r>
            <w:r>
              <w:rPr/>
              <w:t xml:space="preserve"> </w:t>
              <w:br/>
            </w:r>
            <w:r>
              <w:rPr>
                <w:color w:val="2864AF"/>
              </w:rPr>
              <w:t>Non-PEO NEOs</w:t>
            </w:r>
            <w:r>
              <w:rPr/>
              <w:t xml:space="preserve"> </w:t>
              <w:br/>
            </w:r>
            <w:r>
              <w:rPr>
                <w:color w:val="2864AF"/>
              </w:rPr>
              <w:t>($)</w:t>
            </w:r>
            <w:r>
              <w:rPr>
                <w:color w:val="2864AF"/>
                <w:position w:val="8"/>
                <w:sz w:val="19"/>
              </w:rPr>
              <w:t>1,2,3</w:t>
            </w:r>
          </w:p>
        </w:tc>
        <w:tc>
          <w:tcPr>
            <w:tcW w:w="300" w:type="dxa"/>
            <w:tcBorders>
              <w:bottom w:val="single" w:sz="2" w:space="0" w:color="3B58A4"/>
            </w:tcBorders>
            <w:vAlign w:val="center"/>
          </w:tcPr>
          <w:p>
            <w:pPr>
              <w:pStyle w:val="TableContents"/>
              <w:bidi w:val="0"/>
              <w:spacing w:before="0" w:after="283"/>
              <w:jc w:val="right"/>
              <w:rPr/>
            </w:pPr>
            <w:r>
              <w:rPr/>
              <w:t>     </w:t>
            </w:r>
          </w:p>
        </w:tc>
        <w:tc>
          <w:tcPr>
            <w:tcW w:w="680" w:type="dxa"/>
            <w:tcBorders>
              <w:bottom w:val="single" w:sz="2" w:space="0" w:color="3B58A4"/>
            </w:tcBorders>
            <w:vAlign w:val="center"/>
          </w:tcPr>
          <w:p>
            <w:pPr>
              <w:pStyle w:val="TableContents"/>
              <w:bidi w:val="0"/>
              <w:spacing w:before="0" w:after="283"/>
              <w:jc w:val="right"/>
              <w:rPr>
                <w:color w:val="2864AF"/>
              </w:rPr>
            </w:pPr>
            <w:r>
              <w:rPr>
                <w:color w:val="2864AF"/>
              </w:rPr>
              <w:t>TSR ($)</w:t>
            </w:r>
          </w:p>
        </w:tc>
        <w:tc>
          <w:tcPr>
            <w:tcW w:w="300" w:type="dxa"/>
            <w:tcBorders>
              <w:bottom w:val="single" w:sz="2" w:space="0" w:color="3B58A4"/>
            </w:tcBorders>
            <w:vAlign w:val="center"/>
          </w:tcPr>
          <w:p>
            <w:pPr>
              <w:pStyle w:val="TableContents"/>
              <w:bidi w:val="0"/>
              <w:spacing w:before="0" w:after="283"/>
              <w:jc w:val="right"/>
              <w:rPr/>
            </w:pPr>
            <w:r>
              <w:rPr/>
              <w:t>     </w:t>
            </w:r>
          </w:p>
        </w:tc>
        <w:tc>
          <w:tcPr>
            <w:tcW w:w="680" w:type="dxa"/>
            <w:tcBorders>
              <w:bottom w:val="single" w:sz="2" w:space="0" w:color="3B58A4"/>
            </w:tcBorders>
            <w:vAlign w:val="center"/>
          </w:tcPr>
          <w:p>
            <w:pPr>
              <w:pStyle w:val="TableContents"/>
              <w:bidi w:val="0"/>
              <w:spacing w:before="0" w:after="283"/>
              <w:jc w:val="right"/>
              <w:rPr/>
            </w:pPr>
            <w:r>
              <w:rPr>
                <w:color w:val="2864AF"/>
              </w:rPr>
              <w:t>Peer Group</w:t>
            </w:r>
            <w:r>
              <w:rPr/>
              <w:t xml:space="preserve"> </w:t>
              <w:br/>
            </w:r>
            <w:r>
              <w:rPr>
                <w:color w:val="2864AF"/>
              </w:rPr>
              <w:t>TSR ($)</w:t>
            </w:r>
            <w:r>
              <w:rPr>
                <w:color w:val="2864AF"/>
                <w:position w:val="8"/>
                <w:sz w:val="19"/>
              </w:rPr>
              <w:t>4</w:t>
            </w:r>
          </w:p>
        </w:tc>
        <w:tc>
          <w:tcPr>
            <w:tcW w:w="300" w:type="dxa"/>
            <w:tcBorders>
              <w:bottom w:val="single" w:sz="2" w:space="0" w:color="3B58A4"/>
            </w:tcBorders>
            <w:vAlign w:val="center"/>
          </w:tcPr>
          <w:p>
            <w:pPr>
              <w:pStyle w:val="TableContents"/>
              <w:bidi w:val="0"/>
              <w:spacing w:before="0" w:after="283"/>
              <w:jc w:val="right"/>
              <w:rPr/>
            </w:pPr>
            <w:r>
              <w:rPr/>
              <w:t>     </w:t>
            </w:r>
          </w:p>
        </w:tc>
        <w:tc>
          <w:tcPr>
            <w:tcW w:w="1400" w:type="dxa"/>
            <w:tcBorders>
              <w:bottom w:val="single" w:sz="2" w:space="0" w:color="3B58A4"/>
            </w:tcBorders>
            <w:vAlign w:val="center"/>
          </w:tcPr>
          <w:p>
            <w:pPr>
              <w:pStyle w:val="TableContents"/>
              <w:bidi w:val="0"/>
              <w:spacing w:before="0" w:after="283"/>
              <w:jc w:val="right"/>
              <w:rPr>
                <w:color w:val="2864AF"/>
              </w:rPr>
            </w:pPr>
            <w:r>
              <w:rPr>
                <w:color w:val="2864AF"/>
              </w:rPr>
              <w:t>Net Income ($)</w:t>
            </w:r>
          </w:p>
        </w:tc>
        <w:tc>
          <w:tcPr>
            <w:tcW w:w="300" w:type="dxa"/>
            <w:tcBorders>
              <w:bottom w:val="single" w:sz="2" w:space="0" w:color="3B58A4"/>
            </w:tcBorders>
            <w:vAlign w:val="center"/>
          </w:tcPr>
          <w:p>
            <w:pPr>
              <w:pStyle w:val="TableContents"/>
              <w:bidi w:val="0"/>
              <w:spacing w:before="0" w:after="283"/>
              <w:jc w:val="right"/>
              <w:rPr/>
            </w:pPr>
            <w:r>
              <w:rPr/>
              <w:t>     </w:t>
            </w:r>
          </w:p>
        </w:tc>
        <w:tc>
          <w:tcPr>
            <w:tcW w:w="695" w:type="dxa"/>
            <w:tcBorders>
              <w:bottom w:val="single" w:sz="2" w:space="0" w:color="3B58A4"/>
            </w:tcBorders>
            <w:vAlign w:val="center"/>
          </w:tcPr>
          <w:p>
            <w:pPr>
              <w:pStyle w:val="TableContents"/>
              <w:bidi w:val="0"/>
              <w:spacing w:before="0" w:after="283"/>
              <w:jc w:val="right"/>
              <w:rPr/>
            </w:pPr>
            <w:r>
              <w:rPr>
                <w:color w:val="2864AF"/>
              </w:rPr>
              <w:t>Stock</w:t>
            </w:r>
            <w:r>
              <w:rPr/>
              <w:t xml:space="preserve"> </w:t>
              <w:br/>
            </w:r>
            <w:r>
              <w:rPr>
                <w:color w:val="2864AF"/>
              </w:rPr>
              <w:t>Price</w:t>
            </w:r>
            <w:r>
              <w:rPr/>
              <w:t xml:space="preserve"> </w:t>
              <w:br/>
            </w:r>
            <w:r>
              <w:rPr>
                <w:color w:val="2864AF"/>
              </w:rPr>
              <w:t>($)</w:t>
            </w:r>
            <w:r>
              <w:rPr>
                <w:color w:val="2864AF"/>
                <w:position w:val="8"/>
                <w:sz w:val="19"/>
              </w:rPr>
              <w:t>5</w:t>
            </w:r>
          </w:p>
        </w:tc>
      </w:tr>
      <w:tr>
        <w:trPr/>
        <w:tc>
          <w:tcPr>
            <w:tcW w:w="515" w:type="dxa"/>
            <w:tcBorders>
              <w:bottom w:val="single" w:sz="2" w:space="0" w:color="CCCCCC"/>
            </w:tcBorders>
            <w:vAlign w:val="center"/>
          </w:tcPr>
          <w:p>
            <w:pPr>
              <w:pStyle w:val="TableContents"/>
              <w:bidi w:val="0"/>
              <w:spacing w:before="0" w:after="283"/>
              <w:jc w:val="left"/>
              <w:rPr>
                <w:color w:val="2864AF"/>
              </w:rPr>
            </w:pPr>
            <w:r>
              <w:rPr>
                <w:color w:val="2864AF"/>
              </w:rPr>
              <w:t>2024</w:t>
            </w:r>
          </w:p>
        </w:tc>
        <w:tc>
          <w:tcPr>
            <w:tcW w:w="300" w:type="dxa"/>
            <w:tcBorders>
              <w:bottom w:val="single" w:sz="2" w:space="0" w:color="CCCCCC"/>
            </w:tcBorders>
            <w:vAlign w:val="center"/>
          </w:tcPr>
          <w:p>
            <w:pPr>
              <w:pStyle w:val="TableContents"/>
              <w:bidi w:val="0"/>
              <w:spacing w:before="0" w:after="283"/>
              <w:jc w:val="right"/>
              <w:rPr/>
            </w:pPr>
            <w:r>
              <w:rPr/>
              <w:t> </w:t>
            </w:r>
            <w:bookmarkStart w:id="153" w:name="xdx_981_eecd--PeoTotalCompAmt_pp0p0_c202"/>
            <w:bookmarkEnd w:id="153"/>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6,823,034</w:t>
            </w:r>
          </w:p>
        </w:tc>
        <w:tc>
          <w:tcPr>
            <w:tcW w:w="300" w:type="dxa"/>
            <w:tcBorders>
              <w:bottom w:val="single" w:sz="2" w:space="0" w:color="CCCCCC"/>
            </w:tcBorders>
            <w:vAlign w:val="center"/>
          </w:tcPr>
          <w:p>
            <w:pPr>
              <w:pStyle w:val="TableContents"/>
              <w:bidi w:val="0"/>
              <w:spacing w:before="0" w:after="283"/>
              <w:jc w:val="right"/>
              <w:rPr/>
            </w:pPr>
            <w:r>
              <w:rPr/>
              <w:t> </w:t>
            </w:r>
            <w:bookmarkStart w:id="154" w:name="xdx_98A_eecd--PeoActuallyPaidCompAmt_pp0"/>
            <w:bookmarkEnd w:id="154"/>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(37,696,190)</w:t>
            </w:r>
          </w:p>
        </w:tc>
        <w:tc>
          <w:tcPr>
            <w:tcW w:w="300" w:type="dxa"/>
            <w:tcBorders>
              <w:bottom w:val="single" w:sz="2" w:space="0" w:color="CCCCCC"/>
            </w:tcBorders>
            <w:vAlign w:val="center"/>
          </w:tcPr>
          <w:p>
            <w:pPr>
              <w:pStyle w:val="TableContents"/>
              <w:bidi w:val="0"/>
              <w:spacing w:before="0" w:after="283"/>
              <w:jc w:val="right"/>
              <w:rPr/>
            </w:pPr>
            <w:r>
              <w:rPr/>
              <w:t> </w:t>
            </w:r>
            <w:bookmarkStart w:id="155" w:name="xdx_98B_eecd--NonPeoNeoAvgTotalCompAmt_p"/>
            <w:bookmarkEnd w:id="155"/>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6,073,090</w:t>
            </w:r>
          </w:p>
        </w:tc>
        <w:tc>
          <w:tcPr>
            <w:tcW w:w="300" w:type="dxa"/>
            <w:tcBorders>
              <w:bottom w:val="single" w:sz="2" w:space="0" w:color="CCCCCC"/>
            </w:tcBorders>
            <w:vAlign w:val="center"/>
          </w:tcPr>
          <w:p>
            <w:pPr>
              <w:pStyle w:val="TableContents"/>
              <w:bidi w:val="0"/>
              <w:spacing w:before="0" w:after="283"/>
              <w:jc w:val="right"/>
              <w:rPr/>
            </w:pPr>
            <w:r>
              <w:rPr/>
              <w:t> </w:t>
            </w:r>
            <w:bookmarkStart w:id="156" w:name="xdx_986_eecd--NonPeoNeoAvgCompActuallyPa"/>
            <w:bookmarkEnd w:id="156"/>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(9,153,791)</w:t>
            </w:r>
          </w:p>
        </w:tc>
        <w:tc>
          <w:tcPr>
            <w:tcW w:w="300" w:type="dxa"/>
            <w:tcBorders>
              <w:bottom w:val="single" w:sz="2" w:space="0" w:color="CCCCCC"/>
            </w:tcBorders>
            <w:vAlign w:val="center"/>
          </w:tcPr>
          <w:p>
            <w:pPr>
              <w:pStyle w:val="TableContents"/>
              <w:bidi w:val="0"/>
              <w:spacing w:before="0" w:after="283"/>
              <w:jc w:val="right"/>
              <w:rPr/>
            </w:pPr>
            <w:r>
              <w:rPr/>
              <w:t> </w:t>
            </w:r>
            <w:bookmarkStart w:id="157" w:name="xdx_98E_eecd--TotalShareholderRtnAmt_pp2"/>
            <w:bookmarkEnd w:id="157"/>
          </w:p>
        </w:tc>
        <w:tc>
          <w:tcPr>
            <w:tcW w:w="680" w:type="dxa"/>
            <w:tcBorders>
              <w:bottom w:val="single" w:sz="2" w:space="0" w:color="CCCCCC"/>
            </w:tcBorders>
            <w:vAlign w:val="center"/>
          </w:tcPr>
          <w:p>
            <w:pPr>
              <w:pStyle w:val="TableContents"/>
              <w:bidi w:val="0"/>
              <w:spacing w:before="0" w:after="283"/>
              <w:jc w:val="right"/>
              <w:rPr>
                <w:color w:val="231F20"/>
              </w:rPr>
            </w:pPr>
            <w:r>
              <w:rPr>
                <w:color w:val="231F20"/>
              </w:rPr>
              <w:t>189.71</w:t>
            </w:r>
          </w:p>
        </w:tc>
        <w:tc>
          <w:tcPr>
            <w:tcW w:w="300" w:type="dxa"/>
            <w:tcBorders>
              <w:bottom w:val="single" w:sz="2" w:space="0" w:color="CCCCCC"/>
            </w:tcBorders>
            <w:vAlign w:val="center"/>
          </w:tcPr>
          <w:p>
            <w:pPr>
              <w:pStyle w:val="TableContents"/>
              <w:bidi w:val="0"/>
              <w:spacing w:before="0" w:after="283"/>
              <w:jc w:val="right"/>
              <w:rPr/>
            </w:pPr>
            <w:r>
              <w:rPr/>
              <w:t> </w:t>
            </w:r>
            <w:bookmarkStart w:id="158" w:name="xdx_98B_eecd--PeerGroupTotalShareholderR"/>
            <w:bookmarkEnd w:id="158"/>
          </w:p>
        </w:tc>
        <w:tc>
          <w:tcPr>
            <w:tcW w:w="680" w:type="dxa"/>
            <w:tcBorders>
              <w:bottom w:val="single" w:sz="2" w:space="0" w:color="CCCCCC"/>
            </w:tcBorders>
            <w:vAlign w:val="center"/>
          </w:tcPr>
          <w:p>
            <w:pPr>
              <w:pStyle w:val="TableContents"/>
              <w:bidi w:val="0"/>
              <w:spacing w:before="0" w:after="283"/>
              <w:jc w:val="right"/>
              <w:rPr>
                <w:color w:val="231F20"/>
              </w:rPr>
            </w:pPr>
            <w:r>
              <w:rPr>
                <w:color w:val="231F20"/>
              </w:rPr>
              <w:t>172.62</w:t>
            </w:r>
          </w:p>
        </w:tc>
        <w:tc>
          <w:tcPr>
            <w:tcW w:w="300" w:type="dxa"/>
            <w:tcBorders>
              <w:bottom w:val="single" w:sz="2" w:space="0" w:color="CCCCCC"/>
            </w:tcBorders>
            <w:vAlign w:val="center"/>
          </w:tcPr>
          <w:p>
            <w:pPr>
              <w:pStyle w:val="TableContents"/>
              <w:bidi w:val="0"/>
              <w:spacing w:before="0" w:after="283"/>
              <w:jc w:val="right"/>
              <w:rPr/>
            </w:pPr>
            <w:r>
              <w:rPr/>
              <w:t> </w:t>
            </w:r>
            <w:bookmarkStart w:id="159" w:name="xdx_98C_eus-gaap--NetIncomeLoss_uUSD_c20"/>
            <w:bookmarkEnd w:id="159"/>
          </w:p>
        </w:tc>
        <w:tc>
          <w:tcPr>
            <w:tcW w:w="1400" w:type="dxa"/>
            <w:tcBorders>
              <w:bottom w:val="single" w:sz="2" w:space="0" w:color="CCCCCC"/>
            </w:tcBorders>
            <w:vAlign w:val="center"/>
          </w:tcPr>
          <w:p>
            <w:pPr>
              <w:pStyle w:val="TableContents"/>
              <w:bidi w:val="0"/>
              <w:spacing w:before="0" w:after="283"/>
              <w:jc w:val="right"/>
              <w:rPr>
                <w:color w:val="231F20"/>
              </w:rPr>
            </w:pPr>
            <w:r>
              <w:rPr>
                <w:color w:val="231F20"/>
              </w:rPr>
              <w:t>4,412,600,000</w:t>
            </w:r>
          </w:p>
        </w:tc>
        <w:tc>
          <w:tcPr>
            <w:tcW w:w="300" w:type="dxa"/>
            <w:tcBorders>
              <w:bottom w:val="single" w:sz="2" w:space="0" w:color="CCCCCC"/>
            </w:tcBorders>
            <w:vAlign w:val="center"/>
          </w:tcPr>
          <w:p>
            <w:pPr>
              <w:pStyle w:val="TableContents"/>
              <w:bidi w:val="0"/>
              <w:spacing w:before="0" w:after="283"/>
              <w:jc w:val="right"/>
              <w:rPr/>
            </w:pPr>
            <w:r>
              <w:rPr/>
              <w:t> </w:t>
            </w:r>
            <w:bookmarkStart w:id="160" w:name="xdx_989_eecd--CoSelectedMeasureAmt_uUSD_"/>
            <w:bookmarkEnd w:id="160"/>
          </w:p>
        </w:tc>
        <w:tc>
          <w:tcPr>
            <w:tcW w:w="695" w:type="dxa"/>
            <w:tcBorders>
              <w:bottom w:val="single" w:sz="2" w:space="0" w:color="CCCCCC"/>
            </w:tcBorders>
            <w:vAlign w:val="center"/>
          </w:tcPr>
          <w:p>
            <w:pPr>
              <w:pStyle w:val="TableContents"/>
              <w:bidi w:val="0"/>
              <w:spacing w:before="0" w:after="283"/>
              <w:jc w:val="right"/>
              <w:rPr>
                <w:color w:val="231F20"/>
              </w:rPr>
            </w:pPr>
            <w:r>
              <w:rPr>
                <w:color w:val="231F20"/>
              </w:rPr>
              <w:t>712.33</w:t>
            </w:r>
          </w:p>
        </w:tc>
      </w:tr>
      <w:tr>
        <w:trPr/>
        <w:tc>
          <w:tcPr>
            <w:tcW w:w="515" w:type="dxa"/>
            <w:tcBorders>
              <w:bottom w:val="single" w:sz="2" w:space="0" w:color="CCCCCC"/>
            </w:tcBorders>
            <w:shd w:fill="EBEBEC" w:val="clear"/>
            <w:vAlign w:val="center"/>
          </w:tcPr>
          <w:p>
            <w:pPr>
              <w:pStyle w:val="TableContents"/>
              <w:bidi w:val="0"/>
              <w:spacing w:before="0" w:after="283"/>
              <w:jc w:val="left"/>
              <w:rPr>
                <w:color w:val="2864AF"/>
              </w:rPr>
            </w:pPr>
            <w:r>
              <w:rPr>
                <w:color w:val="2864AF"/>
              </w:rPr>
              <w:t>2023</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61" w:name="xdx_983_eecd--PeoTotalCompAmt_pp0p0_c202"/>
            <w:bookmarkEnd w:id="161"/>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8,184,338</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62" w:name="xdx_981_eecd--PeoActuallyPaidCompAmt_pp0"/>
            <w:bookmarkEnd w:id="162"/>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141,071,193</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63" w:name="xdx_988_eecd--NonPeoNeoAvgTotalCompAmt_p"/>
            <w:bookmarkEnd w:id="163"/>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6,713,442</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64" w:name="xdx_98D_eecd--NonPeoNeoAvgCompActuallyPa"/>
            <w:bookmarkEnd w:id="164"/>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46,896,425</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65" w:name="xdx_98D_eecd--TotalShareholderRtnAmt_pp2"/>
            <w:bookmarkEnd w:id="165"/>
          </w:p>
        </w:tc>
        <w:tc>
          <w:tcPr>
            <w:tcW w:w="6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233.91</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66" w:name="xdx_98E_eecd--PeerGroupTotalShareholderR"/>
            <w:bookmarkEnd w:id="166"/>
          </w:p>
        </w:tc>
        <w:tc>
          <w:tcPr>
            <w:tcW w:w="6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159.01</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67" w:name="xdx_988_eus-gaap--NetIncomeLoss_uUSD_c20"/>
            <w:bookmarkEnd w:id="167"/>
          </w:p>
        </w:tc>
        <w:tc>
          <w:tcPr>
            <w:tcW w:w="14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3,953,600,000</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68" w:name="xdx_98A_eecd--CoSelectedMeasureAmt_uUSD_"/>
            <w:bookmarkEnd w:id="168"/>
          </w:p>
        </w:tc>
        <w:tc>
          <w:tcPr>
            <w:tcW w:w="6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878.29</w:t>
            </w:r>
          </w:p>
        </w:tc>
      </w:tr>
      <w:tr>
        <w:trPr/>
        <w:tc>
          <w:tcPr>
            <w:tcW w:w="515" w:type="dxa"/>
            <w:tcBorders>
              <w:bottom w:val="single" w:sz="2" w:space="0" w:color="CCCCCC"/>
            </w:tcBorders>
            <w:vAlign w:val="center"/>
          </w:tcPr>
          <w:p>
            <w:pPr>
              <w:pStyle w:val="TableContents"/>
              <w:bidi w:val="0"/>
              <w:spacing w:before="0" w:after="283"/>
              <w:jc w:val="left"/>
              <w:rPr>
                <w:color w:val="2864AF"/>
              </w:rPr>
            </w:pPr>
            <w:r>
              <w:rPr>
                <w:color w:val="2864AF"/>
              </w:rPr>
              <w:t>2022</w:t>
            </w:r>
          </w:p>
        </w:tc>
        <w:tc>
          <w:tcPr>
            <w:tcW w:w="300" w:type="dxa"/>
            <w:tcBorders>
              <w:bottom w:val="single" w:sz="2" w:space="0" w:color="CCCCCC"/>
            </w:tcBorders>
            <w:vAlign w:val="center"/>
          </w:tcPr>
          <w:p>
            <w:pPr>
              <w:pStyle w:val="TableContents"/>
              <w:bidi w:val="0"/>
              <w:spacing w:before="0" w:after="283"/>
              <w:jc w:val="right"/>
              <w:rPr/>
            </w:pPr>
            <w:r>
              <w:rPr/>
              <w:t> </w:t>
            </w:r>
            <w:bookmarkStart w:id="169" w:name="xdx_98D_eecd--PeoTotalCompAmt_pp0p0_c202"/>
            <w:bookmarkEnd w:id="169"/>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7,004,069</w:t>
            </w:r>
          </w:p>
        </w:tc>
        <w:tc>
          <w:tcPr>
            <w:tcW w:w="300" w:type="dxa"/>
            <w:tcBorders>
              <w:bottom w:val="single" w:sz="2" w:space="0" w:color="CCCCCC"/>
            </w:tcBorders>
            <w:vAlign w:val="center"/>
          </w:tcPr>
          <w:p>
            <w:pPr>
              <w:pStyle w:val="TableContents"/>
              <w:bidi w:val="0"/>
              <w:spacing w:before="0" w:after="283"/>
              <w:jc w:val="right"/>
              <w:rPr/>
            </w:pPr>
            <w:r>
              <w:rPr/>
              <w:t> </w:t>
            </w:r>
            <w:bookmarkStart w:id="170" w:name="xdx_980_eecd--PeoActuallyPaidCompAmt_pp0"/>
            <w:bookmarkEnd w:id="170"/>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98,786,583</w:t>
            </w:r>
          </w:p>
        </w:tc>
        <w:tc>
          <w:tcPr>
            <w:tcW w:w="300" w:type="dxa"/>
            <w:tcBorders>
              <w:bottom w:val="single" w:sz="2" w:space="0" w:color="CCCCCC"/>
            </w:tcBorders>
            <w:vAlign w:val="center"/>
          </w:tcPr>
          <w:p>
            <w:pPr>
              <w:pStyle w:val="TableContents"/>
              <w:bidi w:val="0"/>
              <w:spacing w:before="0" w:after="283"/>
              <w:jc w:val="right"/>
              <w:rPr/>
            </w:pPr>
            <w:r>
              <w:rPr/>
              <w:t> </w:t>
            </w:r>
            <w:bookmarkStart w:id="171" w:name="xdx_984_eecd--NonPeoNeoAvgTotalCompAmt_p"/>
            <w:bookmarkEnd w:id="171"/>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8,061,639</w:t>
            </w:r>
          </w:p>
        </w:tc>
        <w:tc>
          <w:tcPr>
            <w:tcW w:w="300" w:type="dxa"/>
            <w:tcBorders>
              <w:bottom w:val="single" w:sz="2" w:space="0" w:color="CCCCCC"/>
            </w:tcBorders>
            <w:vAlign w:val="center"/>
          </w:tcPr>
          <w:p>
            <w:pPr>
              <w:pStyle w:val="TableContents"/>
              <w:bidi w:val="0"/>
              <w:spacing w:before="0" w:after="283"/>
              <w:jc w:val="right"/>
              <w:rPr/>
            </w:pPr>
            <w:r>
              <w:rPr/>
              <w:t> </w:t>
            </w:r>
            <w:bookmarkStart w:id="172" w:name="xdx_987_eecd--NonPeoNeoAvgCompActuallyPa"/>
            <w:bookmarkEnd w:id="172"/>
          </w:p>
        </w:tc>
        <w:tc>
          <w:tcPr>
            <w:tcW w:w="1385" w:type="dxa"/>
            <w:tcBorders>
              <w:bottom w:val="single" w:sz="2" w:space="0" w:color="CCCCCC"/>
            </w:tcBorders>
            <w:vAlign w:val="center"/>
          </w:tcPr>
          <w:p>
            <w:pPr>
              <w:pStyle w:val="TableContents"/>
              <w:bidi w:val="0"/>
              <w:spacing w:before="0" w:after="283"/>
              <w:jc w:val="right"/>
              <w:rPr>
                <w:color w:val="231F20"/>
              </w:rPr>
            </w:pPr>
            <w:r>
              <w:rPr>
                <w:color w:val="231F20"/>
              </w:rPr>
              <w:t>32,174,465</w:t>
            </w:r>
          </w:p>
        </w:tc>
        <w:tc>
          <w:tcPr>
            <w:tcW w:w="300" w:type="dxa"/>
            <w:tcBorders>
              <w:bottom w:val="single" w:sz="2" w:space="0" w:color="CCCCCC"/>
            </w:tcBorders>
            <w:vAlign w:val="center"/>
          </w:tcPr>
          <w:p>
            <w:pPr>
              <w:pStyle w:val="TableContents"/>
              <w:bidi w:val="0"/>
              <w:spacing w:before="0" w:after="283"/>
              <w:jc w:val="right"/>
              <w:rPr/>
            </w:pPr>
            <w:r>
              <w:rPr/>
              <w:t> </w:t>
            </w:r>
            <w:bookmarkStart w:id="173" w:name="xdx_98D_eecd--TotalShareholderRtnAmt_pp2"/>
            <w:bookmarkEnd w:id="173"/>
          </w:p>
        </w:tc>
        <w:tc>
          <w:tcPr>
            <w:tcW w:w="680" w:type="dxa"/>
            <w:tcBorders>
              <w:bottom w:val="single" w:sz="2" w:space="0" w:color="CCCCCC"/>
            </w:tcBorders>
            <w:vAlign w:val="center"/>
          </w:tcPr>
          <w:p>
            <w:pPr>
              <w:pStyle w:val="TableContents"/>
              <w:bidi w:val="0"/>
              <w:spacing w:before="0" w:after="283"/>
              <w:jc w:val="right"/>
              <w:rPr>
                <w:color w:val="231F20"/>
              </w:rPr>
            </w:pPr>
            <w:r>
              <w:rPr>
                <w:color w:val="231F20"/>
              </w:rPr>
              <w:t>192.15</w:t>
            </w:r>
          </w:p>
        </w:tc>
        <w:tc>
          <w:tcPr>
            <w:tcW w:w="300" w:type="dxa"/>
            <w:tcBorders>
              <w:bottom w:val="single" w:sz="2" w:space="0" w:color="CCCCCC"/>
            </w:tcBorders>
            <w:vAlign w:val="center"/>
          </w:tcPr>
          <w:p>
            <w:pPr>
              <w:pStyle w:val="TableContents"/>
              <w:bidi w:val="0"/>
              <w:spacing w:before="0" w:after="283"/>
              <w:jc w:val="right"/>
              <w:rPr/>
            </w:pPr>
            <w:r>
              <w:rPr/>
              <w:t> </w:t>
            </w:r>
            <w:bookmarkStart w:id="174" w:name="xdx_985_eecd--PeerGroupTotalShareholderR"/>
            <w:bookmarkEnd w:id="174"/>
          </w:p>
        </w:tc>
        <w:tc>
          <w:tcPr>
            <w:tcW w:w="680" w:type="dxa"/>
            <w:tcBorders>
              <w:bottom w:val="single" w:sz="2" w:space="0" w:color="CCCCCC"/>
            </w:tcBorders>
            <w:vAlign w:val="center"/>
          </w:tcPr>
          <w:p>
            <w:pPr>
              <w:pStyle w:val="TableContents"/>
              <w:bidi w:val="0"/>
              <w:spacing w:before="0" w:after="283"/>
              <w:jc w:val="right"/>
              <w:rPr>
                <w:color w:val="231F20"/>
              </w:rPr>
            </w:pPr>
            <w:r>
              <w:rPr>
                <w:color w:val="231F20"/>
              </w:rPr>
              <w:t>153.08</w:t>
            </w:r>
          </w:p>
        </w:tc>
        <w:tc>
          <w:tcPr>
            <w:tcW w:w="300" w:type="dxa"/>
            <w:tcBorders>
              <w:bottom w:val="single" w:sz="2" w:space="0" w:color="CCCCCC"/>
            </w:tcBorders>
            <w:vAlign w:val="center"/>
          </w:tcPr>
          <w:p>
            <w:pPr>
              <w:pStyle w:val="TableContents"/>
              <w:bidi w:val="0"/>
              <w:spacing w:before="0" w:after="283"/>
              <w:jc w:val="right"/>
              <w:rPr/>
            </w:pPr>
            <w:r>
              <w:rPr/>
              <w:t> </w:t>
            </w:r>
            <w:bookmarkStart w:id="175" w:name="xdx_982_eus-gaap--NetIncomeLoss_uUSD_c20"/>
            <w:bookmarkEnd w:id="175"/>
          </w:p>
        </w:tc>
        <w:tc>
          <w:tcPr>
            <w:tcW w:w="1400" w:type="dxa"/>
            <w:tcBorders>
              <w:bottom w:val="single" w:sz="2" w:space="0" w:color="CCCCCC"/>
            </w:tcBorders>
            <w:vAlign w:val="center"/>
          </w:tcPr>
          <w:p>
            <w:pPr>
              <w:pStyle w:val="TableContents"/>
              <w:bidi w:val="0"/>
              <w:spacing w:before="0" w:after="283"/>
              <w:jc w:val="right"/>
              <w:rPr>
                <w:color w:val="231F20"/>
              </w:rPr>
            </w:pPr>
            <w:r>
              <w:rPr>
                <w:color w:val="231F20"/>
              </w:rPr>
              <w:t>4,338,400,000</w:t>
            </w:r>
          </w:p>
        </w:tc>
        <w:tc>
          <w:tcPr>
            <w:tcW w:w="300" w:type="dxa"/>
            <w:tcBorders>
              <w:bottom w:val="single" w:sz="2" w:space="0" w:color="CCCCCC"/>
            </w:tcBorders>
            <w:vAlign w:val="center"/>
          </w:tcPr>
          <w:p>
            <w:pPr>
              <w:pStyle w:val="TableContents"/>
              <w:bidi w:val="0"/>
              <w:spacing w:before="0" w:after="283"/>
              <w:jc w:val="right"/>
              <w:rPr/>
            </w:pPr>
            <w:r>
              <w:rPr/>
              <w:t> </w:t>
            </w:r>
            <w:bookmarkStart w:id="176" w:name="xdx_98B_eecd--CoSelectedMeasureAmt_uUSD_"/>
            <w:bookmarkEnd w:id="176"/>
          </w:p>
        </w:tc>
        <w:tc>
          <w:tcPr>
            <w:tcW w:w="695" w:type="dxa"/>
            <w:tcBorders>
              <w:bottom w:val="single" w:sz="2" w:space="0" w:color="CCCCCC"/>
            </w:tcBorders>
            <w:vAlign w:val="center"/>
          </w:tcPr>
          <w:p>
            <w:pPr>
              <w:pStyle w:val="TableContents"/>
              <w:bidi w:val="0"/>
              <w:spacing w:before="0" w:after="283"/>
              <w:jc w:val="right"/>
              <w:rPr>
                <w:color w:val="231F20"/>
              </w:rPr>
            </w:pPr>
            <w:r>
              <w:rPr>
                <w:color w:val="231F20"/>
              </w:rPr>
              <w:t>721.49</w:t>
            </w:r>
          </w:p>
        </w:tc>
      </w:tr>
      <w:tr>
        <w:trPr/>
        <w:tc>
          <w:tcPr>
            <w:tcW w:w="515" w:type="dxa"/>
            <w:tcBorders>
              <w:bottom w:val="single" w:sz="2" w:space="0" w:color="CCCCCC"/>
            </w:tcBorders>
            <w:shd w:fill="EBEBEC" w:val="clear"/>
            <w:vAlign w:val="center"/>
          </w:tcPr>
          <w:p>
            <w:pPr>
              <w:pStyle w:val="TableContents"/>
              <w:bidi w:val="0"/>
              <w:spacing w:before="0" w:after="283"/>
              <w:jc w:val="left"/>
              <w:rPr>
                <w:color w:val="2864AF"/>
              </w:rPr>
            </w:pPr>
            <w:r>
              <w:rPr>
                <w:color w:val="2864AF"/>
              </w:rPr>
              <w:t>2021</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77" w:name="xdx_983_eecd--PeoTotalCompAmt_pp0p0_c202"/>
            <w:bookmarkEnd w:id="177"/>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6,470,514</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78" w:name="xdx_98B_eecd--PeoActuallyPaidCompAmt_pp0"/>
            <w:bookmarkEnd w:id="178"/>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123,744,652</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79" w:name="xdx_986_eecd--NonPeoNeoAvgTotalCompAmt_p"/>
            <w:bookmarkEnd w:id="179"/>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7,548,928</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80" w:name="xdx_98D_eecd--NonPeoNeoAvgCompActuallyPa"/>
            <w:bookmarkEnd w:id="180"/>
          </w:p>
        </w:tc>
        <w:tc>
          <w:tcPr>
            <w:tcW w:w="138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40,168,860</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81" w:name="xdx_984_eecd--TotalShareholderRtnAmt_pp2"/>
            <w:bookmarkEnd w:id="181"/>
          </w:p>
        </w:tc>
        <w:tc>
          <w:tcPr>
            <w:tcW w:w="6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168.19</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82" w:name="xdx_980_eecd--PeerGroupTotalShareholderR"/>
            <w:bookmarkEnd w:id="182"/>
          </w:p>
        </w:tc>
        <w:tc>
          <w:tcPr>
            <w:tcW w:w="68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137.47</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83" w:name="xdx_98C_eus-gaap--NetIncomeLoss_uUSD_c20"/>
            <w:bookmarkEnd w:id="183"/>
          </w:p>
        </w:tc>
        <w:tc>
          <w:tcPr>
            <w:tcW w:w="140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8,075,300,000</w:t>
            </w:r>
          </w:p>
        </w:tc>
        <w:tc>
          <w:tcPr>
            <w:tcW w:w="300" w:type="dxa"/>
            <w:tcBorders>
              <w:bottom w:val="single" w:sz="2" w:space="0" w:color="CCCCCC"/>
            </w:tcBorders>
            <w:shd w:fill="EBEBEC" w:val="clear"/>
            <w:vAlign w:val="center"/>
          </w:tcPr>
          <w:p>
            <w:pPr>
              <w:pStyle w:val="TableContents"/>
              <w:bidi w:val="0"/>
              <w:spacing w:before="0" w:after="283"/>
              <w:jc w:val="right"/>
              <w:rPr/>
            </w:pPr>
            <w:r>
              <w:rPr/>
              <w:t> </w:t>
            </w:r>
            <w:bookmarkStart w:id="184" w:name="xdx_983_eecd--CoSelectedMeasureAmt_uUSD_"/>
            <w:bookmarkEnd w:id="184"/>
          </w:p>
        </w:tc>
        <w:tc>
          <w:tcPr>
            <w:tcW w:w="69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631.52</w:t>
            </w:r>
          </w:p>
        </w:tc>
      </w:tr>
      <w:tr>
        <w:trPr/>
        <w:tc>
          <w:tcPr>
            <w:tcW w:w="515" w:type="dxa"/>
            <w:tcBorders>
              <w:bottom w:val="single" w:sz="2" w:space="0" w:color="3B58A4"/>
            </w:tcBorders>
            <w:vAlign w:val="center"/>
          </w:tcPr>
          <w:p>
            <w:pPr>
              <w:pStyle w:val="TableContents"/>
              <w:bidi w:val="0"/>
              <w:spacing w:before="0" w:after="283"/>
              <w:jc w:val="left"/>
              <w:rPr>
                <w:color w:val="2864AF"/>
              </w:rPr>
            </w:pPr>
            <w:r>
              <w:rPr>
                <w:color w:val="2864AF"/>
              </w:rPr>
              <w:t>2020</w:t>
            </w:r>
          </w:p>
        </w:tc>
        <w:tc>
          <w:tcPr>
            <w:tcW w:w="300" w:type="dxa"/>
            <w:tcBorders>
              <w:bottom w:val="single" w:sz="2" w:space="0" w:color="3B58A4"/>
            </w:tcBorders>
            <w:vAlign w:val="center"/>
          </w:tcPr>
          <w:p>
            <w:pPr>
              <w:pStyle w:val="TableContents"/>
              <w:bidi w:val="0"/>
              <w:spacing w:before="0" w:after="283"/>
              <w:jc w:val="right"/>
              <w:rPr/>
            </w:pPr>
            <w:r>
              <w:rPr/>
              <w:t> </w:t>
            </w:r>
            <w:bookmarkStart w:id="185" w:name="xdx_982_eecd--PeoTotalCompAmt_pp0p0_c202"/>
            <w:bookmarkEnd w:id="185"/>
          </w:p>
        </w:tc>
        <w:tc>
          <w:tcPr>
            <w:tcW w:w="1385" w:type="dxa"/>
            <w:tcBorders>
              <w:bottom w:val="single" w:sz="2" w:space="0" w:color="3B58A4"/>
            </w:tcBorders>
            <w:vAlign w:val="center"/>
          </w:tcPr>
          <w:p>
            <w:pPr>
              <w:pStyle w:val="TableContents"/>
              <w:bidi w:val="0"/>
              <w:spacing w:before="0" w:after="283"/>
              <w:jc w:val="right"/>
              <w:rPr>
                <w:color w:val="231F20"/>
              </w:rPr>
            </w:pPr>
            <w:r>
              <w:rPr>
                <w:color w:val="231F20"/>
              </w:rPr>
              <w:t>135,350,121</w:t>
            </w:r>
          </w:p>
        </w:tc>
        <w:tc>
          <w:tcPr>
            <w:tcW w:w="300" w:type="dxa"/>
            <w:tcBorders>
              <w:bottom w:val="single" w:sz="2" w:space="0" w:color="3B58A4"/>
            </w:tcBorders>
            <w:vAlign w:val="center"/>
          </w:tcPr>
          <w:p>
            <w:pPr>
              <w:pStyle w:val="TableContents"/>
              <w:bidi w:val="0"/>
              <w:spacing w:before="0" w:after="283"/>
              <w:jc w:val="right"/>
              <w:rPr/>
            </w:pPr>
            <w:r>
              <w:rPr/>
              <w:t> </w:t>
            </w:r>
            <w:bookmarkStart w:id="186" w:name="xdx_98F_eecd--PeoActuallyPaidCompAmt_pp0"/>
            <w:bookmarkEnd w:id="186"/>
          </w:p>
        </w:tc>
        <w:tc>
          <w:tcPr>
            <w:tcW w:w="1385" w:type="dxa"/>
            <w:tcBorders>
              <w:bottom w:val="single" w:sz="2" w:space="0" w:color="3B58A4"/>
            </w:tcBorders>
            <w:vAlign w:val="center"/>
          </w:tcPr>
          <w:p>
            <w:pPr>
              <w:pStyle w:val="TableContents"/>
              <w:bidi w:val="0"/>
              <w:spacing w:before="0" w:after="283"/>
              <w:jc w:val="right"/>
              <w:rPr>
                <w:color w:val="231F20"/>
              </w:rPr>
            </w:pPr>
            <w:r>
              <w:rPr>
                <w:color w:val="231F20"/>
              </w:rPr>
              <w:t>153,035,522</w:t>
            </w:r>
          </w:p>
        </w:tc>
        <w:tc>
          <w:tcPr>
            <w:tcW w:w="300" w:type="dxa"/>
            <w:tcBorders>
              <w:bottom w:val="single" w:sz="2" w:space="0" w:color="3B58A4"/>
            </w:tcBorders>
            <w:vAlign w:val="center"/>
          </w:tcPr>
          <w:p>
            <w:pPr>
              <w:pStyle w:val="TableContents"/>
              <w:bidi w:val="0"/>
              <w:spacing w:before="0" w:after="283"/>
              <w:jc w:val="right"/>
              <w:rPr/>
            </w:pPr>
            <w:r>
              <w:rPr/>
              <w:t> </w:t>
            </w:r>
            <w:bookmarkStart w:id="187" w:name="xdx_984_eecd--NonPeoNeoAvgTotalCompAmt_p"/>
            <w:bookmarkEnd w:id="187"/>
          </w:p>
        </w:tc>
        <w:tc>
          <w:tcPr>
            <w:tcW w:w="1385" w:type="dxa"/>
            <w:tcBorders>
              <w:bottom w:val="single" w:sz="2" w:space="0" w:color="3B58A4"/>
            </w:tcBorders>
            <w:vAlign w:val="center"/>
          </w:tcPr>
          <w:p>
            <w:pPr>
              <w:pStyle w:val="TableContents"/>
              <w:bidi w:val="0"/>
              <w:spacing w:before="0" w:after="283"/>
              <w:jc w:val="right"/>
              <w:rPr>
                <w:color w:val="231F20"/>
              </w:rPr>
            </w:pPr>
            <w:r>
              <w:rPr>
                <w:color w:val="231F20"/>
              </w:rPr>
              <w:t>40,058,597</w:t>
            </w:r>
          </w:p>
        </w:tc>
        <w:tc>
          <w:tcPr>
            <w:tcW w:w="300" w:type="dxa"/>
            <w:tcBorders>
              <w:bottom w:val="single" w:sz="2" w:space="0" w:color="3B58A4"/>
            </w:tcBorders>
            <w:vAlign w:val="center"/>
          </w:tcPr>
          <w:p>
            <w:pPr>
              <w:pStyle w:val="TableContents"/>
              <w:bidi w:val="0"/>
              <w:spacing w:before="0" w:after="283"/>
              <w:jc w:val="right"/>
              <w:rPr/>
            </w:pPr>
            <w:r>
              <w:rPr/>
              <w:t> </w:t>
            </w:r>
            <w:bookmarkStart w:id="188" w:name="xdx_98E_eecd--NonPeoNeoAvgCompActuallyPa"/>
            <w:bookmarkEnd w:id="188"/>
          </w:p>
        </w:tc>
        <w:tc>
          <w:tcPr>
            <w:tcW w:w="1385" w:type="dxa"/>
            <w:tcBorders>
              <w:bottom w:val="single" w:sz="2" w:space="0" w:color="3B58A4"/>
            </w:tcBorders>
            <w:vAlign w:val="center"/>
          </w:tcPr>
          <w:p>
            <w:pPr>
              <w:pStyle w:val="TableContents"/>
              <w:bidi w:val="0"/>
              <w:spacing w:before="0" w:after="283"/>
              <w:jc w:val="right"/>
              <w:rPr>
                <w:color w:val="231F20"/>
              </w:rPr>
            </w:pPr>
            <w:r>
              <w:rPr>
                <w:color w:val="231F20"/>
              </w:rPr>
              <w:t>48,557,559</w:t>
            </w:r>
          </w:p>
        </w:tc>
        <w:tc>
          <w:tcPr>
            <w:tcW w:w="300" w:type="dxa"/>
            <w:tcBorders>
              <w:bottom w:val="single" w:sz="2" w:space="0" w:color="3B58A4"/>
            </w:tcBorders>
            <w:vAlign w:val="center"/>
          </w:tcPr>
          <w:p>
            <w:pPr>
              <w:pStyle w:val="TableContents"/>
              <w:bidi w:val="0"/>
              <w:spacing w:before="0" w:after="283"/>
              <w:jc w:val="right"/>
              <w:rPr/>
            </w:pPr>
            <w:r>
              <w:rPr/>
              <w:t> </w:t>
            </w:r>
            <w:bookmarkStart w:id="189" w:name="xdx_984_eecd--TotalShareholderRtnAmt_pp2"/>
            <w:bookmarkEnd w:id="189"/>
          </w:p>
        </w:tc>
        <w:tc>
          <w:tcPr>
            <w:tcW w:w="680" w:type="dxa"/>
            <w:tcBorders>
              <w:bottom w:val="single" w:sz="2" w:space="0" w:color="3B58A4"/>
            </w:tcBorders>
            <w:vAlign w:val="center"/>
          </w:tcPr>
          <w:p>
            <w:pPr>
              <w:pStyle w:val="TableContents"/>
              <w:bidi w:val="0"/>
              <w:spacing w:before="0" w:after="283"/>
              <w:jc w:val="right"/>
              <w:rPr>
                <w:color w:val="231F20"/>
              </w:rPr>
            </w:pPr>
            <w:r>
              <w:rPr>
                <w:color w:val="231F20"/>
              </w:rPr>
              <w:t>128.66</w:t>
            </w:r>
          </w:p>
        </w:tc>
        <w:tc>
          <w:tcPr>
            <w:tcW w:w="300" w:type="dxa"/>
            <w:tcBorders>
              <w:bottom w:val="single" w:sz="2" w:space="0" w:color="3B58A4"/>
            </w:tcBorders>
            <w:vAlign w:val="center"/>
          </w:tcPr>
          <w:p>
            <w:pPr>
              <w:pStyle w:val="TableContents"/>
              <w:bidi w:val="0"/>
              <w:spacing w:before="0" w:after="283"/>
              <w:jc w:val="right"/>
              <w:rPr/>
            </w:pPr>
            <w:r>
              <w:rPr/>
              <w:t> </w:t>
            </w:r>
            <w:bookmarkStart w:id="190" w:name="xdx_983_eecd--PeerGroupTotalShareholderR"/>
            <w:bookmarkEnd w:id="190"/>
          </w:p>
        </w:tc>
        <w:tc>
          <w:tcPr>
            <w:tcW w:w="680" w:type="dxa"/>
            <w:tcBorders>
              <w:bottom w:val="single" w:sz="2" w:space="0" w:color="3B58A4"/>
            </w:tcBorders>
            <w:vAlign w:val="center"/>
          </w:tcPr>
          <w:p>
            <w:pPr>
              <w:pStyle w:val="TableContents"/>
              <w:bidi w:val="0"/>
              <w:spacing w:before="0" w:after="283"/>
              <w:jc w:val="right"/>
              <w:rPr>
                <w:color w:val="231F20"/>
              </w:rPr>
            </w:pPr>
            <w:r>
              <w:rPr>
                <w:color w:val="231F20"/>
              </w:rPr>
              <w:t>110.52</w:t>
            </w:r>
          </w:p>
        </w:tc>
        <w:tc>
          <w:tcPr>
            <w:tcW w:w="300" w:type="dxa"/>
            <w:tcBorders>
              <w:bottom w:val="single" w:sz="2" w:space="0" w:color="3B58A4"/>
            </w:tcBorders>
            <w:vAlign w:val="center"/>
          </w:tcPr>
          <w:p>
            <w:pPr>
              <w:pStyle w:val="TableContents"/>
              <w:bidi w:val="0"/>
              <w:spacing w:before="0" w:after="283"/>
              <w:jc w:val="right"/>
              <w:rPr/>
            </w:pPr>
            <w:r>
              <w:rPr/>
              <w:t> </w:t>
            </w:r>
            <w:bookmarkStart w:id="191" w:name="xdx_985_eus-gaap--NetIncomeLoss_uUSD_c20"/>
            <w:bookmarkEnd w:id="191"/>
          </w:p>
        </w:tc>
        <w:tc>
          <w:tcPr>
            <w:tcW w:w="1400" w:type="dxa"/>
            <w:tcBorders>
              <w:bottom w:val="single" w:sz="2" w:space="0" w:color="3B58A4"/>
            </w:tcBorders>
            <w:vAlign w:val="center"/>
          </w:tcPr>
          <w:p>
            <w:pPr>
              <w:pStyle w:val="TableContents"/>
              <w:bidi w:val="0"/>
              <w:spacing w:before="0" w:after="283"/>
              <w:jc w:val="right"/>
              <w:rPr>
                <w:color w:val="231F20"/>
              </w:rPr>
            </w:pPr>
            <w:r>
              <w:rPr>
                <w:color w:val="231F20"/>
              </w:rPr>
              <w:t>3,513,200,000</w:t>
            </w:r>
          </w:p>
        </w:tc>
        <w:tc>
          <w:tcPr>
            <w:tcW w:w="300" w:type="dxa"/>
            <w:tcBorders>
              <w:bottom w:val="single" w:sz="2" w:space="0" w:color="3B58A4"/>
            </w:tcBorders>
            <w:vAlign w:val="center"/>
          </w:tcPr>
          <w:p>
            <w:pPr>
              <w:pStyle w:val="TableContents"/>
              <w:bidi w:val="0"/>
              <w:spacing w:before="0" w:after="283"/>
              <w:jc w:val="right"/>
              <w:rPr/>
            </w:pPr>
            <w:r>
              <w:rPr/>
              <w:t> </w:t>
            </w:r>
            <w:bookmarkStart w:id="192" w:name="xdx_986_eecd--CoSelectedMeasureAmt_uUSD_"/>
            <w:bookmarkEnd w:id="192"/>
          </w:p>
        </w:tc>
        <w:tc>
          <w:tcPr>
            <w:tcW w:w="695" w:type="dxa"/>
            <w:tcBorders>
              <w:bottom w:val="single" w:sz="2" w:space="0" w:color="3B58A4"/>
            </w:tcBorders>
            <w:vAlign w:val="center"/>
          </w:tcPr>
          <w:p>
            <w:pPr>
              <w:pStyle w:val="TableContents"/>
              <w:bidi w:val="0"/>
              <w:spacing w:before="0" w:after="283"/>
              <w:jc w:val="right"/>
              <w:rPr>
                <w:color w:val="231F20"/>
              </w:rPr>
            </w:pPr>
            <w:r>
              <w:rPr>
                <w:color w:val="231F20"/>
              </w:rPr>
              <w:t>483.11</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10101"/>
              </w:rPr>
            </w:pPr>
            <w:bookmarkStart w:id="193" w:name="xdx_F06_zzQRQJ6VijSj"/>
            <w:bookmarkEnd w:id="193"/>
            <w:r>
              <w:rPr>
                <w:color w:val="010101"/>
              </w:rPr>
              <w:t>1</w:t>
            </w:r>
          </w:p>
        </w:tc>
        <w:tc>
          <w:tcPr>
            <w:tcW w:w="10050" w:type="dxa"/>
            <w:tcBorders/>
            <w:vAlign w:val="center"/>
          </w:tcPr>
          <w:p>
            <w:pPr>
              <w:pStyle w:val="TableContents"/>
              <w:bidi w:val="0"/>
              <w:spacing w:before="0" w:after="283"/>
              <w:jc w:val="left"/>
              <w:rPr>
                <w:color w:val="231F20"/>
              </w:rPr>
            </w:pPr>
            <w:bookmarkStart w:id="194" w:name="xdx_F19_zEeXdtXUw4ea"/>
            <w:bookmarkEnd w:id="194"/>
            <w:r>
              <w:rPr>
                <w:color w:val="231F20"/>
              </w:rPr>
              <w:t>Leonard S. Schleifer, M.D., Ph.D. was our PEO for each year presented. George D. Yancopoulos, M.D., Ph.D., Robert E. Landry, Daniel P. Van Plew, and Andrew J. Murphy, Ph.D. comprise the Non-PEO NEOs for 2020 and 2023; and each of these individuals plus Joseph J. LaRosa, Marion McCourt, and Christopher Fenimore comprise the Non-PEO NEOs for 2021, 2022, and 2024, respectively.</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10101"/>
              </w:rPr>
            </w:pPr>
            <w:bookmarkStart w:id="195" w:name="xdx_F0B_zF0ELM7gmGb9"/>
            <w:bookmarkEnd w:id="195"/>
            <w:r>
              <w:rPr>
                <w:color w:val="010101"/>
              </w:rPr>
              <w:t>2</w:t>
            </w:r>
          </w:p>
        </w:tc>
        <w:tc>
          <w:tcPr>
            <w:tcW w:w="10050" w:type="dxa"/>
            <w:tcBorders/>
            <w:vAlign w:val="center"/>
          </w:tcPr>
          <w:p>
            <w:pPr>
              <w:pStyle w:val="TableContents"/>
              <w:bidi w:val="0"/>
              <w:spacing w:before="0" w:after="283"/>
              <w:jc w:val="left"/>
              <w:rPr>
                <w:color w:val="231F20"/>
              </w:rPr>
            </w:pPr>
            <w:bookmarkStart w:id="196" w:name="xdx_F1E_z8c3LcSCSTuh"/>
            <w:bookmarkEnd w:id="196"/>
            <w:r>
              <w:rPr>
                <w:color w:val="231F20"/>
              </w:rPr>
              <w:t>The amounts shown for “Compensation “Actually Paid”” have been calculated in accordance with Item 402(v) of Regulation S-K and do not reflect compensation actually earned, realized, or received by the Company’s NEOs. These amounts reflect total compensation as reported in the Summary Compensation Table with certain adjustments as described in footnote 3 below.</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10101"/>
              </w:rPr>
            </w:pPr>
            <w:bookmarkStart w:id="197" w:name="xdx_F04_z5nGAQkyGavg"/>
            <w:bookmarkEnd w:id="197"/>
            <w:r>
              <w:rPr>
                <w:color w:val="010101"/>
              </w:rPr>
              <w:t>3</w:t>
            </w:r>
          </w:p>
        </w:tc>
        <w:tc>
          <w:tcPr>
            <w:tcW w:w="10050" w:type="dxa"/>
            <w:tcBorders/>
            <w:vAlign w:val="center"/>
          </w:tcPr>
          <w:p>
            <w:pPr>
              <w:pStyle w:val="TableContents"/>
              <w:bidi w:val="0"/>
              <w:spacing w:before="0" w:after="283"/>
              <w:jc w:val="left"/>
              <w:rPr>
                <w:color w:val="231F20"/>
              </w:rPr>
            </w:pPr>
            <w:bookmarkStart w:id="198" w:name="xdx_F1E_zeXDyvSCnTMh"/>
            <w:bookmarkEnd w:id="198"/>
            <w:r>
              <w:rPr>
                <w:color w:val="231F20"/>
              </w:rPr>
              <w:t>“</w:t>
            </w:r>
            <w:r>
              <w:rPr>
                <w:color w:val="231F20"/>
              </w:rPr>
              <w:t>Compensation “Actually Paid”” reflects the exclusions and inclusions of equity awards for the PEO and the Non-PEO NEOs as set forth below and calculated in accordance with FASB ASC Topic 718 using the valuation methodologies and assumptions set forth in the calculation of the grant date fair value of these awards as disclosed in the Company’s audited financial statements for the fiscal year in which the equity awards were granted.</w:t>
            </w:r>
          </w:p>
        </w:tc>
      </w:tr>
    </w:tbl>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color w:val="231F20"/>
              </w:rPr>
            </w:pPr>
            <w:r>
              <w:rPr>
                <w:color w:val="231F20"/>
              </w:rPr>
              <w:t>The “Exclusion of Stock Awards and Option Awards from Summary Compensation Table” columns in the tables below reflect the aggregate amounts reported in the Summary Compensation Table for the applicable year in the “Stock Awards” and “Option Awards” columns.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10101"/>
              </w:rPr>
            </w:pPr>
            <w:bookmarkStart w:id="199" w:name="xdx_F0A_zLYqrpHVxW5k"/>
            <w:bookmarkEnd w:id="199"/>
            <w:r>
              <w:rPr>
                <w:color w:val="010101"/>
              </w:rPr>
              <w:t>4</w:t>
            </w:r>
          </w:p>
        </w:tc>
        <w:tc>
          <w:tcPr>
            <w:tcW w:w="10050" w:type="dxa"/>
            <w:tcBorders/>
            <w:vAlign w:val="center"/>
          </w:tcPr>
          <w:p>
            <w:pPr>
              <w:pStyle w:val="TableContents"/>
              <w:bidi w:val="0"/>
              <w:spacing w:before="0" w:after="283"/>
              <w:jc w:val="left"/>
              <w:rPr>
                <w:color w:val="231F20"/>
              </w:rPr>
            </w:pPr>
            <w:bookmarkStart w:id="200" w:name="xdx_F17_zCaHUNwbFMTc"/>
            <w:bookmarkEnd w:id="200"/>
            <w:r>
              <w:rPr>
                <w:color w:val="231F20"/>
              </w:rPr>
              <w:t>The Peer Group TSR shown in this table utilizes the NASDAQ US Benchmark Pharmaceuticals Total Return Index (“NQ US Pharma Index”), which we also utilized in the stock performance graph required by Item 201(e) of Regulation S-K included in our Annual Reports on Form 10-K for the years reflected in the table above. The comparison assumes $100 was invested for the period starting December 31, 2019 through December 31 of the applicable fiscal year in each of the Company’s common stock and the NQ US Pharma Index. All dollar values assume reinvestment of the pre-tax value of dividends paid by companies included in the NQ US Pharma Index. The historical stock price performance of our common stock shown is not necessarily indicative of future stock price performance.</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10101"/>
              </w:rPr>
            </w:pPr>
            <w:bookmarkStart w:id="201" w:name="xdx_F08_zfCbB7fLgAK7"/>
            <w:bookmarkEnd w:id="201"/>
            <w:r>
              <w:rPr>
                <w:color w:val="010101"/>
              </w:rPr>
              <w:t>5</w:t>
            </w:r>
          </w:p>
        </w:tc>
        <w:tc>
          <w:tcPr>
            <w:tcW w:w="10050" w:type="dxa"/>
            <w:tcBorders/>
            <w:vAlign w:val="center"/>
          </w:tcPr>
          <w:p>
            <w:pPr>
              <w:pStyle w:val="TableContents"/>
              <w:bidi w:val="0"/>
              <w:spacing w:before="0" w:after="283"/>
              <w:jc w:val="left"/>
              <w:rPr>
                <w:color w:val="231F20"/>
              </w:rPr>
            </w:pPr>
            <w:bookmarkStart w:id="202" w:name="xdx_F1E_zgBbyDL0awjh"/>
            <w:bookmarkEnd w:id="202"/>
            <w:r>
              <w:rPr>
                <w:color w:val="231F20"/>
              </w:rPr>
              <w:t>Pursuant to Item 402(v) of Regulation S-K, we determined our stock price to be the most important financial performance measure used to link Company performance to Compensation “Actually Paid” to our NEOs in 2024. This performance measure may not have been the most important financial performance measure for prior years and we may determine a different financial performance measure to be the most important such measure in future years.</w:t>
            </w:r>
          </w:p>
        </w:tc>
      </w:tr>
    </w:tbl>
    <w:p>
      <w:pPr>
        <w:pStyle w:val="TextBody"/>
        <w:bidi w:val="0"/>
        <w:spacing w:before="0" w:after="283"/>
        <w:jc w:val="left"/>
        <w:rPr/>
      </w:pPr>
      <w:bookmarkStart w:id="203" w:name="xdx_84D_eecd--NamedExecutiveOfficersFnTe"/>
      <w:bookmarkEnd w:id="203"/>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bookmarkStart w:id="204" w:name="xdx_90E_eecd--PeoName_c20200101__2020123"/>
            <w:bookmarkStart w:id="205" w:name="xdx_904_eecd--PeoName_c20210101__2021123"/>
            <w:bookmarkStart w:id="206" w:name="xdx_909_eecd--PeoName_c20220101__2022123"/>
            <w:bookmarkStart w:id="207" w:name="xdx_90C_eecd--PeoName_c20230101__2023123"/>
            <w:bookmarkStart w:id="208" w:name="xdx_908_eecd--PeoName_c20240101__2024123"/>
            <w:bookmarkEnd w:id="204"/>
            <w:bookmarkEnd w:id="205"/>
            <w:bookmarkEnd w:id="206"/>
            <w:bookmarkEnd w:id="207"/>
            <w:bookmarkEnd w:id="208"/>
            <w:r>
              <w:rPr>
                <w:color w:val="231F20"/>
              </w:rPr>
              <w:t>Leonard S. Schleifer, M.D., Ph.D. was our PEO for each year presented. George D. Yancopoulos, M.D., Ph.D., Robert E. Landry, Daniel P. Van Plew, and Andrew J. Murphy, Ph.D. comprise the Non-PEO NEOs for 2020 and 2023; and each of these individuals plus Joseph J. LaRosa, Marion McCourt, and Christopher Fenimore comprise the Non-PEO NEOs for 2021, 2022, and 2024, respectively.</w:t>
            </w:r>
          </w:p>
        </w:tc>
      </w:tr>
    </w:tbl>
    <w:p>
      <w:pPr>
        <w:pStyle w:val="Normal"/>
        <w:bidi w:val="0"/>
        <w:spacing w:before="0" w:after="0"/>
        <w:jc w:val="left"/>
        <w:rPr>
          <w:sz w:val="4"/>
          <w:szCs w:val="4"/>
        </w:rPr>
      </w:pPr>
      <w:r>
        <w:rPr>
          <w:sz w:val="4"/>
          <w:szCs w:val="4"/>
        </w:rPr>
      </w:r>
      <w:bookmarkStart w:id="209" w:name="xdx_856_zo0gsBjsBlPi"/>
      <w:bookmarkStart w:id="210" w:name="xdx_856_zo0gsBjsBlPi"/>
      <w:bookmarkEnd w:id="210"/>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The amounts shown for “Compensation “Actually Paid”” have been calculated in accordance with Item 402(v) of Regulation S-K and do not reflect compensation actually earned, realized, or received by the Company’s NEOs. These amounts reflect total compensation as reported in the Summary Compensation Table with certain adjustments as described in footnote 3 below.</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10065" w:type="dxa"/>
            <w:tcBorders/>
            <w:vAlign w:val="center"/>
          </w:tcPr>
          <w:p>
            <w:pPr>
              <w:pStyle w:val="TableContents"/>
              <w:bidi w:val="0"/>
              <w:spacing w:before="0" w:after="283"/>
              <w:jc w:val="left"/>
              <w:rPr>
                <w:color w:val="231F20"/>
              </w:rPr>
            </w:pPr>
            <w:r>
              <w:rPr>
                <w:color w:val="231F20"/>
              </w:rPr>
              <w:t>“</w:t>
            </w:r>
            <w:r>
              <w:rPr>
                <w:color w:val="231F20"/>
              </w:rPr>
              <w:t>Compensation “Actually Paid”” reflects the exclusions and inclusions of equity awards for the PEO and the Non-PEO NEOs as set forth below and calculated in accordance with FASB ASC Topic 718 using the valuation methodologies and assumptions set forth in the calculation of the grant date fair value of these awards as disclosed in the Company’s audited financial statements for the fiscal year in which the equity awards were granted.</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color w:val="231F20"/>
              </w:rPr>
            </w:pPr>
            <w:r>
              <w:rPr>
                <w:color w:val="231F20"/>
              </w:rPr>
              <w:t>The “Exclusion of Stock Awards and Option Awards from Summary Compensation Table” columns in the tables below reflect the aggregate amounts reported in the Summary Compensation Table for the applicable year in the “Stock Awards” and “Option Awards” columns.  </w:t>
            </w:r>
          </w:p>
        </w:tc>
      </w:tr>
    </w:tbl>
    <w:p>
      <w:pPr>
        <w:pStyle w:val="TextBody"/>
        <w:bidi w:val="0"/>
        <w:spacing w:before="0" w:after="0"/>
        <w:ind w:left="0" w:right="0" w:hanging="0"/>
        <w:jc w:val="left"/>
        <w:rPr>
          <w:caps w:val="false"/>
          <w:smallCaps w:val="false"/>
          <w:color w:val="231F20"/>
        </w:rPr>
      </w:pPr>
      <w:bookmarkStart w:id="211" w:name="xdx_843_eecd--AdjToPeoCompFnTextBlock_dU"/>
      <w:bookmarkEnd w:id="211"/>
      <w:r>
        <w:rPr>
          <w:caps w:val="false"/>
          <w:smallCaps w:val="false"/>
          <w:color w:val="231F20"/>
        </w:rPr>
        <w:t> </w:t>
      </w:r>
    </w:p>
    <w:p>
      <w:pPr>
        <w:pStyle w:val="Normal"/>
        <w:bidi w:val="0"/>
        <w:spacing w:before="0" w:after="0"/>
        <w:ind w:left="0" w:right="0" w:hanging="0"/>
        <w:jc w:val="left"/>
        <w:rPr>
          <w:sz w:val="4"/>
          <w:szCs w:val="4"/>
        </w:rPr>
      </w:pPr>
      <w:r>
        <w:rPr>
          <w:sz w:val="4"/>
          <w:szCs w:val="4"/>
        </w:rPr>
      </w:r>
      <w:bookmarkStart w:id="212" w:name="xdx_302_zfH8aIZovAIa"/>
      <w:bookmarkStart w:id="213" w:name="xdx_302_zfH8aIZovAIa"/>
      <w:bookmarkEnd w:id="213"/>
    </w:p>
    <w:tbl>
      <w:tblPr>
        <w:tblW w:w="10205" w:type="dxa"/>
        <w:jc w:val="left"/>
        <w:tblInd w:w="0" w:type="dxa"/>
        <w:tblLayout w:type="fixed"/>
        <w:tblCellMar>
          <w:top w:w="0" w:type="dxa"/>
          <w:left w:w="0" w:type="dxa"/>
          <w:bottom w:w="28" w:type="dxa"/>
          <w:right w:w="0" w:type="dxa"/>
        </w:tblCellMar>
      </w:tblPr>
      <w:tblGrid>
        <w:gridCol w:w="515"/>
        <w:gridCol w:w="60"/>
        <w:gridCol w:w="2274"/>
        <w:gridCol w:w="60"/>
        <w:gridCol w:w="2575"/>
        <w:gridCol w:w="60"/>
        <w:gridCol w:w="2310"/>
        <w:gridCol w:w="60"/>
        <w:gridCol w:w="2291"/>
      </w:tblGrid>
      <w:tr>
        <w:trPr/>
        <w:tc>
          <w:tcPr>
            <w:tcW w:w="515" w:type="dxa"/>
            <w:tcBorders>
              <w:bottom w:val="single" w:sz="2" w:space="0" w:color="3B58A4"/>
            </w:tcBorders>
            <w:vAlign w:val="center"/>
          </w:tcPr>
          <w:p>
            <w:pPr>
              <w:pStyle w:val="TableContents"/>
              <w:bidi w:val="0"/>
              <w:spacing w:before="0" w:after="283"/>
              <w:jc w:val="left"/>
              <w:rPr>
                <w:color w:val="2864AF"/>
              </w:rPr>
            </w:pPr>
            <w:r>
              <w:rPr>
                <w:color w:val="2864AF"/>
              </w:rPr>
              <w:t>Year</w:t>
            </w:r>
          </w:p>
        </w:tc>
        <w:tc>
          <w:tcPr>
            <w:tcW w:w="60" w:type="dxa"/>
            <w:tcBorders>
              <w:bottom w:val="single" w:sz="2" w:space="0" w:color="3B58A4"/>
            </w:tcBorders>
            <w:vAlign w:val="center"/>
          </w:tcPr>
          <w:p>
            <w:pPr>
              <w:pStyle w:val="TableContents"/>
              <w:bidi w:val="0"/>
              <w:spacing w:before="0" w:after="283"/>
              <w:jc w:val="left"/>
              <w:rPr/>
            </w:pPr>
            <w:r>
              <w:rPr/>
              <w:t> </w:t>
            </w:r>
          </w:p>
        </w:tc>
        <w:tc>
          <w:tcPr>
            <w:tcW w:w="2274" w:type="dxa"/>
            <w:tcBorders>
              <w:bottom w:val="single" w:sz="2" w:space="0" w:color="3B58A4"/>
            </w:tcBorders>
            <w:vAlign w:val="center"/>
          </w:tcPr>
          <w:p>
            <w:pPr>
              <w:pStyle w:val="TableContents"/>
              <w:bidi w:val="0"/>
              <w:spacing w:before="0" w:after="283"/>
              <w:jc w:val="right"/>
              <w:rPr/>
            </w:pPr>
            <w:r>
              <w:rPr>
                <w:color w:val="2864AF"/>
              </w:rPr>
              <w:t>Summary Compensation</w:t>
            </w:r>
            <w:r>
              <w:rPr/>
              <w:br/>
            </w:r>
            <w:r>
              <w:rPr>
                <w:color w:val="2864AF"/>
              </w:rPr>
              <w:t>Table Total for PEO ($)</w:t>
            </w:r>
          </w:p>
        </w:tc>
        <w:tc>
          <w:tcPr>
            <w:tcW w:w="60" w:type="dxa"/>
            <w:tcBorders>
              <w:bottom w:val="single" w:sz="2" w:space="0" w:color="3B58A4"/>
            </w:tcBorders>
            <w:vAlign w:val="center"/>
          </w:tcPr>
          <w:p>
            <w:pPr>
              <w:pStyle w:val="TableContents"/>
              <w:bidi w:val="0"/>
              <w:spacing w:before="0" w:after="283"/>
              <w:jc w:val="right"/>
              <w:rPr/>
            </w:pPr>
            <w:r>
              <w:rPr/>
              <w:t> </w:t>
            </w:r>
          </w:p>
        </w:tc>
        <w:tc>
          <w:tcPr>
            <w:tcW w:w="2575" w:type="dxa"/>
            <w:tcBorders>
              <w:bottom w:val="single" w:sz="2" w:space="0" w:color="3B58A4"/>
            </w:tcBorders>
            <w:vAlign w:val="center"/>
          </w:tcPr>
          <w:p>
            <w:pPr>
              <w:pStyle w:val="TableContents"/>
              <w:bidi w:val="0"/>
              <w:spacing w:before="0" w:after="283"/>
              <w:jc w:val="right"/>
              <w:rPr/>
            </w:pPr>
            <w:r>
              <w:rPr>
                <w:color w:val="2864AF"/>
              </w:rPr>
              <w:t>Exclusion of Stock Awards</w:t>
            </w:r>
            <w:r>
              <w:rPr/>
              <w:t xml:space="preserve"> </w:t>
              <w:br/>
            </w:r>
            <w:r>
              <w:rPr>
                <w:color w:val="2864AF"/>
              </w:rPr>
              <w:t>and Option Awards from</w:t>
            </w:r>
            <w:r>
              <w:rPr/>
              <w:t xml:space="preserve"> </w:t>
              <w:br/>
            </w:r>
            <w:r>
              <w:rPr>
                <w:color w:val="2864AF"/>
              </w:rPr>
              <w:t>Summary Compensation</w:t>
            </w:r>
            <w:r>
              <w:rPr/>
              <w:t xml:space="preserve"> </w:t>
              <w:br/>
            </w:r>
            <w:r>
              <w:rPr>
                <w:color w:val="2864AF"/>
              </w:rPr>
              <w:t>Table for PEO ($)</w:t>
            </w:r>
          </w:p>
        </w:tc>
        <w:tc>
          <w:tcPr>
            <w:tcW w:w="60" w:type="dxa"/>
            <w:tcBorders>
              <w:bottom w:val="single" w:sz="2" w:space="0" w:color="3B58A4"/>
            </w:tcBorders>
            <w:vAlign w:val="center"/>
          </w:tcPr>
          <w:p>
            <w:pPr>
              <w:pStyle w:val="TableContents"/>
              <w:bidi w:val="0"/>
              <w:spacing w:before="0" w:after="283"/>
              <w:jc w:val="right"/>
              <w:rPr/>
            </w:pPr>
            <w:r>
              <w:rPr/>
              <w:t> </w:t>
            </w:r>
          </w:p>
        </w:tc>
        <w:tc>
          <w:tcPr>
            <w:tcW w:w="2310" w:type="dxa"/>
            <w:tcBorders>
              <w:bottom w:val="single" w:sz="2" w:space="0" w:color="3B58A4"/>
            </w:tcBorders>
            <w:vAlign w:val="center"/>
          </w:tcPr>
          <w:p>
            <w:pPr>
              <w:pStyle w:val="TableContents"/>
              <w:bidi w:val="0"/>
              <w:spacing w:before="0" w:after="283"/>
              <w:jc w:val="right"/>
              <w:rPr/>
            </w:pPr>
            <w:r>
              <w:rPr>
                <w:color w:val="2864AF"/>
              </w:rPr>
              <w:t>Inclusion of Item 402(v)</w:t>
            </w:r>
            <w:r>
              <w:rPr/>
              <w:br/>
            </w:r>
            <w:r>
              <w:rPr>
                <w:color w:val="2864AF"/>
              </w:rPr>
              <w:t>Equity Award Values for</w:t>
            </w:r>
            <w:r>
              <w:rPr/>
              <w:br/>
            </w:r>
            <w:r>
              <w:rPr>
                <w:color w:val="2864AF"/>
              </w:rPr>
              <w:t>PEO ($)</w:t>
            </w:r>
          </w:p>
        </w:tc>
        <w:tc>
          <w:tcPr>
            <w:tcW w:w="60" w:type="dxa"/>
            <w:tcBorders>
              <w:bottom w:val="single" w:sz="2" w:space="0" w:color="3B58A4"/>
            </w:tcBorders>
            <w:vAlign w:val="center"/>
          </w:tcPr>
          <w:p>
            <w:pPr>
              <w:pStyle w:val="TableContents"/>
              <w:bidi w:val="0"/>
              <w:spacing w:before="0" w:after="283"/>
              <w:jc w:val="right"/>
              <w:rPr/>
            </w:pPr>
            <w:r>
              <w:rPr/>
              <w:t> </w:t>
            </w:r>
          </w:p>
        </w:tc>
        <w:tc>
          <w:tcPr>
            <w:tcW w:w="2291" w:type="dxa"/>
            <w:tcBorders>
              <w:bottom w:val="single" w:sz="2" w:space="0" w:color="3B58A4"/>
            </w:tcBorders>
            <w:vAlign w:val="center"/>
          </w:tcPr>
          <w:p>
            <w:pPr>
              <w:pStyle w:val="TableContents"/>
              <w:bidi w:val="0"/>
              <w:spacing w:before="0" w:after="283"/>
              <w:jc w:val="right"/>
              <w:rPr/>
            </w:pPr>
            <w:r>
              <w:rPr>
                <w:color w:val="2864AF"/>
              </w:rPr>
              <w:t>Compensation “Actually</w:t>
            </w:r>
            <w:r>
              <w:rPr/>
              <w:br/>
            </w:r>
            <w:r>
              <w:rPr>
                <w:color w:val="2864AF"/>
              </w:rPr>
              <w:t>Paid” to PEO ($)</w:t>
            </w:r>
          </w:p>
        </w:tc>
      </w:tr>
      <w:tr>
        <w:trPr/>
        <w:tc>
          <w:tcPr>
            <w:tcW w:w="515" w:type="dxa"/>
            <w:tcBorders>
              <w:bottom w:val="single" w:sz="2" w:space="0" w:color="3B58A4"/>
            </w:tcBorders>
            <w:vAlign w:val="center"/>
          </w:tcPr>
          <w:p>
            <w:pPr>
              <w:pStyle w:val="TableContents"/>
              <w:bidi w:val="0"/>
              <w:spacing w:before="0" w:after="283"/>
              <w:jc w:val="left"/>
              <w:rPr>
                <w:color w:val="2864AF"/>
              </w:rPr>
            </w:pPr>
            <w:r>
              <w:rPr>
                <w:color w:val="2864AF"/>
              </w:rPr>
              <w:t>2024</w:t>
            </w:r>
          </w:p>
        </w:tc>
        <w:tc>
          <w:tcPr>
            <w:tcW w:w="60" w:type="dxa"/>
            <w:tcBorders>
              <w:bottom w:val="single" w:sz="2" w:space="0" w:color="3B58A4"/>
            </w:tcBorders>
            <w:vAlign w:val="center"/>
          </w:tcPr>
          <w:p>
            <w:pPr>
              <w:pStyle w:val="TableContents"/>
              <w:bidi w:val="0"/>
              <w:spacing w:before="0" w:after="283"/>
              <w:jc w:val="left"/>
              <w:rPr/>
            </w:pPr>
            <w:r>
              <w:rPr/>
              <w:t> </w:t>
            </w:r>
            <w:bookmarkStart w:id="214" w:name="xdx_989_eecd--PeoTotalCompAmt_c20240101_"/>
            <w:bookmarkEnd w:id="214"/>
          </w:p>
        </w:tc>
        <w:tc>
          <w:tcPr>
            <w:tcW w:w="2274" w:type="dxa"/>
            <w:tcBorders>
              <w:bottom w:val="single" w:sz="2" w:space="0" w:color="3B58A4"/>
            </w:tcBorders>
            <w:vAlign w:val="center"/>
          </w:tcPr>
          <w:p>
            <w:pPr>
              <w:pStyle w:val="TableContents"/>
              <w:bidi w:val="0"/>
              <w:spacing w:before="0" w:after="283"/>
              <w:jc w:val="right"/>
              <w:rPr>
                <w:color w:val="231F20"/>
              </w:rPr>
            </w:pPr>
            <w:r>
              <w:rPr>
                <w:color w:val="231F20"/>
              </w:rPr>
              <w:t>6,823,034</w:t>
            </w:r>
          </w:p>
        </w:tc>
        <w:tc>
          <w:tcPr>
            <w:tcW w:w="60" w:type="dxa"/>
            <w:tcBorders>
              <w:bottom w:val="single" w:sz="2" w:space="0" w:color="3B58A4"/>
            </w:tcBorders>
            <w:vAlign w:val="center"/>
          </w:tcPr>
          <w:p>
            <w:pPr>
              <w:pStyle w:val="TableContents"/>
              <w:bidi w:val="0"/>
              <w:spacing w:before="0" w:after="283"/>
              <w:jc w:val="left"/>
              <w:rPr/>
            </w:pPr>
            <w:r>
              <w:rPr/>
              <w:t> </w:t>
            </w:r>
            <w:bookmarkStart w:id="215" w:name="xdx_987_eecd--AdjToCompAmt_c20240101__20"/>
            <w:bookmarkEnd w:id="215"/>
          </w:p>
        </w:tc>
        <w:tc>
          <w:tcPr>
            <w:tcW w:w="2575" w:type="dxa"/>
            <w:tcBorders>
              <w:bottom w:val="single" w:sz="2" w:space="0" w:color="3B58A4"/>
            </w:tcBorders>
            <w:vAlign w:val="center"/>
          </w:tcPr>
          <w:p>
            <w:pPr>
              <w:pStyle w:val="TableContents"/>
              <w:bidi w:val="0"/>
              <w:spacing w:before="0" w:after="283"/>
              <w:jc w:val="right"/>
              <w:rPr>
                <w:color w:val="231F20"/>
              </w:rPr>
            </w:pPr>
            <w:r>
              <w:rPr>
                <w:color w:val="231F20"/>
              </w:rPr>
              <w:t>0</w:t>
            </w:r>
          </w:p>
        </w:tc>
        <w:tc>
          <w:tcPr>
            <w:tcW w:w="60" w:type="dxa"/>
            <w:tcBorders>
              <w:bottom w:val="single" w:sz="2" w:space="0" w:color="3B58A4"/>
            </w:tcBorders>
            <w:vAlign w:val="center"/>
          </w:tcPr>
          <w:p>
            <w:pPr>
              <w:pStyle w:val="TableContents"/>
              <w:bidi w:val="0"/>
              <w:spacing w:before="0" w:after="283"/>
              <w:jc w:val="left"/>
              <w:rPr/>
            </w:pPr>
            <w:r>
              <w:rPr/>
              <w:t> </w:t>
            </w:r>
            <w:bookmarkStart w:id="216" w:name="xdx_980_eecd--AdjToCompAmt_c20240101__20"/>
            <w:bookmarkEnd w:id="216"/>
          </w:p>
        </w:tc>
        <w:tc>
          <w:tcPr>
            <w:tcW w:w="2310" w:type="dxa"/>
            <w:tcBorders>
              <w:bottom w:val="single" w:sz="2" w:space="0" w:color="3B58A4"/>
            </w:tcBorders>
            <w:vAlign w:val="center"/>
          </w:tcPr>
          <w:p>
            <w:pPr>
              <w:pStyle w:val="TableContents"/>
              <w:bidi w:val="0"/>
              <w:spacing w:before="0" w:after="283"/>
              <w:jc w:val="right"/>
              <w:rPr>
                <w:color w:val="231F20"/>
              </w:rPr>
            </w:pPr>
            <w:r>
              <w:rPr>
                <w:color w:val="231F20"/>
              </w:rPr>
              <w:t>(44,519,224)</w:t>
            </w:r>
          </w:p>
        </w:tc>
        <w:tc>
          <w:tcPr>
            <w:tcW w:w="60" w:type="dxa"/>
            <w:tcBorders>
              <w:bottom w:val="single" w:sz="2" w:space="0" w:color="3B58A4"/>
            </w:tcBorders>
            <w:vAlign w:val="center"/>
          </w:tcPr>
          <w:p>
            <w:pPr>
              <w:pStyle w:val="TableContents"/>
              <w:bidi w:val="0"/>
              <w:spacing w:before="0" w:after="283"/>
              <w:jc w:val="left"/>
              <w:rPr/>
            </w:pPr>
            <w:r>
              <w:rPr/>
              <w:t> </w:t>
            </w:r>
            <w:bookmarkStart w:id="217" w:name="xdx_98B_eecd--PeoActuallyPaidCompAmt_c20"/>
            <w:bookmarkEnd w:id="217"/>
          </w:p>
        </w:tc>
        <w:tc>
          <w:tcPr>
            <w:tcW w:w="2291" w:type="dxa"/>
            <w:tcBorders>
              <w:bottom w:val="single" w:sz="2" w:space="0" w:color="3B58A4"/>
            </w:tcBorders>
            <w:vAlign w:val="center"/>
          </w:tcPr>
          <w:p>
            <w:pPr>
              <w:pStyle w:val="TableContents"/>
              <w:bidi w:val="0"/>
              <w:spacing w:before="0" w:after="283"/>
              <w:jc w:val="right"/>
              <w:rPr>
                <w:color w:val="231F20"/>
              </w:rPr>
            </w:pPr>
            <w:r>
              <w:rPr>
                <w:color w:val="231F20"/>
              </w:rPr>
              <w:t>(37,696,190)</w:t>
            </w:r>
          </w:p>
        </w:tc>
      </w:tr>
    </w:tbl>
    <w:p>
      <w:pPr>
        <w:pStyle w:val="TextBody"/>
        <w:bidi w:val="0"/>
        <w:spacing w:before="0" w:after="0"/>
        <w:ind w:left="0" w:right="0" w:hanging="0"/>
        <w:jc w:val="left"/>
        <w:rPr>
          <w:caps w:val="false"/>
          <w:smallCaps w:val="false"/>
          <w:color w:val="231F20"/>
        </w:rPr>
      </w:pPr>
      <w:bookmarkStart w:id="218" w:name="xdx_84A_eecd--AdjToNonPeoNeoCompFnTextBl"/>
      <w:bookmarkEnd w:id="218"/>
      <w:r>
        <w:rPr>
          <w:caps w:val="false"/>
          <w:smallCaps w:val="false"/>
          <w:color w:val="231F20"/>
        </w:rPr>
        <w:t> </w:t>
      </w:r>
    </w:p>
    <w:p>
      <w:pPr>
        <w:pStyle w:val="Normal"/>
        <w:bidi w:val="0"/>
        <w:spacing w:before="0" w:after="0"/>
        <w:jc w:val="left"/>
        <w:rPr>
          <w:sz w:val="4"/>
          <w:szCs w:val="4"/>
        </w:rPr>
      </w:pPr>
      <w:r>
        <w:rPr>
          <w:sz w:val="4"/>
          <w:szCs w:val="4"/>
        </w:rPr>
      </w:r>
      <w:bookmarkStart w:id="219" w:name="xdx_302_zTwpU1Wq5P0i"/>
      <w:bookmarkStart w:id="220" w:name="xdx_302_zTwpU1Wq5P0i"/>
      <w:bookmarkEnd w:id="220"/>
    </w:p>
    <w:tbl>
      <w:tblPr>
        <w:tblW w:w="10205" w:type="dxa"/>
        <w:jc w:val="left"/>
        <w:tblInd w:w="0" w:type="dxa"/>
        <w:tblLayout w:type="fixed"/>
        <w:tblCellMar>
          <w:top w:w="0" w:type="dxa"/>
          <w:left w:w="0" w:type="dxa"/>
          <w:bottom w:w="28" w:type="dxa"/>
          <w:right w:w="0" w:type="dxa"/>
        </w:tblCellMar>
      </w:tblPr>
      <w:tblGrid>
        <w:gridCol w:w="515"/>
        <w:gridCol w:w="60"/>
        <w:gridCol w:w="2596"/>
        <w:gridCol w:w="60"/>
        <w:gridCol w:w="2572"/>
        <w:gridCol w:w="60"/>
        <w:gridCol w:w="2151"/>
        <w:gridCol w:w="60"/>
        <w:gridCol w:w="2131"/>
      </w:tblGrid>
      <w:tr>
        <w:trPr/>
        <w:tc>
          <w:tcPr>
            <w:tcW w:w="515" w:type="dxa"/>
            <w:tcBorders>
              <w:bottom w:val="single" w:sz="2" w:space="0" w:color="3B58A4"/>
            </w:tcBorders>
            <w:vAlign w:val="center"/>
          </w:tcPr>
          <w:p>
            <w:pPr>
              <w:pStyle w:val="TableContents"/>
              <w:bidi w:val="0"/>
              <w:spacing w:before="0" w:after="283"/>
              <w:jc w:val="left"/>
              <w:rPr>
                <w:color w:val="2864AF"/>
              </w:rPr>
            </w:pPr>
            <w:r>
              <w:rPr>
                <w:color w:val="2864AF"/>
              </w:rPr>
              <w:t>Year</w:t>
            </w:r>
          </w:p>
        </w:tc>
        <w:tc>
          <w:tcPr>
            <w:tcW w:w="60" w:type="dxa"/>
            <w:tcBorders>
              <w:bottom w:val="single" w:sz="2" w:space="0" w:color="3B58A4"/>
            </w:tcBorders>
            <w:vAlign w:val="center"/>
          </w:tcPr>
          <w:p>
            <w:pPr>
              <w:pStyle w:val="TableContents"/>
              <w:bidi w:val="0"/>
              <w:spacing w:before="0" w:after="283"/>
              <w:jc w:val="left"/>
              <w:rPr/>
            </w:pPr>
            <w:r>
              <w:rPr/>
              <w:t> </w:t>
            </w:r>
          </w:p>
        </w:tc>
        <w:tc>
          <w:tcPr>
            <w:tcW w:w="2596" w:type="dxa"/>
            <w:tcBorders>
              <w:bottom w:val="single" w:sz="2" w:space="0" w:color="3B58A4"/>
            </w:tcBorders>
            <w:vAlign w:val="center"/>
          </w:tcPr>
          <w:p>
            <w:pPr>
              <w:pStyle w:val="TableContents"/>
              <w:bidi w:val="0"/>
              <w:spacing w:before="0" w:after="283"/>
              <w:jc w:val="right"/>
              <w:rPr/>
            </w:pPr>
            <w:r>
              <w:rPr>
                <w:color w:val="2864AF"/>
              </w:rPr>
              <w:t>Average Summary</w:t>
            </w:r>
            <w:r>
              <w:rPr/>
              <w:t xml:space="preserve"> </w:t>
              <w:br/>
            </w:r>
            <w:r>
              <w:rPr>
                <w:color w:val="2864AF"/>
              </w:rPr>
              <w:t>Compensation Table Total for</w:t>
            </w:r>
            <w:r>
              <w:rPr/>
              <w:t xml:space="preserve"> </w:t>
              <w:br/>
            </w:r>
            <w:r>
              <w:rPr>
                <w:color w:val="2864AF"/>
              </w:rPr>
              <w:t>Non-PEO NEOs ($)</w:t>
            </w:r>
          </w:p>
        </w:tc>
        <w:tc>
          <w:tcPr>
            <w:tcW w:w="60" w:type="dxa"/>
            <w:tcBorders>
              <w:bottom w:val="single" w:sz="2" w:space="0" w:color="3B58A4"/>
            </w:tcBorders>
            <w:vAlign w:val="center"/>
          </w:tcPr>
          <w:p>
            <w:pPr>
              <w:pStyle w:val="TableContents"/>
              <w:bidi w:val="0"/>
              <w:spacing w:before="0" w:after="283"/>
              <w:jc w:val="left"/>
              <w:rPr/>
            </w:pPr>
            <w:r>
              <w:rPr/>
              <w:t> </w:t>
            </w:r>
          </w:p>
        </w:tc>
        <w:tc>
          <w:tcPr>
            <w:tcW w:w="2572" w:type="dxa"/>
            <w:tcBorders>
              <w:bottom w:val="single" w:sz="2" w:space="0" w:color="3B58A4"/>
            </w:tcBorders>
            <w:vAlign w:val="center"/>
          </w:tcPr>
          <w:p>
            <w:pPr>
              <w:pStyle w:val="TableContents"/>
              <w:bidi w:val="0"/>
              <w:spacing w:before="0" w:after="283"/>
              <w:jc w:val="right"/>
              <w:rPr/>
            </w:pPr>
            <w:r>
              <w:rPr>
                <w:color w:val="2864AF"/>
              </w:rPr>
              <w:t>Exclusion of Stock Awards</w:t>
            </w:r>
            <w:r>
              <w:rPr/>
              <w:t xml:space="preserve"> </w:t>
              <w:br/>
            </w:r>
            <w:r>
              <w:rPr>
                <w:color w:val="2864AF"/>
              </w:rPr>
              <w:t>and Option Awards from</w:t>
            </w:r>
            <w:r>
              <w:rPr/>
              <w:t xml:space="preserve"> </w:t>
              <w:br/>
            </w:r>
            <w:r>
              <w:rPr>
                <w:color w:val="2864AF"/>
              </w:rPr>
              <w:t>Summary Compensation</w:t>
            </w:r>
            <w:r>
              <w:rPr/>
              <w:t xml:space="preserve"> </w:t>
              <w:br/>
            </w:r>
            <w:r>
              <w:rPr>
                <w:color w:val="2864AF"/>
              </w:rPr>
              <w:t>Table for Non-PEO NEOs ($)</w:t>
            </w:r>
          </w:p>
        </w:tc>
        <w:tc>
          <w:tcPr>
            <w:tcW w:w="60" w:type="dxa"/>
            <w:tcBorders>
              <w:bottom w:val="single" w:sz="2" w:space="0" w:color="3B58A4"/>
            </w:tcBorders>
            <w:vAlign w:val="center"/>
          </w:tcPr>
          <w:p>
            <w:pPr>
              <w:pStyle w:val="TableContents"/>
              <w:bidi w:val="0"/>
              <w:spacing w:before="0" w:after="283"/>
              <w:jc w:val="left"/>
              <w:rPr/>
            </w:pPr>
            <w:r>
              <w:rPr/>
              <w:t> </w:t>
            </w:r>
          </w:p>
        </w:tc>
        <w:tc>
          <w:tcPr>
            <w:tcW w:w="2151" w:type="dxa"/>
            <w:tcBorders>
              <w:bottom w:val="single" w:sz="2" w:space="0" w:color="3B58A4"/>
            </w:tcBorders>
            <w:vAlign w:val="center"/>
          </w:tcPr>
          <w:p>
            <w:pPr>
              <w:pStyle w:val="TableContents"/>
              <w:bidi w:val="0"/>
              <w:spacing w:before="0" w:after="283"/>
              <w:jc w:val="right"/>
              <w:rPr/>
            </w:pPr>
            <w:r>
              <w:rPr>
                <w:color w:val="2864AF"/>
              </w:rPr>
              <w:t>Inclusion of Item 402(v)</w:t>
            </w:r>
            <w:r>
              <w:rPr/>
              <w:br/>
            </w:r>
            <w:r>
              <w:rPr>
                <w:color w:val="2864AF"/>
              </w:rPr>
              <w:t>Equity Award Values for</w:t>
            </w:r>
            <w:r>
              <w:rPr/>
              <w:br/>
            </w:r>
            <w:r>
              <w:rPr>
                <w:color w:val="2864AF"/>
              </w:rPr>
              <w:t>Non-PEO NEOs ($)</w:t>
            </w:r>
          </w:p>
        </w:tc>
        <w:tc>
          <w:tcPr>
            <w:tcW w:w="60" w:type="dxa"/>
            <w:tcBorders>
              <w:bottom w:val="single" w:sz="2" w:space="0" w:color="3B58A4"/>
            </w:tcBorders>
            <w:vAlign w:val="center"/>
          </w:tcPr>
          <w:p>
            <w:pPr>
              <w:pStyle w:val="TableContents"/>
              <w:bidi w:val="0"/>
              <w:spacing w:before="0" w:after="283"/>
              <w:jc w:val="left"/>
              <w:rPr/>
            </w:pPr>
            <w:r>
              <w:rPr/>
              <w:t> </w:t>
            </w:r>
          </w:p>
        </w:tc>
        <w:tc>
          <w:tcPr>
            <w:tcW w:w="2131" w:type="dxa"/>
            <w:tcBorders>
              <w:bottom w:val="single" w:sz="2" w:space="0" w:color="3B58A4"/>
            </w:tcBorders>
            <w:vAlign w:val="center"/>
          </w:tcPr>
          <w:p>
            <w:pPr>
              <w:pStyle w:val="TableContents"/>
              <w:bidi w:val="0"/>
              <w:spacing w:before="0" w:after="283"/>
              <w:jc w:val="right"/>
              <w:rPr/>
            </w:pPr>
            <w:r>
              <w:rPr>
                <w:color w:val="2864AF"/>
              </w:rPr>
              <w:t>Average Compensation</w:t>
            </w:r>
            <w:r>
              <w:rPr/>
              <w:t xml:space="preserve"> </w:t>
              <w:br/>
            </w:r>
            <w:r>
              <w:rPr>
                <w:color w:val="2864AF"/>
              </w:rPr>
              <w:t>“Actually Paid” to</w:t>
            </w:r>
            <w:r>
              <w:rPr/>
              <w:t xml:space="preserve"> </w:t>
              <w:br/>
            </w:r>
            <w:r>
              <w:rPr>
                <w:color w:val="2864AF"/>
              </w:rPr>
              <w:t>Non-PEO NEOs ($)</w:t>
            </w:r>
          </w:p>
        </w:tc>
      </w:tr>
      <w:tr>
        <w:trPr/>
        <w:tc>
          <w:tcPr>
            <w:tcW w:w="515" w:type="dxa"/>
            <w:tcBorders>
              <w:bottom w:val="single" w:sz="2" w:space="0" w:color="3B58A4"/>
            </w:tcBorders>
            <w:vAlign w:val="center"/>
          </w:tcPr>
          <w:p>
            <w:pPr>
              <w:pStyle w:val="TableContents"/>
              <w:bidi w:val="0"/>
              <w:spacing w:before="0" w:after="283"/>
              <w:jc w:val="left"/>
              <w:rPr>
                <w:color w:val="2864AF"/>
              </w:rPr>
            </w:pPr>
            <w:r>
              <w:rPr>
                <w:color w:val="2864AF"/>
              </w:rPr>
              <w:t>2024</w:t>
            </w:r>
          </w:p>
        </w:tc>
        <w:tc>
          <w:tcPr>
            <w:tcW w:w="60" w:type="dxa"/>
            <w:tcBorders>
              <w:bottom w:val="single" w:sz="2" w:space="0" w:color="3B58A4"/>
            </w:tcBorders>
            <w:vAlign w:val="center"/>
          </w:tcPr>
          <w:p>
            <w:pPr>
              <w:pStyle w:val="TableContents"/>
              <w:bidi w:val="0"/>
              <w:spacing w:before="0" w:after="283"/>
              <w:jc w:val="left"/>
              <w:rPr/>
            </w:pPr>
            <w:r>
              <w:rPr/>
              <w:t> </w:t>
            </w:r>
            <w:bookmarkStart w:id="221" w:name="xdx_98E_eecd--NonPeoNeoAvgTotalCompAmt_c"/>
            <w:bookmarkEnd w:id="221"/>
          </w:p>
        </w:tc>
        <w:tc>
          <w:tcPr>
            <w:tcW w:w="2596" w:type="dxa"/>
            <w:tcBorders>
              <w:bottom w:val="single" w:sz="2" w:space="0" w:color="3B58A4"/>
            </w:tcBorders>
            <w:vAlign w:val="center"/>
          </w:tcPr>
          <w:p>
            <w:pPr>
              <w:pStyle w:val="TableContents"/>
              <w:bidi w:val="0"/>
              <w:spacing w:before="0" w:after="283"/>
              <w:jc w:val="right"/>
              <w:rPr>
                <w:color w:val="231F20"/>
              </w:rPr>
            </w:pPr>
            <w:r>
              <w:rPr>
                <w:color w:val="231F20"/>
              </w:rPr>
              <w:t>6,073,090</w:t>
            </w:r>
          </w:p>
        </w:tc>
        <w:tc>
          <w:tcPr>
            <w:tcW w:w="60" w:type="dxa"/>
            <w:tcBorders>
              <w:bottom w:val="single" w:sz="2" w:space="0" w:color="3B58A4"/>
            </w:tcBorders>
            <w:vAlign w:val="center"/>
          </w:tcPr>
          <w:p>
            <w:pPr>
              <w:pStyle w:val="TableContents"/>
              <w:bidi w:val="0"/>
              <w:spacing w:before="0" w:after="283"/>
              <w:jc w:val="left"/>
              <w:rPr/>
            </w:pPr>
            <w:r>
              <w:rPr/>
              <w:t> </w:t>
            </w:r>
            <w:bookmarkStart w:id="222" w:name="xdx_985_eecd--AdjToCompAmt_c20240101__20"/>
            <w:bookmarkEnd w:id="222"/>
          </w:p>
        </w:tc>
        <w:tc>
          <w:tcPr>
            <w:tcW w:w="2572" w:type="dxa"/>
            <w:tcBorders>
              <w:bottom w:val="single" w:sz="2" w:space="0" w:color="3B58A4"/>
            </w:tcBorders>
            <w:vAlign w:val="center"/>
          </w:tcPr>
          <w:p>
            <w:pPr>
              <w:pStyle w:val="TableContents"/>
              <w:bidi w:val="0"/>
              <w:spacing w:before="0" w:after="283"/>
              <w:jc w:val="right"/>
              <w:rPr>
                <w:color w:val="231F20"/>
              </w:rPr>
            </w:pPr>
            <w:r>
              <w:rPr>
                <w:color w:val="231F20"/>
              </w:rPr>
              <w:t>(3,699,679)</w:t>
            </w:r>
          </w:p>
        </w:tc>
        <w:tc>
          <w:tcPr>
            <w:tcW w:w="60" w:type="dxa"/>
            <w:tcBorders>
              <w:bottom w:val="single" w:sz="2" w:space="0" w:color="3B58A4"/>
            </w:tcBorders>
            <w:vAlign w:val="center"/>
          </w:tcPr>
          <w:p>
            <w:pPr>
              <w:pStyle w:val="TableContents"/>
              <w:bidi w:val="0"/>
              <w:spacing w:before="0" w:after="283"/>
              <w:jc w:val="left"/>
              <w:rPr/>
            </w:pPr>
            <w:r>
              <w:rPr/>
              <w:t> </w:t>
            </w:r>
            <w:bookmarkStart w:id="223" w:name="xdx_982_eecd--AdjToCompAmt_c20240101__20"/>
            <w:bookmarkEnd w:id="223"/>
          </w:p>
        </w:tc>
        <w:tc>
          <w:tcPr>
            <w:tcW w:w="2151" w:type="dxa"/>
            <w:tcBorders>
              <w:bottom w:val="single" w:sz="2" w:space="0" w:color="3B58A4"/>
            </w:tcBorders>
            <w:vAlign w:val="center"/>
          </w:tcPr>
          <w:p>
            <w:pPr>
              <w:pStyle w:val="TableContents"/>
              <w:bidi w:val="0"/>
              <w:spacing w:before="0" w:after="283"/>
              <w:jc w:val="right"/>
              <w:rPr>
                <w:color w:val="231F20"/>
              </w:rPr>
            </w:pPr>
            <w:r>
              <w:rPr>
                <w:color w:val="231F20"/>
              </w:rPr>
              <w:t>(11,527,202)</w:t>
            </w:r>
          </w:p>
        </w:tc>
        <w:tc>
          <w:tcPr>
            <w:tcW w:w="60" w:type="dxa"/>
            <w:tcBorders>
              <w:bottom w:val="single" w:sz="2" w:space="0" w:color="3B58A4"/>
            </w:tcBorders>
            <w:vAlign w:val="center"/>
          </w:tcPr>
          <w:p>
            <w:pPr>
              <w:pStyle w:val="TableContents"/>
              <w:bidi w:val="0"/>
              <w:spacing w:before="0" w:after="283"/>
              <w:jc w:val="left"/>
              <w:rPr/>
            </w:pPr>
            <w:r>
              <w:rPr/>
              <w:t> </w:t>
            </w:r>
            <w:bookmarkStart w:id="224" w:name="xdx_98B_eecd--NonPeoNeoAvgCompActuallyPa"/>
            <w:bookmarkEnd w:id="224"/>
          </w:p>
        </w:tc>
        <w:tc>
          <w:tcPr>
            <w:tcW w:w="2131" w:type="dxa"/>
            <w:tcBorders>
              <w:bottom w:val="single" w:sz="2" w:space="0" w:color="3B58A4"/>
            </w:tcBorders>
            <w:vAlign w:val="center"/>
          </w:tcPr>
          <w:p>
            <w:pPr>
              <w:pStyle w:val="TableContents"/>
              <w:bidi w:val="0"/>
              <w:spacing w:before="0" w:after="283"/>
              <w:jc w:val="right"/>
              <w:rPr>
                <w:color w:val="231F20"/>
              </w:rPr>
            </w:pPr>
            <w:r>
              <w:rPr>
                <w:color w:val="231F20"/>
              </w:rPr>
              <w:t>(9,153,791)</w:t>
            </w:r>
          </w:p>
        </w:tc>
      </w:tr>
    </w:tbl>
    <w:p>
      <w:pPr>
        <w:pStyle w:val="TextBody"/>
        <w:bidi w:val="0"/>
        <w:jc w:val="left"/>
        <w:rPr>
          <w:caps w:val="false"/>
          <w:smallCaps w:val="false"/>
        </w:rPr>
      </w:pPr>
      <w:bookmarkStart w:id="225" w:name="xdx_85C_zeFgbuDuPXz2"/>
      <w:bookmarkEnd w:id="225"/>
      <w:r>
        <w:rPr>
          <w:caps w:val="false"/>
          <w:smallCaps w:val="false"/>
        </w:rPr>
        <w:t> </w:t>
      </w:r>
    </w:p>
    <w:p>
      <w:pPr>
        <w:pStyle w:val="Normal"/>
        <w:bidi w:val="0"/>
        <w:spacing w:before="0" w:after="0"/>
        <w:jc w:val="left"/>
        <w:rPr>
          <w:sz w:val="4"/>
          <w:szCs w:val="4"/>
        </w:rPr>
      </w:pPr>
      <w:r>
        <w:rPr>
          <w:sz w:val="4"/>
          <w:szCs w:val="4"/>
        </w:rPr>
      </w:r>
      <w:bookmarkStart w:id="226" w:name="xdx_23A_zSDA3LqAf5p4"/>
      <w:bookmarkStart w:id="227" w:name="xdx_23A_zSDA3LqAf5p4"/>
      <w:bookmarkEnd w:id="227"/>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43"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322" descr=""/>
                          <pic:cNvPicPr>
                            <a:picLocks noChangeAspect="1" noChangeArrowheads="1"/>
                          </pic:cNvPicPr>
                        </pic:nvPicPr>
                        <pic:blipFill>
                          <a:blip r:embed="rId334"/>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Normal"/>
        <w:bidi w:val="0"/>
        <w:spacing w:before="0" w:after="0"/>
        <w:jc w:val="left"/>
        <w:rPr>
          <w:sz w:val="4"/>
          <w:szCs w:val="4"/>
        </w:rPr>
      </w:pPr>
      <w:r>
        <w:rPr>
          <w:sz w:val="4"/>
          <w:szCs w:val="4"/>
        </w:rPr>
      </w:r>
      <w:bookmarkStart w:id="228" w:name="xdx_23B_z38TBOToDVeb"/>
      <w:bookmarkStart w:id="229" w:name="xdx_23B_z38TBOToDVeb"/>
      <w:bookmarkEnd w:id="229"/>
    </w:p>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Normal"/>
        <w:bidi w:val="0"/>
        <w:spacing w:before="0" w:after="0"/>
        <w:jc w:val="left"/>
        <w:rPr>
          <w:sz w:val="4"/>
          <w:szCs w:val="4"/>
        </w:rPr>
      </w:pPr>
      <w:r>
        <w:rPr>
          <w:sz w:val="4"/>
          <w:szCs w:val="4"/>
        </w:rPr>
      </w:r>
      <w:bookmarkStart w:id="230" w:name="xdx_231_zwEc8yzn8IDg"/>
      <w:bookmarkStart w:id="231" w:name="xdx_231_zwEc8yzn8IDg"/>
      <w:bookmarkEnd w:id="231"/>
    </w:p>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6"/>
        </w:rPr>
      </w:pPr>
      <w:bookmarkStart w:id="232" w:name="xdx_23D_zik0y42Mmgc"/>
      <w:bookmarkEnd w:id="232"/>
      <w:r>
        <w:rPr>
          <w:rFonts w:ascii="Arial;Helvetica;Sans-Serif" w:hAnsi="Arial;Helvetica;Sans-Serif"/>
          <w:b w:val="false"/>
          <w:i w:val="false"/>
          <w:caps w:val="false"/>
          <w:smallCaps w:val="false"/>
          <w:color w:val="231F20"/>
          <w:sz w:val="16"/>
        </w:rPr>
        <w:t>The “Inclusion of Item 402(v) Equity Award Values” columns in the tables above are derived from the dollar values set forth in the following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Normal"/>
        <w:bidi w:val="0"/>
        <w:spacing w:before="0" w:after="0"/>
        <w:jc w:val="left"/>
        <w:rPr>
          <w:sz w:val="4"/>
          <w:szCs w:val="4"/>
        </w:rPr>
      </w:pPr>
      <w:r>
        <w:rPr>
          <w:sz w:val="4"/>
          <w:szCs w:val="4"/>
        </w:rPr>
      </w:r>
      <w:bookmarkStart w:id="233" w:name="xdx_307_zEwt4gLIgGcf"/>
      <w:bookmarkStart w:id="234" w:name="xdx_307_zEwt4gLIgGcf"/>
      <w:bookmarkEnd w:id="234"/>
    </w:p>
    <w:tbl>
      <w:tblPr>
        <w:tblW w:w="10205" w:type="dxa"/>
        <w:jc w:val="left"/>
        <w:tblInd w:w="0" w:type="dxa"/>
        <w:tblLayout w:type="fixed"/>
        <w:tblCellMar>
          <w:top w:w="0" w:type="dxa"/>
          <w:left w:w="0" w:type="dxa"/>
          <w:bottom w:w="28" w:type="dxa"/>
          <w:right w:w="0" w:type="dxa"/>
        </w:tblCellMar>
      </w:tblPr>
      <w:tblGrid>
        <w:gridCol w:w="545"/>
        <w:gridCol w:w="60"/>
        <w:gridCol w:w="1101"/>
        <w:gridCol w:w="180"/>
        <w:gridCol w:w="1303"/>
        <w:gridCol w:w="180"/>
        <w:gridCol w:w="1360"/>
        <w:gridCol w:w="180"/>
        <w:gridCol w:w="1065"/>
        <w:gridCol w:w="180"/>
        <w:gridCol w:w="1023"/>
        <w:gridCol w:w="180"/>
        <w:gridCol w:w="1153"/>
        <w:gridCol w:w="180"/>
        <w:gridCol w:w="1515"/>
      </w:tblGrid>
      <w:tr>
        <w:trPr/>
        <w:tc>
          <w:tcPr>
            <w:tcW w:w="545" w:type="dxa"/>
            <w:tcBorders>
              <w:bottom w:val="single" w:sz="2" w:space="0" w:color="3B58A4"/>
            </w:tcBorders>
            <w:vAlign w:val="center"/>
          </w:tcPr>
          <w:p>
            <w:pPr>
              <w:pStyle w:val="TableContents"/>
              <w:bidi w:val="0"/>
              <w:spacing w:before="0" w:after="283"/>
              <w:jc w:val="left"/>
              <w:rPr>
                <w:b/>
                <w:color w:val="2864AF"/>
              </w:rPr>
            </w:pPr>
            <w:r>
              <w:rPr>
                <w:b/>
                <w:color w:val="2864AF"/>
              </w:rPr>
              <w:t>Year</w:t>
            </w:r>
          </w:p>
        </w:tc>
        <w:tc>
          <w:tcPr>
            <w:tcW w:w="60" w:type="dxa"/>
            <w:tcBorders>
              <w:bottom w:val="single" w:sz="2" w:space="0" w:color="3B58A4"/>
            </w:tcBorders>
            <w:vAlign w:val="center"/>
          </w:tcPr>
          <w:p>
            <w:pPr>
              <w:pStyle w:val="TableContents"/>
              <w:bidi w:val="0"/>
              <w:spacing w:before="0" w:after="283"/>
              <w:jc w:val="left"/>
              <w:rPr/>
            </w:pPr>
            <w:r>
              <w:rPr/>
              <w:t> </w:t>
            </w:r>
          </w:p>
        </w:tc>
        <w:tc>
          <w:tcPr>
            <w:tcW w:w="1101" w:type="dxa"/>
            <w:tcBorders>
              <w:bottom w:val="single" w:sz="2" w:space="0" w:color="3B58A4"/>
            </w:tcBorders>
            <w:vAlign w:val="center"/>
          </w:tcPr>
          <w:p>
            <w:pPr>
              <w:pStyle w:val="TableContents"/>
              <w:bidi w:val="0"/>
              <w:spacing w:before="0" w:after="283"/>
              <w:jc w:val="right"/>
              <w:rPr/>
            </w:pPr>
            <w:r>
              <w:rPr>
                <w:color w:val="2864AF"/>
              </w:rPr>
              <w:t>Year-End Fair</w:t>
            </w:r>
            <w:r>
              <w:rPr/>
              <w:t xml:space="preserve"> </w:t>
              <w:br/>
            </w:r>
            <w:r>
              <w:rPr>
                <w:color w:val="2864AF"/>
              </w:rPr>
              <w:t>Value of Equity</w:t>
            </w:r>
            <w:r>
              <w:rPr/>
              <w:t xml:space="preserve"> </w:t>
              <w:br/>
            </w:r>
            <w:r>
              <w:rPr>
                <w:color w:val="2864AF"/>
              </w:rPr>
              <w:t>Awards Granted</w:t>
            </w:r>
            <w:r>
              <w:rPr/>
              <w:t xml:space="preserve"> </w:t>
              <w:br/>
            </w:r>
            <w:r>
              <w:rPr>
                <w:color w:val="2864AF"/>
              </w:rPr>
              <w:t>During Year</w:t>
            </w:r>
            <w:r>
              <w:rPr/>
              <w:t xml:space="preserve"> </w:t>
              <w:br/>
            </w:r>
            <w:r>
              <w:rPr>
                <w:color w:val="2864AF"/>
              </w:rPr>
              <w:t>That Remained</w:t>
            </w:r>
            <w:r>
              <w:rPr/>
              <w:t xml:space="preserve"> </w:t>
              <w:br/>
            </w:r>
            <w:r>
              <w:rPr>
                <w:color w:val="2864AF"/>
              </w:rPr>
              <w:t>Unvested as of</w:t>
            </w:r>
            <w:r>
              <w:rPr/>
              <w:t xml:space="preserve"> </w:t>
              <w:br/>
            </w:r>
            <w:r>
              <w:rPr>
                <w:color w:val="2864AF"/>
              </w:rPr>
              <w:t>Last Day of Year</w:t>
            </w:r>
            <w:r>
              <w:rPr/>
              <w:t xml:space="preserve"> </w:t>
              <w:br/>
            </w:r>
            <w:r>
              <w:rPr>
                <w:color w:val="2864AF"/>
              </w:rPr>
              <w:t>for PEO ($)</w:t>
            </w:r>
          </w:p>
        </w:tc>
        <w:tc>
          <w:tcPr>
            <w:tcW w:w="180" w:type="dxa"/>
            <w:tcBorders>
              <w:bottom w:val="single" w:sz="2" w:space="0" w:color="3B58A4"/>
            </w:tcBorders>
            <w:vAlign w:val="center"/>
          </w:tcPr>
          <w:p>
            <w:pPr>
              <w:pStyle w:val="TableContents"/>
              <w:bidi w:val="0"/>
              <w:spacing w:before="0" w:after="283"/>
              <w:jc w:val="right"/>
              <w:rPr/>
            </w:pPr>
            <w:r>
              <w:rPr/>
              <w:t>   </w:t>
            </w:r>
          </w:p>
        </w:tc>
        <w:tc>
          <w:tcPr>
            <w:tcW w:w="1303" w:type="dxa"/>
            <w:tcBorders>
              <w:bottom w:val="single" w:sz="2" w:space="0" w:color="3B58A4"/>
            </w:tcBorders>
            <w:vAlign w:val="center"/>
          </w:tcPr>
          <w:p>
            <w:pPr>
              <w:pStyle w:val="TableContents"/>
              <w:bidi w:val="0"/>
              <w:spacing w:before="0" w:after="283"/>
              <w:jc w:val="right"/>
              <w:rPr/>
            </w:pPr>
            <w:r>
              <w:rPr>
                <w:color w:val="2864AF"/>
              </w:rPr>
              <w:t>Change in Fair</w:t>
            </w:r>
            <w:r>
              <w:rPr/>
              <w:t xml:space="preserve"> </w:t>
              <w:br/>
            </w:r>
            <w:r>
              <w:rPr>
                <w:color w:val="2864AF"/>
              </w:rPr>
              <w:t>Value from Last</w:t>
            </w:r>
            <w:r>
              <w:rPr/>
              <w:t xml:space="preserve"> </w:t>
              <w:br/>
            </w:r>
            <w:r>
              <w:rPr>
                <w:color w:val="2864AF"/>
              </w:rPr>
              <w:t>Day of Prior Year</w:t>
            </w:r>
            <w:r>
              <w:rPr/>
              <w:t xml:space="preserve"> </w:t>
              <w:br/>
            </w:r>
            <w:r>
              <w:rPr>
                <w:color w:val="2864AF"/>
              </w:rPr>
              <w:t>to Last Day of Year</w:t>
            </w:r>
            <w:r>
              <w:rPr/>
              <w:t xml:space="preserve"> </w:t>
              <w:br/>
            </w:r>
            <w:r>
              <w:rPr>
                <w:color w:val="2864AF"/>
              </w:rPr>
              <w:t>of Unvested Equity</w:t>
            </w:r>
            <w:r>
              <w:rPr/>
              <w:t xml:space="preserve"> </w:t>
              <w:br/>
            </w:r>
            <w:r>
              <w:rPr>
                <w:color w:val="2864AF"/>
              </w:rPr>
              <w:t>Awards for</w:t>
            </w:r>
            <w:r>
              <w:rPr/>
              <w:t xml:space="preserve"> </w:t>
              <w:br/>
            </w:r>
            <w:r>
              <w:rPr>
                <w:color w:val="2864AF"/>
              </w:rPr>
              <w:t>PEO ($)</w:t>
            </w:r>
          </w:p>
        </w:tc>
        <w:tc>
          <w:tcPr>
            <w:tcW w:w="180" w:type="dxa"/>
            <w:tcBorders>
              <w:bottom w:val="single" w:sz="2" w:space="0" w:color="3B58A4"/>
            </w:tcBorders>
            <w:vAlign w:val="center"/>
          </w:tcPr>
          <w:p>
            <w:pPr>
              <w:pStyle w:val="TableContents"/>
              <w:bidi w:val="0"/>
              <w:spacing w:before="0" w:after="283"/>
              <w:jc w:val="right"/>
              <w:rPr/>
            </w:pPr>
            <w:r>
              <w:rPr/>
              <w:t>   </w:t>
            </w:r>
          </w:p>
        </w:tc>
        <w:tc>
          <w:tcPr>
            <w:tcW w:w="1360" w:type="dxa"/>
            <w:tcBorders>
              <w:bottom w:val="single" w:sz="2" w:space="0" w:color="3B58A4"/>
            </w:tcBorders>
            <w:vAlign w:val="center"/>
          </w:tcPr>
          <w:p>
            <w:pPr>
              <w:pStyle w:val="TableContents"/>
              <w:bidi w:val="0"/>
              <w:spacing w:before="0" w:after="283"/>
              <w:jc w:val="right"/>
              <w:rPr/>
            </w:pPr>
            <w:r>
              <w:rPr>
                <w:color w:val="2864AF"/>
              </w:rPr>
              <w:t>Vesting-Date Fair</w:t>
            </w:r>
            <w:r>
              <w:rPr/>
              <w:t xml:space="preserve"> </w:t>
              <w:br/>
            </w:r>
            <w:r>
              <w:rPr>
                <w:color w:val="2864AF"/>
              </w:rPr>
              <w:t>Value of Equity</w:t>
            </w:r>
            <w:r>
              <w:rPr/>
              <w:t xml:space="preserve"> </w:t>
              <w:br/>
            </w:r>
            <w:r>
              <w:rPr>
                <w:color w:val="2864AF"/>
              </w:rPr>
              <w:t>Awards Granted</w:t>
            </w:r>
            <w:r>
              <w:rPr/>
              <w:t xml:space="preserve"> </w:t>
              <w:br/>
            </w:r>
            <w:r>
              <w:rPr>
                <w:color w:val="2864AF"/>
              </w:rPr>
              <w:t>During Year that</w:t>
            </w:r>
            <w:r>
              <w:rPr/>
              <w:t xml:space="preserve"> </w:t>
              <w:br/>
            </w:r>
            <w:r>
              <w:rPr>
                <w:color w:val="2864AF"/>
              </w:rPr>
              <w:t>Vested During</w:t>
            </w:r>
            <w:r>
              <w:rPr/>
              <w:t xml:space="preserve"> </w:t>
              <w:br/>
            </w:r>
            <w:r>
              <w:rPr>
                <w:color w:val="2864AF"/>
              </w:rPr>
              <w:t>Year for PEO ($)</w:t>
            </w:r>
          </w:p>
        </w:tc>
        <w:tc>
          <w:tcPr>
            <w:tcW w:w="180" w:type="dxa"/>
            <w:tcBorders>
              <w:bottom w:val="single" w:sz="2" w:space="0" w:color="3B58A4"/>
            </w:tcBorders>
            <w:vAlign w:val="center"/>
          </w:tcPr>
          <w:p>
            <w:pPr>
              <w:pStyle w:val="TableContents"/>
              <w:bidi w:val="0"/>
              <w:spacing w:before="0" w:after="283"/>
              <w:jc w:val="right"/>
              <w:rPr/>
            </w:pPr>
            <w:r>
              <w:rPr/>
              <w:t>   </w:t>
            </w:r>
          </w:p>
        </w:tc>
        <w:tc>
          <w:tcPr>
            <w:tcW w:w="1065" w:type="dxa"/>
            <w:tcBorders>
              <w:bottom w:val="single" w:sz="2" w:space="0" w:color="3B58A4"/>
            </w:tcBorders>
            <w:vAlign w:val="center"/>
          </w:tcPr>
          <w:p>
            <w:pPr>
              <w:pStyle w:val="TableContents"/>
              <w:bidi w:val="0"/>
              <w:spacing w:before="0" w:after="283"/>
              <w:jc w:val="right"/>
              <w:rPr/>
            </w:pPr>
            <w:r>
              <w:rPr>
                <w:color w:val="2864AF"/>
              </w:rPr>
              <w:t>Change in Fair</w:t>
            </w:r>
            <w:r>
              <w:rPr/>
              <w:t xml:space="preserve"> </w:t>
              <w:br/>
            </w:r>
            <w:r>
              <w:rPr>
                <w:color w:val="2864AF"/>
              </w:rPr>
              <w:t>Value from Last</w:t>
            </w:r>
            <w:r>
              <w:rPr/>
              <w:t xml:space="preserve"> </w:t>
              <w:br/>
            </w:r>
            <w:r>
              <w:rPr>
                <w:color w:val="2864AF"/>
              </w:rPr>
              <w:t>Day of Prior Year</w:t>
            </w:r>
            <w:r>
              <w:rPr/>
              <w:t xml:space="preserve"> </w:t>
              <w:br/>
            </w:r>
            <w:r>
              <w:rPr>
                <w:color w:val="2864AF"/>
              </w:rPr>
              <w:t>to Vesting Date of</w:t>
            </w:r>
            <w:r>
              <w:rPr/>
              <w:t xml:space="preserve"> </w:t>
              <w:br/>
            </w:r>
            <w:r>
              <w:rPr>
                <w:color w:val="2864AF"/>
              </w:rPr>
              <w:t>Unvested Equity</w:t>
            </w:r>
            <w:r>
              <w:rPr/>
              <w:t xml:space="preserve"> </w:t>
              <w:br/>
            </w:r>
            <w:r>
              <w:rPr>
                <w:color w:val="2864AF"/>
              </w:rPr>
              <w:t>Awards that</w:t>
            </w:r>
            <w:r>
              <w:rPr/>
              <w:t xml:space="preserve"> </w:t>
              <w:br/>
            </w:r>
            <w:r>
              <w:rPr>
                <w:color w:val="2864AF"/>
              </w:rPr>
              <w:t>Vested During</w:t>
            </w:r>
            <w:r>
              <w:rPr/>
              <w:t xml:space="preserve"> </w:t>
              <w:br/>
            </w:r>
            <w:r>
              <w:rPr>
                <w:color w:val="2864AF"/>
              </w:rPr>
              <w:t>Year for PEO ($)</w:t>
            </w:r>
          </w:p>
        </w:tc>
        <w:tc>
          <w:tcPr>
            <w:tcW w:w="180" w:type="dxa"/>
            <w:tcBorders>
              <w:bottom w:val="single" w:sz="2" w:space="0" w:color="3B58A4"/>
            </w:tcBorders>
            <w:vAlign w:val="center"/>
          </w:tcPr>
          <w:p>
            <w:pPr>
              <w:pStyle w:val="TableContents"/>
              <w:bidi w:val="0"/>
              <w:spacing w:before="0" w:after="283"/>
              <w:jc w:val="right"/>
              <w:rPr/>
            </w:pPr>
            <w:r>
              <w:rPr/>
              <w:t>   </w:t>
            </w:r>
          </w:p>
        </w:tc>
        <w:tc>
          <w:tcPr>
            <w:tcW w:w="1023" w:type="dxa"/>
            <w:tcBorders>
              <w:bottom w:val="single" w:sz="2" w:space="0" w:color="3B58A4"/>
            </w:tcBorders>
            <w:vAlign w:val="center"/>
          </w:tcPr>
          <w:p>
            <w:pPr>
              <w:pStyle w:val="TableContents"/>
              <w:bidi w:val="0"/>
              <w:spacing w:before="0" w:after="283"/>
              <w:jc w:val="right"/>
              <w:rPr/>
            </w:pPr>
            <w:r>
              <w:rPr>
                <w:color w:val="2864AF"/>
              </w:rPr>
              <w:t>Fair Value at Last</w:t>
            </w:r>
            <w:r>
              <w:rPr/>
              <w:t xml:space="preserve"> </w:t>
              <w:br/>
            </w:r>
            <w:r>
              <w:rPr>
                <w:color w:val="2864AF"/>
              </w:rPr>
              <w:t>Day of Prior Year</w:t>
            </w:r>
            <w:r>
              <w:rPr/>
              <w:t xml:space="preserve"> </w:t>
              <w:br/>
            </w:r>
            <w:r>
              <w:rPr>
                <w:color w:val="2864AF"/>
              </w:rPr>
              <w:t>of Equity Awards</w:t>
            </w:r>
            <w:r>
              <w:rPr/>
              <w:t xml:space="preserve"> </w:t>
              <w:br/>
            </w:r>
            <w:r>
              <w:rPr>
                <w:color w:val="2864AF"/>
              </w:rPr>
              <w:t>Forfeited During</w:t>
            </w:r>
            <w:r>
              <w:rPr/>
              <w:t xml:space="preserve"> </w:t>
              <w:br/>
            </w:r>
            <w:r>
              <w:rPr>
                <w:color w:val="2864AF"/>
              </w:rPr>
              <w:t>Year for PEO ($)</w:t>
            </w:r>
          </w:p>
        </w:tc>
        <w:tc>
          <w:tcPr>
            <w:tcW w:w="180" w:type="dxa"/>
            <w:tcBorders>
              <w:bottom w:val="single" w:sz="2" w:space="0" w:color="3B58A4"/>
            </w:tcBorders>
            <w:vAlign w:val="center"/>
          </w:tcPr>
          <w:p>
            <w:pPr>
              <w:pStyle w:val="TableContents"/>
              <w:bidi w:val="0"/>
              <w:spacing w:before="0" w:after="283"/>
              <w:jc w:val="right"/>
              <w:rPr/>
            </w:pPr>
            <w:r>
              <w:rPr/>
              <w:t>   </w:t>
            </w:r>
          </w:p>
        </w:tc>
        <w:tc>
          <w:tcPr>
            <w:tcW w:w="1153" w:type="dxa"/>
            <w:tcBorders>
              <w:bottom w:val="single" w:sz="2" w:space="0" w:color="3B58A4"/>
            </w:tcBorders>
            <w:vAlign w:val="center"/>
          </w:tcPr>
          <w:p>
            <w:pPr>
              <w:pStyle w:val="TableContents"/>
              <w:bidi w:val="0"/>
              <w:spacing w:before="0" w:after="283"/>
              <w:jc w:val="right"/>
              <w:rPr/>
            </w:pPr>
            <w:r>
              <w:rPr>
                <w:color w:val="2864AF"/>
              </w:rPr>
              <w:t>Value of Dividends</w:t>
            </w:r>
            <w:r>
              <w:rPr/>
              <w:t xml:space="preserve"> </w:t>
              <w:br/>
            </w:r>
            <w:r>
              <w:rPr>
                <w:color w:val="2864AF"/>
              </w:rPr>
              <w:t>or Other Earnings</w:t>
            </w:r>
            <w:r>
              <w:rPr/>
              <w:t xml:space="preserve"> </w:t>
              <w:br/>
            </w:r>
            <w:r>
              <w:rPr>
                <w:color w:val="2864AF"/>
              </w:rPr>
              <w:t>Paid on Stock or</w:t>
            </w:r>
            <w:r>
              <w:rPr/>
              <w:t xml:space="preserve"> </w:t>
              <w:br/>
            </w:r>
            <w:r>
              <w:rPr>
                <w:color w:val="2864AF"/>
              </w:rPr>
              <w:t>Option Awards Not</w:t>
            </w:r>
            <w:r>
              <w:rPr/>
              <w:t xml:space="preserve"> </w:t>
              <w:br/>
            </w:r>
            <w:r>
              <w:rPr>
                <w:color w:val="2864AF"/>
              </w:rPr>
              <w:t>Otherwise Included</w:t>
            </w:r>
            <w:r>
              <w:rPr/>
              <w:t xml:space="preserve"> </w:t>
              <w:br/>
            </w:r>
            <w:r>
              <w:rPr>
                <w:color w:val="2864AF"/>
              </w:rPr>
              <w:t>for PEO ($)</w:t>
            </w:r>
          </w:p>
        </w:tc>
        <w:tc>
          <w:tcPr>
            <w:tcW w:w="180" w:type="dxa"/>
            <w:tcBorders>
              <w:bottom w:val="single" w:sz="2" w:space="0" w:color="3B58A4"/>
            </w:tcBorders>
            <w:vAlign w:val="center"/>
          </w:tcPr>
          <w:p>
            <w:pPr>
              <w:pStyle w:val="TableContents"/>
              <w:bidi w:val="0"/>
              <w:spacing w:before="0" w:after="283"/>
              <w:jc w:val="right"/>
              <w:rPr/>
            </w:pPr>
            <w:r>
              <w:rPr/>
              <w:t>   </w:t>
            </w:r>
          </w:p>
        </w:tc>
        <w:tc>
          <w:tcPr>
            <w:tcW w:w="1515" w:type="dxa"/>
            <w:tcBorders>
              <w:bottom w:val="single" w:sz="2" w:space="0" w:color="3B58A4"/>
            </w:tcBorders>
            <w:vAlign w:val="center"/>
          </w:tcPr>
          <w:p>
            <w:pPr>
              <w:pStyle w:val="TableContents"/>
              <w:bidi w:val="0"/>
              <w:spacing w:before="0" w:after="283"/>
              <w:jc w:val="right"/>
              <w:rPr/>
            </w:pPr>
            <w:r>
              <w:rPr>
                <w:color w:val="2864AF"/>
              </w:rPr>
              <w:t>Total-Inclusion</w:t>
            </w:r>
            <w:r>
              <w:rPr/>
              <w:t xml:space="preserve"> </w:t>
              <w:br/>
            </w:r>
            <w:r>
              <w:rPr>
                <w:color w:val="2864AF"/>
              </w:rPr>
              <w:t>of Equity Values</w:t>
            </w:r>
            <w:r>
              <w:rPr/>
              <w:t xml:space="preserve"> </w:t>
              <w:br/>
            </w:r>
            <w:r>
              <w:rPr>
                <w:color w:val="2864AF"/>
              </w:rPr>
              <w:t>for PEO ($)</w:t>
            </w:r>
          </w:p>
        </w:tc>
      </w:tr>
      <w:tr>
        <w:trPr/>
        <w:tc>
          <w:tcPr>
            <w:tcW w:w="545" w:type="dxa"/>
            <w:tcBorders>
              <w:bottom w:val="single" w:sz="2" w:space="0" w:color="3B58A4"/>
            </w:tcBorders>
            <w:vAlign w:val="center"/>
          </w:tcPr>
          <w:p>
            <w:pPr>
              <w:pStyle w:val="TableContents"/>
              <w:bidi w:val="0"/>
              <w:spacing w:before="0" w:after="283"/>
              <w:jc w:val="left"/>
              <w:rPr>
                <w:color w:val="2864AF"/>
              </w:rPr>
            </w:pPr>
            <w:r>
              <w:rPr>
                <w:color w:val="2864AF"/>
              </w:rPr>
              <w:t>2024</w:t>
            </w:r>
          </w:p>
        </w:tc>
        <w:tc>
          <w:tcPr>
            <w:tcW w:w="60" w:type="dxa"/>
            <w:tcBorders>
              <w:bottom w:val="single" w:sz="2" w:space="0" w:color="3B58A4"/>
            </w:tcBorders>
            <w:vAlign w:val="center"/>
          </w:tcPr>
          <w:p>
            <w:pPr>
              <w:pStyle w:val="TableContents"/>
              <w:bidi w:val="0"/>
              <w:spacing w:before="0" w:after="283"/>
              <w:jc w:val="left"/>
              <w:rPr/>
            </w:pPr>
            <w:r>
              <w:rPr/>
              <w:t> </w:t>
            </w:r>
            <w:bookmarkStart w:id="235" w:name="xdx_983_eecd--AdjToCompAmt_c20240101__20"/>
            <w:bookmarkEnd w:id="235"/>
          </w:p>
        </w:tc>
        <w:tc>
          <w:tcPr>
            <w:tcW w:w="1101" w:type="dxa"/>
            <w:tcBorders>
              <w:bottom w:val="single" w:sz="2" w:space="0" w:color="3B58A4"/>
            </w:tcBorders>
            <w:vAlign w:val="center"/>
          </w:tcPr>
          <w:p>
            <w:pPr>
              <w:pStyle w:val="TableContents"/>
              <w:bidi w:val="0"/>
              <w:spacing w:before="0" w:after="283"/>
              <w:jc w:val="right"/>
              <w:rPr>
                <w:color w:val="231F20"/>
              </w:rPr>
            </w:pPr>
            <w:r>
              <w:rPr>
                <w:color w:val="231F20"/>
              </w:rPr>
              <w:t>0</w:t>
            </w:r>
          </w:p>
        </w:tc>
        <w:tc>
          <w:tcPr>
            <w:tcW w:w="180" w:type="dxa"/>
            <w:tcBorders>
              <w:bottom w:val="single" w:sz="2" w:space="0" w:color="3B58A4"/>
            </w:tcBorders>
            <w:vAlign w:val="center"/>
          </w:tcPr>
          <w:p>
            <w:pPr>
              <w:pStyle w:val="TableContents"/>
              <w:bidi w:val="0"/>
              <w:spacing w:before="0" w:after="283"/>
              <w:jc w:val="left"/>
              <w:rPr/>
            </w:pPr>
            <w:r>
              <w:rPr/>
              <w:t> </w:t>
            </w:r>
            <w:bookmarkStart w:id="236" w:name="xdx_984_eecd--AdjToCompAmt_c20240101__20"/>
            <w:bookmarkEnd w:id="236"/>
          </w:p>
        </w:tc>
        <w:tc>
          <w:tcPr>
            <w:tcW w:w="1303" w:type="dxa"/>
            <w:tcBorders>
              <w:bottom w:val="single" w:sz="2" w:space="0" w:color="3B58A4"/>
            </w:tcBorders>
            <w:vAlign w:val="center"/>
          </w:tcPr>
          <w:p>
            <w:pPr>
              <w:pStyle w:val="TableContents"/>
              <w:bidi w:val="0"/>
              <w:spacing w:before="0" w:after="283"/>
              <w:jc w:val="right"/>
              <w:rPr>
                <w:color w:val="231F20"/>
              </w:rPr>
            </w:pPr>
            <w:r>
              <w:rPr>
                <w:color w:val="231F20"/>
              </w:rPr>
              <w:t>(44,519,224)</w:t>
            </w:r>
          </w:p>
        </w:tc>
        <w:tc>
          <w:tcPr>
            <w:tcW w:w="180" w:type="dxa"/>
            <w:tcBorders>
              <w:bottom w:val="single" w:sz="2" w:space="0" w:color="3B58A4"/>
            </w:tcBorders>
            <w:vAlign w:val="center"/>
          </w:tcPr>
          <w:p>
            <w:pPr>
              <w:pStyle w:val="TableContents"/>
              <w:bidi w:val="0"/>
              <w:spacing w:before="0" w:after="283"/>
              <w:jc w:val="left"/>
              <w:rPr/>
            </w:pPr>
            <w:r>
              <w:rPr/>
              <w:t> </w:t>
            </w:r>
            <w:bookmarkStart w:id="237" w:name="xdx_987_eecd--AdjToCompAmt_c20240101__20"/>
            <w:bookmarkEnd w:id="237"/>
          </w:p>
        </w:tc>
        <w:tc>
          <w:tcPr>
            <w:tcW w:w="1360" w:type="dxa"/>
            <w:tcBorders>
              <w:bottom w:val="single" w:sz="2" w:space="0" w:color="3B58A4"/>
            </w:tcBorders>
            <w:vAlign w:val="center"/>
          </w:tcPr>
          <w:p>
            <w:pPr>
              <w:pStyle w:val="TableContents"/>
              <w:bidi w:val="0"/>
              <w:spacing w:before="0" w:after="283"/>
              <w:jc w:val="right"/>
              <w:rPr>
                <w:color w:val="231F20"/>
              </w:rPr>
            </w:pPr>
            <w:r>
              <w:rPr>
                <w:color w:val="231F20"/>
              </w:rPr>
              <w:t>0</w:t>
            </w:r>
          </w:p>
        </w:tc>
        <w:tc>
          <w:tcPr>
            <w:tcW w:w="180" w:type="dxa"/>
            <w:tcBorders>
              <w:bottom w:val="single" w:sz="2" w:space="0" w:color="3B58A4"/>
            </w:tcBorders>
            <w:vAlign w:val="center"/>
          </w:tcPr>
          <w:p>
            <w:pPr>
              <w:pStyle w:val="TableContents"/>
              <w:bidi w:val="0"/>
              <w:spacing w:before="0" w:after="283"/>
              <w:jc w:val="left"/>
              <w:rPr/>
            </w:pPr>
            <w:r>
              <w:rPr/>
              <w:t> </w:t>
            </w:r>
            <w:bookmarkStart w:id="238" w:name="xdx_987_eecd--AdjToCompAmt_c20240101__20"/>
            <w:bookmarkEnd w:id="238"/>
          </w:p>
        </w:tc>
        <w:tc>
          <w:tcPr>
            <w:tcW w:w="1065" w:type="dxa"/>
            <w:tcBorders>
              <w:bottom w:val="single" w:sz="2" w:space="0" w:color="3B58A4"/>
            </w:tcBorders>
            <w:vAlign w:val="center"/>
          </w:tcPr>
          <w:p>
            <w:pPr>
              <w:pStyle w:val="TableContents"/>
              <w:bidi w:val="0"/>
              <w:spacing w:before="0" w:after="283"/>
              <w:jc w:val="right"/>
              <w:rPr>
                <w:color w:val="231F20"/>
              </w:rPr>
            </w:pPr>
            <w:r>
              <w:rPr>
                <w:color w:val="231F20"/>
              </w:rPr>
              <w:t>0</w:t>
            </w:r>
          </w:p>
        </w:tc>
        <w:tc>
          <w:tcPr>
            <w:tcW w:w="180" w:type="dxa"/>
            <w:tcBorders>
              <w:bottom w:val="single" w:sz="2" w:space="0" w:color="3B58A4"/>
            </w:tcBorders>
            <w:vAlign w:val="center"/>
          </w:tcPr>
          <w:p>
            <w:pPr>
              <w:pStyle w:val="TableContents"/>
              <w:bidi w:val="0"/>
              <w:spacing w:before="0" w:after="283"/>
              <w:jc w:val="left"/>
              <w:rPr/>
            </w:pPr>
            <w:r>
              <w:rPr/>
              <w:t> </w:t>
            </w:r>
            <w:bookmarkStart w:id="239" w:name="xdx_98E_eecd--AdjToCompAmt_c20240101__20"/>
            <w:bookmarkEnd w:id="239"/>
          </w:p>
        </w:tc>
        <w:tc>
          <w:tcPr>
            <w:tcW w:w="1023" w:type="dxa"/>
            <w:tcBorders>
              <w:bottom w:val="single" w:sz="2" w:space="0" w:color="3B58A4"/>
            </w:tcBorders>
            <w:vAlign w:val="center"/>
          </w:tcPr>
          <w:p>
            <w:pPr>
              <w:pStyle w:val="TableContents"/>
              <w:bidi w:val="0"/>
              <w:spacing w:before="0" w:after="283"/>
              <w:jc w:val="right"/>
              <w:rPr>
                <w:color w:val="231F20"/>
              </w:rPr>
            </w:pPr>
            <w:r>
              <w:rPr>
                <w:color w:val="231F20"/>
              </w:rPr>
              <w:t>0</w:t>
            </w:r>
          </w:p>
        </w:tc>
        <w:tc>
          <w:tcPr>
            <w:tcW w:w="180" w:type="dxa"/>
            <w:tcBorders>
              <w:bottom w:val="single" w:sz="2" w:space="0" w:color="3B58A4"/>
            </w:tcBorders>
            <w:vAlign w:val="center"/>
          </w:tcPr>
          <w:p>
            <w:pPr>
              <w:pStyle w:val="TableContents"/>
              <w:bidi w:val="0"/>
              <w:spacing w:before="0" w:after="283"/>
              <w:jc w:val="left"/>
              <w:rPr/>
            </w:pPr>
            <w:r>
              <w:rPr/>
              <w:t> </w:t>
            </w:r>
            <w:bookmarkStart w:id="240" w:name="xdx_98C_eecd--AdjToCompAmt_c20240101__20"/>
            <w:bookmarkEnd w:id="240"/>
          </w:p>
        </w:tc>
        <w:tc>
          <w:tcPr>
            <w:tcW w:w="1153" w:type="dxa"/>
            <w:tcBorders>
              <w:bottom w:val="single" w:sz="2" w:space="0" w:color="3B58A4"/>
            </w:tcBorders>
            <w:vAlign w:val="center"/>
          </w:tcPr>
          <w:p>
            <w:pPr>
              <w:pStyle w:val="TableContents"/>
              <w:bidi w:val="0"/>
              <w:spacing w:before="0" w:after="283"/>
              <w:jc w:val="right"/>
              <w:rPr>
                <w:color w:val="231F20"/>
              </w:rPr>
            </w:pPr>
            <w:r>
              <w:rPr>
                <w:color w:val="231F20"/>
              </w:rPr>
              <w:t>0</w:t>
            </w:r>
          </w:p>
        </w:tc>
        <w:tc>
          <w:tcPr>
            <w:tcW w:w="180" w:type="dxa"/>
            <w:tcBorders>
              <w:bottom w:val="single" w:sz="2" w:space="0" w:color="3B58A4"/>
            </w:tcBorders>
            <w:vAlign w:val="center"/>
          </w:tcPr>
          <w:p>
            <w:pPr>
              <w:pStyle w:val="TableContents"/>
              <w:bidi w:val="0"/>
              <w:spacing w:before="0" w:after="283"/>
              <w:jc w:val="left"/>
              <w:rPr/>
            </w:pPr>
            <w:r>
              <w:rPr/>
              <w:t> </w:t>
            </w:r>
            <w:bookmarkStart w:id="241" w:name="xdx_98A_eecd--AdjToCompAmt_c20240101__20"/>
            <w:bookmarkEnd w:id="241"/>
          </w:p>
        </w:tc>
        <w:tc>
          <w:tcPr>
            <w:tcW w:w="1515" w:type="dxa"/>
            <w:tcBorders>
              <w:bottom w:val="single" w:sz="2" w:space="0" w:color="3B58A4"/>
            </w:tcBorders>
            <w:vAlign w:val="center"/>
          </w:tcPr>
          <w:p>
            <w:pPr>
              <w:pStyle w:val="TableContents"/>
              <w:bidi w:val="0"/>
              <w:spacing w:before="0" w:after="283"/>
              <w:jc w:val="right"/>
              <w:rPr>
                <w:color w:val="231F20"/>
              </w:rPr>
            </w:pPr>
            <w:r>
              <w:rPr>
                <w:color w:val="231F20"/>
              </w:rPr>
              <w:t>(44,519,224)</w:t>
            </w:r>
          </w:p>
        </w:tc>
      </w:tr>
      <w:tr>
        <w:trPr/>
        <w:tc>
          <w:tcPr>
            <w:tcW w:w="5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1" w:type="dxa"/>
            <w:tcBorders/>
            <w:tcMar>
              <w:bottom w:w="0" w:type="dxa"/>
            </w:tcMar>
            <w:vAlign w:val="center"/>
          </w:tcPr>
          <w:p>
            <w:pPr>
              <w:pStyle w:val="TableContents"/>
              <w:bidi w:val="0"/>
              <w:spacing w:before="0" w:after="283"/>
              <w:jc w:val="right"/>
              <w:rPr/>
            </w:pPr>
            <w:r>
              <w:rPr/>
              <w:t> </w:t>
            </w:r>
          </w:p>
        </w:tc>
        <w:tc>
          <w:tcPr>
            <w:tcW w:w="180" w:type="dxa"/>
            <w:tcBorders/>
            <w:tcMar>
              <w:bottom w:w="0" w:type="dxa"/>
            </w:tcMar>
            <w:vAlign w:val="center"/>
          </w:tcPr>
          <w:p>
            <w:pPr>
              <w:pStyle w:val="TableContents"/>
              <w:bidi w:val="0"/>
              <w:spacing w:before="0" w:after="283"/>
              <w:jc w:val="left"/>
              <w:rPr/>
            </w:pPr>
            <w:r>
              <w:rPr/>
              <w:t> </w:t>
            </w:r>
          </w:p>
        </w:tc>
        <w:tc>
          <w:tcPr>
            <w:tcW w:w="1303" w:type="dxa"/>
            <w:tcBorders/>
            <w:tcMar>
              <w:bottom w:w="0" w:type="dxa"/>
            </w:tcMar>
            <w:vAlign w:val="center"/>
          </w:tcPr>
          <w:p>
            <w:pPr>
              <w:pStyle w:val="TableContents"/>
              <w:bidi w:val="0"/>
              <w:spacing w:before="0" w:after="283"/>
              <w:jc w:val="right"/>
              <w:rPr/>
            </w:pPr>
            <w:r>
              <w:rPr/>
              <w:t> </w:t>
            </w:r>
          </w:p>
        </w:tc>
        <w:tc>
          <w:tcPr>
            <w:tcW w:w="180" w:type="dxa"/>
            <w:tcBorders/>
            <w:tcMar>
              <w:bottom w:w="0" w:type="dxa"/>
            </w:tcMar>
            <w:vAlign w:val="center"/>
          </w:tcPr>
          <w:p>
            <w:pPr>
              <w:pStyle w:val="TableContents"/>
              <w:bidi w:val="0"/>
              <w:spacing w:before="0" w:after="283"/>
              <w:jc w:val="left"/>
              <w:rPr/>
            </w:pPr>
            <w:r>
              <w:rPr/>
              <w:t> </w:t>
            </w:r>
          </w:p>
        </w:tc>
        <w:tc>
          <w:tcPr>
            <w:tcW w:w="1360" w:type="dxa"/>
            <w:tcBorders/>
            <w:tcMar>
              <w:bottom w:w="0" w:type="dxa"/>
            </w:tcMar>
            <w:vAlign w:val="center"/>
          </w:tcPr>
          <w:p>
            <w:pPr>
              <w:pStyle w:val="TableContents"/>
              <w:bidi w:val="0"/>
              <w:spacing w:before="0" w:after="283"/>
              <w:jc w:val="right"/>
              <w:rPr/>
            </w:pPr>
            <w:r>
              <w:rPr/>
              <w:t> </w:t>
            </w:r>
          </w:p>
        </w:tc>
        <w:tc>
          <w:tcPr>
            <w:tcW w:w="180" w:type="dxa"/>
            <w:tcBorders/>
            <w:tcMar>
              <w:bottom w:w="0" w:type="dxa"/>
            </w:tcMar>
            <w:vAlign w:val="center"/>
          </w:tcPr>
          <w:p>
            <w:pPr>
              <w:pStyle w:val="TableContents"/>
              <w:bidi w:val="0"/>
              <w:spacing w:before="0" w:after="283"/>
              <w:jc w:val="left"/>
              <w:rPr/>
            </w:pPr>
            <w:r>
              <w:rPr/>
              <w:t> </w:t>
            </w:r>
          </w:p>
        </w:tc>
        <w:tc>
          <w:tcPr>
            <w:tcW w:w="1065" w:type="dxa"/>
            <w:tcBorders/>
            <w:tcMar>
              <w:bottom w:w="0" w:type="dxa"/>
            </w:tcMar>
            <w:vAlign w:val="center"/>
          </w:tcPr>
          <w:p>
            <w:pPr>
              <w:pStyle w:val="TableContents"/>
              <w:bidi w:val="0"/>
              <w:spacing w:before="0" w:after="283"/>
              <w:jc w:val="right"/>
              <w:rPr/>
            </w:pPr>
            <w:r>
              <w:rPr/>
              <w:t> </w:t>
            </w:r>
          </w:p>
        </w:tc>
        <w:tc>
          <w:tcPr>
            <w:tcW w:w="180" w:type="dxa"/>
            <w:tcBorders/>
            <w:tcMar>
              <w:bottom w:w="0" w:type="dxa"/>
            </w:tcMar>
            <w:vAlign w:val="center"/>
          </w:tcPr>
          <w:p>
            <w:pPr>
              <w:pStyle w:val="TableContents"/>
              <w:bidi w:val="0"/>
              <w:spacing w:before="0" w:after="283"/>
              <w:jc w:val="left"/>
              <w:rPr/>
            </w:pPr>
            <w:r>
              <w:rPr/>
              <w:t> </w:t>
            </w:r>
          </w:p>
        </w:tc>
        <w:tc>
          <w:tcPr>
            <w:tcW w:w="1023" w:type="dxa"/>
            <w:tcBorders/>
            <w:tcMar>
              <w:bottom w:w="0" w:type="dxa"/>
            </w:tcMar>
            <w:vAlign w:val="center"/>
          </w:tcPr>
          <w:p>
            <w:pPr>
              <w:pStyle w:val="TableContents"/>
              <w:bidi w:val="0"/>
              <w:spacing w:before="0" w:after="283"/>
              <w:jc w:val="right"/>
              <w:rPr/>
            </w:pPr>
            <w:r>
              <w:rPr/>
              <w:t> </w:t>
            </w:r>
          </w:p>
        </w:tc>
        <w:tc>
          <w:tcPr>
            <w:tcW w:w="180" w:type="dxa"/>
            <w:tcBorders/>
            <w:tcMar>
              <w:bottom w:w="0" w:type="dxa"/>
            </w:tcMar>
            <w:vAlign w:val="center"/>
          </w:tcPr>
          <w:p>
            <w:pPr>
              <w:pStyle w:val="TableContents"/>
              <w:bidi w:val="0"/>
              <w:spacing w:before="0" w:after="283"/>
              <w:jc w:val="left"/>
              <w:rPr/>
            </w:pPr>
            <w:r>
              <w:rPr/>
              <w:t> </w:t>
            </w:r>
          </w:p>
        </w:tc>
        <w:tc>
          <w:tcPr>
            <w:tcW w:w="1153" w:type="dxa"/>
            <w:tcBorders/>
            <w:tcMar>
              <w:bottom w:w="0" w:type="dxa"/>
            </w:tcMar>
            <w:vAlign w:val="center"/>
          </w:tcPr>
          <w:p>
            <w:pPr>
              <w:pStyle w:val="TableContents"/>
              <w:bidi w:val="0"/>
              <w:spacing w:before="0" w:after="283"/>
              <w:jc w:val="right"/>
              <w:rPr/>
            </w:pPr>
            <w:r>
              <w:rPr/>
              <w:t> </w:t>
            </w:r>
          </w:p>
        </w:tc>
        <w:tc>
          <w:tcPr>
            <w:tcW w:w="180" w:type="dxa"/>
            <w:tcBorders/>
            <w:tcMar>
              <w:bottom w:w="0" w:type="dxa"/>
            </w:tcMar>
            <w:vAlign w:val="center"/>
          </w:tcPr>
          <w:p>
            <w:pPr>
              <w:pStyle w:val="TableContents"/>
              <w:bidi w:val="0"/>
              <w:spacing w:before="0" w:after="283"/>
              <w:jc w:val="left"/>
              <w:rPr/>
            </w:pPr>
            <w:r>
              <w:rPr/>
              <w:t> </w:t>
            </w:r>
          </w:p>
        </w:tc>
        <w:tc>
          <w:tcPr>
            <w:tcW w:w="1515" w:type="dxa"/>
            <w:tcBorders/>
            <w:tcMar>
              <w:bottom w:w="0" w:type="dxa"/>
            </w:tcMar>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242" w:name="xdx_30E_zmaJWXRWo7nk"/>
      <w:bookmarkStart w:id="243" w:name="xdx_30E_zmaJWXRWo7nk"/>
      <w:bookmarkEnd w:id="243"/>
    </w:p>
    <w:tbl>
      <w:tblPr>
        <w:tblW w:w="10205" w:type="dxa"/>
        <w:jc w:val="left"/>
        <w:tblInd w:w="0" w:type="dxa"/>
        <w:tblLayout w:type="fixed"/>
        <w:tblCellMar>
          <w:top w:w="0" w:type="dxa"/>
          <w:left w:w="0" w:type="dxa"/>
          <w:bottom w:w="28" w:type="dxa"/>
          <w:right w:w="0" w:type="dxa"/>
        </w:tblCellMar>
      </w:tblPr>
      <w:tblGrid>
        <w:gridCol w:w="515"/>
        <w:gridCol w:w="180"/>
        <w:gridCol w:w="1150"/>
        <w:gridCol w:w="180"/>
        <w:gridCol w:w="1300"/>
        <w:gridCol w:w="180"/>
        <w:gridCol w:w="1135"/>
        <w:gridCol w:w="180"/>
        <w:gridCol w:w="1187"/>
        <w:gridCol w:w="180"/>
        <w:gridCol w:w="1187"/>
        <w:gridCol w:w="180"/>
        <w:gridCol w:w="1208"/>
        <w:gridCol w:w="180"/>
        <w:gridCol w:w="1263"/>
      </w:tblGrid>
      <w:tr>
        <w:trPr/>
        <w:tc>
          <w:tcPr>
            <w:tcW w:w="515" w:type="dxa"/>
            <w:tcBorders>
              <w:bottom w:val="single" w:sz="2" w:space="0" w:color="3B58A4"/>
            </w:tcBorders>
            <w:vAlign w:val="center"/>
          </w:tcPr>
          <w:p>
            <w:pPr>
              <w:pStyle w:val="TableContents"/>
              <w:bidi w:val="0"/>
              <w:spacing w:before="0" w:after="283"/>
              <w:jc w:val="left"/>
              <w:rPr>
                <w:color w:val="2864AF"/>
              </w:rPr>
            </w:pPr>
            <w:r>
              <w:rPr>
                <w:color w:val="2864AF"/>
              </w:rPr>
              <w:t>Year</w:t>
            </w:r>
          </w:p>
        </w:tc>
        <w:tc>
          <w:tcPr>
            <w:tcW w:w="180" w:type="dxa"/>
            <w:tcBorders>
              <w:bottom w:val="single" w:sz="2" w:space="0" w:color="3B58A4"/>
            </w:tcBorders>
            <w:vAlign w:val="center"/>
          </w:tcPr>
          <w:p>
            <w:pPr>
              <w:pStyle w:val="TableContents"/>
              <w:bidi w:val="0"/>
              <w:spacing w:before="0" w:after="283"/>
              <w:jc w:val="left"/>
              <w:rPr/>
            </w:pPr>
            <w:r>
              <w:rPr/>
              <w:t>   </w:t>
            </w:r>
          </w:p>
        </w:tc>
        <w:tc>
          <w:tcPr>
            <w:tcW w:w="1150" w:type="dxa"/>
            <w:tcBorders>
              <w:bottom w:val="single" w:sz="2" w:space="0" w:color="3B58A4"/>
            </w:tcBorders>
            <w:vAlign w:val="center"/>
          </w:tcPr>
          <w:p>
            <w:pPr>
              <w:pStyle w:val="TableContents"/>
              <w:bidi w:val="0"/>
              <w:spacing w:before="0" w:after="283"/>
              <w:jc w:val="right"/>
              <w:rPr/>
            </w:pPr>
            <w:r>
              <w:rPr>
                <w:color w:val="2864AF"/>
              </w:rPr>
              <w:t>Average Year-End</w:t>
            </w:r>
            <w:r>
              <w:rPr/>
              <w:t xml:space="preserve"> </w:t>
              <w:br/>
            </w:r>
            <w:r>
              <w:rPr>
                <w:color w:val="2864AF"/>
              </w:rPr>
              <w:t>Fair Value of Equity</w:t>
            </w:r>
            <w:r>
              <w:rPr/>
              <w:t xml:space="preserve"> </w:t>
              <w:br/>
            </w:r>
            <w:r>
              <w:rPr>
                <w:color w:val="2864AF"/>
              </w:rPr>
              <w:t>Awards Granted</w:t>
            </w:r>
            <w:r>
              <w:rPr/>
              <w:t xml:space="preserve"> </w:t>
              <w:br/>
            </w:r>
            <w:r>
              <w:rPr>
                <w:color w:val="2864AF"/>
              </w:rPr>
              <w:t>During Year</w:t>
            </w:r>
            <w:r>
              <w:rPr/>
              <w:t xml:space="preserve"> </w:t>
              <w:br/>
            </w:r>
            <w:r>
              <w:rPr>
                <w:color w:val="2864AF"/>
              </w:rPr>
              <w:t xml:space="preserve">That Remained </w:t>
            </w:r>
            <w:r>
              <w:rPr/>
              <w:br/>
            </w:r>
            <w:r>
              <w:rPr>
                <w:color w:val="2864AF"/>
              </w:rPr>
              <w:t>Unvested as of</w:t>
            </w:r>
            <w:r>
              <w:rPr/>
              <w:t xml:space="preserve"> </w:t>
              <w:br/>
            </w:r>
            <w:r>
              <w:rPr>
                <w:color w:val="2864AF"/>
              </w:rPr>
              <w:t>Last Day of Year for</w:t>
            </w:r>
            <w:r>
              <w:rPr/>
              <w:t xml:space="preserve"> </w:t>
              <w:br/>
            </w:r>
            <w:r>
              <w:rPr>
                <w:color w:val="2864AF"/>
              </w:rPr>
              <w:t>Non-PEO NEOs ($)</w:t>
            </w:r>
          </w:p>
        </w:tc>
        <w:tc>
          <w:tcPr>
            <w:tcW w:w="180" w:type="dxa"/>
            <w:tcBorders>
              <w:bottom w:val="single" w:sz="2" w:space="0" w:color="3B58A4"/>
            </w:tcBorders>
            <w:vAlign w:val="center"/>
          </w:tcPr>
          <w:p>
            <w:pPr>
              <w:pStyle w:val="TableContents"/>
              <w:bidi w:val="0"/>
              <w:spacing w:before="0" w:after="283"/>
              <w:jc w:val="left"/>
              <w:rPr/>
            </w:pPr>
            <w:r>
              <w:rPr/>
              <w:t>   </w:t>
            </w:r>
          </w:p>
        </w:tc>
        <w:tc>
          <w:tcPr>
            <w:tcW w:w="1300" w:type="dxa"/>
            <w:tcBorders>
              <w:bottom w:val="single" w:sz="2" w:space="0" w:color="3B58A4"/>
            </w:tcBorders>
            <w:vAlign w:val="center"/>
          </w:tcPr>
          <w:p>
            <w:pPr>
              <w:pStyle w:val="TableContents"/>
              <w:bidi w:val="0"/>
              <w:spacing w:before="0" w:after="283"/>
              <w:jc w:val="right"/>
              <w:rPr/>
            </w:pPr>
            <w:r>
              <w:rPr>
                <w:color w:val="2864AF"/>
              </w:rPr>
              <w:t>Average Change</w:t>
            </w:r>
            <w:r>
              <w:rPr/>
              <w:t xml:space="preserve"> </w:t>
              <w:br/>
            </w:r>
            <w:r>
              <w:rPr>
                <w:color w:val="2864AF"/>
              </w:rPr>
              <w:t>in Fair Value from</w:t>
            </w:r>
            <w:r>
              <w:rPr/>
              <w:t xml:space="preserve"> </w:t>
              <w:br/>
            </w:r>
            <w:r>
              <w:rPr>
                <w:color w:val="2864AF"/>
              </w:rPr>
              <w:t>Last Day of Prior</w:t>
            </w:r>
            <w:r>
              <w:rPr/>
              <w:t xml:space="preserve"> </w:t>
              <w:br/>
            </w:r>
            <w:r>
              <w:rPr>
                <w:color w:val="2864AF"/>
              </w:rPr>
              <w:t xml:space="preserve">Year to Last Day of </w:t>
            </w:r>
            <w:r>
              <w:rPr/>
              <w:br/>
            </w:r>
            <w:r>
              <w:rPr>
                <w:color w:val="2864AF"/>
              </w:rPr>
              <w:t>Year of Unvested</w:t>
            </w:r>
            <w:r>
              <w:rPr/>
              <w:t xml:space="preserve"> </w:t>
              <w:br/>
            </w:r>
            <w:r>
              <w:rPr>
                <w:color w:val="2864AF"/>
              </w:rPr>
              <w:t>Equity Awards for</w:t>
            </w:r>
            <w:r>
              <w:rPr/>
              <w:t xml:space="preserve"> </w:t>
              <w:br/>
            </w:r>
            <w:r>
              <w:rPr>
                <w:color w:val="2864AF"/>
              </w:rPr>
              <w:t>Non-PEO NEOs ($)</w:t>
            </w:r>
          </w:p>
        </w:tc>
        <w:tc>
          <w:tcPr>
            <w:tcW w:w="180" w:type="dxa"/>
            <w:tcBorders>
              <w:bottom w:val="single" w:sz="2" w:space="0" w:color="3B58A4"/>
            </w:tcBorders>
            <w:vAlign w:val="center"/>
          </w:tcPr>
          <w:p>
            <w:pPr>
              <w:pStyle w:val="TableContents"/>
              <w:bidi w:val="0"/>
              <w:spacing w:before="0" w:after="283"/>
              <w:jc w:val="left"/>
              <w:rPr/>
            </w:pPr>
            <w:r>
              <w:rPr/>
              <w:t>   </w:t>
            </w:r>
          </w:p>
        </w:tc>
        <w:tc>
          <w:tcPr>
            <w:tcW w:w="1135" w:type="dxa"/>
            <w:tcBorders>
              <w:bottom w:val="single" w:sz="2" w:space="0" w:color="3B58A4"/>
            </w:tcBorders>
            <w:vAlign w:val="center"/>
          </w:tcPr>
          <w:p>
            <w:pPr>
              <w:pStyle w:val="TableContents"/>
              <w:bidi w:val="0"/>
              <w:spacing w:before="0" w:after="283"/>
              <w:jc w:val="right"/>
              <w:rPr/>
            </w:pPr>
            <w:r>
              <w:rPr>
                <w:color w:val="2864AF"/>
              </w:rPr>
              <w:t>Average Vesting-</w:t>
            </w:r>
            <w:r>
              <w:rPr/>
              <w:t xml:space="preserve"> </w:t>
              <w:br/>
            </w:r>
            <w:r>
              <w:rPr>
                <w:color w:val="2864AF"/>
              </w:rPr>
              <w:t>Date Fair Value</w:t>
            </w:r>
            <w:r>
              <w:rPr/>
              <w:t xml:space="preserve"> </w:t>
              <w:br/>
            </w:r>
            <w:r>
              <w:rPr>
                <w:color w:val="2864AF"/>
              </w:rPr>
              <w:t>of Equity Awards</w:t>
            </w:r>
            <w:r>
              <w:rPr/>
              <w:t xml:space="preserve"> </w:t>
              <w:br/>
            </w:r>
            <w:r>
              <w:rPr>
                <w:color w:val="2864AF"/>
              </w:rPr>
              <w:t>Granted During</w:t>
            </w:r>
            <w:r>
              <w:rPr/>
              <w:t xml:space="preserve"> </w:t>
              <w:br/>
            </w:r>
            <w:r>
              <w:rPr>
                <w:color w:val="2864AF"/>
              </w:rPr>
              <w:t>Year that Vested</w:t>
            </w:r>
            <w:r>
              <w:rPr/>
              <w:t xml:space="preserve"> </w:t>
              <w:br/>
            </w:r>
            <w:r>
              <w:rPr>
                <w:color w:val="2864AF"/>
              </w:rPr>
              <w:t>During Year for</w:t>
            </w:r>
            <w:r>
              <w:rPr/>
              <w:t xml:space="preserve"> </w:t>
              <w:br/>
            </w:r>
            <w:r>
              <w:rPr>
                <w:color w:val="2864AF"/>
              </w:rPr>
              <w:t>Non-PEO NEOs ($)</w:t>
            </w:r>
          </w:p>
        </w:tc>
        <w:tc>
          <w:tcPr>
            <w:tcW w:w="180" w:type="dxa"/>
            <w:tcBorders>
              <w:bottom w:val="single" w:sz="2" w:space="0" w:color="3B58A4"/>
            </w:tcBorders>
            <w:vAlign w:val="center"/>
          </w:tcPr>
          <w:p>
            <w:pPr>
              <w:pStyle w:val="TableContents"/>
              <w:bidi w:val="0"/>
              <w:spacing w:before="0" w:after="283"/>
              <w:jc w:val="left"/>
              <w:rPr/>
            </w:pPr>
            <w:r>
              <w:rPr/>
              <w:t>   </w:t>
            </w:r>
          </w:p>
        </w:tc>
        <w:tc>
          <w:tcPr>
            <w:tcW w:w="1187" w:type="dxa"/>
            <w:tcBorders>
              <w:bottom w:val="single" w:sz="2" w:space="0" w:color="3B58A4"/>
            </w:tcBorders>
            <w:vAlign w:val="center"/>
          </w:tcPr>
          <w:p>
            <w:pPr>
              <w:pStyle w:val="TableContents"/>
              <w:bidi w:val="0"/>
              <w:spacing w:before="0" w:after="283"/>
              <w:jc w:val="right"/>
              <w:rPr/>
            </w:pPr>
            <w:r>
              <w:rPr>
                <w:color w:val="2864AF"/>
              </w:rPr>
              <w:t>Average Change</w:t>
            </w:r>
            <w:r>
              <w:rPr/>
              <w:t xml:space="preserve"> </w:t>
              <w:br/>
            </w:r>
            <w:r>
              <w:rPr>
                <w:color w:val="2864AF"/>
              </w:rPr>
              <w:t>in Fair Value from</w:t>
            </w:r>
            <w:r>
              <w:rPr/>
              <w:t xml:space="preserve"> </w:t>
              <w:br/>
            </w:r>
            <w:r>
              <w:rPr>
                <w:color w:val="2864AF"/>
              </w:rPr>
              <w:t>Last Day of Prior</w:t>
            </w:r>
            <w:r>
              <w:rPr/>
              <w:t xml:space="preserve"> </w:t>
              <w:br/>
            </w:r>
            <w:r>
              <w:rPr>
                <w:color w:val="2864AF"/>
              </w:rPr>
              <w:t>Year to Vesting</w:t>
            </w:r>
            <w:r>
              <w:rPr/>
              <w:t xml:space="preserve"> </w:t>
              <w:br/>
            </w:r>
            <w:r>
              <w:rPr>
                <w:color w:val="2864AF"/>
              </w:rPr>
              <w:t>Date of Unvested</w:t>
            </w:r>
            <w:r>
              <w:rPr/>
              <w:t xml:space="preserve"> </w:t>
              <w:br/>
            </w:r>
            <w:r>
              <w:rPr>
                <w:color w:val="2864AF"/>
              </w:rPr>
              <w:t>Equity Awards</w:t>
            </w:r>
            <w:r>
              <w:rPr/>
              <w:t xml:space="preserve"> </w:t>
              <w:br/>
            </w:r>
            <w:r>
              <w:rPr>
                <w:color w:val="2864AF"/>
              </w:rPr>
              <w:t>that Vested During</w:t>
            </w:r>
            <w:r>
              <w:rPr/>
              <w:t xml:space="preserve"> </w:t>
              <w:br/>
            </w:r>
            <w:r>
              <w:rPr>
                <w:color w:val="2864AF"/>
              </w:rPr>
              <w:t>Year for Non-PEO</w:t>
            </w:r>
            <w:r>
              <w:rPr/>
              <w:t xml:space="preserve"> </w:t>
              <w:br/>
            </w:r>
            <w:r>
              <w:rPr>
                <w:color w:val="2864AF"/>
              </w:rPr>
              <w:t>NEOs ($)</w:t>
            </w:r>
          </w:p>
        </w:tc>
        <w:tc>
          <w:tcPr>
            <w:tcW w:w="180" w:type="dxa"/>
            <w:tcBorders>
              <w:bottom w:val="single" w:sz="2" w:space="0" w:color="3B58A4"/>
            </w:tcBorders>
            <w:vAlign w:val="center"/>
          </w:tcPr>
          <w:p>
            <w:pPr>
              <w:pStyle w:val="TableContents"/>
              <w:bidi w:val="0"/>
              <w:spacing w:before="0" w:after="283"/>
              <w:jc w:val="left"/>
              <w:rPr/>
            </w:pPr>
            <w:r>
              <w:rPr/>
              <w:t>   </w:t>
            </w:r>
          </w:p>
        </w:tc>
        <w:tc>
          <w:tcPr>
            <w:tcW w:w="1187" w:type="dxa"/>
            <w:tcBorders>
              <w:bottom w:val="single" w:sz="2" w:space="0" w:color="3B58A4"/>
            </w:tcBorders>
            <w:vAlign w:val="center"/>
          </w:tcPr>
          <w:p>
            <w:pPr>
              <w:pStyle w:val="TableContents"/>
              <w:bidi w:val="0"/>
              <w:spacing w:before="0" w:after="283"/>
              <w:jc w:val="right"/>
              <w:rPr/>
            </w:pPr>
            <w:r>
              <w:rPr>
                <w:color w:val="2864AF"/>
              </w:rPr>
              <w:t>Average Fair</w:t>
            </w:r>
            <w:r>
              <w:rPr/>
              <w:t xml:space="preserve"> </w:t>
              <w:br/>
            </w:r>
            <w:r>
              <w:rPr>
                <w:color w:val="2864AF"/>
              </w:rPr>
              <w:t>Value at Last Day</w:t>
            </w:r>
            <w:r>
              <w:rPr/>
              <w:t xml:space="preserve"> </w:t>
              <w:br/>
            </w:r>
            <w:r>
              <w:rPr>
                <w:color w:val="2864AF"/>
              </w:rPr>
              <w:t>of Prior Year of</w:t>
            </w:r>
            <w:r>
              <w:rPr/>
              <w:t xml:space="preserve"> </w:t>
              <w:br/>
            </w:r>
            <w:r>
              <w:rPr>
                <w:color w:val="2864AF"/>
              </w:rPr>
              <w:t>Equity Awards</w:t>
            </w:r>
            <w:r>
              <w:rPr/>
              <w:t xml:space="preserve"> </w:t>
              <w:br/>
            </w:r>
            <w:r>
              <w:rPr>
                <w:color w:val="2864AF"/>
              </w:rPr>
              <w:t>Forfeited During</w:t>
            </w:r>
            <w:r>
              <w:rPr/>
              <w:t xml:space="preserve"> </w:t>
              <w:br/>
            </w:r>
            <w:r>
              <w:rPr>
                <w:color w:val="2864AF"/>
              </w:rPr>
              <w:t>Year for Non-PEO</w:t>
            </w:r>
            <w:r>
              <w:rPr/>
              <w:t xml:space="preserve"> </w:t>
              <w:br/>
            </w:r>
            <w:r>
              <w:rPr>
                <w:color w:val="2864AF"/>
              </w:rPr>
              <w:t>NEOs ($)</w:t>
            </w:r>
          </w:p>
        </w:tc>
        <w:tc>
          <w:tcPr>
            <w:tcW w:w="180" w:type="dxa"/>
            <w:tcBorders>
              <w:bottom w:val="single" w:sz="2" w:space="0" w:color="3B58A4"/>
            </w:tcBorders>
            <w:vAlign w:val="center"/>
          </w:tcPr>
          <w:p>
            <w:pPr>
              <w:pStyle w:val="TableContents"/>
              <w:bidi w:val="0"/>
              <w:spacing w:before="0" w:after="283"/>
              <w:jc w:val="left"/>
              <w:rPr/>
            </w:pPr>
            <w:r>
              <w:rPr/>
              <w:t>   </w:t>
            </w:r>
          </w:p>
        </w:tc>
        <w:tc>
          <w:tcPr>
            <w:tcW w:w="1208" w:type="dxa"/>
            <w:tcBorders>
              <w:bottom w:val="single" w:sz="2" w:space="0" w:color="3B58A4"/>
            </w:tcBorders>
            <w:vAlign w:val="center"/>
          </w:tcPr>
          <w:p>
            <w:pPr>
              <w:pStyle w:val="TableContents"/>
              <w:bidi w:val="0"/>
              <w:spacing w:before="0" w:after="283"/>
              <w:jc w:val="right"/>
              <w:rPr/>
            </w:pPr>
            <w:r>
              <w:rPr>
                <w:color w:val="2864AF"/>
              </w:rPr>
              <w:t>Average Value</w:t>
            </w:r>
            <w:r>
              <w:rPr/>
              <w:t xml:space="preserve"> </w:t>
              <w:br/>
            </w:r>
            <w:r>
              <w:rPr>
                <w:color w:val="2864AF"/>
              </w:rPr>
              <w:t>of Dividends or</w:t>
            </w:r>
            <w:r>
              <w:rPr/>
              <w:t xml:space="preserve"> </w:t>
              <w:br/>
            </w:r>
            <w:r>
              <w:rPr>
                <w:color w:val="2864AF"/>
              </w:rPr>
              <w:t>Other Earnings</w:t>
            </w:r>
            <w:r>
              <w:rPr/>
              <w:t xml:space="preserve"> </w:t>
              <w:br/>
            </w:r>
            <w:r>
              <w:rPr>
                <w:color w:val="2864AF"/>
              </w:rPr>
              <w:t>Paid on Stock or</w:t>
            </w:r>
            <w:r>
              <w:rPr/>
              <w:t xml:space="preserve"> </w:t>
              <w:br/>
            </w:r>
            <w:r>
              <w:rPr>
                <w:color w:val="2864AF"/>
              </w:rPr>
              <w:t>Option Awards</w:t>
            </w:r>
            <w:r>
              <w:rPr/>
              <w:t xml:space="preserve"> </w:t>
              <w:br/>
            </w:r>
            <w:r>
              <w:rPr>
                <w:color w:val="2864AF"/>
              </w:rPr>
              <w:t>Not  Otherwise</w:t>
            </w:r>
            <w:r>
              <w:rPr/>
              <w:t xml:space="preserve"> </w:t>
              <w:br/>
            </w:r>
            <w:r>
              <w:rPr>
                <w:color w:val="2864AF"/>
              </w:rPr>
              <w:t>Included for</w:t>
            </w:r>
            <w:r>
              <w:rPr/>
              <w:t xml:space="preserve"> </w:t>
              <w:br/>
            </w:r>
            <w:r>
              <w:rPr>
                <w:color w:val="2864AF"/>
              </w:rPr>
              <w:t>Non- PEO NEOs ($)</w:t>
            </w:r>
          </w:p>
        </w:tc>
        <w:tc>
          <w:tcPr>
            <w:tcW w:w="180" w:type="dxa"/>
            <w:tcBorders>
              <w:bottom w:val="single" w:sz="2" w:space="0" w:color="3B58A4"/>
            </w:tcBorders>
            <w:vAlign w:val="center"/>
          </w:tcPr>
          <w:p>
            <w:pPr>
              <w:pStyle w:val="TableContents"/>
              <w:bidi w:val="0"/>
              <w:spacing w:before="0" w:after="283"/>
              <w:jc w:val="left"/>
              <w:rPr/>
            </w:pPr>
            <w:r>
              <w:rPr/>
              <w:t>   </w:t>
            </w:r>
          </w:p>
        </w:tc>
        <w:tc>
          <w:tcPr>
            <w:tcW w:w="1263" w:type="dxa"/>
            <w:tcBorders>
              <w:bottom w:val="single" w:sz="2" w:space="0" w:color="3B58A4"/>
            </w:tcBorders>
            <w:vAlign w:val="center"/>
          </w:tcPr>
          <w:p>
            <w:pPr>
              <w:pStyle w:val="TableContents"/>
              <w:bidi w:val="0"/>
              <w:spacing w:before="0" w:after="283"/>
              <w:jc w:val="right"/>
              <w:rPr/>
            </w:pPr>
            <w:r>
              <w:rPr>
                <w:color w:val="2864AF"/>
              </w:rPr>
              <w:t>Total—Average</w:t>
            </w:r>
            <w:r>
              <w:rPr/>
              <w:t xml:space="preserve"> </w:t>
              <w:br/>
            </w:r>
            <w:r>
              <w:rPr>
                <w:color w:val="2864AF"/>
              </w:rPr>
              <w:t>Inclusion of</w:t>
            </w:r>
            <w:r>
              <w:rPr/>
              <w:t xml:space="preserve"> </w:t>
              <w:br/>
            </w:r>
            <w:r>
              <w:rPr>
                <w:color w:val="2864AF"/>
              </w:rPr>
              <w:t>Equity Values</w:t>
            </w:r>
            <w:r>
              <w:rPr/>
              <w:t xml:space="preserve"> </w:t>
              <w:br/>
            </w:r>
            <w:r>
              <w:rPr>
                <w:color w:val="2864AF"/>
              </w:rPr>
              <w:t>for Non-PEO</w:t>
            </w:r>
            <w:r>
              <w:rPr/>
              <w:t xml:space="preserve"> </w:t>
              <w:br/>
            </w:r>
            <w:r>
              <w:rPr>
                <w:color w:val="2864AF"/>
              </w:rPr>
              <w:t>NEOs ($)</w:t>
            </w:r>
          </w:p>
        </w:tc>
      </w:tr>
      <w:tr>
        <w:trPr/>
        <w:tc>
          <w:tcPr>
            <w:tcW w:w="515" w:type="dxa"/>
            <w:tcBorders>
              <w:bottom w:val="single" w:sz="2" w:space="0" w:color="3B58A4"/>
            </w:tcBorders>
            <w:vAlign w:val="center"/>
          </w:tcPr>
          <w:p>
            <w:pPr>
              <w:pStyle w:val="TableContents"/>
              <w:bidi w:val="0"/>
              <w:spacing w:before="0" w:after="283"/>
              <w:jc w:val="left"/>
              <w:rPr>
                <w:color w:val="2864AF"/>
              </w:rPr>
            </w:pPr>
            <w:r>
              <w:rPr>
                <w:color w:val="2864AF"/>
              </w:rPr>
              <w:t>2024</w:t>
            </w:r>
          </w:p>
        </w:tc>
        <w:tc>
          <w:tcPr>
            <w:tcW w:w="180" w:type="dxa"/>
            <w:tcBorders>
              <w:bottom w:val="single" w:sz="2" w:space="0" w:color="3B58A4"/>
            </w:tcBorders>
            <w:vAlign w:val="center"/>
          </w:tcPr>
          <w:p>
            <w:pPr>
              <w:pStyle w:val="TableContents"/>
              <w:bidi w:val="0"/>
              <w:spacing w:before="0" w:after="283"/>
              <w:jc w:val="left"/>
              <w:rPr/>
            </w:pPr>
            <w:r>
              <w:rPr/>
              <w:t> </w:t>
            </w:r>
            <w:bookmarkStart w:id="244" w:name="xdx_984_eecd--AdjToCompAmt_c20240101__20"/>
            <w:bookmarkEnd w:id="244"/>
          </w:p>
        </w:tc>
        <w:tc>
          <w:tcPr>
            <w:tcW w:w="1150" w:type="dxa"/>
            <w:tcBorders>
              <w:bottom w:val="single" w:sz="2" w:space="0" w:color="3B58A4"/>
            </w:tcBorders>
            <w:vAlign w:val="center"/>
          </w:tcPr>
          <w:p>
            <w:pPr>
              <w:pStyle w:val="TableContents"/>
              <w:bidi w:val="0"/>
              <w:spacing w:before="0" w:after="283"/>
              <w:jc w:val="right"/>
              <w:rPr>
                <w:color w:val="231F20"/>
              </w:rPr>
            </w:pPr>
            <w:r>
              <w:rPr>
                <w:color w:val="231F20"/>
              </w:rPr>
              <w:t>3,264,990</w:t>
            </w:r>
          </w:p>
        </w:tc>
        <w:tc>
          <w:tcPr>
            <w:tcW w:w="180" w:type="dxa"/>
            <w:tcBorders>
              <w:bottom w:val="single" w:sz="2" w:space="0" w:color="3B58A4"/>
            </w:tcBorders>
            <w:vAlign w:val="center"/>
          </w:tcPr>
          <w:p>
            <w:pPr>
              <w:pStyle w:val="TableContents"/>
              <w:bidi w:val="0"/>
              <w:spacing w:before="0" w:after="283"/>
              <w:jc w:val="left"/>
              <w:rPr/>
            </w:pPr>
            <w:r>
              <w:rPr/>
              <w:t> </w:t>
            </w:r>
            <w:bookmarkStart w:id="245" w:name="xdx_987_eecd--AdjToCompAmt_c20240101__20"/>
            <w:bookmarkEnd w:id="245"/>
          </w:p>
        </w:tc>
        <w:tc>
          <w:tcPr>
            <w:tcW w:w="1300" w:type="dxa"/>
            <w:tcBorders>
              <w:bottom w:val="single" w:sz="2" w:space="0" w:color="3B58A4"/>
            </w:tcBorders>
            <w:vAlign w:val="center"/>
          </w:tcPr>
          <w:p>
            <w:pPr>
              <w:pStyle w:val="TableContents"/>
              <w:bidi w:val="0"/>
              <w:spacing w:before="0" w:after="283"/>
              <w:jc w:val="right"/>
              <w:rPr>
                <w:color w:val="231F20"/>
              </w:rPr>
            </w:pPr>
            <w:r>
              <w:rPr>
                <w:color w:val="231F20"/>
              </w:rPr>
              <w:t>(11,592,995)</w:t>
            </w:r>
          </w:p>
        </w:tc>
        <w:tc>
          <w:tcPr>
            <w:tcW w:w="180" w:type="dxa"/>
            <w:tcBorders>
              <w:bottom w:val="single" w:sz="2" w:space="0" w:color="3B58A4"/>
            </w:tcBorders>
            <w:vAlign w:val="center"/>
          </w:tcPr>
          <w:p>
            <w:pPr>
              <w:pStyle w:val="TableContents"/>
              <w:bidi w:val="0"/>
              <w:spacing w:before="0" w:after="283"/>
              <w:jc w:val="left"/>
              <w:rPr/>
            </w:pPr>
            <w:r>
              <w:rPr/>
              <w:t> </w:t>
            </w:r>
            <w:bookmarkStart w:id="246" w:name="xdx_98B_eecd--AdjToCompAmt_c20240101__20"/>
            <w:bookmarkEnd w:id="246"/>
          </w:p>
        </w:tc>
        <w:tc>
          <w:tcPr>
            <w:tcW w:w="1135" w:type="dxa"/>
            <w:tcBorders>
              <w:bottom w:val="single" w:sz="2" w:space="0" w:color="3B58A4"/>
            </w:tcBorders>
            <w:vAlign w:val="center"/>
          </w:tcPr>
          <w:p>
            <w:pPr>
              <w:pStyle w:val="TableContents"/>
              <w:bidi w:val="0"/>
              <w:spacing w:before="0" w:after="283"/>
              <w:jc w:val="right"/>
              <w:rPr>
                <w:color w:val="231F20"/>
              </w:rPr>
            </w:pPr>
            <w:r>
              <w:rPr>
                <w:color w:val="231F20"/>
              </w:rPr>
              <w:t>0</w:t>
            </w:r>
          </w:p>
        </w:tc>
        <w:tc>
          <w:tcPr>
            <w:tcW w:w="180" w:type="dxa"/>
            <w:tcBorders>
              <w:bottom w:val="single" w:sz="2" w:space="0" w:color="3B58A4"/>
            </w:tcBorders>
            <w:vAlign w:val="center"/>
          </w:tcPr>
          <w:p>
            <w:pPr>
              <w:pStyle w:val="TableContents"/>
              <w:bidi w:val="0"/>
              <w:spacing w:before="0" w:after="283"/>
              <w:jc w:val="left"/>
              <w:rPr/>
            </w:pPr>
            <w:r>
              <w:rPr/>
              <w:t> </w:t>
            </w:r>
            <w:bookmarkStart w:id="247" w:name="xdx_98C_eecd--AdjToCompAmt_c20240101__20"/>
            <w:bookmarkEnd w:id="247"/>
          </w:p>
        </w:tc>
        <w:tc>
          <w:tcPr>
            <w:tcW w:w="1187" w:type="dxa"/>
            <w:tcBorders>
              <w:bottom w:val="single" w:sz="2" w:space="0" w:color="3B58A4"/>
            </w:tcBorders>
            <w:vAlign w:val="center"/>
          </w:tcPr>
          <w:p>
            <w:pPr>
              <w:pStyle w:val="TableContents"/>
              <w:bidi w:val="0"/>
              <w:spacing w:before="0" w:after="283"/>
              <w:jc w:val="right"/>
              <w:rPr>
                <w:color w:val="231F20"/>
              </w:rPr>
            </w:pPr>
            <w:r>
              <w:rPr>
                <w:color w:val="231F20"/>
              </w:rPr>
              <w:t>(1,537,430)</w:t>
            </w:r>
          </w:p>
        </w:tc>
        <w:tc>
          <w:tcPr>
            <w:tcW w:w="180" w:type="dxa"/>
            <w:tcBorders>
              <w:bottom w:val="single" w:sz="2" w:space="0" w:color="3B58A4"/>
            </w:tcBorders>
            <w:vAlign w:val="center"/>
          </w:tcPr>
          <w:p>
            <w:pPr>
              <w:pStyle w:val="TableContents"/>
              <w:bidi w:val="0"/>
              <w:spacing w:before="0" w:after="283"/>
              <w:jc w:val="left"/>
              <w:rPr/>
            </w:pPr>
            <w:r>
              <w:rPr/>
              <w:t> </w:t>
            </w:r>
            <w:bookmarkStart w:id="248" w:name="xdx_985_eecd--AdjToCompAmt_c20240101__20"/>
            <w:bookmarkEnd w:id="248"/>
          </w:p>
        </w:tc>
        <w:tc>
          <w:tcPr>
            <w:tcW w:w="1187" w:type="dxa"/>
            <w:tcBorders>
              <w:bottom w:val="single" w:sz="2" w:space="0" w:color="3B58A4"/>
            </w:tcBorders>
            <w:vAlign w:val="center"/>
          </w:tcPr>
          <w:p>
            <w:pPr>
              <w:pStyle w:val="TableContents"/>
              <w:bidi w:val="0"/>
              <w:spacing w:before="0" w:after="283"/>
              <w:jc w:val="right"/>
              <w:rPr>
                <w:color w:val="231F20"/>
              </w:rPr>
            </w:pPr>
            <w:r>
              <w:rPr>
                <w:color w:val="231F20"/>
              </w:rPr>
              <w:t>(1,661,767)</w:t>
            </w:r>
          </w:p>
        </w:tc>
        <w:tc>
          <w:tcPr>
            <w:tcW w:w="180" w:type="dxa"/>
            <w:tcBorders>
              <w:bottom w:val="single" w:sz="2" w:space="0" w:color="3B58A4"/>
            </w:tcBorders>
            <w:vAlign w:val="center"/>
          </w:tcPr>
          <w:p>
            <w:pPr>
              <w:pStyle w:val="TableContents"/>
              <w:bidi w:val="0"/>
              <w:spacing w:before="0" w:after="283"/>
              <w:jc w:val="left"/>
              <w:rPr/>
            </w:pPr>
            <w:r>
              <w:rPr/>
              <w:t> </w:t>
            </w:r>
            <w:bookmarkStart w:id="249" w:name="xdx_982_eecd--AdjToCompAmt_c20240101__20"/>
            <w:bookmarkEnd w:id="249"/>
          </w:p>
        </w:tc>
        <w:tc>
          <w:tcPr>
            <w:tcW w:w="1208" w:type="dxa"/>
            <w:tcBorders>
              <w:bottom w:val="single" w:sz="2" w:space="0" w:color="3B58A4"/>
            </w:tcBorders>
            <w:vAlign w:val="center"/>
          </w:tcPr>
          <w:p>
            <w:pPr>
              <w:pStyle w:val="TableContents"/>
              <w:bidi w:val="0"/>
              <w:spacing w:before="0" w:after="283"/>
              <w:jc w:val="right"/>
              <w:rPr>
                <w:color w:val="231F20"/>
              </w:rPr>
            </w:pPr>
            <w:r>
              <w:rPr>
                <w:color w:val="231F20"/>
              </w:rPr>
              <w:t>0</w:t>
            </w:r>
          </w:p>
        </w:tc>
        <w:tc>
          <w:tcPr>
            <w:tcW w:w="180" w:type="dxa"/>
            <w:tcBorders>
              <w:bottom w:val="single" w:sz="2" w:space="0" w:color="3B58A4"/>
            </w:tcBorders>
            <w:vAlign w:val="center"/>
          </w:tcPr>
          <w:p>
            <w:pPr>
              <w:pStyle w:val="TableContents"/>
              <w:bidi w:val="0"/>
              <w:spacing w:before="0" w:after="283"/>
              <w:jc w:val="left"/>
              <w:rPr/>
            </w:pPr>
            <w:r>
              <w:rPr/>
              <w:t> </w:t>
            </w:r>
            <w:bookmarkStart w:id="250" w:name="xdx_98B_eecd--AdjToCompAmt_c20240101__20"/>
            <w:bookmarkEnd w:id="250"/>
          </w:p>
        </w:tc>
        <w:tc>
          <w:tcPr>
            <w:tcW w:w="1263" w:type="dxa"/>
            <w:tcBorders>
              <w:bottom w:val="single" w:sz="2" w:space="0" w:color="3B58A4"/>
            </w:tcBorders>
            <w:vAlign w:val="center"/>
          </w:tcPr>
          <w:p>
            <w:pPr>
              <w:pStyle w:val="TableContents"/>
              <w:bidi w:val="0"/>
              <w:spacing w:before="0" w:after="283"/>
              <w:jc w:val="right"/>
              <w:rPr>
                <w:color w:val="231F20"/>
              </w:rPr>
            </w:pPr>
            <w:r>
              <w:rPr>
                <w:color w:val="231F20"/>
              </w:rPr>
              <w:t>(11,527,202)</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251" w:name="xdx_843_eecd--PeerGroupIssuersFnTextBloc"/>
      <w:bookmarkStart w:id="252" w:name="xdx_843_eecd--PeerGroupIssuersFnTextBloc"/>
      <w:bookmarkEnd w:id="252"/>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10065" w:type="dxa"/>
            <w:tcBorders/>
            <w:vAlign w:val="center"/>
          </w:tcPr>
          <w:p>
            <w:pPr>
              <w:pStyle w:val="TableContents"/>
              <w:bidi w:val="0"/>
              <w:spacing w:before="0" w:after="283"/>
              <w:jc w:val="left"/>
              <w:rPr>
                <w:color w:val="231F20"/>
              </w:rPr>
            </w:pPr>
            <w:r>
              <w:rPr>
                <w:color w:val="231F20"/>
              </w:rPr>
              <w:t>The Peer Group TSR shown in this table utilizes the NASDAQ US Benchmark Pharmaceuticals Total Return Index (“NQ US Pharma Index”), which we also utilized in the stock performance graph required by Item 201(e) of Regulation S-K included in our Annual Reports on Form 10-K for the years reflected in the table above. The comparison assumes $100 was invested for the period starting December 31, 2019 through December 31 of the applicable fiscal year in each of the Company’s common stock and the NQ US Pharma Index. All dollar values assume reinvestment of the pre-tax value of dividends paid by companies included in the NQ US Pharma Index. The historical stock price performance of our common stock shown is not necessarily indicative of future stock price performance.</w:t>
            </w:r>
          </w:p>
        </w:tc>
      </w:tr>
    </w:tbl>
    <w:p>
      <w:pPr>
        <w:pStyle w:val="TextBody"/>
        <w:bidi w:val="0"/>
        <w:spacing w:before="0" w:after="283"/>
        <w:jc w:val="left"/>
        <w:rPr/>
      </w:pPr>
      <w:bookmarkStart w:id="253" w:name="xdx_85F_zc2nMggROFp8"/>
      <w:bookmarkEnd w:id="253"/>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10065" w:type="dxa"/>
            <w:tcBorders/>
            <w:vAlign w:val="center"/>
          </w:tcPr>
          <w:p>
            <w:pPr>
              <w:pStyle w:val="TableContents"/>
              <w:bidi w:val="0"/>
              <w:spacing w:before="0" w:after="283"/>
              <w:jc w:val="left"/>
              <w:rPr>
                <w:color w:val="231F20"/>
              </w:rPr>
            </w:pPr>
            <w:r>
              <w:rPr>
                <w:color w:val="231F20"/>
              </w:rPr>
              <w:t xml:space="preserve">Pursuant to Item 402(v) of Regulation S-K, we determined our </w:t>
            </w:r>
            <w:bookmarkStart w:id="254" w:name="xdx_90A_eecd--CoSelectedMeasureName_c202"/>
            <w:bookmarkEnd w:id="254"/>
            <w:r>
              <w:rPr>
                <w:color w:val="231F20"/>
              </w:rPr>
              <w:t>stock price to be the most important financial performance measure used to link Company performance to Compensation “Actually Paid” to our NEOs in 2024. This performance measure may not have been the most important financial performance measure for prior years and we may determine a different financial performance measure to be the most important such measure in future years.</w:t>
            </w:r>
          </w:p>
        </w:tc>
      </w:tr>
    </w:tbl>
    <w:p>
      <w:pPr>
        <w:pStyle w:val="TextBody"/>
        <w:bidi w:val="0"/>
        <w:spacing w:before="0" w:after="0"/>
        <w:ind w:left="0" w:right="0" w:hanging="0"/>
        <w:jc w:val="left"/>
        <w:rPr>
          <w:caps w:val="false"/>
          <w:smallCaps w:val="false"/>
          <w:color w:val="2864AF"/>
        </w:rPr>
      </w:pPr>
      <w:bookmarkStart w:id="255" w:name="xdx_81A_zUixaZ2Hb4zj"/>
      <w:bookmarkEnd w:id="255"/>
      <w:r>
        <w:rPr>
          <w:caps w:val="false"/>
          <w:smallCaps w:val="false"/>
          <w:color w:val="2864AF"/>
        </w:rPr>
        <w:t> </w:t>
      </w:r>
    </w:p>
    <w:p>
      <w:pPr>
        <w:pStyle w:val="Heading5"/>
        <w:bidi w:val="0"/>
        <w:spacing w:before="0" w:after="0"/>
        <w:ind w:left="0" w:right="0" w:hanging="0"/>
        <w:jc w:val="left"/>
        <w:rPr>
          <w:rFonts w:ascii="Arial;Helvetica;Sans-Serif" w:hAnsi="Arial;Helvetica;Sans-Serif"/>
          <w:b w:val="false"/>
          <w:i w:val="false"/>
          <w:caps w:val="false"/>
          <w:smallCaps w:val="false"/>
          <w:color w:val="2864AF"/>
          <w:sz w:val="24"/>
        </w:rPr>
      </w:pPr>
      <w:r>
        <w:rPr>
          <w:rFonts w:ascii="Arial;Helvetica;Sans-Serif" w:hAnsi="Arial;Helvetica;Sans-Serif"/>
          <w:b/>
          <w:i w:val="false"/>
          <w:caps w:val="false"/>
          <w:smallCaps w:val="false"/>
          <w:color w:val="2864AF"/>
          <w:sz w:val="24"/>
        </w:rPr>
        <w:t>Description of Relationship Between NEO Compensation “Actually Paid” and Total Shareholder</w:t>
      </w:r>
      <w:r>
        <w:rPr>
          <w:rFonts w:ascii="Arial;Helvetica;Sans-Serif" w:hAnsi="Arial;Helvetica;Sans-Serif"/>
          <w:b w:val="false"/>
          <w:i w:val="false"/>
          <w:caps w:val="false"/>
          <w:smallCaps w:val="false"/>
          <w:color w:val="2864AF"/>
          <w:sz w:val="24"/>
        </w:rPr>
        <w:t xml:space="preserve"> </w:t>
      </w:r>
      <w:r>
        <w:rPr>
          <w:rFonts w:ascii="Arial;Helvetica;Sans-Serif" w:hAnsi="Arial;Helvetica;Sans-Serif"/>
          <w:b/>
          <w:i w:val="false"/>
          <w:caps w:val="false"/>
          <w:smallCaps w:val="false"/>
          <w:color w:val="2864AF"/>
          <w:sz w:val="24"/>
        </w:rPr>
        <w:t>Return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chart sets forth the relationship between Compensation “Actually Paid” to our PEO, the average of Compensation “Actually Paid” to our Non-PEO NEOs, each as set forth in the Table above, and the Company’s cumulative TSR over the five-year period from 2020 through 2024. The following chart also compares the Company’s cumulative TSR over the five-year period from 2020 through 2024 to that of the NQ US Pharma Index over the same time period.</w:t>
      </w:r>
    </w:p>
    <w:p>
      <w:pPr>
        <w:pStyle w:val="TextBody"/>
        <w:bidi w:val="0"/>
        <w:spacing w:before="0" w:after="0"/>
        <w:ind w:left="0" w:right="0" w:hanging="0"/>
        <w:jc w:val="left"/>
        <w:rPr>
          <w:caps w:val="false"/>
          <w:smallCaps w:val="false"/>
          <w:color w:val="231F20"/>
        </w:rPr>
      </w:pPr>
      <w:r>
        <w:rPr>
          <w:caps w:val="false"/>
          <w:smallCaps w:val="false"/>
          <w:color w:val="231F2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Arial;Helvetica;Sans-Serif" w:hAnsi="Arial;Helvetica;Sans-Serif"/>
          <w:b/>
          <w:i w:val="false"/>
          <w:caps w:val="false"/>
          <w:smallCaps w:val="false"/>
          <w:color w:val="2864AF"/>
          <w:sz w:val="18"/>
        </w:rPr>
      </w:pPr>
      <w:r>
        <w:rPr>
          <w:rFonts w:ascii="Arial;Helvetica;Sans-Serif" w:hAnsi="Arial;Helvetica;Sans-Serif"/>
          <w:b/>
          <w:i w:val="false"/>
          <w:caps w:val="false"/>
          <w:smallCaps w:val="false"/>
          <w:color w:val="2864AF"/>
          <w:sz w:val="18"/>
        </w:rPr>
        <w:t>PEO and Average Non-PEO NEO Compensation “Actually Paid” Versus Regeneron TSR and Peer Group TSR, 2020-2024</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jc w:val="center"/>
        <w:rPr>
          <w:caps w:val="false"/>
          <w:smallCaps w:val="false"/>
          <w:color w:val="2864AF"/>
        </w:rPr>
      </w:pPr>
      <w:r>
        <w:rPr>
          <w:caps w:val="false"/>
          <w:smallCaps w:val="false"/>
          <w:color w:val="2864AF"/>
        </w:rPr>
        <w:drawing>
          <wp:inline distT="0" distB="0" distL="0" distR="0">
            <wp:extent cx="5095875" cy="7943850"/>
            <wp:effectExtent l="0" t="0" r="0" b="0"/>
            <wp:docPr id="344"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323" descr=""/>
                    <pic:cNvPicPr>
                      <a:picLocks noChangeAspect="1" noChangeArrowheads="1"/>
                    </pic:cNvPicPr>
                  </pic:nvPicPr>
                  <pic:blipFill>
                    <a:blip r:embed="rId335"/>
                    <a:stretch>
                      <a:fillRect/>
                    </a:stretch>
                  </pic:blipFill>
                  <pic:spPr bwMode="auto">
                    <a:xfrm>
                      <a:off x="0" y="0"/>
                      <a:ext cx="5095875" cy="79438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bookmarkStart w:id="256" w:name="xdx_81B_zJviIcmPpGVc"/>
      <w:bookmarkEnd w:id="256"/>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45"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324" descr=""/>
                          <pic:cNvPicPr>
                            <a:picLocks noChangeAspect="1" noChangeArrowheads="1"/>
                          </pic:cNvPicPr>
                        </pic:nvPicPr>
                        <pic:blipFill>
                          <a:blip r:embed="rId336"/>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5"/>
        <w:bidi w:val="0"/>
        <w:spacing w:before="0" w:after="0"/>
        <w:ind w:left="0" w:right="0" w:hanging="0"/>
        <w:jc w:val="left"/>
        <w:rPr>
          <w:rFonts w:ascii="Arial;Helvetica;Sans-Serif" w:hAnsi="Arial;Helvetica;Sans-Serif"/>
          <w:b/>
          <w:i w:val="false"/>
          <w:caps w:val="false"/>
          <w:smallCaps w:val="false"/>
          <w:color w:val="2864AF"/>
          <w:sz w:val="24"/>
        </w:rPr>
      </w:pPr>
      <w:r>
        <w:rPr>
          <w:rFonts w:ascii="Arial;Helvetica;Sans-Serif" w:hAnsi="Arial;Helvetica;Sans-Serif"/>
          <w:b/>
          <w:i w:val="false"/>
          <w:caps w:val="false"/>
          <w:smallCaps w:val="false"/>
          <w:color w:val="2864AF"/>
          <w:sz w:val="24"/>
        </w:rPr>
        <w:t>Description of Relationship Between NEO Compensation “Actually Paid” and Net Income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chart sets forth the relationship between Compensation “Actually Paid” to our PEO, the average of Compensation “Actually Paid” to our Non-PEO NEOs, and our net income during years 2020 through 2024, each as set</w:t>
      </w:r>
      <w:r>
        <w:rPr>
          <w:rFonts w:ascii="Times New Roman;Times;Serif" w:hAnsi="Times New Roman;Times;Serif"/>
          <w:b w:val="false"/>
          <w:i w:val="false"/>
          <w:caps w:val="false"/>
          <w:smallCaps w:val="false"/>
          <w:color w:val="231F20"/>
          <w:sz w:val="18"/>
        </w:rPr>
        <w:t xml:space="preserve"> </w:t>
      </w:r>
      <w:r>
        <w:rPr>
          <w:rFonts w:ascii="Arial;Helvetica;Sans-Serif" w:hAnsi="Arial;Helvetica;Sans-Serif"/>
          <w:b w:val="false"/>
          <w:i w:val="false"/>
          <w:caps w:val="false"/>
          <w:smallCaps w:val="false"/>
          <w:color w:val="231F20"/>
          <w:sz w:val="18"/>
        </w:rPr>
        <w:t>forth in the table above.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rFonts w:ascii="Arial;Helvetica;Sans-Serif" w:hAnsi="Arial;Helvetica;Sans-Serif"/>
          <w:b/>
          <w:i w:val="false"/>
          <w:caps w:val="false"/>
          <w:smallCaps w:val="false"/>
          <w:color w:val="2864AF"/>
          <w:sz w:val="18"/>
        </w:rPr>
      </w:pPr>
      <w:bookmarkStart w:id="257" w:name="xdx_80B_eecd--CompActuallyPaidVsNetIncom"/>
      <w:bookmarkEnd w:id="257"/>
      <w:r>
        <w:rPr>
          <w:rFonts w:ascii="Arial;Helvetica;Sans-Serif" w:hAnsi="Arial;Helvetica;Sans-Serif"/>
          <w:b/>
          <w:i w:val="false"/>
          <w:caps w:val="false"/>
          <w:smallCaps w:val="false"/>
          <w:color w:val="2864AF"/>
          <w:sz w:val="18"/>
        </w:rPr>
        <w:t>PEO and Average NEO Compensation “Actually Paid” Versus Regeneron Net Income, 2020-2024</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jc w:val="center"/>
        <w:rPr>
          <w:caps w:val="false"/>
          <w:smallCaps w:val="false"/>
          <w:color w:val="2864AF"/>
        </w:rPr>
      </w:pPr>
      <w:r>
        <w:rPr>
          <w:caps w:val="false"/>
          <w:smallCaps w:val="false"/>
          <w:color w:val="2864AF"/>
        </w:rPr>
        <w:drawing>
          <wp:inline distT="0" distB="0" distL="0" distR="0">
            <wp:extent cx="5391150" cy="7572375"/>
            <wp:effectExtent l="0" t="0" r="0" b="0"/>
            <wp:docPr id="346"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325" descr=""/>
                    <pic:cNvPicPr>
                      <a:picLocks noChangeAspect="1" noChangeArrowheads="1"/>
                    </pic:cNvPicPr>
                  </pic:nvPicPr>
                  <pic:blipFill>
                    <a:blip r:embed="rId337"/>
                    <a:stretch>
                      <a:fillRect/>
                    </a:stretch>
                  </pic:blipFill>
                  <pic:spPr bwMode="auto">
                    <a:xfrm>
                      <a:off x="0" y="0"/>
                      <a:ext cx="5391150" cy="7572375"/>
                    </a:xfrm>
                    <a:prstGeom prst="rect">
                      <a:avLst/>
                    </a:prstGeom>
                  </pic:spPr>
                </pic:pic>
              </a:graphicData>
            </a:graphic>
          </wp:inline>
        </w:drawing>
      </w:r>
    </w:p>
    <w:p>
      <w:pPr>
        <w:pStyle w:val="TextBody"/>
        <w:bidi w:val="0"/>
        <w:spacing w:before="0" w:after="0"/>
        <w:ind w:left="0" w:right="0" w:hanging="0"/>
        <w:jc w:val="left"/>
        <w:rPr>
          <w:caps w:val="false"/>
          <w:smallCaps w:val="false"/>
          <w:color w:val="2864AF"/>
        </w:rPr>
      </w:pPr>
      <w:bookmarkStart w:id="258" w:name="xdx_816_zLIWjPQvgo41"/>
      <w:bookmarkEnd w:id="258"/>
      <w:r>
        <w:rPr>
          <w:caps w:val="false"/>
          <w:smallCaps w:val="false"/>
          <w:color w:val="2864AF"/>
        </w:rPr>
        <w:t> </w:t>
      </w:r>
    </w:p>
    <w:p>
      <w:pPr>
        <w:pStyle w:val="Heading5"/>
        <w:bidi w:val="0"/>
        <w:spacing w:before="0" w:after="0"/>
        <w:ind w:left="0" w:right="0" w:hanging="0"/>
        <w:jc w:val="left"/>
        <w:rPr>
          <w:rFonts w:ascii="Arial;Helvetica;Sans-Serif" w:hAnsi="Arial;Helvetica;Sans-Serif"/>
          <w:b/>
          <w:i w:val="false"/>
          <w:caps w:val="false"/>
          <w:smallCaps w:val="false"/>
          <w:color w:val="2864AF"/>
          <w:sz w:val="24"/>
        </w:rPr>
      </w:pPr>
      <w:r>
        <w:rPr>
          <w:rFonts w:ascii="Arial;Helvetica;Sans-Serif" w:hAnsi="Arial;Helvetica;Sans-Serif"/>
          <w:b/>
          <w:i w:val="false"/>
          <w:caps w:val="false"/>
          <w:smallCaps w:val="false"/>
          <w:color w:val="2864AF"/>
          <w:sz w:val="24"/>
        </w:rPr>
        <w:t>Description of Relationship Between NEO Compensation “Actually Paid” and Stock Price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chart sets forth the relationship between Compensation “Actually Paid” to our PEO, the average of Compensation “Actually Paid” to our Non-PEO NEOs, and the closing price of our common stock on the last trading day of years 2020 through 2024, each as set forth in the table above.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jc w:val="center"/>
        <w:rPr>
          <w:rFonts w:ascii="Arial;Helvetica;Sans-Serif" w:hAnsi="Arial;Helvetica;Sans-Serif"/>
          <w:b/>
          <w:i w:val="false"/>
          <w:caps w:val="false"/>
          <w:smallCaps w:val="false"/>
          <w:color w:val="2864AF"/>
          <w:sz w:val="18"/>
        </w:rPr>
      </w:pPr>
      <w:bookmarkStart w:id="259" w:name="xdx_805_eecd--CompActuallyPaidVsCoSelect"/>
      <w:bookmarkEnd w:id="259"/>
      <w:r>
        <w:rPr>
          <w:rFonts w:ascii="Arial;Helvetica;Sans-Serif" w:hAnsi="Arial;Helvetica;Sans-Serif"/>
          <w:b/>
          <w:i w:val="false"/>
          <w:caps w:val="false"/>
          <w:smallCaps w:val="false"/>
          <w:color w:val="2864AF"/>
          <w:sz w:val="18"/>
        </w:rPr>
        <w:t>PEO and Average Non-PEO NEO Compensation “Actually Paid” Versus Regeneron Stock Price, 2020-2024</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spacing w:before="0" w:after="0"/>
        <w:jc w:val="center"/>
        <w:rPr>
          <w:caps w:val="false"/>
          <w:smallCaps w:val="false"/>
          <w:color w:val="2864AF"/>
        </w:rPr>
      </w:pPr>
      <w:r>
        <w:rPr>
          <w:caps w:val="false"/>
          <w:smallCaps w:val="false"/>
          <w:color w:val="2864AF"/>
        </w:rPr>
        <w:drawing>
          <wp:inline distT="0" distB="0" distL="0" distR="0">
            <wp:extent cx="5381625" cy="7896225"/>
            <wp:effectExtent l="0" t="0" r="0" b="0"/>
            <wp:docPr id="347"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326" descr=""/>
                    <pic:cNvPicPr>
                      <a:picLocks noChangeAspect="1" noChangeArrowheads="1"/>
                    </pic:cNvPicPr>
                  </pic:nvPicPr>
                  <pic:blipFill>
                    <a:blip r:embed="rId338"/>
                    <a:stretch>
                      <a:fillRect/>
                    </a:stretch>
                  </pic:blipFill>
                  <pic:spPr bwMode="auto">
                    <a:xfrm>
                      <a:off x="0" y="0"/>
                      <a:ext cx="5381625" cy="7896225"/>
                    </a:xfrm>
                    <a:prstGeom prst="rect">
                      <a:avLst/>
                    </a:prstGeom>
                  </pic:spPr>
                </pic:pic>
              </a:graphicData>
            </a:graphic>
          </wp:inline>
        </w:drawing>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TextBody"/>
        <w:bidi w:val="0"/>
        <w:jc w:val="left"/>
        <w:rPr>
          <w:caps w:val="false"/>
          <w:smallCaps w:val="false"/>
        </w:rPr>
      </w:pPr>
      <w:bookmarkStart w:id="260" w:name="xdx_817_zu1cmvjwdCd3"/>
      <w:bookmarkEnd w:id="260"/>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48"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327" descr=""/>
                          <pic:cNvPicPr>
                            <a:picLocks noChangeAspect="1" noChangeArrowheads="1"/>
                          </pic:cNvPicPr>
                        </pic:nvPicPr>
                        <pic:blipFill>
                          <a:blip r:embed="rId339"/>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5"/>
        <w:bidi w:val="0"/>
        <w:spacing w:before="0" w:after="0"/>
        <w:ind w:left="0" w:right="0" w:hanging="0"/>
        <w:jc w:val="left"/>
        <w:rPr>
          <w:rFonts w:ascii="Arial;Helvetica;Sans-Serif" w:hAnsi="Arial;Helvetica;Sans-Serif"/>
          <w:b/>
          <w:i w:val="false"/>
          <w:caps w:val="false"/>
          <w:smallCaps w:val="false"/>
          <w:color w:val="2864AF"/>
          <w:sz w:val="24"/>
        </w:rPr>
      </w:pPr>
      <w:bookmarkStart w:id="261" w:name="xdx_80C_eecd--TabularListTableTextBlock_"/>
      <w:bookmarkEnd w:id="261"/>
      <w:r>
        <w:rPr>
          <w:rFonts w:ascii="Arial;Helvetica;Sans-Serif" w:hAnsi="Arial;Helvetica;Sans-Serif"/>
          <w:b/>
          <w:i w:val="false"/>
          <w:caps w:val="false"/>
          <w:smallCaps w:val="false"/>
          <w:color w:val="2864AF"/>
          <w:sz w:val="24"/>
        </w:rPr>
        <w:t>2024 Tabular List of Most Important Financial and Non-Financial Performance Measures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presents the financial and non-financial performance measures that the Company considers to have been the most important in linking Compensation “Actually Paid” to our PEO and our Non-PEO NEOs in 2024 to Company performance. The measures in this table are not ranked.</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9295" w:type="dxa"/>
        <w:jc w:val="left"/>
        <w:tblInd w:w="0" w:type="dxa"/>
        <w:tblLayout w:type="fixed"/>
        <w:tblCellMar>
          <w:top w:w="28" w:type="dxa"/>
          <w:left w:w="0" w:type="dxa"/>
          <w:bottom w:w="28" w:type="dxa"/>
          <w:right w:w="0" w:type="dxa"/>
        </w:tblCellMar>
      </w:tblPr>
      <w:tblGrid>
        <w:gridCol w:w="3950"/>
        <w:gridCol w:w="60"/>
        <w:gridCol w:w="5285"/>
      </w:tblGrid>
      <w:tr>
        <w:trPr/>
        <w:tc>
          <w:tcPr>
            <w:tcW w:w="3950" w:type="dxa"/>
            <w:tcBorders>
              <w:top w:val="single" w:sz="12" w:space="0" w:color="3B5AA4"/>
              <w:bottom w:val="single" w:sz="2" w:space="0" w:color="CCCCCC"/>
            </w:tcBorders>
            <w:vAlign w:val="center"/>
          </w:tcPr>
          <w:p>
            <w:pPr>
              <w:pStyle w:val="TableContents"/>
              <w:bidi w:val="0"/>
              <w:spacing w:before="0" w:after="283"/>
              <w:jc w:val="left"/>
              <w:rPr>
                <w:color w:val="231F20"/>
              </w:rPr>
            </w:pPr>
            <w:bookmarkStart w:id="262" w:name="xdx_905_eecd--MeasureName_c20240101__202"/>
            <w:bookmarkEnd w:id="262"/>
            <w:r>
              <w:rPr>
                <w:color w:val="231F20"/>
              </w:rPr>
              <w:t>Stock Price</w:t>
            </w:r>
          </w:p>
        </w:tc>
        <w:tc>
          <w:tcPr>
            <w:tcW w:w="60" w:type="dxa"/>
            <w:tcBorders>
              <w:top w:val="single" w:sz="12" w:space="0" w:color="3B5AA4"/>
              <w:bottom w:val="single" w:sz="2" w:space="0" w:color="CCCCCC"/>
            </w:tcBorders>
            <w:vAlign w:val="center"/>
          </w:tcPr>
          <w:p>
            <w:pPr>
              <w:pStyle w:val="TableContents"/>
              <w:bidi w:val="0"/>
              <w:spacing w:before="0" w:after="283"/>
              <w:jc w:val="left"/>
              <w:rPr/>
            </w:pPr>
            <w:r>
              <w:rPr/>
              <w:t> </w:t>
            </w:r>
          </w:p>
        </w:tc>
        <w:tc>
          <w:tcPr>
            <w:tcW w:w="5285" w:type="dxa"/>
            <w:tcBorders>
              <w:top w:val="single" w:sz="12" w:space="0" w:color="3B5AA4"/>
              <w:bottom w:val="single" w:sz="2" w:space="0" w:color="CCCCCC"/>
            </w:tcBorders>
            <w:vAlign w:val="center"/>
          </w:tcPr>
          <w:p>
            <w:pPr>
              <w:pStyle w:val="TableContents"/>
              <w:bidi w:val="0"/>
              <w:spacing w:before="0" w:after="283"/>
              <w:jc w:val="left"/>
              <w:rPr>
                <w:color w:val="231F20"/>
              </w:rPr>
            </w:pPr>
            <w:bookmarkStart w:id="263" w:name="xdx_905_eecd--MeasureName_c20240101__202"/>
            <w:bookmarkEnd w:id="263"/>
            <w:r>
              <w:rPr>
                <w:color w:val="231F20"/>
              </w:rPr>
              <w:t>Regulatory submissions for new products or indications</w:t>
            </w:r>
          </w:p>
        </w:tc>
      </w:tr>
      <w:tr>
        <w:trPr/>
        <w:tc>
          <w:tcPr>
            <w:tcW w:w="3950" w:type="dxa"/>
            <w:tcBorders>
              <w:bottom w:val="single" w:sz="2" w:space="0" w:color="CCCCCC"/>
            </w:tcBorders>
            <w:shd w:fill="EBEBEC" w:val="clear"/>
            <w:tcMar>
              <w:top w:w="0" w:type="dxa"/>
            </w:tcMar>
            <w:vAlign w:val="center"/>
          </w:tcPr>
          <w:p>
            <w:pPr>
              <w:pStyle w:val="TableContents"/>
              <w:bidi w:val="0"/>
              <w:spacing w:before="0" w:after="283"/>
              <w:jc w:val="left"/>
              <w:rPr>
                <w:color w:val="231F20"/>
              </w:rPr>
            </w:pPr>
            <w:bookmarkStart w:id="264" w:name="xdx_90A_eecd--MeasureName_c20240101__202"/>
            <w:bookmarkEnd w:id="264"/>
            <w:r>
              <w:rPr>
                <w:color w:val="231F20"/>
              </w:rPr>
              <w:t>TSR</w:t>
            </w:r>
          </w:p>
        </w:tc>
        <w:tc>
          <w:tcPr>
            <w:tcW w:w="60" w:type="dxa"/>
            <w:tcBorders>
              <w:bottom w:val="single" w:sz="2" w:space="0" w:color="CCCCCC"/>
            </w:tcBorders>
            <w:shd w:fill="EBEBEC" w:val="clear"/>
            <w:tcMar>
              <w:top w:w="0" w:type="dxa"/>
            </w:tcMar>
            <w:vAlign w:val="center"/>
          </w:tcPr>
          <w:p>
            <w:pPr>
              <w:pStyle w:val="TableContents"/>
              <w:bidi w:val="0"/>
              <w:spacing w:before="0" w:after="283"/>
              <w:jc w:val="left"/>
              <w:rPr/>
            </w:pPr>
            <w:r>
              <w:rPr/>
              <w:t> </w:t>
            </w:r>
          </w:p>
        </w:tc>
        <w:tc>
          <w:tcPr>
            <w:tcW w:w="5285" w:type="dxa"/>
            <w:tcBorders>
              <w:bottom w:val="single" w:sz="2" w:space="0" w:color="CCCCCC"/>
            </w:tcBorders>
            <w:shd w:fill="EBEBEC" w:val="clear"/>
            <w:tcMar>
              <w:top w:w="0" w:type="dxa"/>
            </w:tcMar>
            <w:vAlign w:val="center"/>
          </w:tcPr>
          <w:p>
            <w:pPr>
              <w:pStyle w:val="TableContents"/>
              <w:bidi w:val="0"/>
              <w:spacing w:before="0" w:after="283"/>
              <w:jc w:val="left"/>
              <w:rPr>
                <w:color w:val="231F20"/>
              </w:rPr>
            </w:pPr>
            <w:bookmarkStart w:id="265" w:name="xdx_909_eecd--MeasureName_c20240101__202"/>
            <w:bookmarkEnd w:id="265"/>
            <w:r>
              <w:rPr>
                <w:color w:val="231F20"/>
              </w:rPr>
              <w:t>Positive data readouts</w:t>
            </w:r>
          </w:p>
        </w:tc>
      </w:tr>
      <w:tr>
        <w:trPr/>
        <w:tc>
          <w:tcPr>
            <w:tcW w:w="3950" w:type="dxa"/>
            <w:tcBorders>
              <w:bottom w:val="single" w:sz="2" w:space="0" w:color="CCCCCC"/>
            </w:tcBorders>
            <w:tcMar>
              <w:top w:w="0" w:type="dxa"/>
            </w:tcMar>
            <w:vAlign w:val="center"/>
          </w:tcPr>
          <w:p>
            <w:pPr>
              <w:pStyle w:val="TableContents"/>
              <w:bidi w:val="0"/>
              <w:spacing w:before="0" w:after="283"/>
              <w:jc w:val="left"/>
              <w:rPr>
                <w:color w:val="231F20"/>
              </w:rPr>
            </w:pPr>
            <w:bookmarkStart w:id="266" w:name="xdx_902_eecd--MeasureName_c20240101__202"/>
            <w:bookmarkEnd w:id="266"/>
            <w:r>
              <w:rPr>
                <w:color w:val="231F20"/>
              </w:rPr>
              <w:t>Non-GAAP diluted EPS</w:t>
            </w:r>
          </w:p>
        </w:tc>
        <w:tc>
          <w:tcPr>
            <w:tcW w:w="60" w:type="dxa"/>
            <w:tcBorders>
              <w:bottom w:val="single" w:sz="2" w:space="0" w:color="CCCCCC"/>
            </w:tcBorders>
            <w:tcMar>
              <w:top w:w="0" w:type="dxa"/>
            </w:tcMar>
            <w:vAlign w:val="center"/>
          </w:tcPr>
          <w:p>
            <w:pPr>
              <w:pStyle w:val="TableContents"/>
              <w:bidi w:val="0"/>
              <w:spacing w:before="0" w:after="283"/>
              <w:jc w:val="left"/>
              <w:rPr/>
            </w:pPr>
            <w:r>
              <w:rPr/>
              <w:t> </w:t>
            </w:r>
          </w:p>
        </w:tc>
        <w:tc>
          <w:tcPr>
            <w:tcW w:w="5285" w:type="dxa"/>
            <w:tcBorders>
              <w:bottom w:val="single" w:sz="2" w:space="0" w:color="CCCCCC"/>
            </w:tcBorders>
            <w:tcMar>
              <w:top w:w="0" w:type="dxa"/>
            </w:tcMar>
            <w:vAlign w:val="center"/>
          </w:tcPr>
          <w:p>
            <w:pPr>
              <w:pStyle w:val="TableContents"/>
              <w:bidi w:val="0"/>
              <w:spacing w:before="0" w:after="283"/>
              <w:jc w:val="left"/>
              <w:rPr>
                <w:color w:val="231F20"/>
              </w:rPr>
            </w:pPr>
            <w:bookmarkStart w:id="267" w:name="xdx_909_eecd--MeasureName_c20240101__202"/>
            <w:bookmarkEnd w:id="267"/>
            <w:r>
              <w:rPr>
                <w:color w:val="231F20"/>
              </w:rPr>
              <w:t>New Investigational New Drug Applications</w:t>
            </w:r>
          </w:p>
        </w:tc>
      </w:tr>
      <w:tr>
        <w:trPr/>
        <w:tc>
          <w:tcPr>
            <w:tcW w:w="3950" w:type="dxa"/>
            <w:tcBorders>
              <w:bottom w:val="single" w:sz="2" w:space="0" w:color="3B58A4"/>
            </w:tcBorders>
            <w:shd w:fill="EBEBEC" w:val="clear"/>
            <w:tcMar>
              <w:top w:w="0" w:type="dxa"/>
            </w:tcMar>
            <w:vAlign w:val="center"/>
          </w:tcPr>
          <w:p>
            <w:pPr>
              <w:pStyle w:val="TableContents"/>
              <w:bidi w:val="0"/>
              <w:spacing w:before="0" w:after="283"/>
              <w:jc w:val="left"/>
              <w:rPr>
                <w:color w:val="231F20"/>
              </w:rPr>
            </w:pPr>
            <w:bookmarkStart w:id="268" w:name="xdx_909_eecd--MeasureName_c20240101__202"/>
            <w:bookmarkEnd w:id="268"/>
            <w:r>
              <w:rPr>
                <w:color w:val="231F20"/>
              </w:rPr>
              <w:t>Approvals of new products or indications</w:t>
            </w:r>
          </w:p>
        </w:tc>
        <w:tc>
          <w:tcPr>
            <w:tcW w:w="60" w:type="dxa"/>
            <w:tcBorders>
              <w:bottom w:val="single" w:sz="2" w:space="0" w:color="3B58A4"/>
            </w:tcBorders>
            <w:shd w:fill="EBEBEC" w:val="clear"/>
            <w:tcMar>
              <w:top w:w="0" w:type="dxa"/>
            </w:tcMar>
            <w:vAlign w:val="center"/>
          </w:tcPr>
          <w:p>
            <w:pPr>
              <w:pStyle w:val="TableContents"/>
              <w:bidi w:val="0"/>
              <w:spacing w:before="0" w:after="283"/>
              <w:jc w:val="left"/>
              <w:rPr/>
            </w:pPr>
            <w:r>
              <w:rPr/>
              <w:t> </w:t>
            </w:r>
          </w:p>
        </w:tc>
        <w:tc>
          <w:tcPr>
            <w:tcW w:w="5285" w:type="dxa"/>
            <w:tcBorders>
              <w:bottom w:val="single" w:sz="2" w:space="0" w:color="3B58A4"/>
            </w:tcBorders>
            <w:shd w:fill="EBEBEC" w:val="clear"/>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DB0A67"/>
        </w:rPr>
      </w:pPr>
      <w:bookmarkStart w:id="269" w:name="xdx_815_zyZMDxJMWfGk"/>
      <w:bookmarkEnd w:id="269"/>
      <w:r>
        <w:rPr>
          <w:caps w:val="false"/>
          <w:smallCaps w:val="false"/>
          <w:color w:val="DB0A67"/>
        </w:rPr>
        <w:t> </w:t>
      </w:r>
    </w:p>
    <w:p>
      <w:pPr>
        <w:pStyle w:val="Heading4"/>
        <w:bidi w:val="0"/>
        <w:spacing w:before="0" w:after="0"/>
        <w:ind w:left="0" w:right="0" w:hanging="0"/>
        <w:jc w:val="left"/>
        <w:rPr>
          <w:rFonts w:ascii="Arial;Helvetica;Sans-Serif" w:hAnsi="Arial;Helvetica;Sans-Serif"/>
          <w:b/>
          <w:i w:val="false"/>
          <w:caps w:val="false"/>
          <w:smallCaps w:val="false"/>
          <w:color w:val="C60C45"/>
          <w:sz w:val="28"/>
        </w:rPr>
      </w:pPr>
      <w:bookmarkStart w:id="270" w:name="regn013211-def14aa087"/>
      <w:bookmarkStart w:id="271" w:name="lregnb039"/>
      <w:bookmarkEnd w:id="270"/>
      <w:bookmarkEnd w:id="271"/>
      <w:r>
        <w:rPr>
          <w:rFonts w:ascii="Arial;Helvetica;Sans-Serif" w:hAnsi="Arial;Helvetica;Sans-Serif"/>
          <w:b/>
          <w:i w:val="false"/>
          <w:caps w:val="false"/>
          <w:smallCaps w:val="false"/>
          <w:color w:val="C60C45"/>
          <w:sz w:val="28"/>
        </w:rPr>
        <w:t>Equity Compensation Information</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5"/>
        <w:bidi w:val="0"/>
        <w:spacing w:before="0" w:after="0"/>
        <w:ind w:left="0" w:right="0" w:hanging="0"/>
        <w:jc w:val="left"/>
        <w:rPr>
          <w:rFonts w:ascii="Arial;Helvetica;Sans-Serif" w:hAnsi="Arial;Helvetica;Sans-Serif"/>
          <w:b/>
          <w:i w:val="false"/>
          <w:caps w:val="false"/>
          <w:smallCaps w:val="false"/>
          <w:color w:val="2864AF"/>
          <w:sz w:val="24"/>
        </w:rPr>
      </w:pPr>
      <w:r>
        <w:rPr>
          <w:rFonts w:ascii="Arial;Helvetica;Sans-Serif" w:hAnsi="Arial;Helvetica;Sans-Serif"/>
          <w:b/>
          <w:i w:val="false"/>
          <w:caps w:val="false"/>
          <w:smallCaps w:val="false"/>
          <w:color w:val="2864AF"/>
          <w:sz w:val="24"/>
        </w:rPr>
        <w:t>Corporate Governance Aspects of the Second Amended and Restated Regeneron Pharmaceuticals, Inc. 2014 Long-Term Incentive Plan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Second Amended and Restated Regeneron Pharmaceuticals, Inc. 2014 Long-Term Incentive Plan (referred to in this subsection as the “Plan”) is the only plan currently used by the Company to grant equity awards. The Plan was approved by shareholders and is designed to promote best practices by reinforcing the alignment between equity compensation arrangements for employees and non-employee directors and the interests of shareholders. The provisions that promote such best practices include:</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28" w:type="dxa"/>
          <w:right w:w="0" w:type="dxa"/>
        </w:tblCellMar>
      </w:tblPr>
      <w:tblGrid>
        <w:gridCol w:w="2088"/>
        <w:gridCol w:w="240"/>
        <w:gridCol w:w="7877"/>
      </w:tblGrid>
      <w:tr>
        <w:trPr/>
        <w:tc>
          <w:tcPr>
            <w:tcW w:w="2088" w:type="dxa"/>
            <w:tcBorders>
              <w:bottom w:val="single" w:sz="2" w:space="0" w:color="CCCCCC"/>
            </w:tcBorders>
            <w:vAlign w:val="center"/>
          </w:tcPr>
          <w:p>
            <w:pPr>
              <w:pStyle w:val="TableContents"/>
              <w:bidi w:val="0"/>
              <w:spacing w:before="0" w:after="283"/>
              <w:jc w:val="center"/>
              <w:rPr>
                <w:color w:val="2864AF"/>
              </w:rPr>
            </w:pPr>
            <w:r>
              <w:rPr>
                <w:color w:val="2864AF"/>
              </w:rPr>
              <w:t>Provision</w:t>
            </w:r>
          </w:p>
        </w:tc>
        <w:tc>
          <w:tcPr>
            <w:tcW w:w="240" w:type="dxa"/>
            <w:tcBorders>
              <w:bottom w:val="single" w:sz="2" w:space="0" w:color="CCCCCC"/>
            </w:tcBorders>
            <w:vAlign w:val="center"/>
          </w:tcPr>
          <w:p>
            <w:pPr>
              <w:pStyle w:val="TableContents"/>
              <w:bidi w:val="0"/>
              <w:spacing w:before="0" w:after="283"/>
              <w:jc w:val="center"/>
              <w:rPr/>
            </w:pPr>
            <w:r>
              <w:rPr/>
              <w:t>    </w:t>
            </w:r>
          </w:p>
        </w:tc>
        <w:tc>
          <w:tcPr>
            <w:tcW w:w="7877" w:type="dxa"/>
            <w:tcBorders>
              <w:bottom w:val="single" w:sz="2" w:space="0" w:color="CCCCCC"/>
            </w:tcBorders>
            <w:vAlign w:val="center"/>
          </w:tcPr>
          <w:p>
            <w:pPr>
              <w:pStyle w:val="TableContents"/>
              <w:bidi w:val="0"/>
              <w:spacing w:before="0" w:after="283"/>
              <w:jc w:val="center"/>
              <w:rPr>
                <w:color w:val="2864AF"/>
              </w:rPr>
            </w:pPr>
            <w:r>
              <w:rPr>
                <w:color w:val="2864AF"/>
              </w:rPr>
              <w:t>Description</w:t>
            </w:r>
          </w:p>
        </w:tc>
      </w:tr>
      <w:tr>
        <w:trPr/>
        <w:tc>
          <w:tcPr>
            <w:tcW w:w="2088" w:type="dxa"/>
            <w:tcBorders>
              <w:bottom w:val="single" w:sz="2" w:space="0" w:color="CCCCCC"/>
            </w:tcBorders>
            <w:vAlign w:val="center"/>
          </w:tcPr>
          <w:p>
            <w:pPr>
              <w:pStyle w:val="TableContents"/>
              <w:bidi w:val="0"/>
              <w:spacing w:before="0" w:after="283"/>
              <w:jc w:val="left"/>
              <w:rPr/>
            </w:pPr>
            <w:r>
              <w:rPr>
                <w:color w:val="231F20"/>
              </w:rPr>
              <w:t>No Discounted Stock Options or Stock</w:t>
            </w:r>
            <w:r>
              <w:rPr/>
              <w:t xml:space="preserve"> </w:t>
            </w:r>
            <w:r>
              <w:rPr>
                <w:color w:val="231F20"/>
              </w:rPr>
              <w:t>Appreciation Rights</w:t>
            </w:r>
          </w:p>
        </w:tc>
        <w:tc>
          <w:tcPr>
            <w:tcW w:w="240" w:type="dxa"/>
            <w:tcBorders>
              <w:bottom w:val="single" w:sz="2" w:space="0" w:color="CCCCCC"/>
            </w:tcBorders>
            <w:vAlign w:val="center"/>
          </w:tcPr>
          <w:p>
            <w:pPr>
              <w:pStyle w:val="TableContents"/>
              <w:bidi w:val="0"/>
              <w:spacing w:before="0" w:after="283"/>
              <w:jc w:val="center"/>
              <w:rPr/>
            </w:pPr>
            <w:r>
              <w:rPr/>
              <w:t> </w:t>
            </w:r>
          </w:p>
        </w:tc>
        <w:tc>
          <w:tcPr>
            <w:tcW w:w="7877" w:type="dxa"/>
            <w:tcBorders>
              <w:bottom w:val="single" w:sz="2" w:space="0" w:color="CCCCCC"/>
            </w:tcBorders>
            <w:vAlign w:val="center"/>
          </w:tcPr>
          <w:p>
            <w:pPr>
              <w:pStyle w:val="TableContents"/>
              <w:bidi w:val="0"/>
              <w:spacing w:before="0" w:after="283"/>
              <w:jc w:val="left"/>
              <w:rPr/>
            </w:pPr>
            <w:r>
              <w:rPr>
                <w:color w:val="231F20"/>
              </w:rPr>
              <w:t>Stock options and stock appreciation rights are not granted with an</w:t>
            </w:r>
            <w:r>
              <w:rPr/>
              <w:t xml:space="preserve"> </w:t>
            </w:r>
            <w:r>
              <w:rPr>
                <w:color w:val="231F20"/>
              </w:rPr>
              <w:t>exercise or base price less than the fair market value of common stock</w:t>
            </w:r>
            <w:r>
              <w:rPr/>
              <w:t xml:space="preserve"> </w:t>
            </w:r>
            <w:r>
              <w:rPr>
                <w:color w:val="231F20"/>
              </w:rPr>
              <w:t>(as defined in the Plan) on the date of grant.</w:t>
            </w:r>
          </w:p>
        </w:tc>
      </w:tr>
      <w:tr>
        <w:trPr/>
        <w:tc>
          <w:tcPr>
            <w:tcW w:w="2088" w:type="dxa"/>
            <w:tcBorders>
              <w:bottom w:val="single" w:sz="2" w:space="0" w:color="CCCCCC"/>
            </w:tcBorders>
            <w:shd w:fill="EBEBEC" w:val="clear"/>
            <w:vAlign w:val="center"/>
          </w:tcPr>
          <w:p>
            <w:pPr>
              <w:pStyle w:val="TableContents"/>
              <w:bidi w:val="0"/>
              <w:spacing w:before="0" w:after="283"/>
              <w:jc w:val="left"/>
              <w:rPr/>
            </w:pPr>
            <w:r>
              <w:rPr>
                <w:color w:val="231F20"/>
              </w:rPr>
              <w:t>No Stock Option or Stock Appreciation</w:t>
            </w:r>
            <w:r>
              <w:rPr/>
              <w:t xml:space="preserve"> </w:t>
            </w:r>
            <w:r>
              <w:rPr>
                <w:color w:val="231F20"/>
              </w:rPr>
              <w:t>Right Re-pricing or Exchange</w:t>
            </w:r>
          </w:p>
        </w:tc>
        <w:tc>
          <w:tcPr>
            <w:tcW w:w="240" w:type="dxa"/>
            <w:tcBorders>
              <w:bottom w:val="single" w:sz="2" w:space="0" w:color="CCCCCC"/>
            </w:tcBorders>
            <w:shd w:fill="EBEBEC" w:val="clear"/>
            <w:vAlign w:val="center"/>
          </w:tcPr>
          <w:p>
            <w:pPr>
              <w:pStyle w:val="TableContents"/>
              <w:bidi w:val="0"/>
              <w:spacing w:before="0" w:after="283"/>
              <w:jc w:val="center"/>
              <w:rPr/>
            </w:pPr>
            <w:r>
              <w:rPr/>
              <w:t> </w:t>
            </w:r>
          </w:p>
        </w:tc>
        <w:tc>
          <w:tcPr>
            <w:tcW w:w="7877" w:type="dxa"/>
            <w:tcBorders>
              <w:bottom w:val="single" w:sz="2" w:space="0" w:color="CCCCCC"/>
            </w:tcBorders>
            <w:shd w:fill="EBEBEC" w:val="clear"/>
            <w:vAlign w:val="center"/>
          </w:tcPr>
          <w:p>
            <w:pPr>
              <w:pStyle w:val="TableContents"/>
              <w:bidi w:val="0"/>
              <w:spacing w:before="0" w:after="283"/>
              <w:jc w:val="left"/>
              <w:rPr/>
            </w:pPr>
            <w:r>
              <w:rPr>
                <w:color w:val="231F20"/>
              </w:rPr>
              <w:t>Except for equitable adjustments in connection with specific corporate</w:t>
            </w:r>
            <w:r>
              <w:rPr/>
              <w:t xml:space="preserve"> </w:t>
            </w:r>
            <w:r>
              <w:rPr>
                <w:color w:val="231F20"/>
              </w:rPr>
              <w:t>transactions (such as stock splits, recapitalizations, reorganizations, mergers, consolidations, and similar transactions), the Plan does not permit a decrease</w:t>
            </w:r>
            <w:r>
              <w:rPr/>
              <w:t xml:space="preserve"> </w:t>
            </w:r>
            <w:r>
              <w:rPr>
                <w:color w:val="231F20"/>
              </w:rPr>
              <w:t>in the exercise price or base price of a stock option or stock appreciation right</w:t>
            </w:r>
            <w:r>
              <w:rPr/>
              <w:t xml:space="preserve"> </w:t>
            </w:r>
            <w:r>
              <w:rPr>
                <w:color w:val="231F20"/>
              </w:rPr>
              <w:t>granted under the Plan through settlement, cancellation, forfeiture, exchange,</w:t>
            </w:r>
            <w:r>
              <w:rPr/>
              <w:t xml:space="preserve"> </w:t>
            </w:r>
            <w:r>
              <w:rPr>
                <w:color w:val="231F20"/>
              </w:rPr>
              <w:t>surrender, or otherwise below the fair market value of common stock</w:t>
            </w:r>
            <w:r>
              <w:rPr/>
              <w:t xml:space="preserve"> </w:t>
            </w:r>
            <w:r>
              <w:rPr>
                <w:color w:val="231F20"/>
              </w:rPr>
              <w:t>(as defined in the Plan) on the date of grant.</w:t>
            </w:r>
          </w:p>
        </w:tc>
      </w:tr>
      <w:tr>
        <w:trPr/>
        <w:tc>
          <w:tcPr>
            <w:tcW w:w="2088" w:type="dxa"/>
            <w:tcBorders>
              <w:bottom w:val="single" w:sz="2" w:space="0" w:color="CCCCCC"/>
            </w:tcBorders>
            <w:vAlign w:val="center"/>
          </w:tcPr>
          <w:p>
            <w:pPr>
              <w:pStyle w:val="TableContents"/>
              <w:bidi w:val="0"/>
              <w:spacing w:before="0" w:after="283"/>
              <w:jc w:val="left"/>
              <w:rPr>
                <w:color w:val="231F20"/>
              </w:rPr>
            </w:pPr>
            <w:r>
              <w:rPr>
                <w:color w:val="231F20"/>
              </w:rPr>
              <w:t>Recoupment (Clawback) Policy</w:t>
            </w:r>
          </w:p>
        </w:tc>
        <w:tc>
          <w:tcPr>
            <w:tcW w:w="240" w:type="dxa"/>
            <w:tcBorders>
              <w:bottom w:val="single" w:sz="2" w:space="0" w:color="CCCCCC"/>
            </w:tcBorders>
            <w:vAlign w:val="center"/>
          </w:tcPr>
          <w:p>
            <w:pPr>
              <w:pStyle w:val="TableContents"/>
              <w:bidi w:val="0"/>
              <w:spacing w:before="0" w:after="283"/>
              <w:jc w:val="center"/>
              <w:rPr/>
            </w:pPr>
            <w:r>
              <w:rPr/>
              <w:t> </w:t>
            </w:r>
          </w:p>
        </w:tc>
        <w:tc>
          <w:tcPr>
            <w:tcW w:w="7877" w:type="dxa"/>
            <w:tcBorders>
              <w:bottom w:val="single" w:sz="2" w:space="0" w:color="CCCCCC"/>
            </w:tcBorders>
            <w:vAlign w:val="center"/>
          </w:tcPr>
          <w:p>
            <w:pPr>
              <w:pStyle w:val="TableContents"/>
              <w:bidi w:val="0"/>
              <w:spacing w:before="0" w:after="283"/>
              <w:jc w:val="left"/>
              <w:rPr>
                <w:color w:val="231F20"/>
              </w:rPr>
            </w:pPr>
            <w:r>
              <w:rPr>
                <w:color w:val="231F20"/>
              </w:rPr>
              <w:t>Awards granted to our officers and other specified employees under the Plan are subject to recoupment or reduction in accordance with the terms of our Clawback Policy. This clawback policy was supplemented in 2023 (as required by amended listing standards of the Nasdaq Stock Market LLC) to provide for recovery of incentive-based compensation of specified officers in the event an accounting restatement renders such compensation erroneously received.</w:t>
            </w:r>
          </w:p>
        </w:tc>
      </w:tr>
      <w:tr>
        <w:trPr/>
        <w:tc>
          <w:tcPr>
            <w:tcW w:w="2088" w:type="dxa"/>
            <w:tcBorders>
              <w:bottom w:val="single" w:sz="2" w:space="0" w:color="CCCCCC"/>
            </w:tcBorders>
            <w:shd w:fill="EBEBEC" w:val="clear"/>
            <w:vAlign w:val="center"/>
          </w:tcPr>
          <w:p>
            <w:pPr>
              <w:pStyle w:val="TableContents"/>
              <w:bidi w:val="0"/>
              <w:spacing w:before="0" w:after="283"/>
              <w:jc w:val="left"/>
              <w:rPr>
                <w:color w:val="231F20"/>
              </w:rPr>
            </w:pPr>
            <w:r>
              <w:rPr>
                <w:color w:val="231F20"/>
              </w:rPr>
              <w:t>Independent Administration</w:t>
            </w:r>
          </w:p>
        </w:tc>
        <w:tc>
          <w:tcPr>
            <w:tcW w:w="240" w:type="dxa"/>
            <w:tcBorders>
              <w:bottom w:val="single" w:sz="2" w:space="0" w:color="CCCCCC"/>
            </w:tcBorders>
            <w:shd w:fill="EBEBEC" w:val="clear"/>
            <w:vAlign w:val="center"/>
          </w:tcPr>
          <w:p>
            <w:pPr>
              <w:pStyle w:val="TableContents"/>
              <w:bidi w:val="0"/>
              <w:spacing w:before="0" w:after="283"/>
              <w:jc w:val="left"/>
              <w:rPr/>
            </w:pPr>
            <w:r>
              <w:rPr/>
              <w:t> </w:t>
            </w:r>
          </w:p>
        </w:tc>
        <w:tc>
          <w:tcPr>
            <w:tcW w:w="7877" w:type="dxa"/>
            <w:tcBorders>
              <w:bottom w:val="single" w:sz="2" w:space="0" w:color="CCCCCC"/>
            </w:tcBorders>
            <w:shd w:fill="EBEBEC" w:val="clear"/>
            <w:vAlign w:val="center"/>
          </w:tcPr>
          <w:p>
            <w:pPr>
              <w:pStyle w:val="TableContents"/>
              <w:bidi w:val="0"/>
              <w:spacing w:before="0" w:after="283"/>
              <w:jc w:val="left"/>
              <w:rPr/>
            </w:pPr>
            <w:r>
              <w:rPr>
                <w:color w:val="231F20"/>
              </w:rPr>
              <w:t>The Plan is administered by the Compensation Committee, which is intended</w:t>
            </w:r>
            <w:r>
              <w:rPr/>
              <w:t xml:space="preserve"> </w:t>
            </w:r>
            <w:r>
              <w:rPr>
                <w:color w:val="231F20"/>
              </w:rPr>
              <w:t>to be comprised solely of non-employee directors each of whom meets the</w:t>
            </w:r>
            <w:r>
              <w:rPr/>
              <w:t xml:space="preserve"> </w:t>
            </w:r>
            <w:r>
              <w:rPr>
                <w:color w:val="231F20"/>
              </w:rPr>
              <w:t>additional independence criteria applicable to compensation committee</w:t>
            </w:r>
            <w:r>
              <w:rPr/>
              <w:t xml:space="preserve"> </w:t>
            </w:r>
            <w:r>
              <w:rPr>
                <w:color w:val="231F20"/>
              </w:rPr>
              <w:t>members under the listing standards of the Nasdaq Stock Market LLC and</w:t>
            </w:r>
            <w:r>
              <w:rPr/>
              <w:t xml:space="preserve"> </w:t>
            </w:r>
            <w:r>
              <w:rPr>
                <w:color w:val="231F20"/>
              </w:rPr>
              <w:t>qualifies as a “Non-Employee Director” pursuant to Rule 16b-3 under the</w:t>
            </w:r>
            <w:r>
              <w:rPr/>
              <w:t xml:space="preserve"> </w:t>
            </w:r>
            <w:r>
              <w:rPr>
                <w:color w:val="231F20"/>
              </w:rPr>
              <w:t>Exchange Act.</w:t>
            </w:r>
          </w:p>
        </w:tc>
      </w:tr>
      <w:tr>
        <w:trPr/>
        <w:tc>
          <w:tcPr>
            <w:tcW w:w="2088" w:type="dxa"/>
            <w:tcBorders>
              <w:bottom w:val="single" w:sz="2" w:space="0" w:color="CCCCCC"/>
            </w:tcBorders>
            <w:vAlign w:val="center"/>
          </w:tcPr>
          <w:p>
            <w:pPr>
              <w:pStyle w:val="TableContents"/>
              <w:bidi w:val="0"/>
              <w:spacing w:before="0" w:after="283"/>
              <w:jc w:val="left"/>
              <w:rPr>
                <w:color w:val="231F20"/>
              </w:rPr>
            </w:pPr>
            <w:r>
              <w:rPr>
                <w:color w:val="231F20"/>
              </w:rPr>
              <w:t>No “Evergreen” Provision</w:t>
            </w:r>
          </w:p>
        </w:tc>
        <w:tc>
          <w:tcPr>
            <w:tcW w:w="240" w:type="dxa"/>
            <w:tcBorders>
              <w:bottom w:val="single" w:sz="2" w:space="0" w:color="CCCCCC"/>
            </w:tcBorders>
            <w:vAlign w:val="center"/>
          </w:tcPr>
          <w:p>
            <w:pPr>
              <w:pStyle w:val="TableContents"/>
              <w:bidi w:val="0"/>
              <w:spacing w:before="0" w:after="283"/>
              <w:jc w:val="left"/>
              <w:rPr/>
            </w:pPr>
            <w:r>
              <w:rPr/>
              <w:t> </w:t>
            </w:r>
          </w:p>
        </w:tc>
        <w:tc>
          <w:tcPr>
            <w:tcW w:w="7877" w:type="dxa"/>
            <w:tcBorders>
              <w:bottom w:val="single" w:sz="2" w:space="0" w:color="CCCCCC"/>
            </w:tcBorders>
            <w:vAlign w:val="center"/>
          </w:tcPr>
          <w:p>
            <w:pPr>
              <w:pStyle w:val="TableContents"/>
              <w:bidi w:val="0"/>
              <w:spacing w:before="0" w:after="283"/>
              <w:jc w:val="left"/>
              <w:rPr/>
            </w:pPr>
            <w:r>
              <w:rPr>
                <w:color w:val="231F20"/>
              </w:rPr>
              <w:t>The Plan does not contain an “evergreen” feature pursuant to which the</w:t>
            </w:r>
            <w:r>
              <w:rPr/>
              <w:t xml:space="preserve"> </w:t>
            </w:r>
            <w:r>
              <w:rPr>
                <w:color w:val="231F20"/>
              </w:rPr>
              <w:t>shares authorized for issuance thereunder can be automatically replenished.</w:t>
            </w:r>
          </w:p>
        </w:tc>
      </w:tr>
      <w:tr>
        <w:trPr/>
        <w:tc>
          <w:tcPr>
            <w:tcW w:w="2088" w:type="dxa"/>
            <w:tcBorders>
              <w:bottom w:val="single" w:sz="2" w:space="0" w:color="3B58A4"/>
            </w:tcBorders>
            <w:shd w:fill="EBEBEC" w:val="clear"/>
            <w:vAlign w:val="center"/>
          </w:tcPr>
          <w:p>
            <w:pPr>
              <w:pStyle w:val="TableContents"/>
              <w:bidi w:val="0"/>
              <w:spacing w:before="0" w:after="283"/>
              <w:jc w:val="left"/>
              <w:rPr>
                <w:color w:val="231F20"/>
              </w:rPr>
            </w:pPr>
            <w:r>
              <w:rPr>
                <w:color w:val="231F20"/>
              </w:rPr>
              <w:t>No Tax Gross-ups</w:t>
            </w:r>
          </w:p>
        </w:tc>
        <w:tc>
          <w:tcPr>
            <w:tcW w:w="240" w:type="dxa"/>
            <w:tcBorders>
              <w:bottom w:val="single" w:sz="2" w:space="0" w:color="3B58A4"/>
            </w:tcBorders>
            <w:shd w:fill="EBEBEC" w:val="clear"/>
            <w:vAlign w:val="center"/>
          </w:tcPr>
          <w:p>
            <w:pPr>
              <w:pStyle w:val="TableContents"/>
              <w:bidi w:val="0"/>
              <w:spacing w:before="0" w:after="283"/>
              <w:jc w:val="left"/>
              <w:rPr/>
            </w:pPr>
            <w:r>
              <w:rPr/>
              <w:t> </w:t>
            </w:r>
          </w:p>
        </w:tc>
        <w:tc>
          <w:tcPr>
            <w:tcW w:w="7877" w:type="dxa"/>
            <w:tcBorders>
              <w:bottom w:val="single" w:sz="2" w:space="0" w:color="3B58A4"/>
            </w:tcBorders>
            <w:shd w:fill="EBEBEC" w:val="clear"/>
            <w:vAlign w:val="center"/>
          </w:tcPr>
          <w:p>
            <w:pPr>
              <w:pStyle w:val="TableContents"/>
              <w:bidi w:val="0"/>
              <w:spacing w:before="0" w:after="283"/>
              <w:jc w:val="left"/>
              <w:rPr>
                <w:color w:val="231F20"/>
              </w:rPr>
            </w:pPr>
            <w:r>
              <w:rPr>
                <w:color w:val="231F20"/>
              </w:rPr>
              <w:t>The Plan does not provide for any tax gross-ups.</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49"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328" descr=""/>
                          <pic:cNvPicPr>
                            <a:picLocks noChangeAspect="1" noChangeArrowheads="1"/>
                          </pic:cNvPicPr>
                        </pic:nvPicPr>
                        <pic:blipFill>
                          <a:blip r:embed="rId340"/>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5"/>
        <w:bidi w:val="0"/>
        <w:spacing w:before="0" w:after="0"/>
        <w:ind w:left="0" w:right="0" w:hanging="0"/>
        <w:jc w:val="left"/>
        <w:rPr>
          <w:rFonts w:ascii="Arial;Helvetica;Sans-Serif" w:hAnsi="Arial;Helvetica;Sans-Serif"/>
          <w:b/>
          <w:i w:val="false"/>
          <w:caps w:val="false"/>
          <w:smallCaps w:val="false"/>
          <w:color w:val="2864AF"/>
          <w:sz w:val="24"/>
        </w:rPr>
      </w:pPr>
      <w:r>
        <w:rPr>
          <w:rFonts w:ascii="Arial;Helvetica;Sans-Serif" w:hAnsi="Arial;Helvetica;Sans-Serif"/>
          <w:b/>
          <w:i w:val="false"/>
          <w:caps w:val="false"/>
          <w:smallCaps w:val="false"/>
          <w:color w:val="2864AF"/>
          <w:sz w:val="24"/>
        </w:rPr>
        <w:t>Key Equity Metrics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summarizes some key metrics relating to the equity component of our compensation program. When evaluating the information below and comparing Regeneron to other companies, it is important to keep in mind the following two differentiating factors: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b/>
                <w:color w:val="365FA5"/>
              </w:rPr>
            </w:pPr>
            <w:r>
              <w:rPr>
                <w:b/>
                <w:color w:val="365FA5"/>
              </w:rPr>
              <w:t>1.</w:t>
            </w:r>
          </w:p>
        </w:tc>
        <w:tc>
          <w:tcPr>
            <w:tcW w:w="10016" w:type="dxa"/>
            <w:tcBorders/>
            <w:vAlign w:val="center"/>
          </w:tcPr>
          <w:p>
            <w:pPr>
              <w:pStyle w:val="TableContents"/>
              <w:bidi w:val="0"/>
              <w:spacing w:before="0" w:after="283"/>
              <w:jc w:val="left"/>
              <w:rPr>
                <w:color w:val="231F20"/>
              </w:rPr>
            </w:pPr>
            <w:r>
              <w:rPr>
                <w:i/>
                <w:color w:val="231F20"/>
              </w:rPr>
              <w:t>Significant increase in the number of Regeneron’s employees</w:t>
            </w:r>
            <w:r>
              <w:rPr>
                <w:color w:val="231F20"/>
              </w:rPr>
              <w:t>. From 2022 to 2024, the number of Regeneron’s employees increased 46%.</w:t>
            </w:r>
          </w:p>
        </w:tc>
      </w:tr>
      <w:tr>
        <w:trPr/>
        <w:tc>
          <w:tcPr>
            <w:tcW w:w="189" w:type="dxa"/>
            <w:tcBorders/>
            <w:vAlign w:val="center"/>
          </w:tcPr>
          <w:p>
            <w:pPr>
              <w:pStyle w:val="TableContents"/>
              <w:bidi w:val="0"/>
              <w:spacing w:before="0" w:after="283"/>
              <w:jc w:val="left"/>
              <w:rPr>
                <w:b/>
                <w:color w:val="365FA5"/>
              </w:rPr>
            </w:pPr>
            <w:r>
              <w:rPr>
                <w:b/>
                <w:color w:val="365FA5"/>
              </w:rPr>
              <w:t>2.</w:t>
            </w:r>
          </w:p>
        </w:tc>
        <w:tc>
          <w:tcPr>
            <w:tcW w:w="10016" w:type="dxa"/>
            <w:tcBorders/>
            <w:vAlign w:val="center"/>
          </w:tcPr>
          <w:p>
            <w:pPr>
              <w:pStyle w:val="TableContents"/>
              <w:bidi w:val="0"/>
              <w:spacing w:before="0" w:after="283"/>
              <w:jc w:val="left"/>
              <w:rPr>
                <w:color w:val="231F20"/>
              </w:rPr>
            </w:pPr>
            <w:r>
              <w:rPr>
                <w:i/>
                <w:color w:val="231F20"/>
              </w:rPr>
              <w:t>Regeneron’s broad-based equity compensation program.</w:t>
            </w:r>
            <w:r>
              <w:rPr>
                <w:color w:val="231F20"/>
              </w:rPr>
              <w:t> This program covers employees at all levels through initial equity grants to all new hires and annual equity grants.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2024 burn rate shown below represented a slight increase over the prior year primarily driven by the incremental number of PSUs earned under the 2020 PSU awards and a lower stock price on the date of grant for employee equity awards (which are value-denominated).</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4745" w:type="dxa"/>
        <w:jc w:val="left"/>
        <w:tblInd w:w="0" w:type="dxa"/>
        <w:tblLayout w:type="fixed"/>
        <w:tblCellMar>
          <w:top w:w="0" w:type="dxa"/>
          <w:left w:w="0" w:type="dxa"/>
          <w:bottom w:w="28" w:type="dxa"/>
          <w:right w:w="0" w:type="dxa"/>
        </w:tblCellMar>
      </w:tblPr>
      <w:tblGrid>
        <w:gridCol w:w="2465"/>
        <w:gridCol w:w="755"/>
        <w:gridCol w:w="755"/>
        <w:gridCol w:w="770"/>
      </w:tblGrid>
      <w:tr>
        <w:trPr/>
        <w:tc>
          <w:tcPr>
            <w:tcW w:w="2465" w:type="dxa"/>
            <w:tcBorders>
              <w:bottom w:val="single" w:sz="2" w:space="0" w:color="3B58A4"/>
            </w:tcBorders>
            <w:vAlign w:val="center"/>
          </w:tcPr>
          <w:p>
            <w:pPr>
              <w:pStyle w:val="TableContents"/>
              <w:bidi w:val="0"/>
              <w:spacing w:before="0" w:after="283"/>
              <w:jc w:val="left"/>
              <w:rPr/>
            </w:pPr>
            <w:r>
              <w:rPr/>
              <w:t> </w:t>
            </w:r>
          </w:p>
        </w:tc>
        <w:tc>
          <w:tcPr>
            <w:tcW w:w="755" w:type="dxa"/>
            <w:tcBorders>
              <w:bottom w:val="single" w:sz="2" w:space="0" w:color="3B58A4"/>
            </w:tcBorders>
            <w:vAlign w:val="center"/>
          </w:tcPr>
          <w:p>
            <w:pPr>
              <w:pStyle w:val="TableContents"/>
              <w:bidi w:val="0"/>
              <w:spacing w:before="0" w:after="283"/>
              <w:jc w:val="right"/>
              <w:rPr>
                <w:color w:val="2864AF"/>
              </w:rPr>
            </w:pPr>
            <w:r>
              <w:rPr>
                <w:color w:val="2864AF"/>
              </w:rPr>
              <w:t>2024</w:t>
            </w:r>
          </w:p>
        </w:tc>
        <w:tc>
          <w:tcPr>
            <w:tcW w:w="755" w:type="dxa"/>
            <w:tcBorders>
              <w:bottom w:val="single" w:sz="2" w:space="0" w:color="3B58A4"/>
            </w:tcBorders>
            <w:vAlign w:val="center"/>
          </w:tcPr>
          <w:p>
            <w:pPr>
              <w:pStyle w:val="TableContents"/>
              <w:bidi w:val="0"/>
              <w:spacing w:before="0" w:after="283"/>
              <w:jc w:val="right"/>
              <w:rPr>
                <w:color w:val="2864AF"/>
              </w:rPr>
            </w:pPr>
            <w:r>
              <w:rPr>
                <w:color w:val="2864AF"/>
              </w:rPr>
              <w:t>2023</w:t>
            </w:r>
          </w:p>
        </w:tc>
        <w:tc>
          <w:tcPr>
            <w:tcW w:w="770" w:type="dxa"/>
            <w:tcBorders>
              <w:bottom w:val="single" w:sz="2" w:space="0" w:color="3B58A4"/>
            </w:tcBorders>
            <w:vAlign w:val="center"/>
          </w:tcPr>
          <w:p>
            <w:pPr>
              <w:pStyle w:val="TableContents"/>
              <w:bidi w:val="0"/>
              <w:spacing w:before="0" w:after="283"/>
              <w:jc w:val="right"/>
              <w:rPr>
                <w:color w:val="2864AF"/>
              </w:rPr>
            </w:pPr>
            <w:r>
              <w:rPr>
                <w:color w:val="2864AF"/>
              </w:rPr>
              <w:t>2022</w:t>
            </w:r>
          </w:p>
        </w:tc>
      </w:tr>
      <w:tr>
        <w:trPr/>
        <w:tc>
          <w:tcPr>
            <w:tcW w:w="2465" w:type="dxa"/>
            <w:tcBorders>
              <w:bottom w:val="single" w:sz="2" w:space="0" w:color="CCCCCC"/>
            </w:tcBorders>
            <w:vAlign w:val="center"/>
          </w:tcPr>
          <w:p>
            <w:pPr>
              <w:pStyle w:val="TableContents"/>
              <w:bidi w:val="0"/>
              <w:spacing w:before="0" w:after="283"/>
              <w:jc w:val="left"/>
              <w:rPr>
                <w:b/>
                <w:color w:val="231F20"/>
              </w:rPr>
            </w:pPr>
            <w:r>
              <w:rPr>
                <w:b/>
                <w:color w:val="231F20"/>
              </w:rPr>
              <w:t>Unadjusted Burn Rate</w:t>
            </w:r>
            <w:r>
              <w:rPr>
                <w:b/>
                <w:color w:val="231F20"/>
                <w:position w:val="8"/>
                <w:sz w:val="19"/>
              </w:rPr>
              <w:t>1</w:t>
            </w:r>
          </w:p>
        </w:tc>
        <w:tc>
          <w:tcPr>
            <w:tcW w:w="755" w:type="dxa"/>
            <w:tcBorders>
              <w:bottom w:val="single" w:sz="2" w:space="0" w:color="CCCCCC"/>
            </w:tcBorders>
            <w:vAlign w:val="center"/>
          </w:tcPr>
          <w:p>
            <w:pPr>
              <w:pStyle w:val="TableContents"/>
              <w:bidi w:val="0"/>
              <w:spacing w:before="0" w:after="283"/>
              <w:jc w:val="right"/>
              <w:rPr>
                <w:color w:val="231F20"/>
              </w:rPr>
            </w:pPr>
            <w:r>
              <w:rPr>
                <w:color w:val="231F20"/>
              </w:rPr>
              <w:t>3.22%</w:t>
            </w:r>
          </w:p>
        </w:tc>
        <w:tc>
          <w:tcPr>
            <w:tcW w:w="755" w:type="dxa"/>
            <w:tcBorders>
              <w:bottom w:val="single" w:sz="2" w:space="0" w:color="CCCCCC"/>
            </w:tcBorders>
            <w:vAlign w:val="center"/>
          </w:tcPr>
          <w:p>
            <w:pPr>
              <w:pStyle w:val="TableContents"/>
              <w:bidi w:val="0"/>
              <w:spacing w:before="0" w:after="283"/>
              <w:jc w:val="right"/>
              <w:rPr>
                <w:color w:val="231F20"/>
              </w:rPr>
            </w:pPr>
            <w:r>
              <w:rPr>
                <w:color w:val="231F20"/>
              </w:rPr>
              <w:t>2.69%</w:t>
            </w:r>
          </w:p>
        </w:tc>
        <w:tc>
          <w:tcPr>
            <w:tcW w:w="770" w:type="dxa"/>
            <w:tcBorders>
              <w:bottom w:val="single" w:sz="2" w:space="0" w:color="CCCCCC"/>
            </w:tcBorders>
            <w:vAlign w:val="center"/>
          </w:tcPr>
          <w:p>
            <w:pPr>
              <w:pStyle w:val="TableContents"/>
              <w:bidi w:val="0"/>
              <w:spacing w:before="0" w:after="283"/>
              <w:jc w:val="right"/>
              <w:rPr>
                <w:color w:val="231F20"/>
              </w:rPr>
            </w:pPr>
            <w:r>
              <w:rPr>
                <w:color w:val="231F20"/>
              </w:rPr>
              <w:t>2.71%</w:t>
            </w:r>
          </w:p>
        </w:tc>
      </w:tr>
      <w:tr>
        <w:trPr/>
        <w:tc>
          <w:tcPr>
            <w:tcW w:w="2465" w:type="dxa"/>
            <w:tcBorders>
              <w:bottom w:val="single" w:sz="2" w:space="0" w:color="CCCCCC"/>
            </w:tcBorders>
            <w:shd w:fill="EBEBEC" w:val="clear"/>
            <w:vAlign w:val="center"/>
          </w:tcPr>
          <w:p>
            <w:pPr>
              <w:pStyle w:val="TableContents"/>
              <w:bidi w:val="0"/>
              <w:spacing w:before="0" w:after="283"/>
              <w:jc w:val="left"/>
              <w:rPr>
                <w:b/>
                <w:color w:val="231F20"/>
              </w:rPr>
            </w:pPr>
            <w:r>
              <w:rPr>
                <w:b/>
                <w:color w:val="231F20"/>
              </w:rPr>
              <w:t>Adjusted Burn Rate</w:t>
            </w:r>
            <w:r>
              <w:rPr>
                <w:b/>
                <w:color w:val="231F20"/>
                <w:position w:val="8"/>
                <w:sz w:val="19"/>
              </w:rPr>
              <w:t>1</w:t>
            </w:r>
          </w:p>
        </w:tc>
        <w:tc>
          <w:tcPr>
            <w:tcW w:w="75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5.47%</w:t>
            </w:r>
          </w:p>
        </w:tc>
        <w:tc>
          <w:tcPr>
            <w:tcW w:w="755"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4.45%</w:t>
            </w:r>
          </w:p>
        </w:tc>
        <w:tc>
          <w:tcPr>
            <w:tcW w:w="770"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4.00%</w:t>
            </w:r>
          </w:p>
        </w:tc>
      </w:tr>
      <w:tr>
        <w:trPr/>
        <w:tc>
          <w:tcPr>
            <w:tcW w:w="2465" w:type="dxa"/>
            <w:tcBorders>
              <w:bottom w:val="single" w:sz="2" w:space="0" w:color="CCCCCC"/>
            </w:tcBorders>
            <w:vAlign w:val="center"/>
          </w:tcPr>
          <w:p>
            <w:pPr>
              <w:pStyle w:val="TableContents"/>
              <w:bidi w:val="0"/>
              <w:spacing w:before="0" w:after="283"/>
              <w:jc w:val="left"/>
              <w:rPr>
                <w:b/>
                <w:color w:val="231F20"/>
              </w:rPr>
            </w:pPr>
            <w:r>
              <w:rPr>
                <w:b/>
                <w:color w:val="231F20"/>
              </w:rPr>
              <w:t>Overhang</w:t>
            </w:r>
            <w:r>
              <w:rPr>
                <w:b/>
                <w:color w:val="231F20"/>
                <w:position w:val="8"/>
                <w:sz w:val="19"/>
              </w:rPr>
              <w:t>2</w:t>
            </w:r>
          </w:p>
        </w:tc>
        <w:tc>
          <w:tcPr>
            <w:tcW w:w="755" w:type="dxa"/>
            <w:tcBorders>
              <w:bottom w:val="single" w:sz="2" w:space="0" w:color="CCCCCC"/>
            </w:tcBorders>
            <w:vAlign w:val="center"/>
          </w:tcPr>
          <w:p>
            <w:pPr>
              <w:pStyle w:val="TableContents"/>
              <w:bidi w:val="0"/>
              <w:spacing w:before="0" w:after="283"/>
              <w:jc w:val="right"/>
              <w:rPr>
                <w:color w:val="231F20"/>
              </w:rPr>
            </w:pPr>
            <w:r>
              <w:rPr>
                <w:color w:val="231F20"/>
              </w:rPr>
              <w:t>21.80%</w:t>
            </w:r>
          </w:p>
        </w:tc>
        <w:tc>
          <w:tcPr>
            <w:tcW w:w="755" w:type="dxa"/>
            <w:tcBorders>
              <w:bottom w:val="single" w:sz="2" w:space="0" w:color="CCCCCC"/>
            </w:tcBorders>
            <w:vAlign w:val="center"/>
          </w:tcPr>
          <w:p>
            <w:pPr>
              <w:pStyle w:val="TableContents"/>
              <w:bidi w:val="0"/>
              <w:spacing w:before="0" w:after="283"/>
              <w:jc w:val="right"/>
              <w:rPr>
                <w:color w:val="231F20"/>
              </w:rPr>
            </w:pPr>
            <w:r>
              <w:rPr>
                <w:color w:val="231F20"/>
              </w:rPr>
              <w:t>23.38%</w:t>
            </w:r>
          </w:p>
        </w:tc>
        <w:tc>
          <w:tcPr>
            <w:tcW w:w="770" w:type="dxa"/>
            <w:tcBorders>
              <w:bottom w:val="single" w:sz="2" w:space="0" w:color="CCCCCC"/>
            </w:tcBorders>
            <w:vAlign w:val="center"/>
          </w:tcPr>
          <w:p>
            <w:pPr>
              <w:pStyle w:val="TableContents"/>
              <w:bidi w:val="0"/>
              <w:spacing w:before="0" w:after="283"/>
              <w:jc w:val="right"/>
              <w:rPr>
                <w:color w:val="231F20"/>
              </w:rPr>
            </w:pPr>
            <w:r>
              <w:rPr>
                <w:color w:val="231F20"/>
              </w:rPr>
              <w:t>25.01%</w:t>
            </w:r>
          </w:p>
        </w:tc>
      </w:tr>
      <w:tr>
        <w:trPr/>
        <w:tc>
          <w:tcPr>
            <w:tcW w:w="2465" w:type="dxa"/>
            <w:tcBorders>
              <w:bottom w:val="single" w:sz="2" w:space="0" w:color="3B58A4"/>
            </w:tcBorders>
            <w:shd w:fill="EBEBEC" w:val="clear"/>
            <w:vAlign w:val="center"/>
          </w:tcPr>
          <w:p>
            <w:pPr>
              <w:pStyle w:val="TableContents"/>
              <w:bidi w:val="0"/>
              <w:spacing w:before="0" w:after="283"/>
              <w:jc w:val="left"/>
              <w:rPr>
                <w:b/>
                <w:color w:val="231F20"/>
              </w:rPr>
            </w:pPr>
            <w:r>
              <w:rPr>
                <w:b/>
                <w:color w:val="231F20"/>
              </w:rPr>
              <w:t>Dilution</w:t>
            </w:r>
            <w:r>
              <w:rPr>
                <w:b/>
                <w:color w:val="231F20"/>
                <w:position w:val="8"/>
                <w:sz w:val="19"/>
              </w:rPr>
              <w:t>3</w:t>
            </w:r>
          </w:p>
        </w:tc>
        <w:tc>
          <w:tcPr>
            <w:tcW w:w="755" w:type="dxa"/>
            <w:tcBorders>
              <w:bottom w:val="single" w:sz="2" w:space="0" w:color="3B58A4"/>
            </w:tcBorders>
            <w:shd w:fill="EBEBEC" w:val="clear"/>
            <w:vAlign w:val="center"/>
          </w:tcPr>
          <w:p>
            <w:pPr>
              <w:pStyle w:val="TableContents"/>
              <w:bidi w:val="0"/>
              <w:spacing w:before="0" w:after="283"/>
              <w:jc w:val="right"/>
              <w:rPr>
                <w:color w:val="231F20"/>
              </w:rPr>
            </w:pPr>
            <w:r>
              <w:rPr>
                <w:color w:val="231F20"/>
              </w:rPr>
              <w:t>13.52%</w:t>
            </w:r>
          </w:p>
        </w:tc>
        <w:tc>
          <w:tcPr>
            <w:tcW w:w="755" w:type="dxa"/>
            <w:tcBorders>
              <w:bottom w:val="single" w:sz="2" w:space="0" w:color="3B58A4"/>
            </w:tcBorders>
            <w:shd w:fill="EBEBEC" w:val="clear"/>
            <w:vAlign w:val="center"/>
          </w:tcPr>
          <w:p>
            <w:pPr>
              <w:pStyle w:val="TableContents"/>
              <w:bidi w:val="0"/>
              <w:spacing w:before="0" w:after="283"/>
              <w:jc w:val="right"/>
              <w:rPr>
                <w:color w:val="231F20"/>
              </w:rPr>
            </w:pPr>
            <w:r>
              <w:rPr>
                <w:color w:val="231F20"/>
              </w:rPr>
              <w:t>14.45%</w:t>
            </w:r>
          </w:p>
        </w:tc>
        <w:tc>
          <w:tcPr>
            <w:tcW w:w="770" w:type="dxa"/>
            <w:tcBorders>
              <w:bottom w:val="single" w:sz="2" w:space="0" w:color="3B58A4"/>
            </w:tcBorders>
            <w:shd w:fill="EBEBEC" w:val="clear"/>
            <w:vAlign w:val="center"/>
          </w:tcPr>
          <w:p>
            <w:pPr>
              <w:pStyle w:val="TableContents"/>
              <w:bidi w:val="0"/>
              <w:spacing w:before="0" w:after="283"/>
              <w:jc w:val="right"/>
              <w:rPr>
                <w:color w:val="231F20"/>
              </w:rPr>
            </w:pPr>
            <w:r>
              <w:rPr>
                <w:color w:val="231F20"/>
              </w:rPr>
              <w:t>15.63%</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Calculated by dividing (a) the sum of the number of shares subject to (i) stock options, RSAs, and RSUs granted during the year and (ii) PSUs earned during the year (if any), by (b) the basic weighted-average number of shares of common stock and Class A stock outstanding during the year. For “Adjusted Burn Rate,” a multiplier of 2.5 is applied to RSAs, RSUs, and PSUs.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Calculated by dividing (a) the sum of (i) the number of shares subject to equity awards (stock options and unvested RSAs, RSUs, and PSUs (assuming, in the case of PSUs, maximum payouts earned)) outstanding at the end of the year and (ii) the number of shares available for future grants under the Plan at the end of the year, by (b) the sum of (i) the number of shares of common stock and Class A stock outstanding at the end of the year, (ii) the shares subject to equity awards (stock options and unvested RSAs, RSUs, and PSUs (assuming, in the case of PSUs, maximum payouts earned)) outstanding at the end of the year, and (iii) the number of shares available for future grants under the Plan at the end of the year.</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10065" w:type="dxa"/>
            <w:tcBorders/>
            <w:vAlign w:val="center"/>
          </w:tcPr>
          <w:p>
            <w:pPr>
              <w:pStyle w:val="TableContents"/>
              <w:bidi w:val="0"/>
              <w:spacing w:before="0" w:after="283"/>
              <w:jc w:val="left"/>
              <w:rPr>
                <w:color w:val="231F20"/>
              </w:rPr>
            </w:pPr>
            <w:r>
              <w:rPr>
                <w:color w:val="231F20"/>
              </w:rPr>
              <w:t>Calculated by dividing the number of shares subject to equity awards (stock options and unvested RSAs, RSUs, and PSUs (assuming, in the case of PSUs, maximum payouts earned)) outstanding at the end of the year by the sum of (i) the number of shares of common stock and Class A stock outstanding at the end of the year and (ii) the shares subject to equity awards (stock options and unvested RSAs, RSUs, and PSUs (assuming, in the case of PSUs, maximum payouts earned)) outstanding at the end of the year.</w:t>
            </w:r>
          </w:p>
        </w:tc>
      </w:tr>
    </w:tbl>
    <w:p>
      <w:pPr>
        <w:pStyle w:val="TextBody"/>
        <w:bidi w:val="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710"/>
        <w:gridCol w:w="1320"/>
        <w:gridCol w:w="69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50"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329" descr=""/>
                          <pic:cNvPicPr>
                            <a:picLocks noChangeAspect="1" noChangeArrowheads="1"/>
                          </pic:cNvPicPr>
                        </pic:nvPicPr>
                        <pic:blipFill>
                          <a:blip r:embed="rId341"/>
                          <a:stretch>
                            <a:fillRect/>
                          </a:stretch>
                        </pic:blipFill>
                        <pic:spPr bwMode="auto">
                          <a:xfrm>
                            <a:off x="0" y="0"/>
                            <a:ext cx="838200" cy="95250"/>
                          </a:xfrm>
                          <a:prstGeom prst="rect">
                            <a:avLst/>
                          </a:prstGeom>
                        </pic:spPr>
                      </pic:pic>
                    </a:graphicData>
                  </a:graphic>
                </wp:inline>
              </w:drawing>
            </w:r>
          </w:p>
        </w:tc>
        <w:tc>
          <w:tcPr>
            <w:tcW w:w="69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99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5"/>
        <w:bidi w:val="0"/>
        <w:spacing w:before="0" w:after="0"/>
        <w:ind w:left="0" w:right="0" w:hanging="0"/>
        <w:jc w:val="left"/>
        <w:rPr>
          <w:rFonts w:ascii="Arial;Helvetica;Sans-Serif" w:hAnsi="Arial;Helvetica;Sans-Serif"/>
          <w:b/>
          <w:i w:val="false"/>
          <w:caps w:val="false"/>
          <w:smallCaps w:val="false"/>
          <w:color w:val="2864AF"/>
          <w:sz w:val="24"/>
        </w:rPr>
      </w:pPr>
      <w:r>
        <w:rPr>
          <w:rFonts w:ascii="Arial;Helvetica;Sans-Serif" w:hAnsi="Arial;Helvetica;Sans-Serif"/>
          <w:b/>
          <w:i w:val="false"/>
          <w:caps w:val="false"/>
          <w:smallCaps w:val="false"/>
          <w:color w:val="2864AF"/>
          <w:sz w:val="24"/>
        </w:rPr>
        <w:t>Equity Compensation Plan Information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shows information with respect to securities authorized for issuance under the equity compensation plans maintained by the Company as of December 31, 2024.</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28" w:type="dxa"/>
          <w:right w:w="0" w:type="dxa"/>
        </w:tblCellMar>
      </w:tblPr>
      <w:tblGrid>
        <w:gridCol w:w="3047"/>
        <w:gridCol w:w="60"/>
        <w:gridCol w:w="2087"/>
        <w:gridCol w:w="60"/>
        <w:gridCol w:w="1836"/>
        <w:gridCol w:w="60"/>
        <w:gridCol w:w="3055"/>
      </w:tblGrid>
      <w:tr>
        <w:trPr/>
        <w:tc>
          <w:tcPr>
            <w:tcW w:w="3047" w:type="dxa"/>
            <w:tcBorders>
              <w:bottom w:val="single" w:sz="2" w:space="0" w:color="3B58A4"/>
            </w:tcBorders>
            <w:vAlign w:val="center"/>
          </w:tcPr>
          <w:p>
            <w:pPr>
              <w:pStyle w:val="TableContents"/>
              <w:bidi w:val="0"/>
              <w:spacing w:before="0" w:after="283"/>
              <w:jc w:val="left"/>
              <w:rPr/>
            </w:pPr>
            <w:r>
              <w:rPr/>
              <w:t> </w:t>
            </w:r>
          </w:p>
        </w:tc>
        <w:tc>
          <w:tcPr>
            <w:tcW w:w="60" w:type="dxa"/>
            <w:tcBorders>
              <w:bottom w:val="single" w:sz="2" w:space="0" w:color="3B58A4"/>
            </w:tcBorders>
            <w:vAlign w:val="center"/>
          </w:tcPr>
          <w:p>
            <w:pPr>
              <w:pStyle w:val="TableContents"/>
              <w:bidi w:val="0"/>
              <w:spacing w:before="0" w:after="283"/>
              <w:jc w:val="left"/>
              <w:rPr/>
            </w:pPr>
            <w:r>
              <w:rPr/>
              <w:t> </w:t>
            </w:r>
          </w:p>
        </w:tc>
        <w:tc>
          <w:tcPr>
            <w:tcW w:w="2087" w:type="dxa"/>
            <w:tcBorders>
              <w:bottom w:val="single" w:sz="2" w:space="0" w:color="3B58A4"/>
            </w:tcBorders>
            <w:vAlign w:val="center"/>
          </w:tcPr>
          <w:p>
            <w:pPr>
              <w:pStyle w:val="TableContents"/>
              <w:bidi w:val="0"/>
              <w:spacing w:before="0" w:after="283"/>
              <w:jc w:val="right"/>
              <w:rPr>
                <w:color w:val="2864AF"/>
              </w:rPr>
            </w:pPr>
            <w:r>
              <w:rPr>
                <w:color w:val="2864AF"/>
              </w:rPr>
              <w:t>A</w:t>
            </w:r>
          </w:p>
        </w:tc>
        <w:tc>
          <w:tcPr>
            <w:tcW w:w="60" w:type="dxa"/>
            <w:tcBorders>
              <w:bottom w:val="single" w:sz="2" w:space="0" w:color="3B58A4"/>
            </w:tcBorders>
            <w:vAlign w:val="center"/>
          </w:tcPr>
          <w:p>
            <w:pPr>
              <w:pStyle w:val="TableContents"/>
              <w:bidi w:val="0"/>
              <w:spacing w:before="0" w:after="283"/>
              <w:jc w:val="left"/>
              <w:rPr/>
            </w:pPr>
            <w:r>
              <w:rPr/>
              <w:t> </w:t>
            </w:r>
          </w:p>
        </w:tc>
        <w:tc>
          <w:tcPr>
            <w:tcW w:w="1836" w:type="dxa"/>
            <w:tcBorders>
              <w:bottom w:val="single" w:sz="2" w:space="0" w:color="3B58A4"/>
            </w:tcBorders>
            <w:vAlign w:val="center"/>
          </w:tcPr>
          <w:p>
            <w:pPr>
              <w:pStyle w:val="TableContents"/>
              <w:bidi w:val="0"/>
              <w:spacing w:before="0" w:after="283"/>
              <w:jc w:val="right"/>
              <w:rPr>
                <w:color w:val="2864AF"/>
              </w:rPr>
            </w:pPr>
            <w:r>
              <w:rPr>
                <w:color w:val="2864AF"/>
              </w:rPr>
              <w:t>B</w:t>
            </w:r>
          </w:p>
        </w:tc>
        <w:tc>
          <w:tcPr>
            <w:tcW w:w="60" w:type="dxa"/>
            <w:tcBorders>
              <w:bottom w:val="single" w:sz="2" w:space="0" w:color="3B58A4"/>
            </w:tcBorders>
            <w:vAlign w:val="center"/>
          </w:tcPr>
          <w:p>
            <w:pPr>
              <w:pStyle w:val="TableContents"/>
              <w:bidi w:val="0"/>
              <w:spacing w:before="0" w:after="283"/>
              <w:jc w:val="left"/>
              <w:rPr/>
            </w:pPr>
            <w:r>
              <w:rPr/>
              <w:t> </w:t>
            </w:r>
          </w:p>
        </w:tc>
        <w:tc>
          <w:tcPr>
            <w:tcW w:w="3055" w:type="dxa"/>
            <w:tcBorders>
              <w:bottom w:val="single" w:sz="2" w:space="0" w:color="3B58A4"/>
            </w:tcBorders>
            <w:vAlign w:val="center"/>
          </w:tcPr>
          <w:p>
            <w:pPr>
              <w:pStyle w:val="TableContents"/>
              <w:bidi w:val="0"/>
              <w:spacing w:before="0" w:after="283"/>
              <w:jc w:val="right"/>
              <w:rPr>
                <w:color w:val="2864AF"/>
              </w:rPr>
            </w:pPr>
            <w:r>
              <w:rPr>
                <w:color w:val="2864AF"/>
              </w:rPr>
              <w:t>C</w:t>
            </w:r>
          </w:p>
        </w:tc>
      </w:tr>
      <w:tr>
        <w:trPr/>
        <w:tc>
          <w:tcPr>
            <w:tcW w:w="3047" w:type="dxa"/>
            <w:tcBorders>
              <w:bottom w:val="single" w:sz="2" w:space="0" w:color="3B58A4"/>
            </w:tcBorders>
            <w:vAlign w:val="center"/>
          </w:tcPr>
          <w:p>
            <w:pPr>
              <w:pStyle w:val="TableContents"/>
              <w:bidi w:val="0"/>
              <w:spacing w:before="0" w:after="283"/>
              <w:jc w:val="left"/>
              <w:rPr>
                <w:color w:val="2864AF"/>
              </w:rPr>
            </w:pPr>
            <w:r>
              <w:rPr>
                <w:color w:val="2864AF"/>
              </w:rPr>
              <w:t>Plan Category</w:t>
            </w:r>
          </w:p>
        </w:tc>
        <w:tc>
          <w:tcPr>
            <w:tcW w:w="60" w:type="dxa"/>
            <w:tcBorders>
              <w:bottom w:val="single" w:sz="2" w:space="0" w:color="3B58A4"/>
            </w:tcBorders>
            <w:vAlign w:val="center"/>
          </w:tcPr>
          <w:p>
            <w:pPr>
              <w:pStyle w:val="TableContents"/>
              <w:bidi w:val="0"/>
              <w:spacing w:before="0" w:after="283"/>
              <w:jc w:val="left"/>
              <w:rPr/>
            </w:pPr>
            <w:r>
              <w:rPr/>
              <w:t> </w:t>
            </w:r>
          </w:p>
        </w:tc>
        <w:tc>
          <w:tcPr>
            <w:tcW w:w="2087" w:type="dxa"/>
            <w:tcBorders>
              <w:bottom w:val="single" w:sz="2" w:space="0" w:color="3B58A4"/>
            </w:tcBorders>
            <w:vAlign w:val="center"/>
          </w:tcPr>
          <w:p>
            <w:pPr>
              <w:pStyle w:val="TableContents"/>
              <w:bidi w:val="0"/>
              <w:spacing w:before="0" w:after="283"/>
              <w:jc w:val="right"/>
              <w:rPr/>
            </w:pPr>
            <w:r>
              <w:rPr>
                <w:color w:val="2864AF"/>
              </w:rPr>
              <w:t>Number of securities</w:t>
            </w:r>
            <w:r>
              <w:rPr/>
              <w:t xml:space="preserve"> </w:t>
              <w:br/>
            </w:r>
            <w:r>
              <w:rPr>
                <w:color w:val="2864AF"/>
              </w:rPr>
              <w:t>to be issued upon</w:t>
            </w:r>
            <w:r>
              <w:rPr/>
              <w:t xml:space="preserve"> </w:t>
              <w:br/>
            </w:r>
            <w:r>
              <w:rPr>
                <w:color w:val="2864AF"/>
              </w:rPr>
              <w:t>exercise of</w:t>
            </w:r>
            <w:r>
              <w:rPr/>
              <w:t xml:space="preserve"> </w:t>
              <w:br/>
            </w:r>
            <w:r>
              <w:rPr>
                <w:color w:val="2864AF"/>
              </w:rPr>
              <w:t>outstanding options,</w:t>
            </w:r>
            <w:r>
              <w:rPr/>
              <w:t xml:space="preserve"> </w:t>
              <w:br/>
            </w:r>
            <w:r>
              <w:rPr>
                <w:color w:val="2864AF"/>
              </w:rPr>
              <w:t>warrants, and rights</w:t>
            </w:r>
          </w:p>
        </w:tc>
        <w:tc>
          <w:tcPr>
            <w:tcW w:w="60" w:type="dxa"/>
            <w:tcBorders>
              <w:bottom w:val="single" w:sz="2" w:space="0" w:color="3B58A4"/>
            </w:tcBorders>
            <w:vAlign w:val="center"/>
          </w:tcPr>
          <w:p>
            <w:pPr>
              <w:pStyle w:val="TableContents"/>
              <w:bidi w:val="0"/>
              <w:spacing w:before="0" w:after="283"/>
              <w:jc w:val="left"/>
              <w:rPr/>
            </w:pPr>
            <w:r>
              <w:rPr/>
              <w:t> </w:t>
            </w:r>
          </w:p>
        </w:tc>
        <w:tc>
          <w:tcPr>
            <w:tcW w:w="1836" w:type="dxa"/>
            <w:tcBorders>
              <w:bottom w:val="single" w:sz="2" w:space="0" w:color="3B58A4"/>
            </w:tcBorders>
            <w:vAlign w:val="center"/>
          </w:tcPr>
          <w:p>
            <w:pPr>
              <w:pStyle w:val="TableContents"/>
              <w:bidi w:val="0"/>
              <w:spacing w:before="0" w:after="283"/>
              <w:jc w:val="right"/>
              <w:rPr/>
            </w:pPr>
            <w:r>
              <w:rPr>
                <w:color w:val="2864AF"/>
              </w:rPr>
              <w:t>Weighted-average</w:t>
            </w:r>
            <w:r>
              <w:rPr/>
              <w:t xml:space="preserve"> </w:t>
              <w:br/>
            </w:r>
            <w:r>
              <w:rPr>
                <w:color w:val="2864AF"/>
              </w:rPr>
              <w:t>exercise price of</w:t>
            </w:r>
            <w:r>
              <w:rPr/>
              <w:t xml:space="preserve"> </w:t>
              <w:br/>
            </w:r>
            <w:r>
              <w:rPr>
                <w:color w:val="2864AF"/>
              </w:rPr>
              <w:t>outstanding options,</w:t>
            </w:r>
            <w:r>
              <w:rPr/>
              <w:t xml:space="preserve"> </w:t>
              <w:br/>
            </w:r>
            <w:r>
              <w:rPr>
                <w:color w:val="2864AF"/>
              </w:rPr>
              <w:t>warrants, and rights</w:t>
            </w:r>
            <w:r>
              <w:rPr/>
              <w:t xml:space="preserve"> </w:t>
              <w:br/>
            </w:r>
            <w:r>
              <w:rPr>
                <w:color w:val="2864AF"/>
              </w:rPr>
              <w:t>($)</w:t>
            </w:r>
          </w:p>
        </w:tc>
        <w:tc>
          <w:tcPr>
            <w:tcW w:w="60" w:type="dxa"/>
            <w:tcBorders>
              <w:bottom w:val="single" w:sz="2" w:space="0" w:color="3B58A4"/>
            </w:tcBorders>
            <w:vAlign w:val="center"/>
          </w:tcPr>
          <w:p>
            <w:pPr>
              <w:pStyle w:val="TableContents"/>
              <w:bidi w:val="0"/>
              <w:spacing w:before="0" w:after="283"/>
              <w:jc w:val="left"/>
              <w:rPr/>
            </w:pPr>
            <w:r>
              <w:rPr/>
              <w:t> </w:t>
            </w:r>
          </w:p>
        </w:tc>
        <w:tc>
          <w:tcPr>
            <w:tcW w:w="3055" w:type="dxa"/>
            <w:tcBorders>
              <w:bottom w:val="single" w:sz="2" w:space="0" w:color="3B58A4"/>
            </w:tcBorders>
            <w:vAlign w:val="center"/>
          </w:tcPr>
          <w:p>
            <w:pPr>
              <w:pStyle w:val="TableContents"/>
              <w:bidi w:val="0"/>
              <w:spacing w:before="0" w:after="283"/>
              <w:jc w:val="right"/>
              <w:rPr/>
            </w:pPr>
            <w:r>
              <w:rPr>
                <w:color w:val="2864AF"/>
              </w:rPr>
              <w:t>Number of securities</w:t>
            </w:r>
            <w:r>
              <w:rPr/>
              <w:t xml:space="preserve"> </w:t>
              <w:br/>
            </w:r>
            <w:r>
              <w:rPr>
                <w:color w:val="2864AF"/>
              </w:rPr>
              <w:t>remaining available for</w:t>
            </w:r>
            <w:r>
              <w:rPr/>
              <w:t xml:space="preserve"> </w:t>
              <w:br/>
            </w:r>
            <w:r>
              <w:rPr>
                <w:color w:val="2864AF"/>
              </w:rPr>
              <w:t>future issuance under</w:t>
            </w:r>
            <w:r>
              <w:rPr/>
              <w:t xml:space="preserve"> </w:t>
              <w:br/>
            </w:r>
            <w:r>
              <w:rPr>
                <w:color w:val="2864AF"/>
              </w:rPr>
              <w:t>equity compensation</w:t>
            </w:r>
            <w:r>
              <w:rPr/>
              <w:t xml:space="preserve"> </w:t>
              <w:br/>
            </w:r>
            <w:r>
              <w:rPr>
                <w:color w:val="2864AF"/>
              </w:rPr>
              <w:t>plans (excluding securities</w:t>
            </w:r>
            <w:r>
              <w:rPr/>
              <w:t xml:space="preserve"> </w:t>
              <w:br/>
            </w:r>
            <w:r>
              <w:rPr>
                <w:color w:val="2864AF"/>
              </w:rPr>
              <w:t>reflected in column A)</w:t>
            </w:r>
          </w:p>
        </w:tc>
      </w:tr>
      <w:tr>
        <w:trPr/>
        <w:tc>
          <w:tcPr>
            <w:tcW w:w="3047" w:type="dxa"/>
            <w:tcBorders>
              <w:bottom w:val="single" w:sz="2" w:space="0" w:color="CCCCCC"/>
            </w:tcBorders>
            <w:vAlign w:val="center"/>
          </w:tcPr>
          <w:p>
            <w:pPr>
              <w:pStyle w:val="TableContents"/>
              <w:bidi w:val="0"/>
              <w:spacing w:before="0" w:after="283"/>
              <w:jc w:val="left"/>
              <w:rPr/>
            </w:pPr>
            <w:r>
              <w:rPr>
                <w:color w:val="231F20"/>
              </w:rPr>
              <w:t>Equity compensation plans approved by security</w:t>
            </w:r>
            <w:r>
              <w:rPr/>
              <w:t xml:space="preserve"> </w:t>
            </w:r>
            <w:r>
              <w:rPr>
                <w:color w:val="231F20"/>
              </w:rPr>
              <w:t>holders</w:t>
            </w:r>
            <w:r>
              <w:rPr>
                <w:color w:val="231F20"/>
                <w:position w:val="8"/>
                <w:sz w:val="19"/>
              </w:rPr>
              <w:t>1</w:t>
            </w:r>
          </w:p>
        </w:tc>
        <w:tc>
          <w:tcPr>
            <w:tcW w:w="60" w:type="dxa"/>
            <w:tcBorders>
              <w:bottom w:val="single" w:sz="2" w:space="0" w:color="CCCCCC"/>
            </w:tcBorders>
            <w:vAlign w:val="center"/>
          </w:tcPr>
          <w:p>
            <w:pPr>
              <w:pStyle w:val="TableContents"/>
              <w:bidi w:val="0"/>
              <w:spacing w:before="0" w:after="283"/>
              <w:jc w:val="left"/>
              <w:rPr/>
            </w:pPr>
            <w:r>
              <w:rPr/>
              <w:t> </w:t>
            </w:r>
          </w:p>
        </w:tc>
        <w:tc>
          <w:tcPr>
            <w:tcW w:w="2087" w:type="dxa"/>
            <w:tcBorders>
              <w:bottom w:val="single" w:sz="2" w:space="0" w:color="CCCCCC"/>
            </w:tcBorders>
            <w:vAlign w:val="center"/>
          </w:tcPr>
          <w:p>
            <w:pPr>
              <w:pStyle w:val="TableContents"/>
              <w:bidi w:val="0"/>
              <w:spacing w:before="0" w:after="283"/>
              <w:jc w:val="right"/>
              <w:rPr/>
            </w:pPr>
            <w:r>
              <w:rPr>
                <w:color w:val="231F20"/>
              </w:rPr>
              <w:t>14,434,056</w:t>
            </w:r>
            <w:r>
              <w:rPr>
                <w:color w:val="231F20"/>
                <w:position w:val="8"/>
                <w:sz w:val="19"/>
              </w:rPr>
              <w:t xml:space="preserve">3 </w:t>
            </w:r>
            <w:r>
              <w:rPr>
                <w:color w:val="231F20"/>
              </w:rPr>
              <w:t>shares of</w:t>
            </w:r>
            <w:r>
              <w:rPr/>
              <w:t xml:space="preserve"> </w:t>
            </w:r>
            <w:r>
              <w:rPr>
                <w:color w:val="231F20"/>
              </w:rPr>
              <w:t>common stock</w:t>
            </w:r>
          </w:p>
        </w:tc>
        <w:tc>
          <w:tcPr>
            <w:tcW w:w="60" w:type="dxa"/>
            <w:tcBorders>
              <w:bottom w:val="single" w:sz="2" w:space="0" w:color="CCCCCC"/>
            </w:tcBorders>
            <w:vAlign w:val="center"/>
          </w:tcPr>
          <w:p>
            <w:pPr>
              <w:pStyle w:val="TableContents"/>
              <w:bidi w:val="0"/>
              <w:spacing w:before="0" w:after="283"/>
              <w:jc w:val="left"/>
              <w:rPr/>
            </w:pPr>
            <w:r>
              <w:rPr/>
              <w:t> </w:t>
            </w:r>
          </w:p>
        </w:tc>
        <w:tc>
          <w:tcPr>
            <w:tcW w:w="1836" w:type="dxa"/>
            <w:tcBorders>
              <w:bottom w:val="single" w:sz="2" w:space="0" w:color="CCCCCC"/>
            </w:tcBorders>
            <w:vAlign w:val="center"/>
          </w:tcPr>
          <w:p>
            <w:pPr>
              <w:pStyle w:val="TableContents"/>
              <w:bidi w:val="0"/>
              <w:spacing w:before="0" w:after="283"/>
              <w:jc w:val="right"/>
              <w:rPr>
                <w:color w:val="231F20"/>
              </w:rPr>
            </w:pPr>
            <w:r>
              <w:rPr>
                <w:color w:val="231F20"/>
              </w:rPr>
              <w:t>588.47</w:t>
            </w:r>
            <w:r>
              <w:rPr>
                <w:color w:val="231F20"/>
                <w:position w:val="8"/>
                <w:sz w:val="19"/>
              </w:rPr>
              <w:t>4</w:t>
            </w:r>
          </w:p>
        </w:tc>
        <w:tc>
          <w:tcPr>
            <w:tcW w:w="60" w:type="dxa"/>
            <w:tcBorders>
              <w:bottom w:val="single" w:sz="2" w:space="0" w:color="CCCCCC"/>
            </w:tcBorders>
            <w:vAlign w:val="center"/>
          </w:tcPr>
          <w:p>
            <w:pPr>
              <w:pStyle w:val="TableContents"/>
              <w:bidi w:val="0"/>
              <w:spacing w:before="0" w:after="283"/>
              <w:jc w:val="left"/>
              <w:rPr/>
            </w:pPr>
            <w:r>
              <w:rPr/>
              <w:t> </w:t>
            </w:r>
          </w:p>
        </w:tc>
        <w:tc>
          <w:tcPr>
            <w:tcW w:w="3055" w:type="dxa"/>
            <w:tcBorders>
              <w:bottom w:val="single" w:sz="2" w:space="0" w:color="CCCCCC"/>
            </w:tcBorders>
            <w:vAlign w:val="center"/>
          </w:tcPr>
          <w:p>
            <w:pPr>
              <w:pStyle w:val="TableContents"/>
              <w:bidi w:val="0"/>
              <w:spacing w:before="0" w:after="283"/>
              <w:jc w:val="right"/>
              <w:rPr>
                <w:color w:val="231F20"/>
              </w:rPr>
            </w:pPr>
            <w:r>
              <w:rPr>
                <w:color w:val="231F20"/>
              </w:rPr>
              <w:t>13,142,728 shares of common stock</w:t>
            </w:r>
            <w:r>
              <w:rPr>
                <w:color w:val="231F20"/>
                <w:position w:val="8"/>
                <w:sz w:val="19"/>
              </w:rPr>
              <w:t>5</w:t>
            </w:r>
          </w:p>
        </w:tc>
      </w:tr>
      <w:tr>
        <w:trPr/>
        <w:tc>
          <w:tcPr>
            <w:tcW w:w="3047" w:type="dxa"/>
            <w:tcBorders>
              <w:bottom w:val="single" w:sz="2" w:space="0" w:color="CCCCCC"/>
            </w:tcBorders>
            <w:shd w:fill="EBEBEC" w:val="clear"/>
            <w:vAlign w:val="center"/>
          </w:tcPr>
          <w:p>
            <w:pPr>
              <w:pStyle w:val="TableContents"/>
              <w:bidi w:val="0"/>
              <w:spacing w:before="0" w:after="283"/>
              <w:jc w:val="left"/>
              <w:rPr/>
            </w:pPr>
            <w:r>
              <w:rPr>
                <w:color w:val="231F20"/>
              </w:rPr>
              <w:t>Equity compensation plans not approved by security</w:t>
            </w:r>
            <w:r>
              <w:rPr/>
              <w:t xml:space="preserve"> </w:t>
            </w:r>
            <w:r>
              <w:rPr>
                <w:color w:val="231F20"/>
              </w:rPr>
              <w:t>holders</w:t>
            </w:r>
            <w:r>
              <w:rPr>
                <w:color w:val="231F20"/>
                <w:position w:val="8"/>
                <w:sz w:val="19"/>
              </w:rPr>
              <w:t>2</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2087"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1836" w:type="dxa"/>
            <w:tcBorders>
              <w:bottom w:val="single" w:sz="2" w:space="0" w:color="CCCCCC"/>
            </w:tcBorders>
            <w:shd w:fill="EBEBEC" w:val="clear"/>
            <w:vAlign w:val="center"/>
          </w:tcPr>
          <w:p>
            <w:pPr>
              <w:pStyle w:val="TableContents"/>
              <w:bidi w:val="0"/>
              <w:spacing w:before="0" w:after="283"/>
              <w:jc w:val="right"/>
              <w:rPr>
                <w:color w:val="231F20"/>
              </w:rPr>
            </w:pPr>
            <w:r>
              <w:rPr>
                <w:color w:val="231F20"/>
              </w:rPr>
              <w:t>—</w:t>
            </w:r>
          </w:p>
        </w:tc>
        <w:tc>
          <w:tcPr>
            <w:tcW w:w="60" w:type="dxa"/>
            <w:tcBorders>
              <w:bottom w:val="single" w:sz="2" w:space="0" w:color="CCCCCC"/>
            </w:tcBorders>
            <w:shd w:fill="EBEBEC" w:val="clear"/>
            <w:vAlign w:val="center"/>
          </w:tcPr>
          <w:p>
            <w:pPr>
              <w:pStyle w:val="TableContents"/>
              <w:bidi w:val="0"/>
              <w:spacing w:before="0" w:after="283"/>
              <w:jc w:val="left"/>
              <w:rPr/>
            </w:pPr>
            <w:r>
              <w:rPr/>
              <w:t> </w:t>
            </w:r>
          </w:p>
        </w:tc>
        <w:tc>
          <w:tcPr>
            <w:tcW w:w="3055" w:type="dxa"/>
            <w:tcBorders>
              <w:bottom w:val="single" w:sz="2" w:space="0" w:color="CCCCCC"/>
            </w:tcBorders>
            <w:shd w:fill="EBEBEC" w:val="clear"/>
            <w:vAlign w:val="center"/>
          </w:tcPr>
          <w:p>
            <w:pPr>
              <w:pStyle w:val="TableContents"/>
              <w:bidi w:val="0"/>
              <w:spacing w:before="0" w:after="283"/>
              <w:jc w:val="right"/>
              <w:rPr/>
            </w:pPr>
            <w:r>
              <w:rPr>
                <w:color w:val="231F20"/>
              </w:rPr>
              <w:t>44,246 shares of</w:t>
            </w:r>
            <w:r>
              <w:rPr/>
              <w:t xml:space="preserve"> </w:t>
              <w:br/>
            </w:r>
            <w:r>
              <w:rPr>
                <w:color w:val="231F20"/>
              </w:rPr>
              <w:t>Class A stock</w:t>
            </w:r>
          </w:p>
        </w:tc>
      </w:tr>
      <w:tr>
        <w:trPr/>
        <w:tc>
          <w:tcPr>
            <w:tcW w:w="3047" w:type="dxa"/>
            <w:tcBorders>
              <w:bottom w:val="single" w:sz="2" w:space="0" w:color="3B58A4"/>
            </w:tcBorders>
            <w:vAlign w:val="center"/>
          </w:tcPr>
          <w:p>
            <w:pPr>
              <w:pStyle w:val="TableContents"/>
              <w:bidi w:val="0"/>
              <w:spacing w:before="0" w:after="283"/>
              <w:jc w:val="left"/>
              <w:rPr>
                <w:color w:val="231F20"/>
              </w:rPr>
            </w:pPr>
            <w:r>
              <w:rPr>
                <w:color w:val="231F20"/>
              </w:rPr>
              <w:t>Total</w:t>
            </w:r>
          </w:p>
        </w:tc>
        <w:tc>
          <w:tcPr>
            <w:tcW w:w="60" w:type="dxa"/>
            <w:tcBorders>
              <w:bottom w:val="single" w:sz="2" w:space="0" w:color="3B58A4"/>
            </w:tcBorders>
            <w:vAlign w:val="center"/>
          </w:tcPr>
          <w:p>
            <w:pPr>
              <w:pStyle w:val="TableContents"/>
              <w:bidi w:val="0"/>
              <w:spacing w:before="0" w:after="283"/>
              <w:jc w:val="left"/>
              <w:rPr/>
            </w:pPr>
            <w:r>
              <w:rPr/>
              <w:t> </w:t>
            </w:r>
          </w:p>
        </w:tc>
        <w:tc>
          <w:tcPr>
            <w:tcW w:w="2087" w:type="dxa"/>
            <w:tcBorders>
              <w:bottom w:val="single" w:sz="2" w:space="0" w:color="3B58A4"/>
            </w:tcBorders>
            <w:vAlign w:val="center"/>
          </w:tcPr>
          <w:p>
            <w:pPr>
              <w:pStyle w:val="TableContents"/>
              <w:bidi w:val="0"/>
              <w:spacing w:before="0" w:after="283"/>
              <w:jc w:val="right"/>
              <w:rPr/>
            </w:pPr>
            <w:r>
              <w:rPr>
                <w:color w:val="231F20"/>
              </w:rPr>
              <w:t>14,434,056 shares of</w:t>
            </w:r>
            <w:r>
              <w:rPr/>
              <w:t xml:space="preserve"> </w:t>
            </w:r>
            <w:r>
              <w:rPr>
                <w:color w:val="231F20"/>
              </w:rPr>
              <w:t>common stock</w:t>
            </w:r>
          </w:p>
        </w:tc>
        <w:tc>
          <w:tcPr>
            <w:tcW w:w="60" w:type="dxa"/>
            <w:tcBorders>
              <w:bottom w:val="single" w:sz="2" w:space="0" w:color="3B58A4"/>
            </w:tcBorders>
            <w:vAlign w:val="center"/>
          </w:tcPr>
          <w:p>
            <w:pPr>
              <w:pStyle w:val="TableContents"/>
              <w:bidi w:val="0"/>
              <w:spacing w:before="0" w:after="283"/>
              <w:jc w:val="left"/>
              <w:rPr/>
            </w:pPr>
            <w:r>
              <w:rPr/>
              <w:t> </w:t>
            </w:r>
          </w:p>
        </w:tc>
        <w:tc>
          <w:tcPr>
            <w:tcW w:w="1836" w:type="dxa"/>
            <w:tcBorders>
              <w:bottom w:val="single" w:sz="2" w:space="0" w:color="3B58A4"/>
            </w:tcBorders>
            <w:vAlign w:val="center"/>
          </w:tcPr>
          <w:p>
            <w:pPr>
              <w:pStyle w:val="TableContents"/>
              <w:bidi w:val="0"/>
              <w:spacing w:before="0" w:after="283"/>
              <w:jc w:val="right"/>
              <w:rPr>
                <w:color w:val="231F20"/>
              </w:rPr>
            </w:pPr>
            <w:r>
              <w:rPr>
                <w:color w:val="231F20"/>
              </w:rPr>
              <w:t>588.47</w:t>
            </w:r>
          </w:p>
        </w:tc>
        <w:tc>
          <w:tcPr>
            <w:tcW w:w="60" w:type="dxa"/>
            <w:tcBorders>
              <w:bottom w:val="single" w:sz="2" w:space="0" w:color="3B58A4"/>
            </w:tcBorders>
            <w:vAlign w:val="center"/>
          </w:tcPr>
          <w:p>
            <w:pPr>
              <w:pStyle w:val="TableContents"/>
              <w:bidi w:val="0"/>
              <w:spacing w:before="0" w:after="283"/>
              <w:jc w:val="left"/>
              <w:rPr/>
            </w:pPr>
            <w:r>
              <w:rPr/>
              <w:t> </w:t>
            </w:r>
          </w:p>
        </w:tc>
        <w:tc>
          <w:tcPr>
            <w:tcW w:w="3055" w:type="dxa"/>
            <w:tcBorders>
              <w:bottom w:val="single" w:sz="2" w:space="0" w:color="3B58A4"/>
            </w:tcBorders>
            <w:vAlign w:val="center"/>
          </w:tcPr>
          <w:p>
            <w:pPr>
              <w:pStyle w:val="TableContents"/>
              <w:bidi w:val="0"/>
              <w:spacing w:before="0" w:after="283"/>
              <w:jc w:val="right"/>
              <w:rPr/>
            </w:pPr>
            <w:r>
              <w:rPr>
                <w:color w:val="231F20"/>
              </w:rPr>
              <w:t>13,186,974 shares of</w:t>
            </w:r>
            <w:r>
              <w:rPr/>
              <w:t xml:space="preserve"> </w:t>
            </w:r>
            <w:r>
              <w:rPr>
                <w:color w:val="231F20"/>
              </w:rPr>
              <w:t>common stock and</w:t>
            </w:r>
            <w:r>
              <w:rPr/>
              <w:t xml:space="preserve"> </w:t>
              <w:br/>
            </w:r>
            <w:r>
              <w:rPr>
                <w:color w:val="231F20"/>
              </w:rPr>
              <w:t>Class A stock</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1</w:t>
            </w:r>
          </w:p>
        </w:tc>
        <w:tc>
          <w:tcPr>
            <w:tcW w:w="10065" w:type="dxa"/>
            <w:tcBorders/>
            <w:vAlign w:val="center"/>
          </w:tcPr>
          <w:p>
            <w:pPr>
              <w:pStyle w:val="TableContents"/>
              <w:bidi w:val="0"/>
              <w:spacing w:before="0" w:after="283"/>
              <w:jc w:val="left"/>
              <w:rPr>
                <w:color w:val="231F20"/>
              </w:rPr>
            </w:pPr>
            <w:r>
              <w:rPr>
                <w:color w:val="231F20"/>
              </w:rPr>
              <w:t>The equity compensation plans approved by the security holders are the Regeneron Pharmaceuticals, Inc. 2014 Long-Term Incentive Plan; the Amended and Restated Regeneron Pharmaceuticals, Inc. 2014 Long-Term Incentive Plan; and the Second Amended and Restated Regeneron Pharmaceuticals, Inc. 2014 Long-Term Incentive Plan. The Second Amended and Restated Regeneron Pharmaceuticals, Inc. 2014 Long-Term Incentive Plan is the only plan currently used by the Company to grant equity awards.</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2</w:t>
            </w:r>
          </w:p>
        </w:tc>
        <w:tc>
          <w:tcPr>
            <w:tcW w:w="10065" w:type="dxa"/>
            <w:tcBorders/>
            <w:vAlign w:val="center"/>
          </w:tcPr>
          <w:p>
            <w:pPr>
              <w:pStyle w:val="TableContents"/>
              <w:bidi w:val="0"/>
              <w:spacing w:before="0" w:after="283"/>
              <w:jc w:val="left"/>
              <w:rPr>
                <w:color w:val="231F20"/>
              </w:rPr>
            </w:pPr>
            <w:r>
              <w:rPr>
                <w:color w:val="231F20"/>
              </w:rPr>
              <w:t>The equity compensation plan not approved by the security holders is the Executive Stock Purchase Plan. It was adopted in 1989 and provides for the Compensation Committee of the board of directors to award employees, directors, consultants, and other individuals who render service to the Company the right to purchase Class A stock at a price set by the Compensation Committee. The Plan provides for the vesting of shares as determined by the Compensation Committee; should the Company’s relationship with a Plan participant terminate before all shares are vested, unvested shares will be repurchased by the Company at a price per share equal to the original amount paid by the Plan participant. As of December 31, 2024, there were no unvested shares and 44,246 shares of Class A stock available for future grants under the Plan.</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3</w:t>
            </w:r>
          </w:p>
        </w:tc>
        <w:tc>
          <w:tcPr>
            <w:tcW w:w="10065" w:type="dxa"/>
            <w:tcBorders/>
            <w:vAlign w:val="center"/>
          </w:tcPr>
          <w:p>
            <w:pPr>
              <w:pStyle w:val="TableContents"/>
              <w:bidi w:val="0"/>
              <w:spacing w:before="0" w:after="283"/>
              <w:jc w:val="left"/>
              <w:rPr>
                <w:color w:val="231F20"/>
              </w:rPr>
            </w:pPr>
            <w:r>
              <w:rPr>
                <w:color w:val="231F20"/>
              </w:rPr>
              <w:t>This amount consists of (i) 12,691,745 shares to be issued upon exercise of outstanding options, (ii) 301,771 shares to be issued upon vesting of outstanding RSUs, and (iii) 1,440,540 shares to be issued upon vesting of outstanding PSUs (assuming, in the case of PSUs, maximum payouts earned).</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4</w:t>
            </w:r>
          </w:p>
        </w:tc>
        <w:tc>
          <w:tcPr>
            <w:tcW w:w="10065" w:type="dxa"/>
            <w:tcBorders/>
            <w:vAlign w:val="center"/>
          </w:tcPr>
          <w:p>
            <w:pPr>
              <w:pStyle w:val="TableContents"/>
              <w:bidi w:val="0"/>
              <w:spacing w:before="0" w:after="283"/>
              <w:jc w:val="left"/>
              <w:rPr>
                <w:color w:val="231F20"/>
              </w:rPr>
            </w:pPr>
            <w:r>
              <w:rPr>
                <w:color w:val="231F20"/>
              </w:rPr>
              <w:t>The calculation of the weighted-average exercise price does not include the 301,771 shares to be issued upon vesting of RSUs or the 1,440,540 shares to be issued upon vesting of PSUs (assuming, in the case of PSUs, maximum payouts earned), as RSUs and PSUs do not have an exercise price.</w:t>
            </w:r>
          </w:p>
        </w:tc>
      </w:tr>
      <w:tr>
        <w:trPr/>
        <w:tc>
          <w:tcPr>
            <w:tcW w:w="140" w:type="dxa"/>
            <w:tcBorders/>
            <w:vAlign w:val="center"/>
          </w:tcPr>
          <w:p>
            <w:pPr>
              <w:pStyle w:val="TableContents"/>
              <w:bidi w:val="0"/>
              <w:spacing w:before="0" w:after="283"/>
              <w:jc w:val="left"/>
              <w:rPr>
                <w:color w:val="010101"/>
                <w:position w:val="8"/>
                <w:sz w:val="19"/>
              </w:rPr>
            </w:pPr>
            <w:r>
              <w:rPr>
                <w:color w:val="010101"/>
                <w:position w:val="8"/>
                <w:sz w:val="19"/>
              </w:rPr>
              <w:t>5</w:t>
            </w:r>
          </w:p>
        </w:tc>
        <w:tc>
          <w:tcPr>
            <w:tcW w:w="10065" w:type="dxa"/>
            <w:tcBorders/>
            <w:vAlign w:val="center"/>
          </w:tcPr>
          <w:p>
            <w:pPr>
              <w:pStyle w:val="TableContents"/>
              <w:bidi w:val="0"/>
              <w:spacing w:before="0" w:after="283"/>
              <w:jc w:val="left"/>
              <w:rPr>
                <w:color w:val="231F20"/>
              </w:rPr>
            </w:pPr>
            <w:r>
              <w:rPr>
                <w:color w:val="231F20"/>
              </w:rPr>
              <w:t>This amount is net of 2,340,994 outstanding RSAs. As these shares are issued and outstanding upon grant, they are not included in the amounts reported in column A.  </w:t>
            </w:r>
          </w:p>
        </w:tc>
      </w:tr>
    </w:tbl>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51"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330" descr=""/>
                          <pic:cNvPicPr>
                            <a:picLocks noChangeAspect="1" noChangeArrowheads="1"/>
                          </pic:cNvPicPr>
                        </pic:nvPicPr>
                        <pic:blipFill>
                          <a:blip r:embed="rId342"/>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994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34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bottom w:val="single" w:sz="18" w:space="0" w:color="C60C45"/>
            </w:tcBorders>
            <w:tcMar>
              <w:bottom w:w="45" w:type="dxa"/>
            </w:tcMar>
            <w:vAlign w:val="center"/>
          </w:tcPr>
          <w:p>
            <w:pPr>
              <w:pStyle w:val="TableContents"/>
              <w:bidi w:val="0"/>
              <w:spacing w:before="0" w:after="283"/>
              <w:jc w:val="left"/>
              <w:rPr/>
            </w:pPr>
            <w:hyperlink w:anchor="regn013211-def14ac005">
              <w:r>
                <w:rPr>
                  <w:rStyle w:val="InternetLink"/>
                  <w:b/>
                  <w:strike w:val="false"/>
                  <w:dstrike w:val="false"/>
                  <w:color w:val="3B5AA4"/>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hyperlink w:anchor="regn013211-def14ac006">
              <w:r>
                <w:rPr>
                  <w:rStyle w:val="InternetLink"/>
                  <w:strike w:val="false"/>
                  <w:dstrike w:val="false"/>
                  <w:color w:val="939598"/>
                  <w:u w:val="none"/>
                  <w:effect w:val="none"/>
                </w:rPr>
                <w:t>Other Matters</w:t>
              </w:r>
            </w:hyperlink>
          </w:p>
        </w:tc>
      </w:tr>
    </w:tbl>
    <w:p>
      <w:pPr>
        <w:pStyle w:val="TextBody"/>
        <w:bidi w:val="0"/>
        <w:spacing w:before="0" w:after="0"/>
        <w:ind w:left="0" w:right="0" w:hanging="0"/>
        <w:jc w:val="left"/>
        <w:rPr>
          <w:caps w:val="false"/>
          <w:smallCaps w:val="false"/>
          <w:color w:val="2864AF"/>
        </w:rPr>
      </w:pPr>
      <w:r>
        <w:rPr>
          <w:caps w:val="false"/>
          <w:smallCaps w:val="false"/>
          <w:color w:val="2864AF"/>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shd w:fill="3B58A4" w:val="clear"/>
            <w:vAlign w:val="center"/>
          </w:tcPr>
          <w:p>
            <w:pPr>
              <w:pStyle w:val="TableContents"/>
              <w:bidi w:val="0"/>
              <w:spacing w:before="0" w:after="283"/>
              <w:jc w:val="left"/>
              <w:rPr/>
            </w:pPr>
            <w:r>
              <w:rPr/>
              <w:t>    </w:t>
            </w:r>
          </w:p>
        </w:tc>
        <w:tc>
          <w:tcPr>
            <w:tcW w:w="9950" w:type="dxa"/>
            <w:tcBorders/>
            <w:shd w:fill="EBEDF8" w:val="clear"/>
            <w:vAlign w:val="center"/>
          </w:tcPr>
          <w:p>
            <w:pPr>
              <w:pStyle w:val="Heading4"/>
              <w:bidi w:val="0"/>
              <w:spacing w:before="0" w:after="0"/>
              <w:ind w:left="0" w:right="0" w:hanging="0"/>
              <w:jc w:val="left"/>
              <w:rPr>
                <w:rFonts w:ascii="Arial;Helvetica;Sans-Serif" w:hAnsi="Arial;Helvetica;Sans-Serif"/>
                <w:b/>
                <w:i w:val="false"/>
                <w:caps w:val="false"/>
                <w:smallCaps w:val="false"/>
                <w:color w:val="231F20"/>
                <w:sz w:val="18"/>
              </w:rPr>
            </w:pPr>
            <w:bookmarkStart w:id="272" w:name="regn013211-def14aa088"/>
            <w:bookmarkEnd w:id="272"/>
            <w:r>
              <w:rPr>
                <w:rFonts w:ascii="Arial;Helvetica;Sans-Serif" w:hAnsi="Arial;Helvetica;Sans-Serif"/>
                <w:b/>
                <w:i w:val="false"/>
                <w:caps w:val="false"/>
                <w:smallCaps w:val="false"/>
                <w:color w:val="231F20"/>
                <w:sz w:val="18"/>
              </w:rPr>
              <w:t>Proposal No. 3</w:t>
            </w:r>
          </w:p>
          <w:p>
            <w:pPr>
              <w:pStyle w:val="TableContents"/>
              <w:bidi w:val="0"/>
              <w:spacing w:before="0" w:after="0"/>
              <w:ind w:left="0" w:right="0" w:hanging="0"/>
              <w:jc w:val="left"/>
              <w:rPr>
                <w:rFonts w:ascii="Arial;Helvetica;Sans-Serif" w:hAnsi="Arial;Helvetica;Sans-Serif"/>
                <w:b/>
                <w:i w:val="false"/>
                <w:caps w:val="false"/>
                <w:smallCaps w:val="false"/>
                <w:color w:val="2864AF"/>
                <w:sz w:val="28"/>
              </w:rPr>
            </w:pPr>
            <w:r>
              <w:rPr>
                <w:rFonts w:ascii="Arial;Helvetica;Sans-Serif" w:hAnsi="Arial;Helvetica;Sans-Serif"/>
                <w:b/>
                <w:i w:val="false"/>
                <w:caps w:val="false"/>
                <w:smallCaps w:val="false"/>
                <w:color w:val="2864AF"/>
                <w:sz w:val="28"/>
              </w:rPr>
              <w:t>Advisory Vote on Compensation of Named Executive Officers (Say-on-Pay)</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75"/>
        <w:gridCol w:w="375"/>
        <w:gridCol w:w="9755"/>
      </w:tblGrid>
      <w:tr>
        <w:trPr/>
        <w:tc>
          <w:tcPr>
            <w:tcW w:w="75"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center"/>
              <w:rPr/>
            </w:pPr>
            <w:r>
              <w:rPr/>
              <w:drawing>
                <wp:inline distT="0" distB="0" distL="0" distR="0">
                  <wp:extent cx="238125" cy="238125"/>
                  <wp:effectExtent l="0" t="0" r="0" b="0"/>
                  <wp:docPr id="352"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331" descr=""/>
                          <pic:cNvPicPr>
                            <a:picLocks noChangeAspect="1" noChangeArrowheads="1"/>
                          </pic:cNvPicPr>
                        </pic:nvPicPr>
                        <pic:blipFill>
                          <a:blip r:embed="rId343"/>
                          <a:stretch>
                            <a:fillRect/>
                          </a:stretch>
                        </pic:blipFill>
                        <pic:spPr bwMode="auto">
                          <a:xfrm>
                            <a:off x="0" y="0"/>
                            <a:ext cx="238125" cy="238125"/>
                          </a:xfrm>
                          <a:prstGeom prst="rect">
                            <a:avLst/>
                          </a:prstGeom>
                        </pic:spPr>
                      </pic:pic>
                    </a:graphicData>
                  </a:graphic>
                </wp:inline>
              </w:drawing>
            </w:r>
          </w:p>
        </w:tc>
        <w:tc>
          <w:tcPr>
            <w:tcW w:w="9755" w:type="dxa"/>
            <w:tcBorders/>
            <w:vAlign w:val="center"/>
          </w:tcPr>
          <w:p>
            <w:pPr>
              <w:pStyle w:val="TableContents"/>
              <w:bidi w:val="0"/>
              <w:spacing w:before="0" w:after="283"/>
              <w:jc w:val="left"/>
              <w:rPr/>
            </w:pPr>
            <w:r>
              <w:rPr>
                <w:b/>
                <w:color w:val="231F20"/>
              </w:rPr>
              <w:t xml:space="preserve">The board of directors recommends a vote, on an advisory basis, </w:t>
            </w:r>
            <w:r>
              <w:rPr>
                <w:b/>
                <w:color w:val="2864AF"/>
              </w:rPr>
              <w:t xml:space="preserve">FOR </w:t>
            </w:r>
            <w:r>
              <w:rPr>
                <w:b/>
                <w:color w:val="231F20"/>
              </w:rPr>
              <w:t>approval of the compensation of our Named Executive Officers as disclosed in this proxy statement.</w:t>
            </w:r>
          </w:p>
        </w:tc>
      </w:tr>
      <w:tr>
        <w:trPr/>
        <w:tc>
          <w:tcPr>
            <w:tcW w:w="75" w:type="dxa"/>
            <w:tcBorders>
              <w:bottom w:val="single" w:sz="2" w:space="0" w:color="C60C44"/>
            </w:tcBorders>
            <w:tcMar>
              <w:bottom w:w="28" w:type="dxa"/>
            </w:tcMar>
            <w:vAlign w:val="center"/>
          </w:tcPr>
          <w:p>
            <w:pPr>
              <w:pStyle w:val="TableContents"/>
              <w:bidi w:val="0"/>
              <w:spacing w:before="0" w:after="283"/>
              <w:jc w:val="left"/>
              <w:rPr/>
            </w:pPr>
            <w:r>
              <w:rPr/>
              <w:t> </w:t>
            </w:r>
          </w:p>
        </w:tc>
        <w:tc>
          <w:tcPr>
            <w:tcW w:w="375" w:type="dxa"/>
            <w:tcBorders>
              <w:bottom w:val="single" w:sz="2" w:space="0" w:color="C60C44"/>
            </w:tcBorders>
            <w:tcMar>
              <w:bottom w:w="28" w:type="dxa"/>
            </w:tcMar>
            <w:vAlign w:val="center"/>
          </w:tcPr>
          <w:p>
            <w:pPr>
              <w:pStyle w:val="TableContents"/>
              <w:bidi w:val="0"/>
              <w:spacing w:before="0" w:after="283"/>
              <w:jc w:val="center"/>
              <w:rPr/>
            </w:pPr>
            <w:r>
              <w:rPr/>
              <w:t> </w:t>
            </w:r>
          </w:p>
        </w:tc>
        <w:tc>
          <w:tcPr>
            <w:tcW w:w="9755" w:type="dxa"/>
            <w:tcBorders>
              <w:bottom w:val="single" w:sz="2" w:space="0" w:color="C60C44"/>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As required by Section 14A of the Exchange Act, we are seeking, on an advisory basis, shareholder approval of the compensation of our NEOs as disclosed above (“say-on-pay” proposal). Specifically, shareholders are being asked to approve the following advisory resolution: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30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RESOLVED</w:t>
      </w:r>
      <w:r>
        <w:rPr>
          <w:rFonts w:ascii="Arial;Helvetica;Sans-Serif" w:hAnsi="Arial;Helvetica;Sans-Serif"/>
          <w:b w:val="false"/>
          <w:i w:val="false"/>
          <w:caps w:val="false"/>
          <w:smallCaps w:val="false"/>
          <w:color w:val="231F20"/>
          <w:sz w:val="18"/>
        </w:rPr>
        <w:t>, that the shareholders of Regeneron Pharmaceuticals, Inc. hereby approve the compensation of the Company’s Named Executive Officers, as disclosed in the Company’s proxy statement relating to the Company’s 2025 Annual Meeting (the “Proxy Statement”) pursuant to the compensation disclosure rules of the Securities and Exchange Commission (which disclosure includes the Compensation Discussion and Analysis, the compensation tables, and the related compensation information contained in the Proxy Statement).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In determining to recommend that shareholders approve the say-on-pay proposal, the board of directors considered, among other factors discussed under “Compensation Discussion and Analysis” above, the Company's accomplishments in 2024. Information regarding compensation of the relevant NEOs for 2024 is provided in the Summary Compensation Table included in this proxy statement.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recommends a vote FOR approval of the compensation of our Named Executive Officers as disclosed in this proxy statement. As an advisory vote, this proposal is non-binding on the Company. However, the board of directors and the Compensation Committee value your opinion and will review and consider the voting results in connection with their ongoing evaluation of our compensation program.</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53"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332" descr=""/>
                          <pic:cNvPicPr>
                            <a:picLocks noChangeAspect="1" noChangeArrowheads="1"/>
                          </pic:cNvPicPr>
                        </pic:nvPicPr>
                        <pic:blipFill>
                          <a:blip r:embed="rId344"/>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Heading1"/>
        <w:bidi w:val="0"/>
        <w:spacing w:before="0" w:after="0"/>
        <w:ind w:left="0" w:right="0" w:hanging="0"/>
        <w:jc w:val="left"/>
        <w:rPr>
          <w:rFonts w:ascii="Arial;Helvetica;Sans-Serif" w:hAnsi="Arial;Helvetica;Sans-Serif"/>
          <w:b/>
          <w:i w:val="false"/>
          <w:caps w:val="false"/>
          <w:smallCaps w:val="false"/>
          <w:color w:val="3B5AA4"/>
          <w:sz w:val="56"/>
        </w:rPr>
      </w:pPr>
      <w:bookmarkStart w:id="273" w:name="regn013211-def14aa089"/>
      <w:bookmarkStart w:id="274" w:name="regn013211-def14ac006"/>
      <w:bookmarkEnd w:id="273"/>
      <w:bookmarkEnd w:id="274"/>
      <w:r>
        <w:rPr>
          <w:rFonts w:ascii="Arial;Helvetica;Sans-Serif" w:hAnsi="Arial;Helvetica;Sans-Serif"/>
          <w:b/>
          <w:i w:val="false"/>
          <w:caps w:val="false"/>
          <w:smallCaps w:val="false"/>
          <w:color w:val="3B5AA4"/>
          <w:sz w:val="56"/>
        </w:rPr>
        <w:t>Other Matters</w:t>
      </w:r>
    </w:p>
    <w:p>
      <w:pPr>
        <w:pStyle w:val="TextBody"/>
        <w:bidi w:val="0"/>
        <w:spacing w:before="0" w:after="0"/>
        <w:ind w:left="0" w:right="0" w:hanging="0"/>
        <w:jc w:val="left"/>
        <w:rPr>
          <w:caps w:val="false"/>
          <w:smallCaps w:val="false"/>
          <w:color w:val="2864AF"/>
        </w:rPr>
      </w:pPr>
      <w:r>
        <w:rPr>
          <w:caps w:val="false"/>
          <w:smallCaps w:val="false"/>
          <w:color w:val="2864AF"/>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275" w:name="regn013211-def14aa090"/>
      <w:bookmarkEnd w:id="275"/>
      <w:r>
        <w:rPr>
          <w:rFonts w:ascii="Arial;Helvetica;Sans-Serif" w:hAnsi="Arial;Helvetica;Sans-Serif"/>
          <w:b/>
          <w:i w:val="false"/>
          <w:caps w:val="false"/>
          <w:smallCaps w:val="false"/>
          <w:color w:val="C60C45"/>
          <w:sz w:val="40"/>
        </w:rPr>
        <w:t>Proposed Amendments to our Certificate of Incorporation</w:t>
      </w:r>
    </w:p>
    <w:p>
      <w:pPr>
        <w:pStyle w:val="TextBody"/>
        <w:bidi w:val="0"/>
        <w:spacing w:before="0" w:after="0"/>
        <w:ind w:left="0" w:right="0" w:hanging="0"/>
        <w:jc w:val="left"/>
        <w:rPr>
          <w:caps w:val="false"/>
          <w:smallCaps w:val="false"/>
          <w:color w:val="DB0A67"/>
        </w:rPr>
      </w:pPr>
      <w:r>
        <w:rPr>
          <w:caps w:val="false"/>
          <w:smallCaps w:val="false"/>
          <w:color w:val="DB0A67"/>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shd w:fill="3B5AA4" w:val="clear"/>
            <w:vAlign w:val="center"/>
          </w:tcPr>
          <w:p>
            <w:pPr>
              <w:pStyle w:val="TableContents"/>
              <w:bidi w:val="0"/>
              <w:spacing w:before="0" w:after="283"/>
              <w:jc w:val="left"/>
              <w:rPr/>
            </w:pPr>
            <w:r>
              <w:rPr/>
              <w:t> </w:t>
            </w:r>
          </w:p>
        </w:tc>
        <w:tc>
          <w:tcPr>
            <w:tcW w:w="10130" w:type="dxa"/>
            <w:tcBorders/>
            <w:shd w:fill="EBEDF8" w:val="clear"/>
            <w:vAlign w:val="center"/>
          </w:tcPr>
          <w:p>
            <w:pPr>
              <w:pStyle w:val="Heading4"/>
              <w:bidi w:val="0"/>
              <w:spacing w:before="0" w:after="0"/>
              <w:ind w:left="0" w:right="0" w:hanging="0"/>
              <w:jc w:val="left"/>
              <w:rPr>
                <w:rFonts w:ascii="Arial;Helvetica;Sans-Serif" w:hAnsi="Arial;Helvetica;Sans-Serif"/>
                <w:b/>
                <w:i w:val="false"/>
                <w:caps w:val="false"/>
                <w:smallCaps w:val="false"/>
                <w:color w:val="231F20"/>
                <w:sz w:val="18"/>
              </w:rPr>
            </w:pPr>
            <w:bookmarkStart w:id="276" w:name="regn013211-def14aa091"/>
            <w:bookmarkEnd w:id="276"/>
            <w:r>
              <w:rPr>
                <w:rFonts w:ascii="Arial;Helvetica;Sans-Serif" w:hAnsi="Arial;Helvetica;Sans-Serif"/>
                <w:b/>
                <w:i w:val="false"/>
                <w:caps w:val="false"/>
                <w:smallCaps w:val="false"/>
                <w:color w:val="231F20"/>
                <w:sz w:val="18"/>
              </w:rPr>
              <w:t>Proposal No. 4</w:t>
            </w:r>
          </w:p>
          <w:p>
            <w:pPr>
              <w:pStyle w:val="TableContents"/>
              <w:bidi w:val="0"/>
              <w:spacing w:before="0" w:after="0"/>
              <w:ind w:left="0" w:right="0" w:hanging="0"/>
              <w:jc w:val="left"/>
              <w:rPr>
                <w:caps w:val="false"/>
                <w:smallCaps w:val="false"/>
                <w:color w:val="231F20"/>
              </w:rPr>
            </w:pPr>
            <w:r>
              <w:rPr>
                <w:caps w:val="false"/>
                <w:smallCaps w:val="false"/>
                <w:color w:val="231F20"/>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28"/>
              </w:rPr>
            </w:pPr>
            <w:r>
              <w:rPr>
                <w:rFonts w:ascii="Arial;Helvetica;Sans-Serif" w:hAnsi="Arial;Helvetica;Sans-Serif"/>
                <w:b/>
                <w:i w:val="false"/>
                <w:caps w:val="false"/>
                <w:smallCaps w:val="false"/>
                <w:color w:val="3B5AA4"/>
                <w:sz w:val="28"/>
              </w:rPr>
              <w:t>Amendment to the Company’s Certificate of Incorporation to Declassify the Board of Directors</w:t>
            </w:r>
          </w:p>
        </w:tc>
      </w:tr>
    </w:tbl>
    <w:p>
      <w:pPr>
        <w:pStyle w:val="TextBody"/>
        <w:bidi w:val="0"/>
        <w:jc w:val="left"/>
        <w:rPr>
          <w:caps w:val="false"/>
          <w:smallCaps w:val="false"/>
        </w:rPr>
      </w:pPr>
      <w:r>
        <w:rPr>
          <w:caps w:val="false"/>
          <w:smallCaps w:val="false"/>
        </w:rPr>
        <w:t> </w:t>
      </w:r>
    </w:p>
    <w:tbl>
      <w:tblPr>
        <w:tblW w:w="9920" w:type="dxa"/>
        <w:jc w:val="left"/>
        <w:tblInd w:w="0" w:type="dxa"/>
        <w:tblLayout w:type="fixed"/>
        <w:tblCellMar>
          <w:top w:w="0" w:type="dxa"/>
          <w:left w:w="0" w:type="dxa"/>
          <w:bottom w:w="0" w:type="dxa"/>
          <w:right w:w="0" w:type="dxa"/>
        </w:tblCellMar>
      </w:tblPr>
      <w:tblGrid>
        <w:gridCol w:w="405"/>
        <w:gridCol w:w="9515"/>
      </w:tblGrid>
      <w:tr>
        <w:trPr/>
        <w:tc>
          <w:tcPr>
            <w:tcW w:w="405" w:type="dxa"/>
            <w:tcBorders/>
            <w:vAlign w:val="center"/>
          </w:tcPr>
          <w:p>
            <w:pPr>
              <w:pStyle w:val="TableContents"/>
              <w:bidi w:val="0"/>
              <w:spacing w:before="0" w:after="283"/>
              <w:jc w:val="center"/>
              <w:rPr/>
            </w:pPr>
            <w:r>
              <w:rPr/>
              <w:drawing>
                <wp:inline distT="0" distB="0" distL="0" distR="0">
                  <wp:extent cx="247650" cy="247650"/>
                  <wp:effectExtent l="0" t="0" r="0" b="0"/>
                  <wp:docPr id="354"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33" descr=""/>
                          <pic:cNvPicPr>
                            <a:picLocks noChangeAspect="1" noChangeArrowheads="1"/>
                          </pic:cNvPicPr>
                        </pic:nvPicPr>
                        <pic:blipFill>
                          <a:blip r:embed="rId345"/>
                          <a:stretch>
                            <a:fillRect/>
                          </a:stretch>
                        </pic:blipFill>
                        <pic:spPr bwMode="auto">
                          <a:xfrm>
                            <a:off x="0" y="0"/>
                            <a:ext cx="247650" cy="247650"/>
                          </a:xfrm>
                          <a:prstGeom prst="rect">
                            <a:avLst/>
                          </a:prstGeom>
                        </pic:spPr>
                      </pic:pic>
                    </a:graphicData>
                  </a:graphic>
                </wp:inline>
              </w:drawing>
            </w:r>
          </w:p>
        </w:tc>
        <w:tc>
          <w:tcPr>
            <w:tcW w:w="9515" w:type="dxa"/>
            <w:tcBorders/>
            <w:vAlign w:val="center"/>
          </w:tcPr>
          <w:p>
            <w:pPr>
              <w:pStyle w:val="TableContents"/>
              <w:bidi w:val="0"/>
              <w:spacing w:before="0" w:after="283"/>
              <w:jc w:val="left"/>
              <w:rPr/>
            </w:pPr>
            <w:r>
              <w:rPr>
                <w:b/>
                <w:color w:val="231F20"/>
              </w:rPr>
              <w:t xml:space="preserve">The board of directors recommends a vote </w:t>
            </w:r>
            <w:r>
              <w:rPr>
                <w:b/>
                <w:color w:val="3B5AA4"/>
              </w:rPr>
              <w:t xml:space="preserve">FOR </w:t>
            </w:r>
            <w:r>
              <w:rPr>
                <w:b/>
                <w:color w:val="231F20"/>
              </w:rPr>
              <w:t>approval of the Declassification Amendment.</w:t>
            </w:r>
          </w:p>
        </w:tc>
      </w:tr>
    </w:tbl>
    <w:p>
      <w:pPr>
        <w:pStyle w:val="TextBody"/>
        <w:bidi w:val="0"/>
        <w:spacing w:before="0" w:after="0"/>
        <w:ind w:left="0" w:right="0" w:hanging="0"/>
        <w:jc w:val="left"/>
        <w:rPr>
          <w:caps w:val="false"/>
          <w:smallCaps w:val="false"/>
          <w:color w:val="C60C45"/>
        </w:rPr>
      </w:pPr>
      <w:r>
        <w:rPr>
          <w:caps w:val="false"/>
          <w:smallCaps w:val="false"/>
          <w:color w:val="C60C45"/>
        </w:rPr>
        <w:t> </w:t>
      </w:r>
    </w:p>
    <w:p>
      <w:pPr>
        <w:pStyle w:val="TextBody"/>
        <w:pBdr>
          <w:top w:val="single" w:sz="12" w:space="1" w:color="C60C45"/>
        </w:pBdr>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Currently, pursuant to our Restated Certificate of Incorporation, as amended (the “Certificate of Incorporation”), the board of directors is divided into three classes, with directors in each class elected for three-year terms. Consequently, at any given annual meeting of shareholders, the Company’s shareholders have the ability to elect approximately one-third of the entire board.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are committed to good corporate governance practices and are highly interested in the views and concerns of our shareholders. In keeping with this commitment, the board has periodically reviewed the advantages and disadvantages of maintaining a classified board. In the past, we have concluded that maintaining a classified board was in the best interests of the Company and its shareholders. A classified board provides several advantages, including providing for continuity and stability of directors and promoting long-term strategic planning and a long-term approach to delivering shareholder value.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However, we also recognize that many investors believe that electing all directors on an annual basis enhances director accountability. The board has considered shareholder feedback on governance issues in recent years, including with respect to the Company’s classified board structure as well as with respect to the Company’s dual-class capital structure. While the Company cannot unilaterally change the Company’s dual-class capital structure, we recognize that declassifying the board would be responsive to shareholder concerns regarding the Company’s corporate governance profile.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has carefully considered the advantages and disadvantages of maintaining the classified board structure. After weighing these considerations, including the views of the Company’s shareholders, and in order to reinforce our commitment to accountability and responsiveness to shareholders and to strong corporate governance practices, the board has approved an amendment to the Certificate of Incorporation to declassify the board, as set forth below (the “Declassification Amendment”), and recommends that the shareholders vote in favor of the Declassification Amendment.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If the proposed Declassification Amendment is approved by the requisite vote of the Company’s shareholders, the declassification of the board will occur on a phased-in basis beginning in 2026. We are asking shareholders to vote to amend Article VI of the Certificate of Incorporation so that the declassification will occur as follows: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color w:val="231F20"/>
              </w:rPr>
            </w:pPr>
            <w:r>
              <w:rPr>
                <w:color w:val="231F20"/>
              </w:rPr>
              <w:t>Each director elected prior to the 2026 Annual Meeting of Shareholders will continue to serve for the remainder of the original term for which he or she was elected;</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color w:val="231F20"/>
              </w:rPr>
            </w:pPr>
            <w:r>
              <w:rPr>
                <w:color w:val="231F20"/>
              </w:rPr>
              <w:t>Beginning at the 2026 Annual Meeting of Shareholders, directors will be elected for a term of one year, expiring at the next annual meeting of shareholders;</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color w:val="231F20"/>
              </w:rPr>
            </w:pPr>
            <w:r>
              <w:rPr>
                <w:color w:val="231F20"/>
              </w:rPr>
              <w:t>Each director elected at the 2023 Annual Meeting of Shareholders will hold office until the expiration of his or her term at the 2026 Annual Meeting; each director elected at the 2024 Annual Meeting of Shareholders will hold office until the expiration of his or her term at the 2026 Annual Meeting or the 2027 Annual Meeting, as applicable; and each director elected at this 2025 Annual Meeting of Shareholders will hold office until the expiration of his or her term at the 2028 Annual Meeting; and</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color w:val="231F20"/>
              </w:rPr>
            </w:pPr>
            <w:r>
              <w:rPr>
                <w:color w:val="231F20"/>
              </w:rPr>
              <w:t>Beginning with the 2028 Annual Meeting, directors will no longer be divided into classes and all directors will stand for election annually.</w:t>
            </w:r>
          </w:p>
        </w:tc>
      </w:tr>
    </w:tbl>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55"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334" descr=""/>
                          <pic:cNvPicPr>
                            <a:picLocks noChangeAspect="1" noChangeArrowheads="1"/>
                          </pic:cNvPicPr>
                        </pic:nvPicPr>
                        <pic:blipFill>
                          <a:blip r:embed="rId346"/>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regn013211-def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6">
              <w:r>
                <w:rPr>
                  <w:rStyle w:val="InternetLink"/>
                  <w:b/>
                  <w:strike w:val="false"/>
                  <w:dstrike w:val="false"/>
                  <w:color w:val="3B5AA4"/>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text of the proposed Declassification Amendment is set forth in Appendix B to this proxy statement, with proposed deletions reflected by “strike-through” text and proposed additions reflected by “underline” text. The above summary of the Declassification Amendment is qualified in its entirety by reference to Appendix B, which is incorporated by reference herein.</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7885" w:type="dxa"/>
        <w:jc w:val="left"/>
        <w:tblInd w:w="0" w:type="dxa"/>
        <w:tblLayout w:type="fixed"/>
        <w:tblCellMar>
          <w:top w:w="0" w:type="dxa"/>
          <w:left w:w="0" w:type="dxa"/>
          <w:bottom w:w="40" w:type="dxa"/>
          <w:right w:w="0" w:type="dxa"/>
        </w:tblCellMar>
      </w:tblPr>
      <w:tblGrid>
        <w:gridCol w:w="1535"/>
        <w:gridCol w:w="6350"/>
      </w:tblGrid>
      <w:tr>
        <w:trPr/>
        <w:tc>
          <w:tcPr>
            <w:tcW w:w="1535" w:type="dxa"/>
            <w:tcBorders>
              <w:bottom w:val="single" w:sz="2" w:space="0" w:color="CCCCCC"/>
            </w:tcBorders>
            <w:vAlign w:val="center"/>
          </w:tcPr>
          <w:p>
            <w:pPr>
              <w:pStyle w:val="TableContents"/>
              <w:bidi w:val="0"/>
              <w:spacing w:before="0" w:after="283"/>
              <w:jc w:val="left"/>
              <w:rPr>
                <w:b/>
                <w:color w:val="3B5AA4"/>
              </w:rPr>
            </w:pPr>
            <w:r>
              <w:rPr>
                <w:b/>
                <w:color w:val="3B5AA4"/>
              </w:rPr>
              <w:t>Vote Required</w:t>
            </w:r>
          </w:p>
        </w:tc>
        <w:tc>
          <w:tcPr>
            <w:tcW w:w="6350" w:type="dxa"/>
            <w:tcBorders>
              <w:bottom w:val="single" w:sz="2" w:space="0" w:color="CCCCCC"/>
            </w:tcBorders>
            <w:vAlign w:val="center"/>
          </w:tcPr>
          <w:p>
            <w:pPr>
              <w:pStyle w:val="TableContents"/>
              <w:bidi w:val="0"/>
              <w:spacing w:before="0" w:after="283"/>
              <w:jc w:val="left"/>
              <w:rPr/>
            </w:pPr>
            <w:r>
              <w:rPr/>
              <w:t> </w:t>
            </w:r>
          </w:p>
        </w:tc>
      </w:tr>
      <w:tr>
        <w:trPr/>
        <w:tc>
          <w:tcPr>
            <w:tcW w:w="1535" w:type="dxa"/>
            <w:tcBorders>
              <w:bottom w:val="single" w:sz="12" w:space="0" w:color="3B5AA4"/>
            </w:tcBorders>
            <w:vAlign w:val="center"/>
          </w:tcPr>
          <w:p>
            <w:pPr>
              <w:pStyle w:val="TableContents"/>
              <w:bidi w:val="0"/>
              <w:spacing w:before="0" w:after="283"/>
              <w:jc w:val="left"/>
              <w:rPr>
                <w:b/>
                <w:color w:val="231F20"/>
              </w:rPr>
            </w:pPr>
            <w:r>
              <w:rPr>
                <w:b/>
                <w:color w:val="231F20"/>
              </w:rPr>
              <w:t>Proposal 4</w:t>
            </w:r>
          </w:p>
        </w:tc>
        <w:tc>
          <w:tcPr>
            <w:tcW w:w="6350" w:type="dxa"/>
            <w:tcBorders>
              <w:bottom w:val="single" w:sz="12" w:space="0" w:color="3B5AA4"/>
            </w:tcBorders>
            <w:vAlign w:val="center"/>
          </w:tcPr>
          <w:p>
            <w:pPr>
              <w:pStyle w:val="TableContents"/>
              <w:bidi w:val="0"/>
              <w:spacing w:before="0" w:after="283"/>
              <w:jc w:val="left"/>
              <w:rPr>
                <w:color w:val="231F20"/>
              </w:rPr>
            </w:pPr>
            <w:r>
              <w:rPr>
                <w:color w:val="231F20"/>
              </w:rPr>
              <w:t>The affirmative vote of a majority of the outstanding voting power.</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If approved, the Declassification Amendment will become effective upon the filing of a certificate of amendment to the Certificate of Incorporation with the Secretary of State of the State of New York as soon as reasonably practicable after receiving approval from the Company’s shareholders. If shareholders do not approve the Declassification Amendment by the requisite vote, the board will remain classified.</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9904" w:type="dxa"/>
        <w:jc w:val="left"/>
        <w:tblInd w:w="0" w:type="dxa"/>
        <w:tblLayout w:type="fixed"/>
        <w:tblCellMar>
          <w:top w:w="0" w:type="dxa"/>
          <w:left w:w="0" w:type="dxa"/>
          <w:bottom w:w="0" w:type="dxa"/>
          <w:right w:w="0" w:type="dxa"/>
        </w:tblCellMar>
      </w:tblPr>
      <w:tblGrid>
        <w:gridCol w:w="389"/>
        <w:gridCol w:w="9515"/>
      </w:tblGrid>
      <w:tr>
        <w:trPr/>
        <w:tc>
          <w:tcPr>
            <w:tcW w:w="389" w:type="dxa"/>
            <w:tcBorders/>
            <w:vAlign w:val="center"/>
          </w:tcPr>
          <w:p>
            <w:pPr>
              <w:pStyle w:val="TableContents"/>
              <w:bidi w:val="0"/>
              <w:spacing w:before="0" w:after="283"/>
              <w:jc w:val="center"/>
              <w:rPr/>
            </w:pPr>
            <w:r>
              <w:rPr/>
              <w:drawing>
                <wp:inline distT="0" distB="0" distL="0" distR="0">
                  <wp:extent cx="237490" cy="237490"/>
                  <wp:effectExtent l="0" t="0" r="0" b="0"/>
                  <wp:docPr id="356"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335" descr=""/>
                          <pic:cNvPicPr>
                            <a:picLocks noChangeAspect="1" noChangeArrowheads="1"/>
                          </pic:cNvPicPr>
                        </pic:nvPicPr>
                        <pic:blipFill>
                          <a:blip r:embed="rId347"/>
                          <a:stretch>
                            <a:fillRect/>
                          </a:stretch>
                        </pic:blipFill>
                        <pic:spPr bwMode="auto">
                          <a:xfrm>
                            <a:off x="0" y="0"/>
                            <a:ext cx="237490" cy="237490"/>
                          </a:xfrm>
                          <a:prstGeom prst="rect">
                            <a:avLst/>
                          </a:prstGeom>
                        </pic:spPr>
                      </pic:pic>
                    </a:graphicData>
                  </a:graphic>
                </wp:inline>
              </w:drawing>
            </w:r>
          </w:p>
        </w:tc>
        <w:tc>
          <w:tcPr>
            <w:tcW w:w="9515" w:type="dxa"/>
            <w:tcBorders/>
            <w:vAlign w:val="center"/>
          </w:tcPr>
          <w:p>
            <w:pPr>
              <w:pStyle w:val="TableContents"/>
              <w:bidi w:val="0"/>
              <w:spacing w:before="0" w:after="283"/>
              <w:jc w:val="left"/>
              <w:rPr/>
            </w:pPr>
            <w:r>
              <w:rPr>
                <w:b/>
                <w:color w:val="231F20"/>
              </w:rPr>
              <w:t xml:space="preserve">The board of directors recommends a vote </w:t>
            </w:r>
            <w:r>
              <w:rPr>
                <w:b/>
                <w:color w:val="3B5AA4"/>
              </w:rPr>
              <w:t xml:space="preserve">FOR </w:t>
            </w:r>
            <w:r>
              <w:rPr>
                <w:b/>
                <w:color w:val="231F20"/>
              </w:rPr>
              <w:t>approval of the Declassification Amendment.</w:t>
            </w:r>
          </w:p>
        </w:tc>
      </w:tr>
    </w:tbl>
    <w:p>
      <w:pPr>
        <w:pStyle w:val="TextBody"/>
        <w:pBdr>
          <w:bottom w:val="single" w:sz="12" w:space="1" w:color="C60C45"/>
        </w:pBdr>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57"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336" descr=""/>
                          <pic:cNvPicPr>
                            <a:picLocks noChangeAspect="1" noChangeArrowheads="1"/>
                          </pic:cNvPicPr>
                        </pic:nvPicPr>
                        <pic:blipFill>
                          <a:blip r:embed="rId348"/>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regn013211-def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6">
              <w:r>
                <w:rPr>
                  <w:rStyle w:val="InternetLink"/>
                  <w:b/>
                  <w:strike w:val="false"/>
                  <w:dstrike w:val="false"/>
                  <w:color w:val="3B5AA4"/>
                  <w:u w:val="none"/>
                  <w:effect w:val="none"/>
                </w:rPr>
                <w:t>Other Matters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shd w:fill="3B5AA4" w:val="clear"/>
            <w:vAlign w:val="center"/>
          </w:tcPr>
          <w:p>
            <w:pPr>
              <w:pStyle w:val="TableContents"/>
              <w:bidi w:val="0"/>
              <w:spacing w:before="0" w:after="283"/>
              <w:jc w:val="left"/>
              <w:rPr/>
            </w:pPr>
            <w:r>
              <w:rPr/>
              <w:t> </w:t>
            </w:r>
          </w:p>
        </w:tc>
        <w:tc>
          <w:tcPr>
            <w:tcW w:w="10130" w:type="dxa"/>
            <w:tcBorders/>
            <w:shd w:fill="EBEDF8" w:val="clear"/>
            <w:vAlign w:val="center"/>
          </w:tcPr>
          <w:p>
            <w:pPr>
              <w:pStyle w:val="Heading4"/>
              <w:bidi w:val="0"/>
              <w:spacing w:before="0" w:after="0"/>
              <w:ind w:left="0" w:right="0" w:hanging="0"/>
              <w:jc w:val="left"/>
              <w:rPr>
                <w:rFonts w:ascii="Arial;Helvetica;Sans-Serif" w:hAnsi="Arial;Helvetica;Sans-Serif"/>
                <w:b/>
                <w:i w:val="false"/>
                <w:caps w:val="false"/>
                <w:smallCaps w:val="false"/>
                <w:color w:val="231F20"/>
                <w:sz w:val="18"/>
              </w:rPr>
            </w:pPr>
            <w:bookmarkStart w:id="277" w:name="regn013211-def14aa092"/>
            <w:bookmarkEnd w:id="277"/>
            <w:r>
              <w:rPr>
                <w:rFonts w:ascii="Arial;Helvetica;Sans-Serif" w:hAnsi="Arial;Helvetica;Sans-Serif"/>
                <w:b/>
                <w:i w:val="false"/>
                <w:caps w:val="false"/>
                <w:smallCaps w:val="false"/>
                <w:color w:val="231F20"/>
                <w:sz w:val="18"/>
              </w:rPr>
              <w:t>Proposal Nos. 5(a) and 5(b)</w:t>
            </w:r>
          </w:p>
          <w:p>
            <w:pPr>
              <w:pStyle w:val="TableContents"/>
              <w:bidi w:val="0"/>
              <w:spacing w:before="0" w:after="0"/>
              <w:ind w:left="0" w:right="0" w:hanging="0"/>
              <w:jc w:val="left"/>
              <w:rPr>
                <w:caps w:val="false"/>
                <w:smallCaps w:val="false"/>
                <w:color w:val="231F20"/>
              </w:rPr>
            </w:pPr>
            <w:r>
              <w:rPr>
                <w:caps w:val="false"/>
                <w:smallCaps w:val="false"/>
                <w:color w:val="231F20"/>
              </w:rPr>
              <w:t> </w:t>
            </w:r>
          </w:p>
          <w:p>
            <w:pPr>
              <w:pStyle w:val="TableContents"/>
              <w:bidi w:val="0"/>
              <w:spacing w:before="0" w:after="0"/>
              <w:ind w:left="0" w:right="0" w:hanging="0"/>
              <w:jc w:val="left"/>
              <w:rPr>
                <w:rFonts w:ascii="Arial;Helvetica;Sans-Serif" w:hAnsi="Arial;Helvetica;Sans-Serif"/>
                <w:b/>
                <w:i w:val="false"/>
                <w:caps w:val="false"/>
                <w:smallCaps w:val="false"/>
                <w:color w:val="3B5AA4"/>
                <w:sz w:val="28"/>
              </w:rPr>
            </w:pPr>
            <w:r>
              <w:rPr>
                <w:rFonts w:ascii="Arial;Helvetica;Sans-Serif" w:hAnsi="Arial;Helvetica;Sans-Serif"/>
                <w:b/>
                <w:i w:val="false"/>
                <w:caps w:val="false"/>
                <w:smallCaps w:val="false"/>
                <w:color w:val="3B5AA4"/>
                <w:sz w:val="28"/>
              </w:rPr>
              <w:t>Amendments to the Company’s Certificate of Incorporation to Eliminate Supermajority Vote Requirements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pPr>
            <w:r>
              <w:rPr/>
              <w:drawing>
                <wp:inline distT="0" distB="0" distL="0" distR="0">
                  <wp:extent cx="237490" cy="237490"/>
                  <wp:effectExtent l="0" t="0" r="0" b="0"/>
                  <wp:docPr id="358"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337" descr=""/>
                          <pic:cNvPicPr>
                            <a:picLocks noChangeAspect="1" noChangeArrowheads="1"/>
                          </pic:cNvPicPr>
                        </pic:nvPicPr>
                        <pic:blipFill>
                          <a:blip r:embed="rId349"/>
                          <a:stretch>
                            <a:fillRect/>
                          </a:stretch>
                        </pic:blipFill>
                        <pic:spPr bwMode="auto">
                          <a:xfrm>
                            <a:off x="0" y="0"/>
                            <a:ext cx="237490" cy="237490"/>
                          </a:xfrm>
                          <a:prstGeom prst="rect">
                            <a:avLst/>
                          </a:prstGeom>
                        </pic:spPr>
                      </pic:pic>
                    </a:graphicData>
                  </a:graphic>
                </wp:inline>
              </w:drawing>
            </w:r>
          </w:p>
        </w:tc>
        <w:tc>
          <w:tcPr>
            <w:tcW w:w="9816" w:type="dxa"/>
            <w:tcBorders/>
            <w:vAlign w:val="center"/>
          </w:tcPr>
          <w:p>
            <w:pPr>
              <w:pStyle w:val="TableContents"/>
              <w:bidi w:val="0"/>
              <w:spacing w:before="0" w:after="283"/>
              <w:jc w:val="left"/>
              <w:rPr/>
            </w:pPr>
            <w:r>
              <w:rPr>
                <w:b/>
                <w:color w:val="231F20"/>
              </w:rPr>
              <w:t xml:space="preserve">The board of directors recommends a vote </w:t>
            </w:r>
            <w:r>
              <w:rPr>
                <w:b/>
                <w:color w:val="3B5AA4"/>
              </w:rPr>
              <w:t xml:space="preserve">FOR </w:t>
            </w:r>
            <w:r>
              <w:rPr>
                <w:b/>
                <w:color w:val="231F20"/>
              </w:rPr>
              <w:t>approval of the amendments to eliminate Supermajority Vote Requirements.</w:t>
            </w:r>
          </w:p>
        </w:tc>
      </w:tr>
    </w:tbl>
    <w:p>
      <w:pPr>
        <w:pStyle w:val="TextBody"/>
        <w:pBdr>
          <w:bottom w:val="single" w:sz="12" w:space="1" w:color="C60C45"/>
        </w:pBdr>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Currently, our Certificate of Incorporation provides that (1) certain amendments to the Certificate of Incorporation require the approval of the affirmative vote of the holders of the majority of the shares of Class A stock and the holders of two-thirds of the shares of common stock, each voting separately as a class, and (2) directors may be removed for cause by the affirmative vote of at least 80% of the outstanding shares of all classes of capital stock entitled to vote for directors. We refer to these provisions as the “Supermajority Vote Requirements.”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narrow set of Supermajority Vote Requirements in the Certificate of Incorporation on fundamental corporate matters is designed to preserve and maximize long-term value for all shareholders by helping to protect against self-interested and potentially abusive actions proposed by one or a few large shareholders who may seek to advance their interests over the interests of the Company’s shareholders generally.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Last year, at our 2024 Annual Meeting, a majority of votes cast supported a non-binding shareholder proposal requesting that the board of directors take the necessary steps to eliminate the Supermajority Vote Requirements and replace each of them with a requirement for a majority of the votes cast or a simple majority in accordance with applicable laws. Subsequently, Regeneron discussed the voting results with many large shareholders as part of the 2024 off-season shareholder engagement, during which many shareholders expressed their support for the elimination of the Supermajority Vote Requirements. </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has carefully considered the advantages and disadvantages of maintaining the Supermajority Vote Requirements and the feedback from investors, including the results of the vote on the non-binding shareholder proposal at the 2024 Annual Meeting. After weighing these considerations, and in order to reinforce Regeneron’s commitment to accountability and responsiveness to shareholders and to strong corporate governance practices, the board has approved amendments to eliminate the Supermajority Vote Requirements as set forth below (collectively, the “Amendments”) and recommends that shareholders vote in favor of the Amendments.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Because the votes required to amend these provisions are different, we are asking shareholders to separately vote to amend each of the Supermajority Vote Requirements, as follows: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color w:val="231F20"/>
              </w:rPr>
            </w:pPr>
            <w:r>
              <w:rPr>
                <w:b/>
                <w:color w:val="231F20"/>
              </w:rPr>
              <w:t xml:space="preserve">Proposal 5(a): </w:t>
            </w:r>
            <w:r>
              <w:rPr>
                <w:color w:val="231F20"/>
              </w:rPr>
              <w:t>Approval of an amendment to Article IV, Section 2(e)(8) of the Certificate of Incorporation so that Article IV, Section 2(e) of the Certificate of Incorporation, relating to the mandatory conversion of Class A stock to common stock upon a transfer, may be amended by the affirmative vote of holders of the majority of the shares of Class A stock and the holders of the majority of the shares of common stock, each voting separately as a class (rather than the current requirement of the affirmative vote of holders of the majority of the shares of Class A stock and holders of two-thirds of the shares of common stock, each voting separately as a class); and</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color w:val="231F20"/>
              </w:rPr>
            </w:pPr>
            <w:r>
              <w:rPr>
                <w:b/>
                <w:color w:val="231F20"/>
              </w:rPr>
              <w:t xml:space="preserve">Proposal 5(b): </w:t>
            </w:r>
            <w:r>
              <w:rPr>
                <w:color w:val="231F20"/>
              </w:rPr>
              <w:t>Approval of an amendment to Article VI of the Certificate of Incorporation so that directors may be removed only for cause and by an affirmative vote of the majority of the outstanding shares of all classes of capital stock entitled to vote in the election of directors (rather than the current requirement that directors may be removed only for cause and by an affirmative vote of at least 80% of the outstanding shares of all classes of capital stock entitled to vote in the election of directors).</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text of the proposed Amendments is set forth in Appendix C to this proxy statement. The above summary of the Amendments is qualified in its entirety by reference to Appendix C, which is incorporated by reference herein.</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59"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338" descr=""/>
                          <pic:cNvPicPr>
                            <a:picLocks noChangeAspect="1" noChangeArrowheads="1"/>
                          </pic:cNvPicPr>
                        </pic:nvPicPr>
                        <pic:blipFill>
                          <a:blip r:embed="rId350"/>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regn013211-def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6">
              <w:r>
                <w:rPr>
                  <w:rStyle w:val="InternetLink"/>
                  <w:b/>
                  <w:strike w:val="false"/>
                  <w:dstrike w:val="false"/>
                  <w:color w:val="3B5AA4"/>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40" w:type="dxa"/>
          <w:right w:w="0" w:type="dxa"/>
        </w:tblCellMar>
      </w:tblPr>
      <w:tblGrid>
        <w:gridCol w:w="1169"/>
        <w:gridCol w:w="9036"/>
      </w:tblGrid>
      <w:tr>
        <w:trPr/>
        <w:tc>
          <w:tcPr>
            <w:tcW w:w="1169" w:type="dxa"/>
            <w:tcBorders>
              <w:bottom w:val="single" w:sz="2" w:space="0" w:color="CCCCCC"/>
            </w:tcBorders>
            <w:vAlign w:val="center"/>
          </w:tcPr>
          <w:p>
            <w:pPr>
              <w:pStyle w:val="TableContents"/>
              <w:bidi w:val="0"/>
              <w:spacing w:before="0" w:after="283"/>
              <w:jc w:val="left"/>
              <w:rPr>
                <w:b/>
                <w:color w:val="3B5AA4"/>
              </w:rPr>
            </w:pPr>
            <w:r>
              <w:rPr>
                <w:b/>
                <w:color w:val="3B5AA4"/>
              </w:rPr>
              <w:t>Vote Required</w:t>
            </w:r>
          </w:p>
        </w:tc>
        <w:tc>
          <w:tcPr>
            <w:tcW w:w="9036" w:type="dxa"/>
            <w:tcBorders>
              <w:bottom w:val="single" w:sz="2" w:space="0" w:color="CCCCCC"/>
            </w:tcBorders>
            <w:vAlign w:val="center"/>
          </w:tcPr>
          <w:p>
            <w:pPr>
              <w:pStyle w:val="TableContents"/>
              <w:bidi w:val="0"/>
              <w:spacing w:before="0" w:after="283"/>
              <w:jc w:val="left"/>
              <w:rPr/>
            </w:pPr>
            <w:r>
              <w:rPr/>
              <w:t> </w:t>
            </w:r>
          </w:p>
        </w:tc>
      </w:tr>
      <w:tr>
        <w:trPr/>
        <w:tc>
          <w:tcPr>
            <w:tcW w:w="1169" w:type="dxa"/>
            <w:tcBorders>
              <w:bottom w:val="single" w:sz="2" w:space="0" w:color="CCCCCC"/>
            </w:tcBorders>
            <w:vAlign w:val="center"/>
          </w:tcPr>
          <w:p>
            <w:pPr>
              <w:pStyle w:val="TableContents"/>
              <w:bidi w:val="0"/>
              <w:spacing w:before="0" w:after="283"/>
              <w:jc w:val="left"/>
              <w:rPr>
                <w:b/>
                <w:color w:val="231F20"/>
              </w:rPr>
            </w:pPr>
            <w:r>
              <w:rPr>
                <w:b/>
                <w:color w:val="231F20"/>
              </w:rPr>
              <w:t>Proposal 5(a)</w:t>
            </w:r>
          </w:p>
        </w:tc>
        <w:tc>
          <w:tcPr>
            <w:tcW w:w="9036" w:type="dxa"/>
            <w:tcBorders>
              <w:bottom w:val="single" w:sz="2" w:space="0" w:color="CCCCCC"/>
            </w:tcBorders>
            <w:vAlign w:val="center"/>
          </w:tcPr>
          <w:p>
            <w:pPr>
              <w:pStyle w:val="TableContents"/>
              <w:bidi w:val="0"/>
              <w:spacing w:before="0" w:after="283"/>
              <w:jc w:val="left"/>
              <w:rPr/>
            </w:pPr>
            <w:r>
              <w:rPr/>
              <w:t>The affirmative vote of holders of the majority of the shares of Class A stock outstanding and the affirmative vote of holders of two-thirds of the shares of common stock outstanding, each voting separately as a class.</w:t>
            </w:r>
          </w:p>
        </w:tc>
      </w:tr>
      <w:tr>
        <w:trPr/>
        <w:tc>
          <w:tcPr>
            <w:tcW w:w="1169" w:type="dxa"/>
            <w:tcBorders>
              <w:bottom w:val="single" w:sz="12" w:space="0" w:color="3B5AA4"/>
            </w:tcBorders>
            <w:shd w:fill="EBEBEC" w:val="clear"/>
            <w:vAlign w:val="center"/>
          </w:tcPr>
          <w:p>
            <w:pPr>
              <w:pStyle w:val="TableContents"/>
              <w:bidi w:val="0"/>
              <w:spacing w:before="0" w:after="283"/>
              <w:jc w:val="left"/>
              <w:rPr>
                <w:b/>
                <w:color w:val="231F20"/>
              </w:rPr>
            </w:pPr>
            <w:r>
              <w:rPr>
                <w:b/>
                <w:color w:val="231F20"/>
              </w:rPr>
              <w:t>Proposal 5(b)</w:t>
            </w:r>
          </w:p>
        </w:tc>
        <w:tc>
          <w:tcPr>
            <w:tcW w:w="9036" w:type="dxa"/>
            <w:tcBorders>
              <w:bottom w:val="single" w:sz="12" w:space="0" w:color="3B5AA4"/>
            </w:tcBorders>
            <w:shd w:fill="EBEBEC" w:val="clear"/>
            <w:vAlign w:val="center"/>
          </w:tcPr>
          <w:p>
            <w:pPr>
              <w:pStyle w:val="TableContents"/>
              <w:bidi w:val="0"/>
              <w:spacing w:before="0" w:after="283"/>
              <w:jc w:val="left"/>
              <w:rPr/>
            </w:pPr>
            <w:r>
              <w:rPr/>
              <w:t>The affirmative vote of at least 80% of the outstanding shares of all classes of capital stock entitled to vote in the election of directors. Holders of common stock and Class A stock vote together as a single class, with holders of Class A stock entitled to ten votes per share.</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approvals of Proposals 5(a) and 5(b) are not conditioned on each other, nor are they conditioned on the approval of the Declassification Amendment. Each amendment to the Certificate of Incorporation included in this proxy statement that is approved will become effective upon the filing of a certificate of amendment to the Certificate of Incorporation with the Secretary of State of the State of New York as soon as reasonably practicable after receiving approval from the Company’s shareholders. If shareholders do not approve one or both of the Amendments by the requisite vote, the corresponding Supermajority Vote Requirement(s) will remain in the Certificate of Incorporation.</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center"/>
              <w:rPr/>
            </w:pPr>
            <w:r>
              <w:rPr/>
              <w:drawing>
                <wp:inline distT="0" distB="0" distL="0" distR="0">
                  <wp:extent cx="237490" cy="237490"/>
                  <wp:effectExtent l="0" t="0" r="0" b="0"/>
                  <wp:docPr id="360"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339" descr=""/>
                          <pic:cNvPicPr>
                            <a:picLocks noChangeAspect="1" noChangeArrowheads="1"/>
                          </pic:cNvPicPr>
                        </pic:nvPicPr>
                        <pic:blipFill>
                          <a:blip r:embed="rId351"/>
                          <a:stretch>
                            <a:fillRect/>
                          </a:stretch>
                        </pic:blipFill>
                        <pic:spPr bwMode="auto">
                          <a:xfrm>
                            <a:off x="0" y="0"/>
                            <a:ext cx="237490" cy="237490"/>
                          </a:xfrm>
                          <a:prstGeom prst="rect">
                            <a:avLst/>
                          </a:prstGeom>
                        </pic:spPr>
                      </pic:pic>
                    </a:graphicData>
                  </a:graphic>
                </wp:inline>
              </w:drawing>
            </w:r>
          </w:p>
        </w:tc>
        <w:tc>
          <w:tcPr>
            <w:tcW w:w="9816" w:type="dxa"/>
            <w:tcBorders/>
            <w:vAlign w:val="center"/>
          </w:tcPr>
          <w:p>
            <w:pPr>
              <w:pStyle w:val="TableContents"/>
              <w:bidi w:val="0"/>
              <w:spacing w:before="0" w:after="283"/>
              <w:jc w:val="left"/>
              <w:rPr/>
            </w:pPr>
            <w:r>
              <w:rPr>
                <w:b/>
                <w:color w:val="231F20"/>
              </w:rPr>
              <w:t xml:space="preserve">The board of directors recommends a vote </w:t>
            </w:r>
            <w:r>
              <w:rPr>
                <w:b/>
                <w:color w:val="3B5AA4"/>
              </w:rPr>
              <w:t xml:space="preserve">FOR </w:t>
            </w:r>
            <w:r>
              <w:rPr>
                <w:b/>
                <w:color w:val="231F20"/>
              </w:rPr>
              <w:t>approval of the amendments to eliminate Supermajority Vote Requirements.</w:t>
            </w:r>
          </w:p>
        </w:tc>
      </w:tr>
    </w:tbl>
    <w:p>
      <w:pPr>
        <w:pStyle w:val="TextBody"/>
        <w:pBdr>
          <w:bottom w:val="single" w:sz="12" w:space="1" w:color="C60C45"/>
        </w:pBdr>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61"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340" descr=""/>
                          <pic:cNvPicPr>
                            <a:picLocks noChangeAspect="1" noChangeArrowheads="1"/>
                          </pic:cNvPicPr>
                        </pic:nvPicPr>
                        <pic:blipFill>
                          <a:blip r:embed="rId352"/>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regn013211-def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6">
              <w:r>
                <w:rPr>
                  <w:rStyle w:val="InternetLink"/>
                  <w:b/>
                  <w:strike w:val="false"/>
                  <w:dstrike w:val="false"/>
                  <w:color w:val="3B5AA4"/>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Heading2"/>
        <w:bidi w:val="0"/>
        <w:spacing w:before="0" w:after="0"/>
        <w:ind w:left="0" w:right="0" w:hanging="0"/>
        <w:jc w:val="left"/>
        <w:rPr>
          <w:rFonts w:ascii="Arial;Helvetica;Sans-Serif" w:hAnsi="Arial;Helvetica;Sans-Serif"/>
          <w:b/>
          <w:i w:val="false"/>
          <w:caps w:val="false"/>
          <w:smallCaps w:val="false"/>
          <w:color w:val="C60C45"/>
          <w:sz w:val="40"/>
        </w:rPr>
      </w:pPr>
      <w:bookmarkStart w:id="278" w:name="regn013211-def14aa093"/>
      <w:bookmarkStart w:id="279" w:name="lregnb040"/>
      <w:bookmarkEnd w:id="278"/>
      <w:bookmarkEnd w:id="279"/>
      <w:r>
        <w:rPr>
          <w:rFonts w:ascii="Arial;Helvetica;Sans-Serif" w:hAnsi="Arial;Helvetica;Sans-Serif"/>
          <w:b/>
          <w:i w:val="false"/>
          <w:caps w:val="false"/>
          <w:smallCaps w:val="false"/>
          <w:color w:val="C60C45"/>
          <w:sz w:val="40"/>
        </w:rPr>
        <w:t>General Information about the Meeting</w:t>
      </w:r>
    </w:p>
    <w:p>
      <w:pPr>
        <w:pStyle w:val="TextBody"/>
        <w:bidi w:val="0"/>
        <w:spacing w:before="0" w:after="0"/>
        <w:ind w:left="0" w:right="0" w:hanging="0"/>
        <w:jc w:val="left"/>
        <w:rPr>
          <w:caps w:val="false"/>
          <w:smallCaps w:val="false"/>
          <w:color w:val="ED0775"/>
        </w:rPr>
      </w:pPr>
      <w:r>
        <w:rPr>
          <w:caps w:val="false"/>
          <w:smallCaps w:val="false"/>
          <w:color w:val="ED0775"/>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When is the Annual Meeting?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Friday, June 13, 2025</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What time is the Annual Meeting?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10:30 a.m., ET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Where is the Annual Meeting?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The Annual Meeting will be held virtually via the Internet at </w:t>
      </w:r>
      <w:r>
        <w:rPr>
          <w:rFonts w:ascii="Arial;Helvetica;Sans-Serif" w:hAnsi="Arial;Helvetica;Sans-Serif"/>
          <w:b/>
          <w:i w:val="false"/>
          <w:caps w:val="false"/>
          <w:smallCaps w:val="false"/>
          <w:color w:val="3B5AA4"/>
          <w:sz w:val="18"/>
        </w:rPr>
        <w:t>www.virtualshareholdermeeting.com/REGN2025</w:t>
      </w:r>
      <w:r>
        <w:rPr>
          <w:rFonts w:ascii="Arial;Helvetica;Sans-Serif" w:hAnsi="Arial;Helvetica;Sans-Serif"/>
          <w:b w:val="false"/>
          <w:i w:val="false"/>
          <w:caps w:val="false"/>
          <w:smallCaps w:val="false"/>
          <w:color w:val="231F20"/>
          <w:sz w:val="18"/>
        </w:rPr>
        <w:t>. We have designed the format of the Annual Meeting to ensure that shareholders are afforded similar rights and opportunities to participate as they would at an in-person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How can I attend the meeting?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Instructions on how to attend and participate via the Internet are posted at </w:t>
      </w:r>
      <w:r>
        <w:rPr>
          <w:rFonts w:ascii="Arial;Helvetica;Sans-Serif" w:hAnsi="Arial;Helvetica;Sans-Serif"/>
          <w:b/>
          <w:i w:val="false"/>
          <w:caps w:val="false"/>
          <w:smallCaps w:val="false"/>
          <w:color w:val="3B5AA4"/>
          <w:sz w:val="18"/>
        </w:rPr>
        <w:t>www.virtualshareholdermeeting.com/REGN2025</w:t>
      </w:r>
      <w:r>
        <w:rPr>
          <w:rFonts w:ascii="Arial;Helvetica;Sans-Serif" w:hAnsi="Arial;Helvetica;Sans-Serif"/>
          <w:b w:val="false"/>
          <w:i w:val="false"/>
          <w:caps w:val="false"/>
          <w:smallCaps w:val="false"/>
          <w:color w:val="231F20"/>
          <w:sz w:val="18"/>
        </w:rPr>
        <w:t>. To vote or submit questions during the meeting, you will need the 16-digit control number included on the Notice of Internet Availability of Proxy Materials (the “Notice”) or, if you received a paper copy of the proxy materials, the proxy card or voting instruction form you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Can I vote at the Annual Meeting?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Only shareholders of record at the close of business on the record date, April 15, 2025, are entitled to vote at the Annual Meeting. As of April 15, 2025, 106,148,351 shares of common stock and 1,817,146 shares of Class A stock were issued and outstanding. For all proposals except Proposal 5(a), holders of common stock and Class A stock vote together as a single class, with the common stock being entitled to one vote per share and the Class A stock being entitled to ten votes per share. For Proposal 5(a), the common stock and Class A stock vote as separate classes, with the common stock being entitled to one vote per share and the Class A stock being entitled to ten votes per share. To vote your shares, you will need the 16-digit control number included on the Notice or, if you received a paper copy of the proxy materials, the proxy card or voting instruction form you received.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What is on the agenda for the meeting?</w:t>
      </w:r>
    </w:p>
    <w:p>
      <w:pPr>
        <w:pStyle w:val="TextBody"/>
        <w:bidi w:val="0"/>
        <w:spacing w:before="0" w:after="0"/>
        <w:ind w:left="0" w:right="0" w:hanging="0"/>
        <w:jc w:val="left"/>
        <w:rPr>
          <w:caps w:val="false"/>
          <w:smallCaps w:val="false"/>
          <w:color w:val="3B5AA4"/>
        </w:rPr>
      </w:pPr>
      <w:r>
        <w:rPr>
          <w:caps w:val="false"/>
          <w:smallCaps w:val="false"/>
          <w:color w:val="3B5AA4"/>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b/>
                <w:color w:val="365FA5"/>
              </w:rPr>
            </w:pPr>
            <w:r>
              <w:rPr>
                <w:b/>
                <w:color w:val="365FA5"/>
              </w:rPr>
              <w:t>1.</w:t>
            </w:r>
          </w:p>
        </w:tc>
        <w:tc>
          <w:tcPr>
            <w:tcW w:w="10018" w:type="dxa"/>
            <w:tcBorders/>
            <w:vAlign w:val="center"/>
          </w:tcPr>
          <w:p>
            <w:pPr>
              <w:pStyle w:val="TableContents"/>
              <w:bidi w:val="0"/>
              <w:spacing w:before="0" w:after="283"/>
              <w:jc w:val="left"/>
              <w:rPr>
                <w:color w:val="231F20"/>
              </w:rPr>
            </w:pPr>
            <w:r>
              <w:rPr>
                <w:color w:val="231F20"/>
              </w:rPr>
              <w:t>Election of four Class I directors for a three-year term </w:t>
            </w:r>
          </w:p>
        </w:tc>
      </w:tr>
      <w:tr>
        <w:trPr/>
        <w:tc>
          <w:tcPr>
            <w:tcW w:w="187" w:type="dxa"/>
            <w:tcBorders/>
            <w:vAlign w:val="center"/>
          </w:tcPr>
          <w:p>
            <w:pPr>
              <w:pStyle w:val="TableContents"/>
              <w:bidi w:val="0"/>
              <w:spacing w:before="0" w:after="283"/>
              <w:jc w:val="left"/>
              <w:rPr>
                <w:b/>
                <w:color w:val="365FA5"/>
              </w:rPr>
            </w:pPr>
            <w:r>
              <w:rPr>
                <w:b/>
                <w:color w:val="365FA5"/>
              </w:rPr>
              <w:t>2.</w:t>
            </w:r>
          </w:p>
        </w:tc>
        <w:tc>
          <w:tcPr>
            <w:tcW w:w="10018" w:type="dxa"/>
            <w:tcBorders/>
            <w:vAlign w:val="center"/>
          </w:tcPr>
          <w:p>
            <w:pPr>
              <w:pStyle w:val="TableContents"/>
              <w:bidi w:val="0"/>
              <w:spacing w:before="0" w:after="283"/>
              <w:jc w:val="left"/>
              <w:rPr>
                <w:color w:val="231F20"/>
              </w:rPr>
            </w:pPr>
            <w:r>
              <w:rPr>
                <w:color w:val="231F20"/>
              </w:rPr>
              <w:t>Ratification of the appointment of PricewaterhouseCoopers LLP as the Company’s independent registered public accounting firm for the fiscal year ending December 31, 2025</w:t>
            </w:r>
          </w:p>
        </w:tc>
      </w:tr>
      <w:tr>
        <w:trPr/>
        <w:tc>
          <w:tcPr>
            <w:tcW w:w="187" w:type="dxa"/>
            <w:tcBorders/>
            <w:vAlign w:val="center"/>
          </w:tcPr>
          <w:p>
            <w:pPr>
              <w:pStyle w:val="TableContents"/>
              <w:bidi w:val="0"/>
              <w:spacing w:before="0" w:after="283"/>
              <w:jc w:val="left"/>
              <w:rPr>
                <w:b/>
                <w:color w:val="365FA5"/>
              </w:rPr>
            </w:pPr>
            <w:r>
              <w:rPr>
                <w:b/>
                <w:color w:val="365FA5"/>
              </w:rPr>
              <w:t>3.</w:t>
            </w:r>
          </w:p>
        </w:tc>
        <w:tc>
          <w:tcPr>
            <w:tcW w:w="10018" w:type="dxa"/>
            <w:tcBorders/>
            <w:vAlign w:val="center"/>
          </w:tcPr>
          <w:p>
            <w:pPr>
              <w:pStyle w:val="TableContents"/>
              <w:bidi w:val="0"/>
              <w:spacing w:before="0" w:after="283"/>
              <w:jc w:val="left"/>
              <w:rPr>
                <w:color w:val="231F20"/>
              </w:rPr>
            </w:pPr>
            <w:r>
              <w:rPr>
                <w:color w:val="231F20"/>
              </w:rPr>
              <w:t>Advisory vote to approve the compensation of the Company’s Named Executive Officers as disclosed in these proxy materials (say-on-pay)</w:t>
            </w:r>
          </w:p>
        </w:tc>
      </w:tr>
      <w:tr>
        <w:trPr/>
        <w:tc>
          <w:tcPr>
            <w:tcW w:w="187" w:type="dxa"/>
            <w:tcBorders/>
            <w:vAlign w:val="center"/>
          </w:tcPr>
          <w:p>
            <w:pPr>
              <w:pStyle w:val="TableContents"/>
              <w:bidi w:val="0"/>
              <w:spacing w:before="0" w:after="283"/>
              <w:jc w:val="left"/>
              <w:rPr>
                <w:b/>
                <w:color w:val="365FA5"/>
              </w:rPr>
            </w:pPr>
            <w:r>
              <w:rPr>
                <w:b/>
                <w:color w:val="365FA5"/>
              </w:rPr>
              <w:t>4.</w:t>
            </w:r>
          </w:p>
        </w:tc>
        <w:tc>
          <w:tcPr>
            <w:tcW w:w="10018" w:type="dxa"/>
            <w:tcBorders/>
            <w:vAlign w:val="center"/>
          </w:tcPr>
          <w:p>
            <w:pPr>
              <w:pStyle w:val="TableContents"/>
              <w:bidi w:val="0"/>
              <w:spacing w:before="0" w:after="283"/>
              <w:jc w:val="left"/>
              <w:rPr>
                <w:color w:val="231F20"/>
              </w:rPr>
            </w:pPr>
            <w:r>
              <w:rPr>
                <w:color w:val="231F20"/>
              </w:rPr>
              <w:t>Approval of an amendment to the Company’s Certificate of Incorporation to declassify the board of directors</w:t>
            </w:r>
          </w:p>
        </w:tc>
      </w:tr>
      <w:tr>
        <w:trPr/>
        <w:tc>
          <w:tcPr>
            <w:tcW w:w="187" w:type="dxa"/>
            <w:tcBorders/>
            <w:vAlign w:val="center"/>
          </w:tcPr>
          <w:p>
            <w:pPr>
              <w:pStyle w:val="TableContents"/>
              <w:bidi w:val="0"/>
              <w:spacing w:before="0" w:after="283"/>
              <w:jc w:val="left"/>
              <w:rPr>
                <w:b/>
                <w:color w:val="365FA5"/>
              </w:rPr>
            </w:pPr>
            <w:r>
              <w:rPr>
                <w:b/>
                <w:color w:val="365FA5"/>
              </w:rPr>
              <w:t>5.</w:t>
            </w:r>
          </w:p>
        </w:tc>
        <w:tc>
          <w:tcPr>
            <w:tcW w:w="10018" w:type="dxa"/>
            <w:tcBorders/>
            <w:vAlign w:val="center"/>
          </w:tcPr>
          <w:p>
            <w:pPr>
              <w:pStyle w:val="TableContents"/>
              <w:bidi w:val="0"/>
              <w:spacing w:before="0" w:after="283"/>
              <w:jc w:val="left"/>
              <w:rPr>
                <w:color w:val="231F20"/>
              </w:rPr>
            </w:pPr>
            <w:r>
              <w:rPr>
                <w:color w:val="231F20"/>
              </w:rPr>
              <w:t>Approval of two amendments to the Company’s Certificate of Incorporation to eliminate supermajority vote requirements</w:t>
            </w:r>
          </w:p>
        </w:tc>
      </w:tr>
    </w:tbl>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Can I ask a question at the Annual Meeting?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Shareholders who use the 16-digit control number that was furnished to them (either on the Notice or, if you received a paper copy of the proxy materials, the proxy card or voting instruction form you received) to log on to the meeting will be able to submit questions during the meeting, as time permits. If you wish to submit a question during the Annual Meeting, log on to the virtual meeting website using the 16-digit control number, type your question into the “Ask a Question” field, and click “Submit.” Questions and answers may be arranged by topic and substantially similar questions may be answered once. If we run out of time to answer all of the questions submitted, we will provide responses to the questions not addressed on our website at </w:t>
      </w:r>
      <w:r>
        <w:rPr>
          <w:rFonts w:ascii="Arial;Helvetica;Sans-Serif" w:hAnsi="Arial;Helvetica;Sans-Serif"/>
          <w:b/>
          <w:i w:val="false"/>
          <w:caps w:val="false"/>
          <w:smallCaps w:val="false"/>
          <w:color w:val="3B5AA4"/>
          <w:sz w:val="18"/>
        </w:rPr>
        <w:t xml:space="preserve">www.regeneron.com </w:t>
      </w:r>
      <w:r>
        <w:rPr>
          <w:rFonts w:ascii="Arial;Helvetica;Sans-Serif" w:hAnsi="Arial;Helvetica;Sans-Serif"/>
          <w:b w:val="false"/>
          <w:i w:val="false"/>
          <w:caps w:val="false"/>
          <w:smallCaps w:val="false"/>
          <w:color w:val="231F20"/>
          <w:sz w:val="18"/>
        </w:rPr>
        <w:t>on the “Investors &amp; Media” page.</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62"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41" descr=""/>
                          <pic:cNvPicPr>
                            <a:picLocks noChangeAspect="1" noChangeArrowheads="1"/>
                          </pic:cNvPicPr>
                        </pic:nvPicPr>
                        <pic:blipFill>
                          <a:blip r:embed="rId353"/>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regn013211-def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6">
              <w:r>
                <w:rPr>
                  <w:rStyle w:val="InternetLink"/>
                  <w:b/>
                  <w:strike w:val="false"/>
                  <w:dstrike w:val="false"/>
                  <w:color w:val="3B5AA4"/>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Will the Annual Meeting be available for replay?</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A replay of the Annual Meeting will be made publicly available approximately 24 hours after the Annual Meeting at </w:t>
      </w:r>
      <w:r>
        <w:rPr>
          <w:rFonts w:ascii="Arial;Helvetica;Sans-Serif" w:hAnsi="Arial;Helvetica;Sans-Serif"/>
          <w:b/>
          <w:i w:val="false"/>
          <w:caps w:val="false"/>
          <w:smallCaps w:val="false"/>
          <w:color w:val="3B5AA4"/>
          <w:sz w:val="18"/>
        </w:rPr>
        <w:t>www.virtualshareholdermeeting.com/REGN2025</w:t>
      </w:r>
      <w:r>
        <w:rPr>
          <w:rFonts w:ascii="Arial;Helvetica;Sans-Serif" w:hAnsi="Arial;Helvetica;Sans-Serif"/>
          <w:b w:val="false"/>
          <w:i w:val="false"/>
          <w:caps w:val="false"/>
          <w:smallCaps w:val="false"/>
          <w:color w:val="231F20"/>
          <w:sz w:val="18"/>
        </w:rPr>
        <w:t>. The replay will be available for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Why did I receive a notice in the mail regarding the Internet availability of proxy materials instead of a paper copy of the proxy materials?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“Notice and Access” rules of the SEC permit us to furnish proxy materials, including this proxy statement and our 2024 Annual Report, to our shareholders by providing access to such documents on the Internet instead of mailing printed copies. Most shareholders received the Notice and will not receive printed copies of the proxy materials unless they request them. This method reduces the environmental impact of the Annual Meeting. The Notice will be mailed beginning on or about April 29, 2025. The Notice includes instructions on how you may access and review all of our proxy materials and the 2024 Annual Report via the Internet. The Notice also includes instructions on how you may vote your shares. If you would like to receive a paper or electronic copy of our proxy materials, you should follow the instructions in the Notice for requesting such materials. Any request to receive proxy materials by mail or e-mail will remain in effect until you revoke it.</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Can I vote my shares by filling out and returning the Notice?</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No. The Notice identifies the items to be voted on at the Annual Meeting, but you cannot vote by marking the Notice and returning it. The Notice provides instructions on how to vote via the Internet, by requesting and returning a paper proxy card, or by voting at the meeting.</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Why did I receive the Notice?</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sent you the Notice regarding this proxy statement because Regeneron’s board of directors is asking (technically called soliciting) holders of common stock and Class A stock to provide proxies to be voted at our 2025 Annual Meeting of Shareholders or at any adjournment(s) or postponement(s) of the meeting.</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How are proxies voted?</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If you vote by proxy in time for it to be voted at the Annual Meeting, one of the individuals named as your proxy will vote your shares as you have directed. If you submit a proxy, but no indication is given as to how to vote your shares as to a proposal, your shares will be voted in the manner recommended by the board of directors. The board of directors knows of no matter, other than those indicated above under “What is on the agenda for the meeting?”, to be presented at the Annual Meeting. If any other matter properly comes before the Annual Meeting, the persons named and designated as proxies will vote your shares in their discretion.</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Why didn’t I receive a notice in the mail about the Internet availability of the proxy materials?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Shareholders who previously elected to receive proxy materials by e-mail will not receive the Notice in the mail. Instead, these shareholders should have received an e-mail with links to the proxy materials and the proxy voting website. Shareholders who have previously asked to receive paper copies of the proxy materials and shareholders who participate and hold shares of common stock in the Regeneron Pharmaceuticals, Inc. 401(k) Savings Plan or the Regeneron Ireland Share Participation Plan will receive paper copies of the proxy materials.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What constitutes a quorum?</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presence at the Annual Meeting, in person or by proxy, of the holders as of the record date of shares of common stock and Class A stock having a majority of the voting power of all shares of common stock and Class A stock outstanding on the record date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purposes of establishing a quorum.</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63"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342" descr=""/>
                          <pic:cNvPicPr>
                            <a:picLocks noChangeAspect="1" noChangeArrowheads="1"/>
                          </pic:cNvPicPr>
                        </pic:nvPicPr>
                        <pic:blipFill>
                          <a:blip r:embed="rId354"/>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regn013211-def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6">
              <w:r>
                <w:rPr>
                  <w:rStyle w:val="InternetLink"/>
                  <w:b/>
                  <w:strike w:val="false"/>
                  <w:dstrike w:val="false"/>
                  <w:color w:val="3B5AA4"/>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How can I vote my shares without attending the Annual Meeting?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recommend that shareholders vote by proxy even if they plan to attend the Annual Meeting via the Internet. If you are a shareholder of record, there are three ways to vote by proxy:</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231F20"/>
          <w:sz w:val="18"/>
        </w:rPr>
        <w:t xml:space="preserve">Via the Internet. </w:t>
      </w:r>
      <w:r>
        <w:rPr>
          <w:rFonts w:ascii="Arial;Helvetica;Sans-Serif" w:hAnsi="Arial;Helvetica;Sans-Serif"/>
          <w:b w:val="false"/>
          <w:i w:val="false"/>
          <w:caps w:val="false"/>
          <w:smallCaps w:val="false"/>
          <w:color w:val="231F20"/>
          <w:sz w:val="18"/>
        </w:rPr>
        <w:t xml:space="preserve">You may vote by proxy via the Internet by visiting </w:t>
      </w:r>
      <w:r>
        <w:rPr>
          <w:rFonts w:ascii="Arial;Helvetica;Sans-Serif" w:hAnsi="Arial;Helvetica;Sans-Serif"/>
          <w:b/>
          <w:i w:val="false"/>
          <w:caps w:val="false"/>
          <w:smallCaps w:val="false"/>
          <w:color w:val="3B5AA4"/>
          <w:sz w:val="18"/>
        </w:rPr>
        <w:t>www.proxyvote.com</w:t>
      </w:r>
      <w:r>
        <w:rPr>
          <w:rFonts w:ascii="Arial;Helvetica;Sans-Serif" w:hAnsi="Arial;Helvetica;Sans-Serif"/>
          <w:b w:val="false"/>
          <w:i w:val="false"/>
          <w:caps w:val="false"/>
          <w:smallCaps w:val="false"/>
          <w:color w:val="231F20"/>
          <w:sz w:val="18"/>
        </w:rPr>
        <w:t>. You will need the 16-digit control number included on the Notice or, if you received a paper copy of the proxy materials, the proxy card or voting instruction form you received. You may vote via the Internet through 11:59 p.m., Eastern Time, on June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Via telephone. </w:t>
      </w:r>
      <w:r>
        <w:rPr>
          <w:rFonts w:ascii="Arial;Helvetica;Sans-Serif" w:hAnsi="Arial;Helvetica;Sans-Serif"/>
          <w:b w:val="false"/>
          <w:i w:val="false"/>
          <w:caps w:val="false"/>
          <w:smallCaps w:val="false"/>
          <w:color w:val="231F20"/>
          <w:sz w:val="18"/>
        </w:rPr>
        <w:t>You may vote by proxy via telephone by calling the toll-free number found on the proxy card or the voting instruction form. You will need the 16-digit control number included on the proxy card or voting instruction form. You may vote via telephone through 11:59 p.m., Eastern Time, on June 12, 2025.</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i w:val="false"/>
          <w:caps w:val="false"/>
          <w:smallCaps w:val="false"/>
          <w:color w:val="231F20"/>
          <w:sz w:val="18"/>
        </w:rPr>
        <w:t xml:space="preserve">By mail. </w:t>
      </w:r>
      <w:r>
        <w:rPr>
          <w:rFonts w:ascii="Arial;Helvetica;Sans-Serif" w:hAnsi="Arial;Helvetica;Sans-Serif"/>
          <w:b w:val="false"/>
          <w:i w:val="false"/>
          <w:caps w:val="false"/>
          <w:smallCaps w:val="false"/>
          <w:color w:val="231F20"/>
          <w:sz w:val="18"/>
        </w:rPr>
        <w:t>If you received printed copies of the proxy materials, you may vote by proxy by completing the proxy card or voting instruction form and returning it in the envelope provided.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How can I attend and vote at the Annual Meeting?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You may attend the Annual Meeting via the Internet at </w:t>
      </w:r>
      <w:r>
        <w:rPr>
          <w:rFonts w:ascii="Arial;Helvetica;Sans-Serif" w:hAnsi="Arial;Helvetica;Sans-Serif"/>
          <w:b/>
          <w:i w:val="false"/>
          <w:caps w:val="false"/>
          <w:smallCaps w:val="false"/>
          <w:color w:val="3B5AA4"/>
          <w:sz w:val="18"/>
        </w:rPr>
        <w:t>www.virtualshareholdermeeting.com/REGN2025</w:t>
      </w:r>
      <w:r>
        <w:rPr>
          <w:rFonts w:ascii="Arial;Helvetica;Sans-Serif" w:hAnsi="Arial;Helvetica;Sans-Serif"/>
          <w:b w:val="false"/>
          <w:i w:val="false"/>
          <w:caps w:val="false"/>
          <w:smallCaps w:val="false"/>
          <w:color w:val="231F20"/>
          <w:sz w:val="18"/>
        </w:rPr>
        <w:t>. Shareholders who use the 16-digit control number that was furnished to them (either on the Notice or, if you received a paper copy of the proxy materials, the proxy card or voting instruction form you received) to log on to the meeting will be able to vote during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What if during the Annual Meeting I have technical difficulties or trouble accessing the virtual meeting website?</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We will have technicians ready to assist you with any technical difficulties you may have accessing the virtual meeting website. If you encounter any difficulties accessing the virtual meeting website during the meeting time, please call the technical support number that will be posted at </w:t>
      </w:r>
      <w:r>
        <w:rPr>
          <w:rFonts w:ascii="Arial;Helvetica;Sans-Serif" w:hAnsi="Arial;Helvetica;Sans-Serif"/>
          <w:b/>
          <w:i w:val="false"/>
          <w:caps w:val="false"/>
          <w:smallCaps w:val="false"/>
          <w:color w:val="3B5AA4"/>
          <w:sz w:val="18"/>
        </w:rPr>
        <w:t>www.virtualshareholdermeeting.com/REGN2025</w:t>
      </w:r>
      <w:r>
        <w:rPr>
          <w:rFonts w:ascii="Arial;Helvetica;Sans-Serif" w:hAnsi="Arial;Helvetica;Sans-Serif"/>
          <w:b w:val="false"/>
          <w:i w:val="false"/>
          <w:caps w:val="false"/>
          <w:smallCaps w:val="false"/>
          <w:color w:val="231F20"/>
          <w:sz w:val="18"/>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If I am a Regeneron employee or former employee, how do I vote shares in the Company Stock Fund in my 401(k) account or in the Regeneron Ireland Share Participation Plan?</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If you participate and hold shares of common stock in the Regeneron Pharmaceuticals, Inc. 401(k) Savings Plan, you may provide voting instructions to Fidelity Management Trust Company, the plan’s trustee, (1) through the Internet at </w:t>
      </w:r>
      <w:r>
        <w:rPr>
          <w:rFonts w:ascii="Arial;Helvetica;Sans-Serif" w:hAnsi="Arial;Helvetica;Sans-Serif"/>
          <w:b/>
          <w:i w:val="false"/>
          <w:caps w:val="false"/>
          <w:smallCaps w:val="false"/>
          <w:color w:val="3B5AA4"/>
          <w:sz w:val="18"/>
        </w:rPr>
        <w:t xml:space="preserve">www.proxyvote.com </w:t>
      </w:r>
      <w:r>
        <w:rPr>
          <w:rFonts w:ascii="Arial;Helvetica;Sans-Serif" w:hAnsi="Arial;Helvetica;Sans-Serif"/>
          <w:b w:val="false"/>
          <w:i w:val="false"/>
          <w:caps w:val="false"/>
          <w:smallCaps w:val="false"/>
          <w:color w:val="231F20"/>
          <w:sz w:val="18"/>
        </w:rPr>
        <w:t>by 11:59 p.m., Eastern Time, on June 10, 2025, (2) by calling 1-800-690-6903 by 11:59 p.m., Eastern Time, on June 10, 2025, or (3) by returning your completed proxy card by mail. The trustee will vote your shares in accordance with your instructions. If you do not provide timely voting instructions to the trustee, the trustee will vote your shares in the same proportion as the shares for which the trustee receives voting instructions from other participants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If you participate and hold shares of common stock in the Regeneron Ireland Share Participation Plan, you may provide voting instructions to Mercer Ireland Limited, who administers the Plan on behalf of Irish Pensions Trust Limited, the trustees of the Plan. You will receive a voting instruction form by mail sent directly to your home address, which you should complete, sign, and return to Mercer by mail using the enclosed pre-paid envelope or as an e-mail attachment in accordance with the instructions provided by Mercer.</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64"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343" descr=""/>
                          <pic:cNvPicPr>
                            <a:picLocks noChangeAspect="1" noChangeArrowheads="1"/>
                          </pic:cNvPicPr>
                        </pic:nvPicPr>
                        <pic:blipFill>
                          <a:blip r:embed="rId355"/>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regn013211-def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6">
              <w:r>
                <w:rPr>
                  <w:rStyle w:val="InternetLink"/>
                  <w:b/>
                  <w:strike w:val="false"/>
                  <w:dstrike w:val="false"/>
                  <w:color w:val="3B5AA4"/>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Can I change my vote or revoke my proxy?</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Yes. You may change your vote or revoke your proxy at any time before the proxy is exercised by voting again electronically through the Internet or by telephone, by mailing a new proxy card or voting instruction form, or by attending the Annual Meeting (via the Internet) and voting. If you are a record holder, you may also revoke your proxy by filing with the Secretary of the Company, at or before the taking of the vote at the Annual Meeting, a written notice of revocation bearing a later date than the proxy you previously submitted. Attendance at the Annual Meeting will not have the effect of revoking a proxy unless you vote at the Annual Meeting. If you hold your shares through a broker, bank, or other nominee in “street name,” you will need to contact them or follow the instructions in the voting instruction form used by the firm that holds your shares to revoke your proxy. Only your latest dated proxy we receive at or prior to the Annual Meeting will be counted.</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Who solicits proxies and bears the cost of solicitation?</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Solicitation of proxies may be made by mail, in person, or by telephone by officers, directors, and other employees of the Company, by employees of the Company’s transfer agent, Equiniti Trust Company, LLC (“Equiniti”), and by employees of Broadridge Financial Solutions, Inc. (“Broadridge”). We will reimburse Equiniti, Broadridge, and our banks, brokers, and other custodians, nominees, and fiduciaries for their respective reasonable costs in the preparation and mailing of proxy materials to shareholders. In addition, we have engaged Innisfree M&amp;A Incorporated to assist in the solicitation of proxies and provide related advice and informational support for a service fee of $25,000 and the reimbursement of customary disbursements and expenses. We will bear all costs of the solicitation of proxies.</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What are the board’s recommendations?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board of directors recommends that you vote:</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40" w:type="dxa"/>
          <w:left w:w="0" w:type="dxa"/>
          <w:bottom w:w="40" w:type="dxa"/>
          <w:right w:w="0" w:type="dxa"/>
        </w:tblCellMar>
      </w:tblPr>
      <w:tblGrid>
        <w:gridCol w:w="389"/>
        <w:gridCol w:w="9816"/>
      </w:tblGrid>
      <w:tr>
        <w:trPr/>
        <w:tc>
          <w:tcPr>
            <w:tcW w:w="389" w:type="dxa"/>
            <w:tcBorders>
              <w:top w:val="single" w:sz="2" w:space="0" w:color="3B5AA4"/>
              <w:bottom w:val="single" w:sz="2" w:space="0" w:color="CCCCCC"/>
            </w:tcBorders>
            <w:vAlign w:val="center"/>
          </w:tcPr>
          <w:p>
            <w:pPr>
              <w:pStyle w:val="TableContents"/>
              <w:bidi w:val="0"/>
              <w:spacing w:before="0" w:after="283"/>
              <w:jc w:val="left"/>
              <w:rPr/>
            </w:pPr>
            <w:r>
              <w:rPr/>
              <w:drawing>
                <wp:inline distT="0" distB="0" distL="0" distR="0">
                  <wp:extent cx="237490" cy="237490"/>
                  <wp:effectExtent l="0" t="0" r="0" b="0"/>
                  <wp:docPr id="365"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344" descr=""/>
                          <pic:cNvPicPr>
                            <a:picLocks noChangeAspect="1" noChangeArrowheads="1"/>
                          </pic:cNvPicPr>
                        </pic:nvPicPr>
                        <pic:blipFill>
                          <a:blip r:embed="rId356"/>
                          <a:stretch>
                            <a:fillRect/>
                          </a:stretch>
                        </pic:blipFill>
                        <pic:spPr bwMode="auto">
                          <a:xfrm>
                            <a:off x="0" y="0"/>
                            <a:ext cx="237490" cy="237490"/>
                          </a:xfrm>
                          <a:prstGeom prst="rect">
                            <a:avLst/>
                          </a:prstGeom>
                        </pic:spPr>
                      </pic:pic>
                    </a:graphicData>
                  </a:graphic>
                </wp:inline>
              </w:drawing>
            </w:r>
          </w:p>
        </w:tc>
        <w:tc>
          <w:tcPr>
            <w:tcW w:w="9816" w:type="dxa"/>
            <w:tcBorders>
              <w:top w:val="single" w:sz="2" w:space="0" w:color="3B5AA4"/>
              <w:bottom w:val="single" w:sz="2" w:space="0" w:color="CCCCCC"/>
            </w:tcBorders>
            <w:vAlign w:val="center"/>
          </w:tcPr>
          <w:p>
            <w:pPr>
              <w:pStyle w:val="TableContents"/>
              <w:bidi w:val="0"/>
              <w:spacing w:before="0" w:after="283"/>
              <w:jc w:val="left"/>
              <w:rPr/>
            </w:pPr>
            <w:r>
              <w:rPr>
                <w:b/>
                <w:color w:val="3B5AA4"/>
              </w:rPr>
              <w:t>FOR</w:t>
            </w:r>
            <w:r>
              <w:rPr>
                <w:color w:val="231F20"/>
              </w:rPr>
              <w:t xml:space="preserve"> election of each of the four nominated Class I directors (Proposal No. 1)</w:t>
            </w:r>
          </w:p>
        </w:tc>
      </w:tr>
      <w:tr>
        <w:trPr/>
        <w:tc>
          <w:tcPr>
            <w:tcW w:w="389" w:type="dxa"/>
            <w:tcBorders>
              <w:bottom w:val="single" w:sz="2" w:space="0" w:color="CCCCCC"/>
            </w:tcBorders>
            <w:tcMar>
              <w:top w:w="0" w:type="dxa"/>
            </w:tcMar>
            <w:vAlign w:val="center"/>
          </w:tcPr>
          <w:p>
            <w:pPr>
              <w:pStyle w:val="TableContents"/>
              <w:bidi w:val="0"/>
              <w:spacing w:before="0" w:after="283"/>
              <w:jc w:val="left"/>
              <w:rPr/>
            </w:pPr>
            <w:r>
              <w:rPr/>
              <w:drawing>
                <wp:inline distT="0" distB="0" distL="0" distR="0">
                  <wp:extent cx="237490" cy="237490"/>
                  <wp:effectExtent l="0" t="0" r="0" b="0"/>
                  <wp:docPr id="366"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345" descr=""/>
                          <pic:cNvPicPr>
                            <a:picLocks noChangeAspect="1" noChangeArrowheads="1"/>
                          </pic:cNvPicPr>
                        </pic:nvPicPr>
                        <pic:blipFill>
                          <a:blip r:embed="rId357"/>
                          <a:stretch>
                            <a:fillRect/>
                          </a:stretch>
                        </pic:blipFill>
                        <pic:spPr bwMode="auto">
                          <a:xfrm>
                            <a:off x="0" y="0"/>
                            <a:ext cx="237490" cy="237490"/>
                          </a:xfrm>
                          <a:prstGeom prst="rect">
                            <a:avLst/>
                          </a:prstGeom>
                        </pic:spPr>
                      </pic:pic>
                    </a:graphicData>
                  </a:graphic>
                </wp:inline>
              </w:drawing>
            </w:r>
          </w:p>
        </w:tc>
        <w:tc>
          <w:tcPr>
            <w:tcW w:w="9816" w:type="dxa"/>
            <w:tcBorders>
              <w:bottom w:val="single" w:sz="2" w:space="0" w:color="CCCCCC"/>
            </w:tcBorders>
            <w:tcMar>
              <w:top w:w="0" w:type="dxa"/>
            </w:tcMar>
            <w:vAlign w:val="center"/>
          </w:tcPr>
          <w:p>
            <w:pPr>
              <w:pStyle w:val="TableContents"/>
              <w:bidi w:val="0"/>
              <w:spacing w:before="0" w:after="283"/>
              <w:jc w:val="left"/>
              <w:rPr/>
            </w:pPr>
            <w:r>
              <w:rPr>
                <w:b/>
                <w:color w:val="3B5AA4"/>
              </w:rPr>
              <w:t>FOR</w:t>
            </w:r>
            <w:r>
              <w:rPr>
                <w:color w:val="231F20"/>
              </w:rPr>
              <w:t xml:space="preserve"> ratification of the appointment of PricewaterhouseCoopers LLP as the Company’s independent registered public accounting firm for 2025 (Proposal No. 2)</w:t>
            </w:r>
          </w:p>
        </w:tc>
      </w:tr>
      <w:tr>
        <w:trPr/>
        <w:tc>
          <w:tcPr>
            <w:tcW w:w="389" w:type="dxa"/>
            <w:tcBorders>
              <w:bottom w:val="single" w:sz="2" w:space="0" w:color="CCCCCC"/>
            </w:tcBorders>
            <w:tcMar>
              <w:top w:w="0" w:type="dxa"/>
            </w:tcMar>
            <w:vAlign w:val="center"/>
          </w:tcPr>
          <w:p>
            <w:pPr>
              <w:pStyle w:val="TableContents"/>
              <w:bidi w:val="0"/>
              <w:spacing w:before="0" w:after="283"/>
              <w:jc w:val="left"/>
              <w:rPr/>
            </w:pPr>
            <w:r>
              <w:rPr/>
              <w:drawing>
                <wp:inline distT="0" distB="0" distL="0" distR="0">
                  <wp:extent cx="237490" cy="237490"/>
                  <wp:effectExtent l="0" t="0" r="0" b="0"/>
                  <wp:docPr id="367"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346" descr=""/>
                          <pic:cNvPicPr>
                            <a:picLocks noChangeAspect="1" noChangeArrowheads="1"/>
                          </pic:cNvPicPr>
                        </pic:nvPicPr>
                        <pic:blipFill>
                          <a:blip r:embed="rId358"/>
                          <a:stretch>
                            <a:fillRect/>
                          </a:stretch>
                        </pic:blipFill>
                        <pic:spPr bwMode="auto">
                          <a:xfrm>
                            <a:off x="0" y="0"/>
                            <a:ext cx="237490" cy="237490"/>
                          </a:xfrm>
                          <a:prstGeom prst="rect">
                            <a:avLst/>
                          </a:prstGeom>
                        </pic:spPr>
                      </pic:pic>
                    </a:graphicData>
                  </a:graphic>
                </wp:inline>
              </w:drawing>
            </w:r>
          </w:p>
        </w:tc>
        <w:tc>
          <w:tcPr>
            <w:tcW w:w="9816" w:type="dxa"/>
            <w:tcBorders>
              <w:bottom w:val="single" w:sz="2" w:space="0" w:color="CCCCCC"/>
            </w:tcBorders>
            <w:tcMar>
              <w:top w:w="0" w:type="dxa"/>
            </w:tcMar>
            <w:vAlign w:val="center"/>
          </w:tcPr>
          <w:p>
            <w:pPr>
              <w:pStyle w:val="TableContents"/>
              <w:bidi w:val="0"/>
              <w:spacing w:before="0" w:after="283"/>
              <w:jc w:val="left"/>
              <w:rPr/>
            </w:pPr>
            <w:r>
              <w:rPr>
                <w:b/>
                <w:color w:val="3B5AA4"/>
              </w:rPr>
              <w:t>FOR</w:t>
            </w:r>
            <w:r>
              <w:rPr>
                <w:color w:val="231F20"/>
              </w:rPr>
              <w:t xml:space="preserve"> approval of the compensation of the Company’s Named Executive Officers as disclosed in these proxy materials (say-on-pay) (Proposal No. 3)</w:t>
            </w:r>
          </w:p>
        </w:tc>
      </w:tr>
      <w:tr>
        <w:trPr/>
        <w:tc>
          <w:tcPr>
            <w:tcW w:w="389" w:type="dxa"/>
            <w:tcBorders>
              <w:bottom w:val="single" w:sz="2" w:space="0" w:color="CCCCCC"/>
            </w:tcBorders>
            <w:tcMar>
              <w:top w:w="0" w:type="dxa"/>
            </w:tcMar>
            <w:vAlign w:val="center"/>
          </w:tcPr>
          <w:p>
            <w:pPr>
              <w:pStyle w:val="TableContents"/>
              <w:bidi w:val="0"/>
              <w:spacing w:before="0" w:after="283"/>
              <w:jc w:val="left"/>
              <w:rPr/>
            </w:pPr>
            <w:r>
              <w:rPr/>
              <w:drawing>
                <wp:inline distT="0" distB="0" distL="0" distR="0">
                  <wp:extent cx="237490" cy="237490"/>
                  <wp:effectExtent l="0" t="0" r="0" b="0"/>
                  <wp:docPr id="368"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347" descr=""/>
                          <pic:cNvPicPr>
                            <a:picLocks noChangeAspect="1" noChangeArrowheads="1"/>
                          </pic:cNvPicPr>
                        </pic:nvPicPr>
                        <pic:blipFill>
                          <a:blip r:embed="rId359"/>
                          <a:stretch>
                            <a:fillRect/>
                          </a:stretch>
                        </pic:blipFill>
                        <pic:spPr bwMode="auto">
                          <a:xfrm>
                            <a:off x="0" y="0"/>
                            <a:ext cx="237490" cy="237490"/>
                          </a:xfrm>
                          <a:prstGeom prst="rect">
                            <a:avLst/>
                          </a:prstGeom>
                        </pic:spPr>
                      </pic:pic>
                    </a:graphicData>
                  </a:graphic>
                </wp:inline>
              </w:drawing>
            </w:r>
          </w:p>
        </w:tc>
        <w:tc>
          <w:tcPr>
            <w:tcW w:w="9816" w:type="dxa"/>
            <w:tcBorders>
              <w:bottom w:val="single" w:sz="2" w:space="0" w:color="CCCCCC"/>
            </w:tcBorders>
            <w:tcMar>
              <w:top w:w="0" w:type="dxa"/>
            </w:tcMar>
            <w:vAlign w:val="center"/>
          </w:tcPr>
          <w:p>
            <w:pPr>
              <w:pStyle w:val="TableContents"/>
              <w:bidi w:val="0"/>
              <w:spacing w:before="0" w:after="283"/>
              <w:jc w:val="left"/>
              <w:rPr/>
            </w:pPr>
            <w:r>
              <w:rPr>
                <w:b/>
                <w:color w:val="3B5AA4"/>
              </w:rPr>
              <w:t>FOR</w:t>
            </w:r>
            <w:r>
              <w:rPr>
                <w:color w:val="231F20"/>
              </w:rPr>
              <w:t xml:space="preserve"> approval of an amendment to the Company’s Certificate of Incorporation to declassify the board of directors (Proposal No. 4)</w:t>
            </w:r>
          </w:p>
        </w:tc>
      </w:tr>
      <w:tr>
        <w:trPr/>
        <w:tc>
          <w:tcPr>
            <w:tcW w:w="389" w:type="dxa"/>
            <w:tcBorders>
              <w:bottom w:val="single" w:sz="2" w:space="0" w:color="3B5AA4"/>
            </w:tcBorders>
            <w:tcMar>
              <w:top w:w="0" w:type="dxa"/>
              <w:bottom w:w="100" w:type="dxa"/>
            </w:tcMar>
            <w:vAlign w:val="center"/>
          </w:tcPr>
          <w:p>
            <w:pPr>
              <w:pStyle w:val="TableContents"/>
              <w:bidi w:val="0"/>
              <w:spacing w:before="0" w:after="283"/>
              <w:jc w:val="left"/>
              <w:rPr/>
            </w:pPr>
            <w:r>
              <w:rPr/>
              <w:drawing>
                <wp:inline distT="0" distB="0" distL="0" distR="0">
                  <wp:extent cx="237490" cy="237490"/>
                  <wp:effectExtent l="0" t="0" r="0" b="0"/>
                  <wp:docPr id="369"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48" descr=""/>
                          <pic:cNvPicPr>
                            <a:picLocks noChangeAspect="1" noChangeArrowheads="1"/>
                          </pic:cNvPicPr>
                        </pic:nvPicPr>
                        <pic:blipFill>
                          <a:blip r:embed="rId360"/>
                          <a:stretch>
                            <a:fillRect/>
                          </a:stretch>
                        </pic:blipFill>
                        <pic:spPr bwMode="auto">
                          <a:xfrm>
                            <a:off x="0" y="0"/>
                            <a:ext cx="237490" cy="237490"/>
                          </a:xfrm>
                          <a:prstGeom prst="rect">
                            <a:avLst/>
                          </a:prstGeom>
                        </pic:spPr>
                      </pic:pic>
                    </a:graphicData>
                  </a:graphic>
                </wp:inline>
              </w:drawing>
            </w:r>
          </w:p>
        </w:tc>
        <w:tc>
          <w:tcPr>
            <w:tcW w:w="9816" w:type="dxa"/>
            <w:tcBorders>
              <w:bottom w:val="single" w:sz="2" w:space="0" w:color="3B5AA4"/>
            </w:tcBorders>
            <w:tcMar>
              <w:top w:w="0" w:type="dxa"/>
              <w:bottom w:w="100" w:type="dxa"/>
            </w:tcMar>
            <w:vAlign w:val="center"/>
          </w:tcPr>
          <w:p>
            <w:pPr>
              <w:pStyle w:val="TableContents"/>
              <w:bidi w:val="0"/>
              <w:spacing w:before="0" w:after="283"/>
              <w:jc w:val="left"/>
              <w:rPr/>
            </w:pPr>
            <w:r>
              <w:rPr>
                <w:b/>
                <w:color w:val="3B5AA4"/>
              </w:rPr>
              <w:t>FOR</w:t>
            </w:r>
            <w:r>
              <w:rPr>
                <w:color w:val="231F20"/>
              </w:rPr>
              <w:t xml:space="preserve"> approval of two amendments to the Company’s Certificate of Incorporation to eliminate supermajority vote requirements (Proposal Nos. 5(a) and 5(b))</w:t>
            </w:r>
          </w:p>
        </w:tc>
      </w:tr>
    </w:tbl>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70"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349" descr=""/>
                          <pic:cNvPicPr>
                            <a:picLocks noChangeAspect="1" noChangeArrowheads="1"/>
                          </pic:cNvPicPr>
                        </pic:nvPicPr>
                        <pic:blipFill>
                          <a:blip r:embed="rId361"/>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109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regn013211-def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6">
              <w:r>
                <w:rPr>
                  <w:rStyle w:val="InternetLink"/>
                  <w:b/>
                  <w:strike w:val="false"/>
                  <w:dstrike w:val="false"/>
                  <w:color w:val="3B5AA4"/>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What vote is required to approve each proposal?</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following table summarizes the voting requirements applicable to the proposals to be voted on at the Annual Meeting:</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40" w:type="dxa"/>
          <w:right w:w="0" w:type="dxa"/>
        </w:tblCellMar>
      </w:tblPr>
      <w:tblGrid>
        <w:gridCol w:w="3335"/>
        <w:gridCol w:w="60"/>
        <w:gridCol w:w="3267"/>
        <w:gridCol w:w="60"/>
        <w:gridCol w:w="1631"/>
        <w:gridCol w:w="60"/>
        <w:gridCol w:w="1792"/>
      </w:tblGrid>
      <w:tr>
        <w:trPr/>
        <w:tc>
          <w:tcPr>
            <w:tcW w:w="3335" w:type="dxa"/>
            <w:tcBorders>
              <w:bottom w:val="single" w:sz="2" w:space="0" w:color="3B5AA4"/>
            </w:tcBorders>
            <w:vAlign w:val="center"/>
          </w:tcPr>
          <w:p>
            <w:pPr>
              <w:pStyle w:val="TableContents"/>
              <w:bidi w:val="0"/>
              <w:spacing w:before="0" w:after="283"/>
              <w:jc w:val="left"/>
              <w:rPr>
                <w:b/>
                <w:color w:val="3B5AA4"/>
              </w:rPr>
            </w:pPr>
            <w:r>
              <w:rPr>
                <w:b/>
                <w:color w:val="3B5AA4"/>
              </w:rPr>
              <w:t>Proposal</w:t>
            </w:r>
          </w:p>
        </w:tc>
        <w:tc>
          <w:tcPr>
            <w:tcW w:w="60" w:type="dxa"/>
            <w:tcBorders>
              <w:bottom w:val="single" w:sz="2" w:space="0" w:color="3B5AA4"/>
            </w:tcBorders>
            <w:vAlign w:val="center"/>
          </w:tcPr>
          <w:p>
            <w:pPr>
              <w:pStyle w:val="TableContents"/>
              <w:bidi w:val="0"/>
              <w:spacing w:before="0" w:after="283"/>
              <w:jc w:val="left"/>
              <w:rPr/>
            </w:pPr>
            <w:r>
              <w:rPr/>
              <w:t> </w:t>
            </w:r>
          </w:p>
        </w:tc>
        <w:tc>
          <w:tcPr>
            <w:tcW w:w="3267" w:type="dxa"/>
            <w:tcBorders>
              <w:bottom w:val="single" w:sz="2" w:space="0" w:color="3B5AA4"/>
            </w:tcBorders>
            <w:vAlign w:val="center"/>
          </w:tcPr>
          <w:p>
            <w:pPr>
              <w:pStyle w:val="TableContents"/>
              <w:bidi w:val="0"/>
              <w:spacing w:before="0" w:after="283"/>
              <w:jc w:val="left"/>
              <w:rPr>
                <w:b/>
                <w:color w:val="3B5AA4"/>
              </w:rPr>
            </w:pPr>
            <w:r>
              <w:rPr>
                <w:b/>
                <w:color w:val="3B5AA4"/>
              </w:rPr>
              <w:t>Vote Required</w:t>
            </w:r>
          </w:p>
        </w:tc>
        <w:tc>
          <w:tcPr>
            <w:tcW w:w="60" w:type="dxa"/>
            <w:tcBorders>
              <w:bottom w:val="single" w:sz="2" w:space="0" w:color="3B5AA4"/>
            </w:tcBorders>
            <w:vAlign w:val="center"/>
          </w:tcPr>
          <w:p>
            <w:pPr>
              <w:pStyle w:val="TableContents"/>
              <w:bidi w:val="0"/>
              <w:spacing w:before="0" w:after="283"/>
              <w:jc w:val="left"/>
              <w:rPr/>
            </w:pPr>
            <w:r>
              <w:rPr/>
              <w:t> </w:t>
            </w:r>
          </w:p>
        </w:tc>
        <w:tc>
          <w:tcPr>
            <w:tcW w:w="1631" w:type="dxa"/>
            <w:tcBorders>
              <w:bottom w:val="single" w:sz="2" w:space="0" w:color="3B5AA4"/>
            </w:tcBorders>
            <w:vAlign w:val="center"/>
          </w:tcPr>
          <w:p>
            <w:pPr>
              <w:pStyle w:val="TableContents"/>
              <w:bidi w:val="0"/>
              <w:spacing w:before="0" w:after="283"/>
              <w:jc w:val="left"/>
              <w:rPr>
                <w:b/>
                <w:color w:val="3B5AA4"/>
              </w:rPr>
            </w:pPr>
            <w:r>
              <w:rPr>
                <w:b/>
                <w:color w:val="3B5AA4"/>
              </w:rPr>
              <w:t>Effect of Abstentions</w:t>
              <w:br/>
              <w:t>and Broker Non-Votes</w:t>
            </w:r>
            <w:r>
              <w:rPr>
                <w:b/>
                <w:color w:val="3B5AA4"/>
                <w:position w:val="8"/>
                <w:sz w:val="19"/>
              </w:rPr>
              <w:t>*</w:t>
            </w:r>
          </w:p>
        </w:tc>
        <w:tc>
          <w:tcPr>
            <w:tcW w:w="60" w:type="dxa"/>
            <w:tcBorders>
              <w:bottom w:val="single" w:sz="2" w:space="0" w:color="3B5AA4"/>
            </w:tcBorders>
            <w:vAlign w:val="center"/>
          </w:tcPr>
          <w:p>
            <w:pPr>
              <w:pStyle w:val="TableContents"/>
              <w:bidi w:val="0"/>
              <w:spacing w:before="0" w:after="283"/>
              <w:jc w:val="left"/>
              <w:rPr/>
            </w:pPr>
            <w:r>
              <w:rPr/>
              <w:t> </w:t>
            </w:r>
          </w:p>
        </w:tc>
        <w:tc>
          <w:tcPr>
            <w:tcW w:w="1792" w:type="dxa"/>
            <w:tcBorders>
              <w:bottom w:val="single" w:sz="2" w:space="0" w:color="3B5AA4"/>
            </w:tcBorders>
            <w:vAlign w:val="center"/>
          </w:tcPr>
          <w:p>
            <w:pPr>
              <w:pStyle w:val="TableContents"/>
              <w:bidi w:val="0"/>
              <w:spacing w:before="0" w:after="283"/>
              <w:jc w:val="left"/>
              <w:rPr>
                <w:b/>
                <w:color w:val="3B5AA4"/>
              </w:rPr>
            </w:pPr>
            <w:r>
              <w:rPr>
                <w:b/>
                <w:color w:val="3B5AA4"/>
              </w:rPr>
              <w:t>Broker Discretionary</w:t>
              <w:br/>
              <w:t>Voting Allowed?</w:t>
            </w:r>
            <w:r>
              <w:rPr>
                <w:b/>
                <w:color w:val="3B5AA4"/>
                <w:position w:val="8"/>
                <w:sz w:val="19"/>
              </w:rPr>
              <w:t>+</w:t>
            </w:r>
          </w:p>
        </w:tc>
      </w:tr>
      <w:tr>
        <w:trPr/>
        <w:tc>
          <w:tcPr>
            <w:tcW w:w="3335" w:type="dxa"/>
            <w:tcBorders/>
            <w:tcMar>
              <w:bottom w:w="0" w:type="dxa"/>
            </w:tcMar>
            <w:vAlign w:val="center"/>
          </w:tcPr>
          <w:p>
            <w:pPr>
              <w:pStyle w:val="TableContents"/>
              <w:bidi w:val="0"/>
              <w:spacing w:before="0" w:after="283"/>
              <w:jc w:val="left"/>
              <w:rPr>
                <w:b/>
                <w:color w:val="231F20"/>
              </w:rPr>
            </w:pPr>
            <w:r>
              <w:rPr>
                <w:b/>
                <w:color w:val="231F20"/>
              </w:rPr>
              <w:t>Proposal No. 1: Election of Directors</w:t>
            </w:r>
          </w:p>
        </w:tc>
        <w:tc>
          <w:tcPr>
            <w:tcW w:w="60" w:type="dxa"/>
            <w:tcBorders/>
            <w:tcMar>
              <w:bottom w:w="0" w:type="dxa"/>
            </w:tcMar>
            <w:vAlign w:val="center"/>
          </w:tcPr>
          <w:p>
            <w:pPr>
              <w:pStyle w:val="TableContents"/>
              <w:bidi w:val="0"/>
              <w:spacing w:before="0" w:after="283"/>
              <w:jc w:val="left"/>
              <w:rPr/>
            </w:pPr>
            <w:r>
              <w:rPr/>
              <w:t> </w:t>
            </w:r>
          </w:p>
        </w:tc>
        <w:tc>
          <w:tcPr>
            <w:tcW w:w="3267" w:type="dxa"/>
            <w:tcBorders/>
            <w:tcMar>
              <w:bottom w:w="0" w:type="dxa"/>
            </w:tcMar>
            <w:vAlign w:val="center"/>
          </w:tcPr>
          <w:p>
            <w:pPr>
              <w:pStyle w:val="TableContents"/>
              <w:bidi w:val="0"/>
              <w:spacing w:before="0" w:after="283"/>
              <w:jc w:val="left"/>
              <w:rPr/>
            </w:pPr>
            <w:r>
              <w:rPr/>
              <w:t>Majority of the votes cast. In accordance with our director resignation policy, an incumbent director who fails to receive the required number of votes in an uncontested election will be required to tender his or her resignation to either co-Chair of the board of directors for consideration by the Corporate Governance and Compliance Committee.</w:t>
            </w:r>
          </w:p>
        </w:tc>
        <w:tc>
          <w:tcPr>
            <w:tcW w:w="60" w:type="dxa"/>
            <w:tcBorders/>
            <w:tcMar>
              <w:bottom w:w="0" w:type="dxa"/>
            </w:tcMar>
            <w:vAlign w:val="center"/>
          </w:tcPr>
          <w:p>
            <w:pPr>
              <w:pStyle w:val="TableContents"/>
              <w:bidi w:val="0"/>
              <w:spacing w:before="0" w:after="283"/>
              <w:jc w:val="left"/>
              <w:rPr/>
            </w:pPr>
            <w:r>
              <w:rPr/>
              <w:t> </w:t>
            </w:r>
          </w:p>
        </w:tc>
        <w:tc>
          <w:tcPr>
            <w:tcW w:w="1631" w:type="dxa"/>
            <w:tcBorders/>
            <w:tcMar>
              <w:bottom w:w="0" w:type="dxa"/>
            </w:tcMar>
            <w:vAlign w:val="center"/>
          </w:tcPr>
          <w:p>
            <w:pPr>
              <w:pStyle w:val="TableContents"/>
              <w:bidi w:val="0"/>
              <w:spacing w:before="0" w:after="283"/>
              <w:jc w:val="left"/>
              <w:rPr>
                <w:color w:val="231F20"/>
              </w:rPr>
            </w:pPr>
            <w:r>
              <w:rPr>
                <w:color w:val="231F20"/>
              </w:rPr>
              <w:t xml:space="preserve">No effect – </w:t>
              <w:br/>
              <w:t>not considered votes cast on this proposal</w:t>
            </w:r>
          </w:p>
        </w:tc>
        <w:tc>
          <w:tcPr>
            <w:tcW w:w="60" w:type="dxa"/>
            <w:tcBorders/>
            <w:tcMar>
              <w:bottom w:w="0" w:type="dxa"/>
            </w:tcMar>
            <w:vAlign w:val="center"/>
          </w:tcPr>
          <w:p>
            <w:pPr>
              <w:pStyle w:val="TableContents"/>
              <w:bidi w:val="0"/>
              <w:spacing w:before="0" w:after="283"/>
              <w:jc w:val="left"/>
              <w:rPr/>
            </w:pPr>
            <w:r>
              <w:rPr/>
              <w:t> </w:t>
            </w:r>
          </w:p>
        </w:tc>
        <w:tc>
          <w:tcPr>
            <w:tcW w:w="1792" w:type="dxa"/>
            <w:tcBorders/>
            <w:tcMar>
              <w:bottom w:w="0" w:type="dxa"/>
            </w:tcMar>
            <w:vAlign w:val="center"/>
          </w:tcPr>
          <w:p>
            <w:pPr>
              <w:pStyle w:val="TableContents"/>
              <w:bidi w:val="0"/>
              <w:spacing w:before="0" w:after="283"/>
              <w:jc w:val="left"/>
              <w:rPr/>
            </w:pPr>
            <w:r>
              <w:rPr/>
              <w:t>No –  </w:t>
              <w:br/>
              <w:t>brokers without voting instructions will not be able to vote on this proposal</w:t>
            </w:r>
          </w:p>
        </w:tc>
      </w:tr>
      <w:tr>
        <w:trPr/>
        <w:tc>
          <w:tcPr>
            <w:tcW w:w="3335"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b/>
                <w:color w:val="231F20"/>
              </w:rPr>
            </w:pPr>
            <w:r>
              <w:rPr>
                <w:b/>
                <w:color w:val="231F20"/>
              </w:rPr>
              <w:t>Proposal No. 2: Ratification of the Appointment of PricewaterhouseCoopers LLP</w:t>
            </w:r>
          </w:p>
        </w:tc>
        <w:tc>
          <w:tcPr>
            <w:tcW w:w="60"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pPr>
            <w:r>
              <w:rPr/>
              <w:t> </w:t>
            </w:r>
          </w:p>
        </w:tc>
        <w:tc>
          <w:tcPr>
            <w:tcW w:w="3267"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color w:val="231F20"/>
              </w:rPr>
            </w:pPr>
            <w:r>
              <w:rPr>
                <w:color w:val="231F20"/>
              </w:rPr>
              <w:t>Majority of the votes cast</w:t>
            </w:r>
          </w:p>
        </w:tc>
        <w:tc>
          <w:tcPr>
            <w:tcW w:w="60"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pPr>
            <w:r>
              <w:rPr/>
              <w:t> </w:t>
            </w:r>
          </w:p>
        </w:tc>
        <w:tc>
          <w:tcPr>
            <w:tcW w:w="1631"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color w:val="231F20"/>
              </w:rPr>
            </w:pPr>
            <w:r>
              <w:rPr>
                <w:color w:val="231F20"/>
              </w:rPr>
              <w:t xml:space="preserve">No effect – </w:t>
              <w:br/>
              <w:t>not considered votes cast on this proposal</w:t>
            </w:r>
          </w:p>
        </w:tc>
        <w:tc>
          <w:tcPr>
            <w:tcW w:w="60"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pPr>
            <w:r>
              <w:rPr/>
              <w:t> </w:t>
            </w:r>
          </w:p>
        </w:tc>
        <w:tc>
          <w:tcPr>
            <w:tcW w:w="1792"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color w:val="231F20"/>
              </w:rPr>
            </w:pPr>
            <w:r>
              <w:rPr>
                <w:color w:val="231F20"/>
              </w:rPr>
              <w:t xml:space="preserve">Yes – </w:t>
              <w:br/>
              <w:t>brokers without voting instructions will have discretionary authority to vote</w:t>
            </w:r>
          </w:p>
        </w:tc>
      </w:tr>
      <w:tr>
        <w:trPr/>
        <w:tc>
          <w:tcPr>
            <w:tcW w:w="3335" w:type="dxa"/>
            <w:tcBorders>
              <w:top w:val="single" w:sz="2" w:space="0" w:color="CCCCCC"/>
              <w:bottom w:val="single" w:sz="2" w:space="0" w:color="CCCCCC"/>
            </w:tcBorders>
            <w:tcMar>
              <w:top w:w="40" w:type="dxa"/>
            </w:tcMar>
            <w:vAlign w:val="center"/>
          </w:tcPr>
          <w:p>
            <w:pPr>
              <w:pStyle w:val="TableContents"/>
              <w:bidi w:val="0"/>
              <w:spacing w:before="0" w:after="283"/>
              <w:jc w:val="left"/>
              <w:rPr>
                <w:b/>
                <w:color w:val="231F20"/>
              </w:rPr>
            </w:pPr>
            <w:r>
              <w:rPr>
                <w:b/>
                <w:color w:val="231F20"/>
              </w:rPr>
              <w:t>Proposal No. 3: Say-on-Pay</w:t>
            </w:r>
          </w:p>
        </w:tc>
        <w:tc>
          <w:tcPr>
            <w:tcW w:w="60" w:type="dxa"/>
            <w:tcBorders>
              <w:top w:val="single" w:sz="2" w:space="0" w:color="CCCCCC"/>
              <w:bottom w:val="single" w:sz="2" w:space="0" w:color="CCCCCC"/>
            </w:tcBorders>
            <w:tcMar>
              <w:top w:w="40" w:type="dxa"/>
            </w:tcMar>
            <w:vAlign w:val="center"/>
          </w:tcPr>
          <w:p>
            <w:pPr>
              <w:pStyle w:val="TableContents"/>
              <w:bidi w:val="0"/>
              <w:spacing w:before="0" w:after="283"/>
              <w:jc w:val="left"/>
              <w:rPr/>
            </w:pPr>
            <w:r>
              <w:rPr/>
              <w:t> </w:t>
            </w:r>
          </w:p>
        </w:tc>
        <w:tc>
          <w:tcPr>
            <w:tcW w:w="3267" w:type="dxa"/>
            <w:tcBorders>
              <w:top w:val="single" w:sz="2" w:space="0" w:color="CCCCCC"/>
              <w:bottom w:val="single" w:sz="2" w:space="0" w:color="CCCCCC"/>
            </w:tcBorders>
            <w:tcMar>
              <w:top w:w="40" w:type="dxa"/>
            </w:tcMar>
            <w:vAlign w:val="center"/>
          </w:tcPr>
          <w:p>
            <w:pPr>
              <w:pStyle w:val="TableContents"/>
              <w:bidi w:val="0"/>
              <w:spacing w:before="0" w:after="283"/>
              <w:jc w:val="left"/>
              <w:rPr/>
            </w:pPr>
            <w:r>
              <w:rPr/>
              <w:t>Non-binding, advisory proposal. We will consider the matter approved if it receives the affirmative vote of a majority of the votes cast</w:t>
            </w:r>
          </w:p>
        </w:tc>
        <w:tc>
          <w:tcPr>
            <w:tcW w:w="60" w:type="dxa"/>
            <w:tcBorders>
              <w:top w:val="single" w:sz="2" w:space="0" w:color="CCCCCC"/>
              <w:bottom w:val="single" w:sz="2" w:space="0" w:color="CCCCCC"/>
            </w:tcBorders>
            <w:tcMar>
              <w:top w:w="40" w:type="dxa"/>
            </w:tcMar>
            <w:vAlign w:val="center"/>
          </w:tcPr>
          <w:p>
            <w:pPr>
              <w:pStyle w:val="TableContents"/>
              <w:bidi w:val="0"/>
              <w:spacing w:before="0" w:after="283"/>
              <w:jc w:val="left"/>
              <w:rPr/>
            </w:pPr>
            <w:r>
              <w:rPr/>
              <w:t> </w:t>
            </w:r>
          </w:p>
        </w:tc>
        <w:tc>
          <w:tcPr>
            <w:tcW w:w="1631" w:type="dxa"/>
            <w:tcBorders>
              <w:top w:val="single" w:sz="2" w:space="0" w:color="CCCCCC"/>
              <w:bottom w:val="single" w:sz="2" w:space="0" w:color="CCCCCC"/>
            </w:tcBorders>
            <w:tcMar>
              <w:top w:w="40" w:type="dxa"/>
            </w:tcMar>
            <w:vAlign w:val="center"/>
          </w:tcPr>
          <w:p>
            <w:pPr>
              <w:pStyle w:val="TableContents"/>
              <w:bidi w:val="0"/>
              <w:spacing w:before="0" w:after="283"/>
              <w:jc w:val="left"/>
              <w:rPr>
                <w:color w:val="231F20"/>
              </w:rPr>
            </w:pPr>
            <w:r>
              <w:rPr>
                <w:color w:val="231F20"/>
              </w:rPr>
              <w:t>No effect –</w:t>
              <w:br/>
              <w:t>not considered votes cast on this proposal</w:t>
            </w:r>
          </w:p>
        </w:tc>
        <w:tc>
          <w:tcPr>
            <w:tcW w:w="60" w:type="dxa"/>
            <w:tcBorders>
              <w:top w:val="single" w:sz="2" w:space="0" w:color="CCCCCC"/>
              <w:bottom w:val="single" w:sz="2" w:space="0" w:color="CCCCCC"/>
            </w:tcBorders>
            <w:tcMar>
              <w:top w:w="40" w:type="dxa"/>
            </w:tcMar>
            <w:vAlign w:val="center"/>
          </w:tcPr>
          <w:p>
            <w:pPr>
              <w:pStyle w:val="TableContents"/>
              <w:bidi w:val="0"/>
              <w:spacing w:before="0" w:after="283"/>
              <w:jc w:val="left"/>
              <w:rPr/>
            </w:pPr>
            <w:r>
              <w:rPr/>
              <w:t> </w:t>
            </w:r>
          </w:p>
        </w:tc>
        <w:tc>
          <w:tcPr>
            <w:tcW w:w="1792" w:type="dxa"/>
            <w:tcBorders>
              <w:top w:val="single" w:sz="2" w:space="0" w:color="CCCCCC"/>
              <w:bottom w:val="single" w:sz="2" w:space="0" w:color="CCCCCC"/>
            </w:tcBorders>
            <w:tcMar>
              <w:top w:w="40" w:type="dxa"/>
            </w:tcMar>
            <w:vAlign w:val="center"/>
          </w:tcPr>
          <w:p>
            <w:pPr>
              <w:pStyle w:val="TableContents"/>
              <w:bidi w:val="0"/>
              <w:spacing w:before="0" w:after="283"/>
              <w:jc w:val="left"/>
              <w:rPr>
                <w:color w:val="231F20"/>
              </w:rPr>
            </w:pPr>
            <w:r>
              <w:rPr>
                <w:color w:val="231F20"/>
              </w:rPr>
              <w:t>No –</w:t>
              <w:br/>
              <w:t>brokers without voting instructions will not be able to vote on this proposal</w:t>
            </w:r>
          </w:p>
        </w:tc>
      </w:tr>
      <w:tr>
        <w:trPr/>
        <w:tc>
          <w:tcPr>
            <w:tcW w:w="3335"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b/>
              </w:rPr>
            </w:pPr>
            <w:r>
              <w:rPr>
                <w:b/>
              </w:rPr>
              <w:t>Proposal No. 4: Amendment to the Company’s Certificate of Incorporation to Declassify the Board of Directors</w:t>
            </w:r>
          </w:p>
        </w:tc>
        <w:tc>
          <w:tcPr>
            <w:tcW w:w="60"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pPr>
            <w:r>
              <w:rPr/>
              <w:t> </w:t>
            </w:r>
          </w:p>
        </w:tc>
        <w:tc>
          <w:tcPr>
            <w:tcW w:w="3267"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pPr>
            <w:r>
              <w:rPr/>
              <w:t>Majority of the outstanding voting power</w:t>
            </w:r>
          </w:p>
        </w:tc>
        <w:tc>
          <w:tcPr>
            <w:tcW w:w="60"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pPr>
            <w:r>
              <w:rPr/>
              <w:t> </w:t>
            </w:r>
          </w:p>
        </w:tc>
        <w:tc>
          <w:tcPr>
            <w:tcW w:w="1631"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color w:val="231F20"/>
              </w:rPr>
            </w:pPr>
            <w:r>
              <w:rPr>
                <w:color w:val="231F20"/>
              </w:rPr>
              <w:t>Abstentions and broker non-votes are treated as votes AGAINST this proposal</w:t>
            </w:r>
          </w:p>
        </w:tc>
        <w:tc>
          <w:tcPr>
            <w:tcW w:w="60"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pPr>
            <w:r>
              <w:rPr/>
              <w:t> </w:t>
            </w:r>
          </w:p>
        </w:tc>
        <w:tc>
          <w:tcPr>
            <w:tcW w:w="1792" w:type="dxa"/>
            <w:tcBorders>
              <w:top w:val="single" w:sz="2" w:space="0" w:color="CCCCCC"/>
              <w:bottom w:val="single" w:sz="2" w:space="0" w:color="CCCCCC"/>
            </w:tcBorders>
            <w:shd w:fill="EBEBEC" w:val="clear"/>
            <w:tcMar>
              <w:top w:w="40" w:type="dxa"/>
            </w:tcMar>
            <w:vAlign w:val="center"/>
          </w:tcPr>
          <w:p>
            <w:pPr>
              <w:pStyle w:val="TableContents"/>
              <w:bidi w:val="0"/>
              <w:spacing w:before="0" w:after="283"/>
              <w:jc w:val="left"/>
              <w:rPr>
                <w:color w:val="231F20"/>
              </w:rPr>
            </w:pPr>
            <w:r>
              <w:rPr>
                <w:color w:val="231F20"/>
              </w:rPr>
              <w:t xml:space="preserve">No – </w:t>
              <w:br/>
              <w:t>brokers without voting instructions will not be able to vote on this proposal</w:t>
            </w:r>
          </w:p>
        </w:tc>
      </w:tr>
      <w:tr>
        <w:trPr/>
        <w:tc>
          <w:tcPr>
            <w:tcW w:w="3335" w:type="dxa"/>
            <w:tcBorders>
              <w:bottom w:val="single" w:sz="2" w:space="0" w:color="3B5AA4"/>
            </w:tcBorders>
            <w:vAlign w:val="center"/>
          </w:tcPr>
          <w:p>
            <w:pPr>
              <w:pStyle w:val="TableContents"/>
              <w:bidi w:val="0"/>
              <w:spacing w:before="0" w:after="283"/>
              <w:jc w:val="left"/>
              <w:rPr>
                <w:b/>
              </w:rPr>
            </w:pPr>
            <w:r>
              <w:rPr>
                <w:b/>
              </w:rPr>
              <w:t>Proposal Nos. 5(a) and 5(b): Two Amendments to the Company’s Certificate of Incorporation to Eliminate Supermajority Vote Requirements</w:t>
            </w:r>
          </w:p>
        </w:tc>
        <w:tc>
          <w:tcPr>
            <w:tcW w:w="60" w:type="dxa"/>
            <w:tcBorders>
              <w:bottom w:val="single" w:sz="2" w:space="0" w:color="3B5AA4"/>
            </w:tcBorders>
            <w:vAlign w:val="center"/>
          </w:tcPr>
          <w:p>
            <w:pPr>
              <w:pStyle w:val="TableContents"/>
              <w:bidi w:val="0"/>
              <w:spacing w:before="0" w:after="283"/>
              <w:jc w:val="left"/>
              <w:rPr/>
            </w:pPr>
            <w:r>
              <w:rPr/>
              <w:t> </w:t>
            </w:r>
          </w:p>
        </w:tc>
        <w:tc>
          <w:tcPr>
            <w:tcW w:w="3267" w:type="dxa"/>
            <w:tcBorders>
              <w:bottom w:val="single" w:sz="2" w:space="0" w:color="3B5AA4"/>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Proposal 5(a): the affirmative vote of holders of the majority of the shares of Class A stock outstanding and the affirmative vote of holders of two-thirds of the shares of common stock outstanding, each voting separately as a class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Proposal 5(b): the affirmative vote of at least 80% of the outstanding shares of all classes of capital stock entitled to vote in the election of directors. Holders of common stock and Class A stock vote together as a single class, with holders of Class A stock entitled to ten votes per share.</w:t>
            </w:r>
          </w:p>
        </w:tc>
        <w:tc>
          <w:tcPr>
            <w:tcW w:w="60" w:type="dxa"/>
            <w:tcBorders>
              <w:bottom w:val="single" w:sz="2" w:space="0" w:color="3B5AA4"/>
            </w:tcBorders>
            <w:vAlign w:val="center"/>
          </w:tcPr>
          <w:p>
            <w:pPr>
              <w:pStyle w:val="TableContents"/>
              <w:bidi w:val="0"/>
              <w:spacing w:before="0" w:after="283"/>
              <w:jc w:val="left"/>
              <w:rPr/>
            </w:pPr>
            <w:r>
              <w:rPr/>
              <w:t> </w:t>
            </w:r>
          </w:p>
        </w:tc>
        <w:tc>
          <w:tcPr>
            <w:tcW w:w="1631" w:type="dxa"/>
            <w:tcBorders>
              <w:bottom w:val="single" w:sz="2" w:space="0" w:color="3B5AA4"/>
            </w:tcBorders>
            <w:vAlign w:val="center"/>
          </w:tcPr>
          <w:p>
            <w:pPr>
              <w:pStyle w:val="TableContents"/>
              <w:bidi w:val="0"/>
              <w:spacing w:before="0" w:after="283"/>
              <w:jc w:val="left"/>
              <w:rPr>
                <w:color w:val="231F20"/>
              </w:rPr>
            </w:pPr>
            <w:r>
              <w:rPr>
                <w:color w:val="231F20"/>
              </w:rPr>
              <w:t>Abstentions and broker non-votes are treated as votes AGAINST these proposals</w:t>
            </w:r>
          </w:p>
        </w:tc>
        <w:tc>
          <w:tcPr>
            <w:tcW w:w="60" w:type="dxa"/>
            <w:tcBorders>
              <w:bottom w:val="single" w:sz="2" w:space="0" w:color="3B5AA4"/>
            </w:tcBorders>
            <w:vAlign w:val="center"/>
          </w:tcPr>
          <w:p>
            <w:pPr>
              <w:pStyle w:val="TableContents"/>
              <w:bidi w:val="0"/>
              <w:spacing w:before="0" w:after="283"/>
              <w:jc w:val="left"/>
              <w:rPr/>
            </w:pPr>
            <w:r>
              <w:rPr/>
              <w:t> </w:t>
            </w:r>
          </w:p>
        </w:tc>
        <w:tc>
          <w:tcPr>
            <w:tcW w:w="1792" w:type="dxa"/>
            <w:tcBorders>
              <w:bottom w:val="single" w:sz="2" w:space="0" w:color="3B5AA4"/>
            </w:tcBorders>
            <w:vAlign w:val="center"/>
          </w:tcPr>
          <w:p>
            <w:pPr>
              <w:pStyle w:val="TableContents"/>
              <w:bidi w:val="0"/>
              <w:spacing w:before="0" w:after="283"/>
              <w:jc w:val="left"/>
              <w:rPr>
                <w:color w:val="231F20"/>
              </w:rPr>
            </w:pPr>
            <w:r>
              <w:rPr>
                <w:color w:val="231F20"/>
              </w:rPr>
              <w:t xml:space="preserve">No – </w:t>
              <w:br/>
              <w:t>brokers without voting instructions will not be able to vote on these proposals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color w:val="231F20"/>
              </w:rPr>
            </w:pPr>
            <w:r>
              <w:rPr>
                <w:color w:val="231F20"/>
              </w:rPr>
              <w:t>*</w:t>
            </w:r>
          </w:p>
        </w:tc>
        <w:tc>
          <w:tcPr>
            <w:tcW w:w="10035" w:type="dxa"/>
            <w:tcBorders/>
            <w:vAlign w:val="center"/>
          </w:tcPr>
          <w:p>
            <w:pPr>
              <w:pStyle w:val="TableContents"/>
              <w:bidi w:val="0"/>
              <w:spacing w:before="0" w:after="283"/>
              <w:jc w:val="left"/>
              <w:rPr>
                <w:color w:val="231F20"/>
              </w:rPr>
            </w:pPr>
            <w:r>
              <w:rPr>
                <w:color w:val="231F20"/>
              </w:rPr>
              <w:t>As noted above, abstentions will be counted as present for purposes of establishing a quorum at the Annual Meeting.</w:t>
            </w:r>
          </w:p>
        </w:tc>
      </w:tr>
      <w:tr>
        <w:trPr/>
        <w:tc>
          <w:tcPr>
            <w:tcW w:w="170" w:type="dxa"/>
            <w:tcBorders/>
            <w:vAlign w:val="center"/>
          </w:tcPr>
          <w:p>
            <w:pPr>
              <w:pStyle w:val="TableContents"/>
              <w:bidi w:val="0"/>
              <w:spacing w:before="0" w:after="283"/>
              <w:jc w:val="left"/>
              <w:rPr>
                <w:color w:val="231F20"/>
              </w:rPr>
            </w:pPr>
            <w:r>
              <w:rPr>
                <w:color w:val="231F20"/>
              </w:rPr>
              <w:t>+</w:t>
            </w:r>
          </w:p>
        </w:tc>
        <w:tc>
          <w:tcPr>
            <w:tcW w:w="10035" w:type="dxa"/>
            <w:tcBorders/>
            <w:vAlign w:val="center"/>
          </w:tcPr>
          <w:p>
            <w:pPr>
              <w:pStyle w:val="TableContents"/>
              <w:bidi w:val="0"/>
              <w:spacing w:before="0" w:after="283"/>
              <w:jc w:val="left"/>
              <w:rPr>
                <w:color w:val="231F20"/>
              </w:rPr>
            </w:pPr>
            <w:r>
              <w:rPr>
                <w:color w:val="231F20"/>
              </w:rPr>
              <w:t>Only relevant if you are the beneficial owner of shares held in “street name.” If you are a shareholder of record and you do not cast your vote, no votes will be cast on your behalf on any of the items of business at the Annual Meeting.</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If any other matter is properly brought before the Annual Meeting, such matter also will be determined by the affirmative vote of a majority of the votes cast at the Annual Meeting.</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71"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350" descr=""/>
                          <pic:cNvPicPr>
                            <a:picLocks noChangeAspect="1" noChangeArrowheads="1"/>
                          </pic:cNvPicPr>
                        </pic:nvPicPr>
                        <pic:blipFill>
                          <a:blip r:embed="rId362"/>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regn013211-def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6">
              <w:r>
                <w:rPr>
                  <w:rStyle w:val="InternetLink"/>
                  <w:b/>
                  <w:strike w:val="false"/>
                  <w:dstrike w:val="false"/>
                  <w:color w:val="3B5AA4"/>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When are shareholder proposals and nominations due for the 2026 Annual Meeting of Shareholders?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 shareholder wishing to present a proposal at the 2026 Annual Meeting of Shareholders and have the proposal included in our proxy statement must submit the proposal in writing and it must be received by the Company at its principal executive offices at 777 Old Saw Mill River Road, Tarrytown, New York 10591-6707 by December 30, 2025, and must satisfy the other conditions established by the SEC.</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Under our By-Laws, proposals of shareholders (other than proposals to be included in our proxy statement) and nominations of directors for election at the 2026 Annual Meeting may be made only by a shareholder of record who has given notice of the proposal or nomination to the Secretary of the Company at our principal executive offices no earlier than 90 days and no later than 60 days prior to the meeting; provided that if less than 70 days’ notice or public disclosure of the date of the 2026 Annual Meeting is given or made to shareholders, notice by the shareholder in order to be timely must be received no later than the close of business on the tenth day following the day on which such notice of the annual meeting was first mailed or such public disclosure of the annual meeting was made, whichever first occurs. The notice must contain certain information as specified in our By-Laws. Assuming our 2026 Annual Meeting is held on June 12, 2026 in accordance with the Company’s past practice, and at least 70 days’ notice or prior public disclosure of the date of the 2026 Annual Meeting is given or made to shareholders, notice of such proposals or nominations would need to be given no earlier than March 14, 2026 and no later than April 13, 2026. In addition to satisfying the requirements under our By-Laws relating to nominations of directors, including the deadline for written notice, to comply with the SEC’s “universal proxy rules,” shareholders who intend to solicit proxies in support of director nominees other than the Company’s nominees at the 2026 Annual Meeting in compliance with Rule 14a-19 under the Exchange Act must provide written notice containing the information required by Rule 14a-19 to our Corporate Secretary at 777 Old Saw Mill River Road, Tarrytown, New York 10591-6707 no later than April 14, 2026.</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What happens if multiple shareholders share an address?</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Applicable rules permit brokerage firms and the Company to send one Notice (or one annual report, proxy statement, and Notice in the case of shareholders who have elected to receive paper copies of our proxy materials)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copy of the applicable proxy materials to multiple shareholders sharing the same address. If you wish to receive separate copies of the proxy statement for the 2025 Annual Meeting, the 2024 Annual Report, or the Notice, you may find these materials at our internet website (</w:t>
      </w:r>
      <w:r>
        <w:rPr>
          <w:rFonts w:ascii="Arial;Helvetica;Sans-Serif" w:hAnsi="Arial;Helvetica;Sans-Serif"/>
          <w:b/>
          <w:i w:val="false"/>
          <w:caps w:val="false"/>
          <w:smallCaps w:val="false"/>
          <w:color w:val="3B5AA4"/>
          <w:sz w:val="18"/>
        </w:rPr>
        <w:t>www.regeneron.com</w:t>
      </w:r>
      <w:r>
        <w:rPr>
          <w:rFonts w:ascii="Arial;Helvetica;Sans-Serif" w:hAnsi="Arial;Helvetica;Sans-Serif"/>
          <w:b w:val="false"/>
          <w:i w:val="false"/>
          <w:caps w:val="false"/>
          <w:smallCaps w:val="false"/>
          <w:color w:val="231F20"/>
          <w:sz w:val="18"/>
        </w:rPr>
        <w:t>) or you may stop householding for your account and receive separate printed copies of these materials by contacting our Investor Relations Department, at Regeneron Pharmaceuticals, Inc., 777 Old Saw Mill River Road, Tarrytown, New York 10591-6707, or by calling us at 914-847-7000,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Are there any other matters to be addressed at the Annual Meeting?</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72"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351" descr=""/>
                          <pic:cNvPicPr>
                            <a:picLocks noChangeAspect="1" noChangeArrowheads="1"/>
                          </pic:cNvPicPr>
                        </pic:nvPicPr>
                        <pic:blipFill>
                          <a:blip r:embed="rId363"/>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regn013211-def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6">
              <w:r>
                <w:rPr>
                  <w:rStyle w:val="InternetLink"/>
                  <w:b/>
                  <w:strike w:val="false"/>
                  <w:dstrike w:val="false"/>
                  <w:color w:val="3B5AA4"/>
                  <w:u w:val="none"/>
                  <w:effect w:val="none"/>
                </w:rPr>
                <w:t>Other Matters</w:t>
              </w:r>
            </w:hyperlink>
          </w:p>
        </w:tc>
      </w:tr>
    </w:tbl>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How can you receive a printed copy of the Company’s 2024 Annual Report?</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i w:val="false"/>
          <w:caps w:val="false"/>
          <w:smallCaps w:val="false"/>
          <w:color w:val="231F20"/>
          <w:sz w:val="18"/>
        </w:rPr>
      </w:pPr>
      <w:r>
        <w:rPr>
          <w:rFonts w:ascii="Arial;Helvetica;Sans-Serif" w:hAnsi="Arial;Helvetica;Sans-Serif"/>
          <w:b/>
          <w:i w:val="false"/>
          <w:caps w:val="false"/>
          <w:smallCaps w:val="false"/>
          <w:color w:val="231F20"/>
          <w:sz w:val="18"/>
        </w:rPr>
        <w:t>Interested shareholders may obtain without charge a copy of our 2024 Annual Report (without exhibits), which includes our audited financial statements for the fiscal year ended December 31, 2024, required to be filed with the SEC, by making a written request to Regeneron Pharmaceuticals, Inc., 777 Old Saw Mill River Road, Tarrytown, New York 10591-6707, Attention: Investor Relations, or by calling our Investor Relations Department at (914) 847-7000.</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i w:val="false"/>
          <w:caps w:val="false"/>
          <w:smallCaps w:val="false"/>
          <w:color w:val="3B5AA4"/>
          <w:sz w:val="18"/>
        </w:rPr>
      </w:pPr>
      <w:r>
        <w:rPr>
          <w:rFonts w:ascii="Arial;Helvetica;Sans-Serif" w:hAnsi="Arial;Helvetica;Sans-Serif"/>
          <w:b/>
          <w:i w:val="false"/>
          <w:caps w:val="false"/>
          <w:smallCaps w:val="false"/>
          <w:color w:val="3B5AA4"/>
          <w:sz w:val="18"/>
        </w:rPr>
        <w:t>How do you elect to receive future proxy materials electronically?</w:t>
      </w:r>
    </w:p>
    <w:p>
      <w:pPr>
        <w:pStyle w:val="TextBody"/>
        <w:bidi w:val="0"/>
        <w:spacing w:before="0" w:after="0"/>
        <w:ind w:left="0" w:right="0" w:hanging="0"/>
        <w:jc w:val="left"/>
        <w:rPr>
          <w:caps w:val="false"/>
          <w:smallCaps w:val="false"/>
          <w:color w:val="3B5AA4"/>
        </w:rPr>
      </w:pPr>
      <w:r>
        <w:rPr>
          <w:caps w:val="false"/>
          <w:smallCaps w:val="false"/>
          <w:color w:val="3B5AA4"/>
        </w:rPr>
        <w:t> </w:t>
      </w:r>
    </w:p>
    <w:p>
      <w:pPr>
        <w:pStyle w:val="TextBody"/>
        <w:bidi w:val="0"/>
        <w:spacing w:before="0" w:after="0"/>
        <w:ind w:left="0" w:right="0" w:hanging="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If you previously requested to receive proxy materials through the mail, or by means of an e-mail with links to the proxy materials and the proxy voting website, your election will remain in effect until you revoke it. Shareholders currently receiving paper copies of our proxy materials, and shareholders who received a paper copy of the Notice, may instead elect to receive all future proxy materials electronically through an e-mail with a link to these documents on the Internet. Receiving these documents online conserves resources, saves the Company the cost of producing and mailing documents to your home or business, and gives you an automatic link to the proxy voting site.</w:t>
      </w:r>
    </w:p>
    <w:p>
      <w:pPr>
        <w:pStyle w:val="TextBody"/>
        <w:bidi w:val="0"/>
        <w:spacing w:before="0" w:after="0"/>
        <w:ind w:left="0" w:right="0" w:hanging="0"/>
        <w:jc w:val="left"/>
        <w:rPr>
          <w:caps w:val="false"/>
          <w:smallCaps w:val="false"/>
          <w:color w:val="231F20"/>
        </w:rPr>
      </w:pPr>
      <w:r>
        <w:rPr>
          <w:caps w:val="false"/>
          <w:smallCaps w:val="false"/>
          <w:color w:val="231F20"/>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231F20"/>
          <w:sz w:val="18"/>
        </w:rPr>
        <w:t xml:space="preserve">If your shares are registered in your name or you hold shares in the Company Stock Fund in the Company’s 401(k) Savings Plan, to enroll in the electronic delivery service, vote your shares through the Internet at </w:t>
      </w:r>
      <w:r>
        <w:rPr>
          <w:rFonts w:ascii="Arial;Helvetica;Sans-Serif" w:hAnsi="Arial;Helvetica;Sans-Serif"/>
          <w:b/>
          <w:i w:val="false"/>
          <w:caps w:val="false"/>
          <w:smallCaps w:val="false"/>
          <w:color w:val="3B5AA4"/>
          <w:sz w:val="18"/>
        </w:rPr>
        <w:t xml:space="preserve">www.proxyvote.com </w:t>
      </w:r>
      <w:r>
        <w:rPr>
          <w:rFonts w:ascii="Arial;Helvetica;Sans-Serif" w:hAnsi="Arial;Helvetica;Sans-Serif"/>
          <w:b w:val="false"/>
          <w:i w:val="false"/>
          <w:caps w:val="false"/>
          <w:smallCaps w:val="false"/>
          <w:color w:val="231F20"/>
          <w:sz w:val="18"/>
        </w:rPr>
        <w:t>and, when prompted, indicate that you agree to 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pStyle w:val="TextBody"/>
        <w:bidi w:val="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73"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352" descr=""/>
                          <pic:cNvPicPr>
                            <a:picLocks noChangeAspect="1" noChangeArrowheads="1"/>
                          </pic:cNvPicPr>
                        </pic:nvPicPr>
                        <pic:blipFill>
                          <a:blip r:embed="rId364"/>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regn013211-def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6">
              <w:r>
                <w:rPr>
                  <w:rStyle w:val="InternetLink"/>
                  <w:b/>
                  <w:strike w:val="false"/>
                  <w:dstrike w:val="false"/>
                  <w:color w:val="3B5AA4"/>
                  <w:u w:val="none"/>
                  <w:effect w:val="none"/>
                </w:rPr>
                <w:t>Other Matters</w:t>
              </w:r>
            </w:hyperlink>
          </w:p>
        </w:tc>
      </w:tr>
    </w:tbl>
    <w:p>
      <w:pPr>
        <w:pStyle w:val="TextBody"/>
        <w:bidi w:val="0"/>
        <w:spacing w:before="0" w:after="0"/>
        <w:jc w:val="left"/>
        <w:rPr>
          <w:caps w:val="false"/>
          <w:smallCaps w:val="false"/>
          <w:color w:val="3B5AA4"/>
        </w:rPr>
      </w:pPr>
      <w:r>
        <w:rPr>
          <w:caps w:val="false"/>
          <w:smallCaps w:val="false"/>
          <w:color w:val="3B5AA4"/>
        </w:rPr>
        <w:t> </w:t>
      </w:r>
    </w:p>
    <w:p>
      <w:pPr>
        <w:pStyle w:val="Heading1"/>
        <w:bidi w:val="0"/>
        <w:spacing w:before="0" w:after="0"/>
        <w:jc w:val="left"/>
        <w:rPr>
          <w:rFonts w:ascii="Arial;Helvetica;Sans-Serif" w:hAnsi="Arial;Helvetica;Sans-Serif"/>
          <w:b/>
          <w:i w:val="false"/>
          <w:caps w:val="false"/>
          <w:smallCaps w:val="false"/>
          <w:color w:val="3B5AA4"/>
          <w:sz w:val="56"/>
        </w:rPr>
      </w:pPr>
      <w:bookmarkStart w:id="280" w:name="regn013211-def14aa094"/>
      <w:bookmarkEnd w:id="280"/>
      <w:r>
        <w:rPr>
          <w:rFonts w:ascii="Arial;Helvetica;Sans-Serif" w:hAnsi="Arial;Helvetica;Sans-Serif"/>
          <w:b/>
          <w:i w:val="false"/>
          <w:caps w:val="false"/>
          <w:smallCaps w:val="false"/>
          <w:color w:val="3B5AA4"/>
          <w:sz w:val="56"/>
        </w:rPr>
        <w:t>Appendix A</w:t>
      </w:r>
    </w:p>
    <w:p>
      <w:pPr>
        <w:pStyle w:val="TextBody"/>
        <w:bidi w:val="0"/>
        <w:spacing w:before="0" w:after="0"/>
        <w:jc w:val="left"/>
        <w:rPr>
          <w:caps w:val="false"/>
          <w:smallCaps w:val="false"/>
          <w:color w:val="3B5AA4"/>
        </w:rPr>
      </w:pPr>
      <w:r>
        <w:rPr>
          <w:caps w:val="false"/>
          <w:smallCaps w:val="false"/>
          <w:color w:val="3B5AA4"/>
        </w:rPr>
        <w:t> </w:t>
      </w:r>
    </w:p>
    <w:p>
      <w:pPr>
        <w:pStyle w:val="Heading5"/>
        <w:bidi w:val="0"/>
        <w:spacing w:before="0" w:after="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Note Regarding Forward-Looking Statements and Non-GAAP Financial Measures</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This proxy statement includes forward-looking statements that involve risks and uncertainties relating to future events and the future performance of Regeneron Pharmaceuticals, Inc. (where applicable, together with its subsidiaries,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w:t>
      </w:r>
    </w:p>
    <w:p>
      <w:pPr>
        <w:pStyle w:val="TextBody"/>
        <w:bidi w:val="0"/>
        <w:spacing w:before="0" w:after="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the nature, timing, and possible success and therapeutic applications of products marketed or otherwise commercialized by Regeneron and/or its collaborators or licensees (collectively, “Regeneron’s Products”) and product candidates being developed by Regeneron and/or its collaborators or licensees (collectively, “Regeneron’s Product Candidates”) and research and clinical programs now underway or planned, including without limitation those discussed or referenced in this proxy statement, Regeneron’s and its collaborators’ earlier-stage programs, and the use of human genetics in Regeneron’s research programs;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the likelihood and timing of achieving any of Regeneron’s anticipated development and production milestones;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safety issues resulting from the administration of Regeneron’s Products and Regeneron’s Product Candidates in patients, including serious complications or side effects in connection with the use of Regeneron’s Products and Regeneron’s Product Candidates in clinical trials;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the likelihood, timing, and scope of possible regulatory approval and commercial launch of Regeneron’s Product Candidates and new indications for Regeneron’s Products, including without limitation those discussed or referenced in this proxy statement;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the extent to which the results from the research and development programs conducted by Regeneron and/or its collaborators may be replicated in other studies and/or lead to advancement of product candidates to clinical trials, therapeutic applications, or regulatory approval;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ongoing regulatory obligations and oversight impacting Regeneron’s Products, research and clinical programs, and business, including those relating to patient privacy;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determinations by regulatory and administrative governmental authorities which may delay or restrict Regeneron’s ability to continue to develop or commercialize Regeneron’s Products and Regeneron’s Product Candidates;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competing drugs and product candidates that may be superior to, or more effective than, Regeneron’s Products and Regeneron’s Product Candidates (including biosimilar versions of Regeneron’s Products);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the ability of Regeneron to manufacture and manage supply chains for multiple products and product candidates;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the ability of Regeneron’s collaborators, licensees, suppliers, or other third parties (as applicable) to perform manufacturing, filling, finishing, packaging, labeling, distribution, and other steps related to Regeneron’s Products and Regeneron’s Product Candidates;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the availability and extent of reimbursement of Regeneron’s Products from third-party payors, including private payor healthcare and insurance programs, health maintenance organizations, pharmacy benefit management companies, and government programs such as Medicare and Medicaid;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coverage and reimbursement determinations by such payors and new policies and procedures adopted by such payors;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changes in laws, regulations, and policies affecting the healthcare industry;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 xml:space="preserve">the costs of developing, producing, and selling products or unanticipated expenses;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pPr>
            <w:r>
              <w:rPr/>
              <w:t>the ability of Regeneron to meet any of its financial projections or guidance, and changes to the assumptions underlying those projections or guidance;</w:t>
            </w:r>
          </w:p>
        </w:tc>
      </w:tr>
    </w:tbl>
    <w:p>
      <w:pPr>
        <w:pStyle w:val="TextBody"/>
        <w:bidi w:val="0"/>
        <w:spacing w:before="0" w:after="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74"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353" descr=""/>
                          <pic:cNvPicPr>
                            <a:picLocks noChangeAspect="1" noChangeArrowheads="1"/>
                          </pic:cNvPicPr>
                        </pic:nvPicPr>
                        <pic:blipFill>
                          <a:blip r:embed="rId365"/>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regn013211-def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6">
              <w:r>
                <w:rPr>
                  <w:rStyle w:val="InternetLink"/>
                  <w:b/>
                  <w:strike w:val="false"/>
                  <w:dstrike w:val="false"/>
                  <w:color w:val="3B5AA4"/>
                  <w:u w:val="none"/>
                  <w:effect w:val="none"/>
                </w:rPr>
                <w:t>Other Matters</w:t>
              </w:r>
            </w:hyperlink>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color w:val="231F20"/>
              </w:rPr>
            </w:pPr>
            <w:r>
              <w:rPr>
                <w:color w:val="231F20"/>
              </w:rPr>
              <w:t xml:space="preserve">the potential for any license or collaboration agreement, including Regeneron’s agreements with Sanofi and Bayer (or their respective affiliated companies, as applicable) to be cancelled or terminated;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color w:val="231F20"/>
              </w:rPr>
            </w:pPr>
            <w:r>
              <w:rPr>
                <w:color w:val="231F20"/>
              </w:rPr>
              <w:t xml:space="preserve">the impact of public health outbreaks, epidemics, or pandemics on Regeneron’s business; and </w:t>
            </w:r>
          </w:p>
        </w:tc>
      </w:tr>
      <w:tr>
        <w:trPr/>
        <w:tc>
          <w:tcPr>
            <w:tcW w:w="125" w:type="dxa"/>
            <w:tcBorders/>
            <w:vAlign w:val="center"/>
          </w:tcPr>
          <w:p>
            <w:pPr>
              <w:pStyle w:val="TableContents"/>
              <w:bidi w:val="0"/>
              <w:spacing w:before="0" w:after="283"/>
              <w:jc w:val="left"/>
              <w:rPr>
                <w:color w:val="3B5AA4"/>
              </w:rPr>
            </w:pPr>
            <w:r>
              <w:rPr>
                <w:color w:val="3B5AA4"/>
              </w:rPr>
              <w:t>•</w:t>
            </w:r>
          </w:p>
        </w:tc>
        <w:tc>
          <w:tcPr>
            <w:tcW w:w="10080" w:type="dxa"/>
            <w:tcBorders/>
            <w:vAlign w:val="center"/>
          </w:tcPr>
          <w:p>
            <w:pPr>
              <w:pStyle w:val="TableContents"/>
              <w:bidi w:val="0"/>
              <w:spacing w:before="0" w:after="283"/>
              <w:jc w:val="left"/>
              <w:rPr>
                <w:color w:val="231F20"/>
              </w:rPr>
            </w:pPr>
            <w:r>
              <w:rPr>
                <w:color w:val="231F20"/>
              </w:rPr>
              <w:t>risks associated with litigation and other proceedings and government investigations relating to the Company and/or its operations (including the pending civil proceedings initiated or joined by the U.S. Department of Justice and the U.S. Attorney’s Office for the District of Massachusetts), risks associated with intellectual property of other parties and pending or future litigation relating thereto (including without limitation the patent litigation and other related proceedings relating to EYLEA), the ultimate outcome of any such proceedings and investigations, and the impact any of the foregoing may have on Regeneron’s business, prospects, operating results, and financial condition.</w:t>
            </w:r>
          </w:p>
        </w:tc>
      </w:tr>
    </w:tbl>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 more complete description of these and other material risks can be found in Regeneron’s filings with the U.S. Securities and Exchange Commission, including its Form 10-K for the fiscal year ended December 31, 2024, including in the section thereof captioned “Item 1A. Risk Factors.”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whether as a result of new information, future events, or otherwise.</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This proxy statement uses non-GAAP net income and non-GAAP net income per share,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 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items that are not associated with normal, recurring operations (such as changes in applicable laws and regulations).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below.</w:t>
      </w:r>
    </w:p>
    <w:p>
      <w:pPr>
        <w:pStyle w:val="TextBody"/>
        <w:bidi w:val="0"/>
        <w:spacing w:before="0" w:after="0"/>
        <w:jc w:val="left"/>
        <w:rPr>
          <w:caps w:val="false"/>
          <w:smallCaps w:val="false"/>
          <w:color w:val="231F20"/>
        </w:rPr>
      </w:pPr>
      <w:r>
        <w:rPr>
          <w:caps w:val="false"/>
          <w:smallCaps w:val="false"/>
          <w:color w:val="231F20"/>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75"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354" descr=""/>
                          <pic:cNvPicPr>
                            <a:picLocks noChangeAspect="1" noChangeArrowheads="1"/>
                          </pic:cNvPicPr>
                        </pic:nvPicPr>
                        <pic:blipFill>
                          <a:blip r:embed="rId366"/>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regn013211-def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6">
              <w:r>
                <w:rPr>
                  <w:rStyle w:val="InternetLink"/>
                  <w:b/>
                  <w:strike w:val="false"/>
                  <w:dstrike w:val="false"/>
                  <w:color w:val="3B5AA4"/>
                  <w:u w:val="none"/>
                  <w:effect w:val="none"/>
                </w:rPr>
                <w:t>Other Matters</w:t>
              </w:r>
            </w:hyperlink>
          </w:p>
        </w:tc>
      </w:tr>
    </w:tbl>
    <w:p>
      <w:pPr>
        <w:pStyle w:val="TextBody"/>
        <w:bidi w:val="0"/>
        <w:spacing w:before="0" w:after="0"/>
        <w:jc w:val="left"/>
        <w:rPr>
          <w:caps w:val="false"/>
          <w:smallCaps w:val="false"/>
          <w:color w:val="3B5AA4"/>
        </w:rPr>
      </w:pPr>
      <w:r>
        <w:rPr>
          <w:caps w:val="false"/>
          <w:smallCaps w:val="false"/>
          <w:color w:val="3B5AA4"/>
        </w:rPr>
        <w:t> </w:t>
      </w:r>
    </w:p>
    <w:p>
      <w:pPr>
        <w:pStyle w:val="Heading5"/>
        <w:bidi w:val="0"/>
        <w:spacing w:before="0" w:after="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Reconciliation of GAAP to Non-GAAP Financial Information (Unaudited)</w:t>
      </w:r>
    </w:p>
    <w:p>
      <w:pPr>
        <w:pStyle w:val="TextBody"/>
        <w:bidi w:val="0"/>
        <w:spacing w:before="0" w:after="0"/>
        <w:jc w:val="left"/>
        <w:rPr>
          <w:rFonts w:ascii="Arial;Helvetica;Sans-Serif" w:hAnsi="Arial;Helvetica;Sans-Serif"/>
          <w:b w:val="false"/>
          <w:i w:val="false"/>
          <w:caps w:val="false"/>
          <w:smallCaps w:val="false"/>
          <w:color w:val="3B5AA4"/>
          <w:sz w:val="20"/>
        </w:rPr>
      </w:pPr>
      <w:r>
        <w:rPr>
          <w:rFonts w:ascii="Arial;Helvetica;Sans-Serif" w:hAnsi="Arial;Helvetica;Sans-Serif"/>
          <w:b w:val="false"/>
          <w:i w:val="false"/>
          <w:caps w:val="false"/>
          <w:smallCaps w:val="false"/>
          <w:color w:val="3B5AA4"/>
          <w:sz w:val="20"/>
        </w:rPr>
        <w:t>(In millions, except per share data)</w:t>
      </w:r>
    </w:p>
    <w:p>
      <w:pPr>
        <w:pStyle w:val="TextBody"/>
        <w:bidi w:val="0"/>
        <w:spacing w:before="0" w:after="0"/>
        <w:jc w:val="left"/>
        <w:rPr>
          <w:caps w:val="false"/>
          <w:smallCaps w:val="false"/>
          <w:color w:val="3B5AA4"/>
        </w:rPr>
      </w:pPr>
      <w:r>
        <w:rPr>
          <w:caps w:val="false"/>
          <w:smallCaps w:val="false"/>
          <w:color w:val="3B5AA4"/>
        </w:rPr>
        <w:t> </w:t>
      </w:r>
    </w:p>
    <w:tbl>
      <w:tblPr>
        <w:tblW w:w="7750" w:type="dxa"/>
        <w:jc w:val="left"/>
        <w:tblInd w:w="0" w:type="dxa"/>
        <w:tblLayout w:type="fixed"/>
        <w:tblCellMar>
          <w:top w:w="0" w:type="dxa"/>
          <w:left w:w="0" w:type="dxa"/>
          <w:bottom w:w="0" w:type="dxa"/>
          <w:right w:w="0" w:type="dxa"/>
        </w:tblCellMar>
      </w:tblPr>
      <w:tblGrid>
        <w:gridCol w:w="5735"/>
        <w:gridCol w:w="60"/>
        <w:gridCol w:w="140"/>
        <w:gridCol w:w="740"/>
        <w:gridCol w:w="60"/>
        <w:gridCol w:w="60"/>
        <w:gridCol w:w="140"/>
        <w:gridCol w:w="740"/>
        <w:gridCol w:w="75"/>
      </w:tblGrid>
      <w:tr>
        <w:trPr/>
        <w:tc>
          <w:tcPr>
            <w:tcW w:w="5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B5AA4"/>
              </w:rPr>
            </w:pPr>
            <w:r>
              <w:rPr>
                <w:color w:val="3B5AA4"/>
              </w:rPr>
              <w:t> </w:t>
            </w:r>
          </w:p>
        </w:tc>
        <w:tc>
          <w:tcPr>
            <w:tcW w:w="1955" w:type="dxa"/>
            <w:gridSpan w:val="7"/>
            <w:tcBorders>
              <w:bottom w:val="single" w:sz="2" w:space="0" w:color="3B59A4"/>
            </w:tcBorders>
            <w:tcMar>
              <w:bottom w:w="28" w:type="dxa"/>
            </w:tcMar>
            <w:vAlign w:val="center"/>
          </w:tcPr>
          <w:p>
            <w:pPr>
              <w:pStyle w:val="TableContents"/>
              <w:bidi w:val="0"/>
              <w:spacing w:before="0" w:after="283"/>
              <w:jc w:val="center"/>
              <w:rPr>
                <w:color w:val="3B5AA4"/>
              </w:rPr>
            </w:pPr>
            <w:r>
              <w:rPr>
                <w:color w:val="3B5AA4"/>
              </w:rPr>
              <w:t xml:space="preserve">Year Ended </w:t>
              <w:br/>
              <w:t>December 31,</w:t>
            </w:r>
          </w:p>
        </w:tc>
      </w:tr>
      <w:tr>
        <w:trPr/>
        <w:tc>
          <w:tcPr>
            <w:tcW w:w="5735" w:type="dxa"/>
            <w:tcBorders>
              <w:bottom w:val="single" w:sz="2" w:space="0" w:color="3B59A4"/>
            </w:tcBorders>
            <w:tcMar>
              <w:bottom w:w="28" w:type="dxa"/>
            </w:tcMar>
            <w:vAlign w:val="center"/>
          </w:tcPr>
          <w:p>
            <w:pPr>
              <w:pStyle w:val="TableContents"/>
              <w:bidi w:val="0"/>
              <w:spacing w:before="0" w:after="283"/>
              <w:jc w:val="left"/>
              <w:rPr/>
            </w:pPr>
            <w:r>
              <w:rPr/>
              <w:t> </w:t>
            </w:r>
          </w:p>
        </w:tc>
        <w:tc>
          <w:tcPr>
            <w:tcW w:w="60" w:type="dxa"/>
            <w:tcBorders>
              <w:bottom w:val="single" w:sz="2" w:space="0" w:color="3B59A4"/>
            </w:tcBorders>
            <w:tcMar>
              <w:bottom w:w="28" w:type="dxa"/>
            </w:tcMar>
            <w:vAlign w:val="center"/>
          </w:tcPr>
          <w:p>
            <w:pPr>
              <w:pStyle w:val="TableContents"/>
              <w:bidi w:val="0"/>
              <w:spacing w:before="0" w:after="283"/>
              <w:jc w:val="left"/>
              <w:rPr>
                <w:color w:val="3B5AA4"/>
              </w:rPr>
            </w:pPr>
            <w:r>
              <w:rPr>
                <w:color w:val="3B5AA4"/>
              </w:rPr>
              <w:t> </w:t>
            </w:r>
          </w:p>
        </w:tc>
        <w:tc>
          <w:tcPr>
            <w:tcW w:w="880" w:type="dxa"/>
            <w:gridSpan w:val="2"/>
            <w:tcBorders>
              <w:bottom w:val="single" w:sz="2" w:space="0" w:color="3B59A4"/>
            </w:tcBorders>
            <w:tcMar>
              <w:bottom w:w="28" w:type="dxa"/>
            </w:tcMar>
            <w:vAlign w:val="center"/>
          </w:tcPr>
          <w:p>
            <w:pPr>
              <w:pStyle w:val="TableContents"/>
              <w:bidi w:val="0"/>
              <w:spacing w:before="0" w:after="283"/>
              <w:jc w:val="center"/>
              <w:rPr>
                <w:color w:val="3B5AA4"/>
              </w:rPr>
            </w:pPr>
            <w:r>
              <w:rPr>
                <w:color w:val="3B5AA4"/>
              </w:rPr>
              <w:t>2024</w:t>
            </w:r>
          </w:p>
        </w:tc>
        <w:tc>
          <w:tcPr>
            <w:tcW w:w="60" w:type="dxa"/>
            <w:tcBorders>
              <w:bottom w:val="single" w:sz="2" w:space="0" w:color="3B59A4"/>
            </w:tcBorders>
            <w:tcMar>
              <w:bottom w:w="28" w:type="dxa"/>
            </w:tcMar>
            <w:vAlign w:val="center"/>
          </w:tcPr>
          <w:p>
            <w:pPr>
              <w:pStyle w:val="TableContents"/>
              <w:bidi w:val="0"/>
              <w:spacing w:before="0" w:after="283"/>
              <w:jc w:val="left"/>
              <w:rPr>
                <w:color w:val="3B5AA4"/>
              </w:rPr>
            </w:pPr>
            <w:r>
              <w:rPr>
                <w:color w:val="3B5AA4"/>
              </w:rPr>
              <w:t> </w:t>
            </w:r>
          </w:p>
        </w:tc>
        <w:tc>
          <w:tcPr>
            <w:tcW w:w="60" w:type="dxa"/>
            <w:tcBorders>
              <w:bottom w:val="single" w:sz="2" w:space="0" w:color="3B59A4"/>
            </w:tcBorders>
            <w:tcMar>
              <w:bottom w:w="28" w:type="dxa"/>
            </w:tcMar>
            <w:vAlign w:val="center"/>
          </w:tcPr>
          <w:p>
            <w:pPr>
              <w:pStyle w:val="TableContents"/>
              <w:bidi w:val="0"/>
              <w:spacing w:before="0" w:after="283"/>
              <w:jc w:val="left"/>
              <w:rPr>
                <w:color w:val="3B5AA4"/>
              </w:rPr>
            </w:pPr>
            <w:r>
              <w:rPr>
                <w:color w:val="3B5AA4"/>
              </w:rPr>
              <w:t> </w:t>
            </w:r>
          </w:p>
        </w:tc>
        <w:tc>
          <w:tcPr>
            <w:tcW w:w="880" w:type="dxa"/>
            <w:gridSpan w:val="2"/>
            <w:tcBorders>
              <w:bottom w:val="single" w:sz="2" w:space="0" w:color="3B59A4"/>
            </w:tcBorders>
            <w:tcMar>
              <w:bottom w:w="28" w:type="dxa"/>
            </w:tcMar>
            <w:vAlign w:val="center"/>
          </w:tcPr>
          <w:p>
            <w:pPr>
              <w:pStyle w:val="TableContents"/>
              <w:bidi w:val="0"/>
              <w:spacing w:before="0" w:after="283"/>
              <w:jc w:val="right"/>
              <w:rPr>
                <w:color w:val="3B5AA4"/>
              </w:rPr>
            </w:pPr>
            <w:r>
              <w:rPr>
                <w:color w:val="3B5AA4"/>
              </w:rPr>
              <w:t>2023</w:t>
            </w:r>
          </w:p>
        </w:tc>
        <w:tc>
          <w:tcPr>
            <w:tcW w:w="75" w:type="dxa"/>
            <w:tcBorders>
              <w:bottom w:val="single" w:sz="2" w:space="0" w:color="3B59A4"/>
            </w:tcBorders>
            <w:tcMar>
              <w:bottom w:w="28" w:type="dxa"/>
            </w:tcMar>
            <w:vAlign w:val="center"/>
          </w:tcPr>
          <w:p>
            <w:pPr>
              <w:pStyle w:val="TableContents"/>
              <w:bidi w:val="0"/>
              <w:spacing w:before="0" w:after="283"/>
              <w:jc w:val="left"/>
              <w:rPr>
                <w:color w:val="3B5AA4"/>
              </w:rPr>
            </w:pPr>
            <w:r>
              <w:rPr>
                <w:color w:val="3B5AA4"/>
              </w:rPr>
              <w:t> </w:t>
            </w:r>
          </w:p>
        </w:tc>
      </w:tr>
      <w:tr>
        <w:trPr/>
        <w:tc>
          <w:tcPr>
            <w:tcW w:w="5735" w:type="dxa"/>
            <w:tcBorders/>
            <w:vAlign w:val="center"/>
          </w:tcPr>
          <w:p>
            <w:pPr>
              <w:pStyle w:val="TableContents"/>
              <w:bidi w:val="0"/>
              <w:spacing w:before="0" w:after="283"/>
              <w:jc w:val="left"/>
              <w:rPr>
                <w:color w:val="231F20"/>
              </w:rPr>
            </w:pPr>
            <w:r>
              <w:rPr>
                <w:color w:val="231F20"/>
              </w:rPr>
              <w:t>GAAP R&amp;D</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5,132.0</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4,439.0</w:t>
            </w:r>
          </w:p>
        </w:tc>
        <w:tc>
          <w:tcPr>
            <w:tcW w:w="75" w:type="dxa"/>
            <w:tcBorders/>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Stock-based compensation expense</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543.8</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488.7</w:t>
            </w:r>
          </w:p>
        </w:tc>
        <w:tc>
          <w:tcPr>
            <w:tcW w:w="75" w:type="dxa"/>
            <w:tcBorders/>
            <w:shd w:fill="EBEBEC" w:val="cle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Acquisition and integration costs</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24.9</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31.3</w:t>
            </w:r>
          </w:p>
        </w:tc>
        <w:tc>
          <w:tcPr>
            <w:tcW w:w="75"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Non-GAAP R&amp;D</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4,563.3</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3,919.0</w:t>
            </w:r>
          </w:p>
        </w:tc>
        <w:tc>
          <w:tcPr>
            <w:tcW w:w="75"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GAAP SG&amp;A</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2,954.4</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2,631.3</w:t>
            </w:r>
          </w:p>
        </w:tc>
        <w:tc>
          <w:tcPr>
            <w:tcW w:w="75" w:type="dxa"/>
            <w:tcBorders/>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Stock-based compensation expense</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355.0</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307.1</w:t>
            </w:r>
          </w:p>
        </w:tc>
        <w:tc>
          <w:tcPr>
            <w:tcW w:w="75" w:type="dxa"/>
            <w:tcBorders/>
            <w:shd w:fill="EBEBEC" w:val="cle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Acquisition, integration, and other costs</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55.2</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91.8</w:t>
            </w:r>
          </w:p>
        </w:tc>
        <w:tc>
          <w:tcPr>
            <w:tcW w:w="75"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Non-GAAP SG&amp;A</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2,544.2</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2,232.4</w:t>
            </w:r>
          </w:p>
        </w:tc>
        <w:tc>
          <w:tcPr>
            <w:tcW w:w="75"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GAAP COGS</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1,087.3</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932.1</w:t>
            </w:r>
          </w:p>
        </w:tc>
        <w:tc>
          <w:tcPr>
            <w:tcW w:w="75" w:type="dxa"/>
            <w:tcBorders/>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Stock-based compensation expense</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84.0</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89.2</w:t>
            </w:r>
          </w:p>
        </w:tc>
        <w:tc>
          <w:tcPr>
            <w:tcW w:w="75" w:type="dxa"/>
            <w:tcBorders/>
            <w:shd w:fill="EBEBEC" w:val="cle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Acquisition and integration costs</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 </w:t>
            </w:r>
          </w:p>
        </w:tc>
        <w:tc>
          <w:tcPr>
            <w:tcW w:w="740" w:type="dxa"/>
            <w:tcBorders/>
            <w:vAlign w:val="center"/>
          </w:tcPr>
          <w:p>
            <w:pPr>
              <w:pStyle w:val="TableContents"/>
              <w:bidi w:val="0"/>
              <w:spacing w:before="0" w:after="283"/>
              <w:jc w:val="right"/>
              <w:rPr>
                <w:color w:val="231F20"/>
              </w:rPr>
            </w:pPr>
            <w:r>
              <w:rPr>
                <w:color w:val="231F20"/>
              </w:rPr>
              <w:t>2.0</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 </w:t>
            </w:r>
          </w:p>
        </w:tc>
        <w:tc>
          <w:tcPr>
            <w:tcW w:w="740" w:type="dxa"/>
            <w:tcBorders/>
            <w:vAlign w:val="center"/>
          </w:tcPr>
          <w:p>
            <w:pPr>
              <w:pStyle w:val="TableContents"/>
              <w:bidi w:val="0"/>
              <w:spacing w:before="0" w:after="283"/>
              <w:jc w:val="right"/>
              <w:rPr>
                <w:color w:val="231F20"/>
              </w:rPr>
            </w:pPr>
            <w:r>
              <w:rPr>
                <w:color w:val="231F20"/>
              </w:rPr>
              <w:t>2.3</w:t>
            </w:r>
          </w:p>
        </w:tc>
        <w:tc>
          <w:tcPr>
            <w:tcW w:w="75" w:type="dxa"/>
            <w:tcBorders/>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Intangible asset amortization expense</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103.5</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80.9</w:t>
            </w:r>
          </w:p>
        </w:tc>
        <w:tc>
          <w:tcPr>
            <w:tcW w:w="75" w:type="dxa"/>
            <w:tcBorders/>
            <w:shd w:fill="EBEBEC" w:val="cle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Charges related to REGEN-COV</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(10.0)</w:t>
            </w:r>
          </w:p>
        </w:tc>
        <w:tc>
          <w:tcPr>
            <w:tcW w:w="75"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Non-GAAP COGS</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897.8</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769.7</w:t>
            </w:r>
          </w:p>
        </w:tc>
        <w:tc>
          <w:tcPr>
            <w:tcW w:w="75"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GAAP other operating expense (income), net</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53.4</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(2.1)</w:t>
            </w:r>
          </w:p>
        </w:tc>
        <w:tc>
          <w:tcPr>
            <w:tcW w:w="75" w:type="dxa"/>
            <w:tcBorders/>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Change in fair value of contingent consideration</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shd w:fill="EBEBEC" w:val="clear"/>
            <w:tcMar>
              <w:bottom w:w="28" w:type="dxa"/>
            </w:tcMar>
            <w:vAlign w:val="center"/>
          </w:tcPr>
          <w:p>
            <w:pPr>
              <w:pStyle w:val="TableContents"/>
              <w:bidi w:val="0"/>
              <w:spacing w:before="0" w:after="283"/>
              <w:jc w:val="right"/>
              <w:rPr>
                <w:color w:val="231F20"/>
              </w:rPr>
            </w:pPr>
            <w:r>
              <w:rPr>
                <w:color w:val="231F20"/>
              </w:rPr>
              <w:t>53.4</w:t>
            </w:r>
          </w:p>
        </w:tc>
        <w:tc>
          <w:tcPr>
            <w:tcW w:w="60" w:type="dxa"/>
            <w:tcBorders>
              <w:bottom w:val="single" w:sz="2"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shd w:fill="EBEBEC" w:val="clear"/>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5" w:type="dxa"/>
            <w:tcBorders>
              <w:bottom w:val="single" w:sz="2"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Non-GAAP other operating expense (income), net</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tcMar>
              <w:bottom w:w="28" w:type="dxa"/>
            </w:tcMar>
            <w:vAlign w:val="center"/>
          </w:tcPr>
          <w:p>
            <w:pPr>
              <w:pStyle w:val="TableContents"/>
              <w:bidi w:val="0"/>
              <w:spacing w:before="0" w:after="283"/>
              <w:jc w:val="right"/>
              <w:rPr>
                <w:color w:val="231F20"/>
              </w:rPr>
            </w:pPr>
            <w:r>
              <w:rPr>
                <w:color w:val="231F20"/>
              </w:rPr>
              <w:t>—</w:t>
            </w:r>
          </w:p>
        </w:tc>
        <w:tc>
          <w:tcPr>
            <w:tcW w:w="60" w:type="dxa"/>
            <w:tcBorders>
              <w:bottom w:val="double" w:sz="6" w:space="0" w:color="BCBEC0"/>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double" w:sz="6" w:space="0" w:color="BCBEC0"/>
            </w:tcBorders>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tcMar>
              <w:bottom w:w="28" w:type="dxa"/>
            </w:tcMar>
            <w:vAlign w:val="center"/>
          </w:tcPr>
          <w:p>
            <w:pPr>
              <w:pStyle w:val="TableContents"/>
              <w:bidi w:val="0"/>
              <w:spacing w:before="0" w:after="283"/>
              <w:jc w:val="right"/>
              <w:rPr>
                <w:color w:val="231F20"/>
              </w:rPr>
            </w:pPr>
            <w:r>
              <w:rPr>
                <w:color w:val="231F20"/>
              </w:rPr>
              <w:t>(2.1)</w:t>
            </w:r>
          </w:p>
        </w:tc>
        <w:tc>
          <w:tcPr>
            <w:tcW w:w="75" w:type="dxa"/>
            <w:tcBorders>
              <w:bottom w:val="double" w:sz="6" w:space="0" w:color="BCBEC0"/>
            </w:tcBorders>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GAAP other income (expense), net</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w:t>
            </w:r>
          </w:p>
        </w:tc>
        <w:tc>
          <w:tcPr>
            <w:tcW w:w="740" w:type="dxa"/>
            <w:tcBorders/>
            <w:shd w:fill="EBEBEC" w:val="clear"/>
            <w:vAlign w:val="center"/>
          </w:tcPr>
          <w:p>
            <w:pPr>
              <w:pStyle w:val="TableContents"/>
              <w:bidi w:val="0"/>
              <w:spacing w:before="0" w:after="283"/>
              <w:jc w:val="right"/>
              <w:rPr>
                <w:color w:val="231F20"/>
              </w:rPr>
            </w:pPr>
            <w:r>
              <w:rPr>
                <w:color w:val="231F20"/>
              </w:rPr>
              <w:t>789.2</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w:t>
            </w:r>
          </w:p>
        </w:tc>
        <w:tc>
          <w:tcPr>
            <w:tcW w:w="740" w:type="dxa"/>
            <w:tcBorders/>
            <w:shd w:fill="EBEBEC" w:val="clear"/>
            <w:vAlign w:val="center"/>
          </w:tcPr>
          <w:p>
            <w:pPr>
              <w:pStyle w:val="TableContents"/>
              <w:bidi w:val="0"/>
              <w:spacing w:before="0" w:after="283"/>
              <w:jc w:val="right"/>
              <w:rPr>
                <w:color w:val="231F20"/>
              </w:rPr>
            </w:pPr>
            <w:r>
              <w:rPr>
                <w:color w:val="231F20"/>
              </w:rPr>
              <w:t>152.2</w:t>
            </w:r>
          </w:p>
        </w:tc>
        <w:tc>
          <w:tcPr>
            <w:tcW w:w="75" w:type="dxa"/>
            <w:tcBorders/>
            <w:shd w:fill="EBEBEC" w:val="cle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Losses (gains) on investments, net</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(118.3)</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266.4</w:t>
            </w:r>
          </w:p>
        </w:tc>
        <w:tc>
          <w:tcPr>
            <w:tcW w:w="75"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Non-GAAP other income (expense), net</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670.9</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418.6</w:t>
            </w:r>
          </w:p>
        </w:tc>
        <w:tc>
          <w:tcPr>
            <w:tcW w:w="75"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GAAP net income</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4,412.6</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3,953.6</w:t>
            </w:r>
          </w:p>
        </w:tc>
        <w:tc>
          <w:tcPr>
            <w:tcW w:w="75" w:type="dxa"/>
            <w:tcBorders/>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Total of GAAP to non-GAAP reconciling items above</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1,103.5</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1,347.7</w:t>
            </w:r>
          </w:p>
        </w:tc>
        <w:tc>
          <w:tcPr>
            <w:tcW w:w="75" w:type="dxa"/>
            <w:tcBorders/>
            <w:shd w:fill="EBEBEC" w:val="cle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Income tax effect of GAAP to non-GAAP reconciling items</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(196.9)</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 </w:t>
            </w:r>
          </w:p>
        </w:tc>
        <w:tc>
          <w:tcPr>
            <w:tcW w:w="740" w:type="dxa"/>
            <w:tcBorders>
              <w:bottom w:val="single" w:sz="2" w:space="0" w:color="BCBEC0"/>
            </w:tcBorders>
            <w:tcMar>
              <w:bottom w:w="28" w:type="dxa"/>
            </w:tcMar>
            <w:vAlign w:val="center"/>
          </w:tcPr>
          <w:p>
            <w:pPr>
              <w:pStyle w:val="TableContents"/>
              <w:bidi w:val="0"/>
              <w:spacing w:before="0" w:after="283"/>
              <w:jc w:val="right"/>
              <w:rPr>
                <w:color w:val="231F20"/>
              </w:rPr>
            </w:pPr>
            <w:r>
              <w:rPr>
                <w:color w:val="231F20"/>
              </w:rPr>
              <w:t>(256.8)</w:t>
            </w:r>
          </w:p>
        </w:tc>
        <w:tc>
          <w:tcPr>
            <w:tcW w:w="75" w:type="dxa"/>
            <w:tcBorders>
              <w:bottom w:val="single" w:sz="2" w:space="0" w:color="BCBEC0"/>
            </w:tcBorders>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Non-GAAP net income</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5,319.2</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60"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c>
          <w:tcPr>
            <w:tcW w:w="1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w:t>
            </w:r>
          </w:p>
        </w:tc>
        <w:tc>
          <w:tcPr>
            <w:tcW w:w="740" w:type="dxa"/>
            <w:tcBorders>
              <w:bottom w:val="double" w:sz="6" w:space="0" w:color="BCBEC0"/>
            </w:tcBorders>
            <w:shd w:fill="EBEBEC" w:val="clear"/>
            <w:tcMar>
              <w:bottom w:w="28" w:type="dxa"/>
            </w:tcMar>
            <w:vAlign w:val="center"/>
          </w:tcPr>
          <w:p>
            <w:pPr>
              <w:pStyle w:val="TableContents"/>
              <w:bidi w:val="0"/>
              <w:spacing w:before="0" w:after="283"/>
              <w:jc w:val="right"/>
              <w:rPr>
                <w:color w:val="231F20"/>
              </w:rPr>
            </w:pPr>
            <w:r>
              <w:rPr>
                <w:color w:val="231F20"/>
              </w:rPr>
              <w:t>5,044.5</w:t>
            </w:r>
          </w:p>
        </w:tc>
        <w:tc>
          <w:tcPr>
            <w:tcW w:w="75" w:type="dxa"/>
            <w:tcBorders>
              <w:bottom w:val="double" w:sz="6" w:space="0" w:color="BCBEC0"/>
            </w:tcBorders>
            <w:shd w:fill="EBEBEC" w:val="clear"/>
            <w:tcMar>
              <w:bottom w:w="28" w:type="dxa"/>
            </w:tcM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Non-GAAP net income per share - basic</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49.30</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w:t>
            </w:r>
          </w:p>
        </w:tc>
        <w:tc>
          <w:tcPr>
            <w:tcW w:w="740" w:type="dxa"/>
            <w:tcBorders/>
            <w:vAlign w:val="center"/>
          </w:tcPr>
          <w:p>
            <w:pPr>
              <w:pStyle w:val="TableContents"/>
              <w:bidi w:val="0"/>
              <w:spacing w:before="0" w:after="283"/>
              <w:jc w:val="right"/>
              <w:rPr>
                <w:color w:val="231F20"/>
              </w:rPr>
            </w:pPr>
            <w:r>
              <w:rPr>
                <w:color w:val="231F20"/>
              </w:rPr>
              <w:t>47.28</w:t>
            </w:r>
          </w:p>
        </w:tc>
        <w:tc>
          <w:tcPr>
            <w:tcW w:w="75" w:type="dxa"/>
            <w:tcBorders/>
            <w:vAlign w:val="center"/>
          </w:tcPr>
          <w:p>
            <w:pPr>
              <w:pStyle w:val="TableContents"/>
              <w:bidi w:val="0"/>
              <w:spacing w:before="0" w:after="283"/>
              <w:jc w:val="left"/>
              <w:rPr>
                <w:color w:val="231F20"/>
              </w:rPr>
            </w:pPr>
            <w:r>
              <w:rPr>
                <w:color w:val="231F20"/>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Non-GAAP net income per share - diluted</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w:t>
            </w:r>
          </w:p>
        </w:tc>
        <w:tc>
          <w:tcPr>
            <w:tcW w:w="740" w:type="dxa"/>
            <w:tcBorders/>
            <w:shd w:fill="EBEBEC" w:val="clear"/>
            <w:vAlign w:val="center"/>
          </w:tcPr>
          <w:p>
            <w:pPr>
              <w:pStyle w:val="TableContents"/>
              <w:bidi w:val="0"/>
              <w:spacing w:before="0" w:after="283"/>
              <w:jc w:val="right"/>
              <w:rPr>
                <w:color w:val="231F20"/>
              </w:rPr>
            </w:pPr>
            <w:r>
              <w:rPr>
                <w:color w:val="231F20"/>
              </w:rPr>
              <w:t>45.62</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w:t>
            </w:r>
          </w:p>
        </w:tc>
        <w:tc>
          <w:tcPr>
            <w:tcW w:w="740" w:type="dxa"/>
            <w:tcBorders/>
            <w:shd w:fill="EBEBEC" w:val="clear"/>
            <w:vAlign w:val="center"/>
          </w:tcPr>
          <w:p>
            <w:pPr>
              <w:pStyle w:val="TableContents"/>
              <w:bidi w:val="0"/>
              <w:spacing w:before="0" w:after="283"/>
              <w:jc w:val="right"/>
              <w:rPr>
                <w:color w:val="231F20"/>
              </w:rPr>
            </w:pPr>
            <w:r>
              <w:rPr>
                <w:color w:val="231F20"/>
              </w:rPr>
              <w:t>43.79</w:t>
            </w:r>
          </w:p>
        </w:tc>
        <w:tc>
          <w:tcPr>
            <w:tcW w:w="75" w:type="dxa"/>
            <w:tcBorders/>
            <w:shd w:fill="EBEBEC" w:val="cle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i/>
                <w:color w:val="231F20"/>
              </w:rPr>
            </w:pPr>
            <w:r>
              <w:rPr>
                <w:i/>
                <w:color w:val="231F20"/>
              </w:rPr>
              <w:t>Shares used in calculating:</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 </w:t>
            </w:r>
          </w:p>
        </w:tc>
        <w:tc>
          <w:tcPr>
            <w:tcW w:w="7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 </w:t>
            </w:r>
          </w:p>
        </w:tc>
        <w:tc>
          <w:tcPr>
            <w:tcW w:w="74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735" w:type="dxa"/>
            <w:tcBorders/>
            <w:shd w:fill="EBEBEC" w:val="clear"/>
            <w:vAlign w:val="center"/>
          </w:tcPr>
          <w:p>
            <w:pPr>
              <w:pStyle w:val="TableContents"/>
              <w:bidi w:val="0"/>
              <w:spacing w:before="0" w:after="283"/>
              <w:jc w:val="left"/>
              <w:rPr>
                <w:color w:val="231F20"/>
              </w:rPr>
            </w:pPr>
            <w:r>
              <w:rPr>
                <w:color w:val="231F20"/>
              </w:rPr>
              <w:t>Non-GAAP net income per share - basic</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107.9</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60" w:type="dxa"/>
            <w:tcBorders/>
            <w:shd w:fill="EBEBEC" w:val="clear"/>
            <w:vAlign w:val="center"/>
          </w:tcPr>
          <w:p>
            <w:pPr>
              <w:pStyle w:val="TableContents"/>
              <w:bidi w:val="0"/>
              <w:spacing w:before="0" w:after="283"/>
              <w:jc w:val="left"/>
              <w:rPr>
                <w:color w:val="231F20"/>
              </w:rPr>
            </w:pPr>
            <w:r>
              <w:rPr>
                <w:color w:val="231F20"/>
              </w:rPr>
              <w:t> </w:t>
            </w:r>
          </w:p>
        </w:tc>
        <w:tc>
          <w:tcPr>
            <w:tcW w:w="140" w:type="dxa"/>
            <w:tcBorders/>
            <w:shd w:fill="EBEBEC" w:val="clear"/>
            <w:vAlign w:val="center"/>
          </w:tcPr>
          <w:p>
            <w:pPr>
              <w:pStyle w:val="TableContents"/>
              <w:bidi w:val="0"/>
              <w:spacing w:before="0" w:after="283"/>
              <w:jc w:val="right"/>
              <w:rPr>
                <w:color w:val="231F20"/>
              </w:rPr>
            </w:pPr>
            <w:r>
              <w:rPr>
                <w:color w:val="231F20"/>
              </w:rPr>
              <w:t> </w:t>
            </w:r>
          </w:p>
        </w:tc>
        <w:tc>
          <w:tcPr>
            <w:tcW w:w="740" w:type="dxa"/>
            <w:tcBorders/>
            <w:shd w:fill="EBEBEC" w:val="clear"/>
            <w:vAlign w:val="center"/>
          </w:tcPr>
          <w:p>
            <w:pPr>
              <w:pStyle w:val="TableContents"/>
              <w:bidi w:val="0"/>
              <w:spacing w:before="0" w:after="283"/>
              <w:jc w:val="right"/>
              <w:rPr>
                <w:color w:val="231F20"/>
              </w:rPr>
            </w:pPr>
            <w:r>
              <w:rPr>
                <w:color w:val="231F20"/>
              </w:rPr>
              <w:t>106.7</w:t>
            </w:r>
          </w:p>
        </w:tc>
        <w:tc>
          <w:tcPr>
            <w:tcW w:w="75" w:type="dxa"/>
            <w:tcBorders/>
            <w:shd w:fill="EBEBEC" w:val="clear"/>
            <w:vAlign w:val="center"/>
          </w:tcPr>
          <w:p>
            <w:pPr>
              <w:pStyle w:val="TableContents"/>
              <w:bidi w:val="0"/>
              <w:spacing w:before="0" w:after="283"/>
              <w:jc w:val="left"/>
              <w:rPr>
                <w:color w:val="231F20"/>
              </w:rPr>
            </w:pPr>
            <w:r>
              <w:rPr>
                <w:color w:val="231F20"/>
              </w:rPr>
              <w:t> </w:t>
            </w:r>
          </w:p>
        </w:tc>
      </w:tr>
      <w:tr>
        <w:trPr/>
        <w:tc>
          <w:tcPr>
            <w:tcW w:w="5735" w:type="dxa"/>
            <w:tcBorders/>
            <w:vAlign w:val="center"/>
          </w:tcPr>
          <w:p>
            <w:pPr>
              <w:pStyle w:val="TableContents"/>
              <w:bidi w:val="0"/>
              <w:spacing w:before="0" w:after="283"/>
              <w:jc w:val="left"/>
              <w:rPr>
                <w:color w:val="231F20"/>
              </w:rPr>
            </w:pPr>
            <w:r>
              <w:rPr>
                <w:color w:val="231F20"/>
              </w:rPr>
              <w:t>Non-GAAP net income per share - diluted</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 </w:t>
            </w:r>
          </w:p>
        </w:tc>
        <w:tc>
          <w:tcPr>
            <w:tcW w:w="740" w:type="dxa"/>
            <w:tcBorders/>
            <w:vAlign w:val="center"/>
          </w:tcPr>
          <w:p>
            <w:pPr>
              <w:pStyle w:val="TableContents"/>
              <w:bidi w:val="0"/>
              <w:spacing w:before="0" w:after="283"/>
              <w:jc w:val="right"/>
              <w:rPr>
                <w:color w:val="231F20"/>
              </w:rPr>
            </w:pPr>
            <w:r>
              <w:rPr>
                <w:color w:val="231F20"/>
              </w:rPr>
              <w:t>116.6</w:t>
            </w:r>
          </w:p>
        </w:tc>
        <w:tc>
          <w:tcPr>
            <w:tcW w:w="60" w:type="dxa"/>
            <w:tcBorders/>
            <w:vAlign w:val="center"/>
          </w:tcPr>
          <w:p>
            <w:pPr>
              <w:pStyle w:val="TableContents"/>
              <w:bidi w:val="0"/>
              <w:spacing w:before="0" w:after="283"/>
              <w:jc w:val="left"/>
              <w:rPr>
                <w:color w:val="231F20"/>
              </w:rPr>
            </w:pPr>
            <w:r>
              <w:rPr>
                <w:color w:val="231F20"/>
              </w:rPr>
              <w:t> </w:t>
            </w:r>
          </w:p>
        </w:tc>
        <w:tc>
          <w:tcPr>
            <w:tcW w:w="60" w:type="dxa"/>
            <w:tcBorders/>
            <w:vAlign w:val="center"/>
          </w:tcPr>
          <w:p>
            <w:pPr>
              <w:pStyle w:val="TableContents"/>
              <w:bidi w:val="0"/>
              <w:spacing w:before="0" w:after="283"/>
              <w:jc w:val="left"/>
              <w:rPr>
                <w:color w:val="231F20"/>
              </w:rPr>
            </w:pPr>
            <w:r>
              <w:rPr>
                <w:color w:val="231F20"/>
              </w:rPr>
              <w:t> </w:t>
            </w:r>
          </w:p>
        </w:tc>
        <w:tc>
          <w:tcPr>
            <w:tcW w:w="140" w:type="dxa"/>
            <w:tcBorders/>
            <w:vAlign w:val="center"/>
          </w:tcPr>
          <w:p>
            <w:pPr>
              <w:pStyle w:val="TableContents"/>
              <w:bidi w:val="0"/>
              <w:spacing w:before="0" w:after="283"/>
              <w:jc w:val="right"/>
              <w:rPr>
                <w:color w:val="231F20"/>
              </w:rPr>
            </w:pPr>
            <w:r>
              <w:rPr>
                <w:color w:val="231F20"/>
              </w:rPr>
              <w:t> </w:t>
            </w:r>
          </w:p>
        </w:tc>
        <w:tc>
          <w:tcPr>
            <w:tcW w:w="740" w:type="dxa"/>
            <w:tcBorders/>
            <w:vAlign w:val="center"/>
          </w:tcPr>
          <w:p>
            <w:pPr>
              <w:pStyle w:val="TableContents"/>
              <w:bidi w:val="0"/>
              <w:spacing w:before="0" w:after="283"/>
              <w:jc w:val="right"/>
              <w:rPr>
                <w:color w:val="231F20"/>
              </w:rPr>
            </w:pPr>
            <w:r>
              <w:rPr>
                <w:color w:val="231F20"/>
              </w:rPr>
              <w:t>115.2</w:t>
            </w:r>
          </w:p>
        </w:tc>
        <w:tc>
          <w:tcPr>
            <w:tcW w:w="75" w:type="dxa"/>
            <w:tcBorders/>
            <w:vAlign w:val="center"/>
          </w:tcPr>
          <w:p>
            <w:pPr>
              <w:pStyle w:val="TableContents"/>
              <w:bidi w:val="0"/>
              <w:spacing w:before="0" w:after="283"/>
              <w:jc w:val="left"/>
              <w:rPr>
                <w:color w:val="231F20"/>
              </w:rPr>
            </w:pPr>
            <w:r>
              <w:rPr>
                <w:color w:val="231F20"/>
              </w:rPr>
              <w:t> </w:t>
            </w:r>
          </w:p>
        </w:tc>
      </w:tr>
    </w:tbl>
    <w:p>
      <w:pPr>
        <w:pStyle w:val="TextBody"/>
        <w:bidi w:val="0"/>
        <w:spacing w:before="0" w:after="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76"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55" descr=""/>
                          <pic:cNvPicPr>
                            <a:picLocks noChangeAspect="1" noChangeArrowheads="1"/>
                          </pic:cNvPicPr>
                        </pic:nvPicPr>
                        <pic:blipFill>
                          <a:blip r:embed="rId367"/>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regn013211-def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6">
              <w:r>
                <w:rPr>
                  <w:rStyle w:val="InternetLink"/>
                  <w:b/>
                  <w:strike w:val="false"/>
                  <w:dstrike w:val="false"/>
                  <w:color w:val="3B5AA4"/>
                  <w:u w:val="none"/>
                  <w:effect w:val="none"/>
                </w:rPr>
                <w:t>Other Matters</w:t>
              </w:r>
            </w:hyperlink>
          </w:p>
        </w:tc>
      </w:tr>
    </w:tbl>
    <w:p>
      <w:pPr>
        <w:pStyle w:val="TextBody"/>
        <w:bidi w:val="0"/>
        <w:spacing w:before="0" w:after="0"/>
        <w:jc w:val="left"/>
        <w:rPr>
          <w:caps w:val="false"/>
          <w:smallCaps w:val="false"/>
          <w:color w:val="3B5AA4"/>
        </w:rPr>
      </w:pPr>
      <w:r>
        <w:rPr>
          <w:caps w:val="false"/>
          <w:smallCaps w:val="false"/>
          <w:color w:val="3B5AA4"/>
        </w:rPr>
        <w:t> </w:t>
      </w:r>
    </w:p>
    <w:p>
      <w:pPr>
        <w:pStyle w:val="Heading1"/>
        <w:bidi w:val="0"/>
        <w:spacing w:before="0" w:after="0"/>
        <w:jc w:val="left"/>
        <w:rPr>
          <w:rFonts w:ascii="Arial;Helvetica;Sans-Serif" w:hAnsi="Arial;Helvetica;Sans-Serif"/>
          <w:b/>
          <w:i w:val="false"/>
          <w:caps w:val="false"/>
          <w:smallCaps w:val="false"/>
          <w:color w:val="3B5AA4"/>
          <w:sz w:val="56"/>
        </w:rPr>
      </w:pPr>
      <w:bookmarkStart w:id="281" w:name="regn013211-def14aa095"/>
      <w:bookmarkEnd w:id="281"/>
      <w:r>
        <w:rPr>
          <w:rFonts w:ascii="Arial;Helvetica;Sans-Serif" w:hAnsi="Arial;Helvetica;Sans-Serif"/>
          <w:b/>
          <w:i w:val="false"/>
          <w:caps w:val="false"/>
          <w:smallCaps w:val="false"/>
          <w:color w:val="3B5AA4"/>
          <w:sz w:val="56"/>
        </w:rPr>
        <w:t>Appendix B</w:t>
      </w:r>
    </w:p>
    <w:p>
      <w:pPr>
        <w:pStyle w:val="TextBody"/>
        <w:bidi w:val="0"/>
        <w:spacing w:before="0" w:after="0"/>
        <w:jc w:val="left"/>
        <w:rPr>
          <w:caps w:val="false"/>
          <w:smallCaps w:val="false"/>
          <w:color w:val="3B5AA4"/>
        </w:rPr>
      </w:pPr>
      <w:r>
        <w:rPr>
          <w:caps w:val="false"/>
          <w:smallCaps w:val="false"/>
          <w:color w:val="3B5AA4"/>
        </w:rPr>
        <w:t> </w:t>
      </w:r>
    </w:p>
    <w:p>
      <w:pPr>
        <w:pStyle w:val="Heading5"/>
        <w:bidi w:val="0"/>
        <w:spacing w:before="0" w:after="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Proposed Amendment to the Certificate of Incorporation to Declassify the Board of Directors</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caps w:val="false"/>
          <w:smallCaps w:val="false"/>
          <w:color w:val="231F20"/>
          <w:sz w:val="18"/>
        </w:rPr>
      </w:pPr>
      <w:r>
        <w:rPr>
          <w:rFonts w:ascii="Arial;Helvetica;Sans-Serif" w:hAnsi="Arial;Helvetica;Sans-Serif"/>
          <w:b w:val="false"/>
          <w:i/>
          <w:caps w:val="false"/>
          <w:smallCaps w:val="false"/>
          <w:color w:val="231F20"/>
          <w:sz w:val="18"/>
        </w:rPr>
        <w:t>Proposed deletions are reflected by “strike-through” text and proposed additions are reflected by “underline” text.</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center"/>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ARTICLE VI</w:t>
        <w:br/>
        <w:t>BOARD OF DIRECTORS</w:t>
      </w:r>
    </w:p>
    <w:p>
      <w:pPr>
        <w:pStyle w:val="TextBody"/>
        <w:bidi w:val="0"/>
        <w:spacing w:before="0" w:after="0"/>
        <w:jc w:val="center"/>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number of Directors of the Corporation constituting the entire Board of Directors shall be not less than three or more than fifteen. The Board of Directors shall determine from time to time the number of Directors who shall constitute the entire Board of Directors. Any such determination made by the Board of Directors shall continue in effect unless and until changed by the Board of Directors, but no such change shall affect the term of any Directors then in office. Directors need not be shareholders of the Corporation.</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strike/>
          <w:color w:val="231F20"/>
          <w:sz w:val="18"/>
        </w:rPr>
        <w:t>Commencing at the Annual Meeting of Shareholders held in 1991, the terms of office of the Board of Directors shall be divided into three classes, Class I, Class II and Class III, as shall be determined by the Board of Directors. All classes shall be as nearly equal in number as possible, and no class shall include less than three nor more than nine Directors.</w:t>
      </w:r>
      <w:r>
        <w:rPr>
          <w:rFonts w:ascii="Arial;Helvetica;Sans-Serif" w:hAnsi="Arial;Helvetica;Sans-Serif"/>
          <w:b w:val="false"/>
          <w:i w:val="false"/>
          <w:caps w:val="false"/>
          <w:smallCaps w:val="false"/>
          <w:color w:val="231F20"/>
          <w:sz w:val="18"/>
        </w:rPr>
        <w:t xml:space="preserve"> Any vacancy on the Board of Directors that results from an increase in the number of Directors and any other vacancy on the Board may be filled only by the Board provided that a quorum is then in office and present, or only by a majority of the Directors then in office, if less than a quorum is then in office, or by a sole remaining Director. Directors elected to fill a newly created directorship or other vacancies shall </w:t>
      </w:r>
      <w:r>
        <w:rPr>
          <w:rFonts w:ascii="Arial;Helvetica;Sans-Serif" w:hAnsi="Arial;Helvetica;Sans-Serif"/>
          <w:b w:val="false"/>
          <w:i w:val="false"/>
          <w:caps w:val="false"/>
          <w:smallCaps w:val="false"/>
          <w:strike/>
          <w:color w:val="231F20"/>
          <w:sz w:val="18"/>
        </w:rPr>
        <w:t>be classified and</w:t>
      </w:r>
      <w:r>
        <w:rPr>
          <w:rFonts w:ascii="Arial;Helvetica;Sans-Serif" w:hAnsi="Arial;Helvetica;Sans-Serif"/>
          <w:b w:val="false"/>
          <w:i w:val="false"/>
          <w:caps w:val="false"/>
          <w:smallCaps w:val="false"/>
          <w:color w:val="231F20"/>
          <w:sz w:val="18"/>
        </w:rPr>
        <w:t xml:space="preserve"> hold office as provided by statute.</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strike/>
          <w:color w:val="231F20"/>
          <w:sz w:val="18"/>
        </w:rPr>
      </w:pPr>
      <w:r>
        <w:rPr>
          <w:rFonts w:ascii="Arial;Helvetica;Sans-Serif" w:hAnsi="Arial;Helvetica;Sans-Serif"/>
          <w:b w:val="false"/>
          <w:i w:val="false"/>
          <w:caps w:val="false"/>
          <w:smallCaps w:val="false"/>
          <w:strike/>
          <w:color w:val="231F20"/>
          <w:sz w:val="18"/>
        </w:rPr>
        <w:t>The terms of office of the respective classes of directors initially classified shall be as follows: (1) Class I shall expire at the Annual Meeting of Shareholders to be held in 1992; (2) Class II shall expire at the Annual Meeting of Shareholders to be held in 1993; and (3) Class III shall expire at the Annual Meeting of Shareholders to be held in 1994. At each Annual Meeting of Shareholders after the aforementioned initial classification, the successors to Directors whose terms shall then expire shall be elected to serve from the time of election and qualification until the third Annual Meeting following election and until a successor shall have been duly elected and shall have qualified.</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u w:val="single"/>
        </w:rPr>
      </w:pPr>
      <w:r>
        <w:rPr>
          <w:rFonts w:ascii="Arial;Helvetica;Sans-Serif" w:hAnsi="Arial;Helvetica;Sans-Serif"/>
          <w:b w:val="false"/>
          <w:i w:val="false"/>
          <w:caps w:val="false"/>
          <w:smallCaps w:val="false"/>
          <w:color w:val="231F20"/>
          <w:sz w:val="18"/>
          <w:u w:val="single"/>
        </w:rPr>
        <w:t>Each director elected prior to the Annual Meeting of Shareholders to be held in 2026 shall continue to serve for the remainder of the original term for which he or she was elected. Commencing at the Annual Meeting of Shareholders to be held in 2026, directors shall be elected for a term of one year, expiring at the next Annual Meeting of Shareholders. Each director elected at the Annual Meeting of Shareholders held in 2023 shall hold office until the expiration of his or her term at the Annual Meeting of Shareholders to be held in 2026; each director elected at the Annual Meeting of Shareholders held in 2024 shall hold office until the expiration of his or her term at the Annual Meeting of Shareholders to be held in 2026 or 2027, as applicable; and each director elected at the Annual Meeting of Shareholders to be held in 2025 shall hold office until the expiration of his or her term at the Annual Meeting of Shareholders to be held in 2028. At the Annual Meeting of Shareholders to be held in 2028, and at each Annual Meeting of Shareholders thereafter, directors shall no longer be divided into classes and all directors shall be elected for a one-year term expiring at the next Annual Meeting of Shareholders. Directors shall continue in office until a successor shall have been duly elected and shall have qualified, subject, however, to such director’s earlier death, resignation or removal.</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 xml:space="preserve">The Directors </w:t>
      </w:r>
      <w:r>
        <w:rPr>
          <w:rFonts w:ascii="Arial;Helvetica;Sans-Serif" w:hAnsi="Arial;Helvetica;Sans-Serif"/>
          <w:b w:val="false"/>
          <w:i w:val="false"/>
          <w:caps w:val="false"/>
          <w:smallCaps w:val="false"/>
          <w:strike/>
          <w:color w:val="231F20"/>
          <w:sz w:val="18"/>
        </w:rPr>
        <w:t>of any class of Directors</w:t>
      </w:r>
      <w:r>
        <w:rPr>
          <w:rFonts w:ascii="Arial;Helvetica;Sans-Serif" w:hAnsi="Arial;Helvetica;Sans-Serif"/>
          <w:b w:val="false"/>
          <w:i w:val="false"/>
          <w:caps w:val="false"/>
          <w:smallCaps w:val="false"/>
          <w:color w:val="231F20"/>
          <w:sz w:val="18"/>
        </w:rPr>
        <w:t xml:space="preserve"> of the Corporation may not be removed prior to the expiration date of their terms of office except for cause and by an affirmative vote of at least eighty percent (80%) of the outstanding shares of all classes of capital stock of the Corporation entitled to vote for such member(s) of the Board of Directors at the Annual Meeting of Shareholders or at any Special Meeting of Shareholders called by the Board of Directors or by the Chairman of the Board or by the President for this purpose.</w:t>
      </w:r>
    </w:p>
    <w:p>
      <w:pPr>
        <w:pStyle w:val="TextBody"/>
        <w:bidi w:val="0"/>
        <w:spacing w:before="0" w:after="0"/>
        <w:jc w:val="left"/>
        <w:rPr>
          <w:caps w:val="false"/>
          <w:smallCaps w:val="false"/>
          <w:color w:val="231F20"/>
        </w:rPr>
      </w:pPr>
      <w:r>
        <w:rPr>
          <w:caps w:val="false"/>
          <w:smallCaps w:val="false"/>
          <w:color w:val="231F20"/>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77"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356" descr=""/>
                          <pic:cNvPicPr>
                            <a:picLocks noChangeAspect="1" noChangeArrowheads="1"/>
                          </pic:cNvPicPr>
                        </pic:nvPicPr>
                        <pic:blipFill>
                          <a:blip r:embed="rId368"/>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tbl>
      <w:tblPr>
        <w:tblW w:w="10095" w:type="dxa"/>
        <w:jc w:val="left"/>
        <w:tblInd w:w="0" w:type="dxa"/>
        <w:tblLayout w:type="fixed"/>
        <w:tblCellMar>
          <w:top w:w="0" w:type="dxa"/>
          <w:left w:w="0" w:type="dxa"/>
          <w:bottom w:w="0" w:type="dxa"/>
          <w:right w:w="0" w:type="dxa"/>
        </w:tblCellMar>
      </w:tblPr>
      <w:tblGrid>
        <w:gridCol w:w="1190"/>
        <w:gridCol w:w="60"/>
        <w:gridCol w:w="1790"/>
        <w:gridCol w:w="60"/>
        <w:gridCol w:w="2180"/>
        <w:gridCol w:w="60"/>
        <w:gridCol w:w="1490"/>
        <w:gridCol w:w="60"/>
        <w:gridCol w:w="1655"/>
        <w:gridCol w:w="60"/>
        <w:gridCol w:w="1490"/>
      </w:tblGrid>
      <w:tr>
        <w:trPr/>
        <w:tc>
          <w:tcPr>
            <w:tcW w:w="1190" w:type="dxa"/>
            <w:tcBorders/>
            <w:vAlign w:val="center"/>
          </w:tcPr>
          <w:p>
            <w:pPr>
              <w:pStyle w:val="TableContents"/>
              <w:bidi w:val="0"/>
              <w:spacing w:before="0" w:after="283"/>
              <w:jc w:val="left"/>
              <w:rPr/>
            </w:pPr>
            <w:hyperlink w:anchor="regn013211-def14ac001">
              <w:r>
                <w:rPr>
                  <w:rStyle w:val="InternetLink"/>
                  <w:strike w:val="false"/>
                  <w:dstrike w:val="false"/>
                  <w:color w:val="939598"/>
                  <w:u w:val="none"/>
                  <w:effect w:val="none"/>
                </w:rPr>
                <w:t>Introduction</w:t>
              </w:r>
            </w:hyperlink>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hyperlink w:anchor="regn013211-def14ac002">
              <w:r>
                <w:rPr>
                  <w:rStyle w:val="InternetLink"/>
                  <w:strike w:val="false"/>
                  <w:dstrike w:val="false"/>
                  <w:color w:val="939598"/>
                  <w:u w:val="none"/>
                  <w:effect w:val="none"/>
                </w:rPr>
                <w:t>Board of Directors</w:t>
              </w:r>
            </w:hyperlink>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hyperlink w:anchor="regn013211-def14ac003">
              <w:r>
                <w:rPr>
                  <w:rStyle w:val="InternetLink"/>
                  <w:strike w:val="false"/>
                  <w:dstrike w:val="false"/>
                  <w:color w:val="939598"/>
                  <w:u w:val="none"/>
                  <w:effect w:val="none"/>
                </w:rPr>
                <w:t>Corporate Governance</w:t>
              </w:r>
            </w:hyperlink>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hyperlink w:anchor="regn013211-def14ac004">
              <w:r>
                <w:rPr>
                  <w:rStyle w:val="InternetLink"/>
                  <w:b/>
                  <w:strike w:val="false"/>
                  <w:dstrike w:val="false"/>
                  <w:color w:val="939598"/>
                  <w:u w:val="none"/>
                  <w:effect w:val="none"/>
                </w:rPr>
                <w:t>The Company</w:t>
              </w:r>
            </w:hyperlink>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hyperlink w:anchor="regn013211-def14ac005">
              <w:r>
                <w:rPr>
                  <w:rStyle w:val="InternetLink"/>
                  <w:b/>
                  <w:strike w:val="false"/>
                  <w:dstrike w:val="false"/>
                  <w:color w:val="939598"/>
                  <w:u w:val="none"/>
                  <w:effect w:val="none"/>
                </w:rPr>
                <w:t>Compensation-</w:t>
                <w:br/>
                <w:t>Related Matters</w:t>
              </w:r>
            </w:hyperlink>
          </w:p>
        </w:tc>
        <w:tc>
          <w:tcPr>
            <w:tcW w:w="60" w:type="dxa"/>
            <w:tcBorders/>
            <w:vAlign w:val="center"/>
          </w:tcPr>
          <w:p>
            <w:pPr>
              <w:pStyle w:val="TableContents"/>
              <w:bidi w:val="0"/>
              <w:spacing w:before="0" w:after="283"/>
              <w:jc w:val="left"/>
              <w:rPr/>
            </w:pPr>
            <w:r>
              <w:rPr/>
              <w:t> </w:t>
            </w:r>
          </w:p>
        </w:tc>
        <w:tc>
          <w:tcPr>
            <w:tcW w:w="1490" w:type="dxa"/>
            <w:tcBorders>
              <w:bottom w:val="single" w:sz="18" w:space="0" w:color="C60C45"/>
            </w:tcBorders>
            <w:tcMar>
              <w:bottom w:w="45" w:type="dxa"/>
            </w:tcMar>
            <w:vAlign w:val="center"/>
          </w:tcPr>
          <w:p>
            <w:pPr>
              <w:pStyle w:val="TableContents"/>
              <w:bidi w:val="0"/>
              <w:spacing w:before="0" w:after="283"/>
              <w:jc w:val="left"/>
              <w:rPr/>
            </w:pPr>
            <w:hyperlink w:anchor="regn013211-def14ac006">
              <w:r>
                <w:rPr>
                  <w:rStyle w:val="InternetLink"/>
                  <w:b/>
                  <w:strike w:val="false"/>
                  <w:dstrike w:val="false"/>
                  <w:color w:val="3B5AA4"/>
                  <w:u w:val="none"/>
                  <w:effect w:val="none"/>
                </w:rPr>
                <w:t>Other Matters</w:t>
              </w:r>
            </w:hyperlink>
          </w:p>
        </w:tc>
      </w:tr>
    </w:tbl>
    <w:p>
      <w:pPr>
        <w:pStyle w:val="TextBody"/>
        <w:bidi w:val="0"/>
        <w:spacing w:before="0" w:after="0"/>
        <w:jc w:val="left"/>
        <w:rPr>
          <w:caps w:val="false"/>
          <w:smallCaps w:val="false"/>
          <w:color w:val="231F20"/>
        </w:rPr>
      </w:pPr>
      <w:r>
        <w:rPr>
          <w:caps w:val="false"/>
          <w:smallCaps w:val="false"/>
          <w:color w:val="231F20"/>
        </w:rPr>
        <w:t> </w:t>
      </w:r>
    </w:p>
    <w:p>
      <w:pPr>
        <w:pStyle w:val="Heading1"/>
        <w:bidi w:val="0"/>
        <w:spacing w:before="0" w:after="0"/>
        <w:jc w:val="left"/>
        <w:rPr>
          <w:rFonts w:ascii="Arial;Helvetica;Sans-Serif" w:hAnsi="Arial;Helvetica;Sans-Serif"/>
          <w:b/>
          <w:i w:val="false"/>
          <w:caps w:val="false"/>
          <w:smallCaps w:val="false"/>
          <w:color w:val="3B5AA4"/>
          <w:sz w:val="56"/>
        </w:rPr>
      </w:pPr>
      <w:bookmarkStart w:id="282" w:name="regn013211-def14aa096"/>
      <w:bookmarkEnd w:id="282"/>
      <w:r>
        <w:rPr>
          <w:rFonts w:ascii="Arial;Helvetica;Sans-Serif" w:hAnsi="Arial;Helvetica;Sans-Serif"/>
          <w:b/>
          <w:i w:val="false"/>
          <w:caps w:val="false"/>
          <w:smallCaps w:val="false"/>
          <w:color w:val="3B5AA4"/>
          <w:sz w:val="56"/>
        </w:rPr>
        <w:t>Appendix C</w:t>
      </w:r>
    </w:p>
    <w:p>
      <w:pPr>
        <w:pStyle w:val="TextBody"/>
        <w:bidi w:val="0"/>
        <w:spacing w:before="0" w:after="0"/>
        <w:jc w:val="left"/>
        <w:rPr>
          <w:caps w:val="false"/>
          <w:smallCaps w:val="false"/>
          <w:color w:val="231F20"/>
        </w:rPr>
      </w:pPr>
      <w:r>
        <w:rPr>
          <w:caps w:val="false"/>
          <w:smallCaps w:val="false"/>
          <w:color w:val="231F20"/>
        </w:rPr>
        <w:t> </w:t>
      </w:r>
    </w:p>
    <w:p>
      <w:pPr>
        <w:pStyle w:val="Heading5"/>
        <w:bidi w:val="0"/>
        <w:spacing w:before="0" w:after="0"/>
        <w:jc w:val="left"/>
        <w:rPr>
          <w:rFonts w:ascii="Arial;Helvetica;Sans-Serif" w:hAnsi="Arial;Helvetica;Sans-Serif"/>
          <w:b/>
          <w:i w:val="false"/>
          <w:caps w:val="false"/>
          <w:smallCaps w:val="false"/>
          <w:color w:val="3B5AA4"/>
          <w:sz w:val="24"/>
        </w:rPr>
      </w:pPr>
      <w:r>
        <w:rPr>
          <w:rFonts w:ascii="Arial;Helvetica;Sans-Serif" w:hAnsi="Arial;Helvetica;Sans-Serif"/>
          <w:b/>
          <w:i w:val="false"/>
          <w:caps w:val="false"/>
          <w:smallCaps w:val="false"/>
          <w:color w:val="3B5AA4"/>
          <w:sz w:val="24"/>
        </w:rPr>
        <w:t>Proposed Amendments to the Certificate of Incorporation to Eliminate Supermajority Vote Requirements</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i w:val="false"/>
          <w:caps w:val="false"/>
          <w:smallCaps w:val="false"/>
          <w:color w:val="231F20"/>
          <w:sz w:val="18"/>
        </w:rPr>
      </w:pPr>
      <w:r>
        <w:rPr>
          <w:rFonts w:ascii="Arial;Helvetica;Sans-Serif" w:hAnsi="Arial;Helvetica;Sans-Serif"/>
          <w:b/>
          <w:i w:val="false"/>
          <w:caps w:val="false"/>
          <w:smallCaps w:val="false"/>
          <w:color w:val="231F20"/>
          <w:sz w:val="18"/>
        </w:rPr>
        <w:t>Proposal No. 5(a):</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caps w:val="false"/>
          <w:smallCaps w:val="false"/>
          <w:color w:val="231F20"/>
          <w:sz w:val="18"/>
        </w:rPr>
      </w:pPr>
      <w:r>
        <w:rPr>
          <w:rFonts w:ascii="Arial;Helvetica;Sans-Serif" w:hAnsi="Arial;Helvetica;Sans-Serif"/>
          <w:b w:val="false"/>
          <w:i/>
          <w:caps w:val="false"/>
          <w:smallCaps w:val="false"/>
          <w:color w:val="231F20"/>
          <w:sz w:val="18"/>
        </w:rPr>
        <w:t>Proposed deletions are reflected by “strike-through” text and proposed additions are reflected by “underline” text.</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Article IV, Section 2(e)(8) would be amended to read as follows:</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 xml:space="preserve">This Section 2(e) may not be amended without the affirmative vote of holders of the majority of the shares of Class A Stock and the affirmative vote of the holders of </w:t>
      </w:r>
      <w:r>
        <w:rPr>
          <w:rFonts w:ascii="Arial;Helvetica;Sans-Serif" w:hAnsi="Arial;Helvetica;Sans-Serif"/>
          <w:b w:val="false"/>
          <w:i w:val="false"/>
          <w:caps w:val="false"/>
          <w:smallCaps w:val="false"/>
          <w:strike/>
          <w:color w:val="231F20"/>
          <w:sz w:val="18"/>
        </w:rPr>
        <w:t>two-thirds</w:t>
      </w:r>
      <w:r>
        <w:rPr>
          <w:rFonts w:ascii="Arial;Helvetica;Sans-Serif" w:hAnsi="Arial;Helvetica;Sans-Serif"/>
          <w:b w:val="false"/>
          <w:i w:val="false"/>
          <w:caps w:val="false"/>
          <w:smallCaps w:val="false"/>
          <w:color w:val="231F20"/>
          <w:sz w:val="18"/>
        </w:rPr>
        <w:t xml:space="preserve"> </w:t>
      </w:r>
      <w:r>
        <w:rPr>
          <w:rFonts w:ascii="Arial;Helvetica;Sans-Serif" w:hAnsi="Arial;Helvetica;Sans-Serif"/>
          <w:b w:val="false"/>
          <w:i w:val="false"/>
          <w:caps w:val="false"/>
          <w:smallCaps w:val="false"/>
          <w:color w:val="231F20"/>
          <w:sz w:val="18"/>
          <w:u w:val="single"/>
        </w:rPr>
        <w:t>the majority</w:t>
      </w:r>
      <w:r>
        <w:rPr>
          <w:rFonts w:ascii="Arial;Helvetica;Sans-Serif" w:hAnsi="Arial;Helvetica;Sans-Serif"/>
          <w:b w:val="false"/>
          <w:i w:val="false"/>
          <w:caps w:val="false"/>
          <w:smallCaps w:val="false"/>
          <w:color w:val="231F20"/>
          <w:sz w:val="18"/>
        </w:rPr>
        <w:t xml:space="preserve"> of the shares of Common Stock, each voting separately as a class.</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i w:val="false"/>
          <w:caps w:val="false"/>
          <w:smallCaps w:val="false"/>
          <w:color w:val="231F20"/>
          <w:sz w:val="18"/>
        </w:rPr>
      </w:pPr>
      <w:r>
        <w:rPr>
          <w:rFonts w:ascii="Arial;Helvetica;Sans-Serif" w:hAnsi="Arial;Helvetica;Sans-Serif"/>
          <w:b/>
          <w:i w:val="false"/>
          <w:caps w:val="false"/>
          <w:smallCaps w:val="false"/>
          <w:color w:val="231F20"/>
          <w:sz w:val="18"/>
        </w:rPr>
        <w:t>Proposal No. 5(b):</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The phrase “at least eighty percent (80%)” in the last paragraph of Article VI would be deleted and replaced with “the majority”.</w:t>
      </w:r>
    </w:p>
    <w:p>
      <w:pPr>
        <w:pStyle w:val="TextBody"/>
        <w:bidi w:val="0"/>
        <w:spacing w:before="0" w:after="0"/>
        <w:jc w:val="left"/>
        <w:rPr>
          <w:caps w:val="false"/>
          <w:smallCaps w:val="false"/>
          <w:color w:val="231F20"/>
        </w:rPr>
      </w:pPr>
      <w:r>
        <w:rPr>
          <w:caps w:val="false"/>
          <w:smallCaps w:val="false"/>
          <w:color w:val="231F20"/>
        </w:rPr>
        <w:t> </w:t>
      </w:r>
    </w:p>
    <w:tbl>
      <w:tblPr>
        <w:tblW w:w="8845" w:type="dxa"/>
        <w:jc w:val="left"/>
        <w:tblInd w:w="0" w:type="dxa"/>
        <w:tblLayout w:type="fixed"/>
        <w:tblCellMar>
          <w:top w:w="0" w:type="dxa"/>
          <w:left w:w="0" w:type="dxa"/>
          <w:bottom w:w="0" w:type="dxa"/>
          <w:right w:w="0" w:type="dxa"/>
        </w:tblCellMar>
      </w:tblPr>
      <w:tblGrid>
        <w:gridCol w:w="6710"/>
        <w:gridCol w:w="1320"/>
        <w:gridCol w:w="815"/>
      </w:tblGrid>
      <w:tr>
        <w:trPr/>
        <w:tc>
          <w:tcPr>
            <w:tcW w:w="6710" w:type="dxa"/>
            <w:tcBorders/>
            <w:vAlign w:val="center"/>
          </w:tcPr>
          <w:p>
            <w:pPr>
              <w:pStyle w:val="TableContents"/>
              <w:bidi w:val="0"/>
              <w:spacing w:before="0" w:after="283"/>
              <w:jc w:val="left"/>
              <w:rPr>
                <w:b/>
                <w:color w:val="3B5AA4"/>
              </w:rPr>
            </w:pPr>
            <w:r>
              <w:rPr>
                <w:b/>
                <w:color w:val="3B5AA4"/>
              </w:rPr>
              <w:t>2025 Proxy Statement and Notice of Annual Shareholder Meeting</w:t>
            </w:r>
          </w:p>
        </w:tc>
        <w:tc>
          <w:tcPr>
            <w:tcW w:w="1320" w:type="dxa"/>
            <w:tcBorders/>
            <w:vAlign w:val="center"/>
          </w:tcPr>
          <w:p>
            <w:pPr>
              <w:pStyle w:val="TableContents"/>
              <w:bidi w:val="0"/>
              <w:spacing w:before="0" w:after="283"/>
              <w:jc w:val="right"/>
              <w:rPr/>
            </w:pPr>
            <w:r>
              <w:rPr/>
              <w:drawing>
                <wp:inline distT="0" distB="0" distL="0" distR="0">
                  <wp:extent cx="838200" cy="95250"/>
                  <wp:effectExtent l="0" t="0" r="0" b="0"/>
                  <wp:docPr id="378"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57" descr=""/>
                          <pic:cNvPicPr>
                            <a:picLocks noChangeAspect="1" noChangeArrowheads="1"/>
                          </pic:cNvPicPr>
                        </pic:nvPicPr>
                        <pic:blipFill>
                          <a:blip r:embed="rId369"/>
                          <a:stretch>
                            <a:fillRect/>
                          </a:stretch>
                        </pic:blipFill>
                        <pic:spPr bwMode="auto">
                          <a:xfrm>
                            <a:off x="0" y="0"/>
                            <a:ext cx="838200" cy="95250"/>
                          </a:xfrm>
                          <a:prstGeom prst="rect">
                            <a:avLst/>
                          </a:prstGeom>
                        </pic:spPr>
                      </pic:pic>
                    </a:graphicData>
                  </a:graphic>
                </wp:inline>
              </w:drawing>
            </w:r>
          </w:p>
        </w:tc>
        <w:tc>
          <w:tcPr>
            <w:tcW w:w="815" w:type="dxa"/>
            <w:tcBorders/>
            <w:vAlign w:val="center"/>
          </w:tcPr>
          <w:p>
            <w:pPr>
              <w:pStyle w:val="TableContents"/>
              <w:bidi w:val="0"/>
              <w:spacing w:before="0" w:after="283"/>
              <w:jc w:val="left"/>
              <w:rPr/>
            </w:pPr>
            <w:r>
              <w:rPr>
                <w:color w:val="C60C44"/>
              </w:rPr>
              <w:t>   </w:t>
            </w:r>
            <w:r>
              <w:rPr>
                <w:b/>
                <w:color w:val="C60C44"/>
              </w:rPr>
              <w:t>|</w:t>
            </w:r>
            <w:r>
              <w:rPr>
                <w:color w:val="C60C44"/>
              </w:rPr>
              <w:t>   </w:t>
            </w:r>
            <w:r>
              <w:rPr>
                <w:b/>
                <w:color w:val="3B5AA4"/>
              </w:rPr>
              <w:t>117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TextBody"/>
        <w:bidi w:val="0"/>
        <w:spacing w:before="0" w:after="0"/>
        <w:jc w:val="center"/>
        <w:rPr>
          <w:caps w:val="false"/>
          <w:smallCaps w:val="false"/>
        </w:rPr>
      </w:pPr>
      <w:r>
        <w:rPr>
          <w:caps w:val="false"/>
          <w:smallCaps w:val="false"/>
        </w:rPr>
        <w:drawing>
          <wp:inline distT="0" distB="0" distL="0" distR="0">
            <wp:extent cx="7620000" cy="24345900"/>
            <wp:effectExtent l="0" t="0" r="0" b="0"/>
            <wp:docPr id="379"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358" descr=""/>
                    <pic:cNvPicPr>
                      <a:picLocks noChangeAspect="1" noChangeArrowheads="1"/>
                    </pic:cNvPicPr>
                  </pic:nvPicPr>
                  <pic:blipFill>
                    <a:blip r:embed="rId370"/>
                    <a:stretch>
                      <a:fillRect/>
                    </a:stretch>
                  </pic:blipFill>
                  <pic:spPr bwMode="auto">
                    <a:xfrm>
                      <a:off x="0" y="0"/>
                      <a:ext cx="7620000" cy="24345900"/>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TextBody"/>
        <w:bidi w:val="0"/>
        <w:spacing w:before="0" w:after="0"/>
        <w:jc w:val="center"/>
        <w:rPr>
          <w:caps w:val="false"/>
          <w:smallCaps w:val="false"/>
        </w:rPr>
      </w:pPr>
      <w:r>
        <w:rPr>
          <w:caps w:val="false"/>
          <w:smallCaps w:val="false"/>
        </w:rPr>
        <w:drawing>
          <wp:inline distT="0" distB="0" distL="0" distR="0">
            <wp:extent cx="7620000" cy="40233600"/>
            <wp:effectExtent l="0" t="0" r="0" b="0"/>
            <wp:docPr id="380"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359" descr=""/>
                    <pic:cNvPicPr>
                      <a:picLocks noChangeAspect="1" noChangeArrowheads="1"/>
                    </pic:cNvPicPr>
                  </pic:nvPicPr>
                  <pic:blipFill>
                    <a:blip r:embed="rId371"/>
                    <a:stretch>
                      <a:fillRect/>
                    </a:stretch>
                  </pic:blipFill>
                  <pic:spPr bwMode="auto">
                    <a:xfrm>
                      <a:off x="0" y="0"/>
                      <a:ext cx="7620000" cy="40233600"/>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685" w:type="dxa"/>
        <w:jc w:val="left"/>
        <w:tblInd w:w="0" w:type="dxa"/>
        <w:tblLayout w:type="fixed"/>
        <w:tblCellMar>
          <w:top w:w="0" w:type="dxa"/>
          <w:left w:w="0" w:type="dxa"/>
          <w:bottom w:w="0" w:type="dxa"/>
          <w:right w:w="0" w:type="dxa"/>
        </w:tblCellMar>
      </w:tblPr>
      <w:tblGrid>
        <w:gridCol w:w="1685"/>
      </w:tblGrid>
      <w:tr>
        <w:trPr/>
        <w:tc>
          <w:tcPr>
            <w:tcW w:w="1685" w:type="dxa"/>
            <w:tcBorders/>
            <w:vAlign w:val="center"/>
          </w:tcPr>
          <w:p>
            <w:pPr>
              <w:pStyle w:val="TableContents"/>
              <w:bidi w:val="0"/>
              <w:spacing w:before="0" w:after="283"/>
              <w:jc w:val="left"/>
              <w:rPr/>
            </w:pPr>
            <w:hyperlink w:anchor="toc">
              <w:r>
                <w:rPr>
                  <w:rStyle w:val="InternetLink"/>
                </w:rPr>
                <w:t>Back to Contents</w:t>
              </w:r>
            </w:hyperlink>
          </w:p>
        </w:tc>
      </w:tr>
    </w:tbl>
    <w:p>
      <w:pPr>
        <w:pStyle w:val="TextBody"/>
        <w:bidi w:val="0"/>
        <w:spacing w:before="0" w:after="0"/>
        <w:jc w:val="center"/>
        <w:rPr>
          <w:caps w:val="false"/>
          <w:smallCaps w:val="false"/>
        </w:rPr>
      </w:pPr>
      <w:r>
        <w:rPr>
          <w:caps w:val="false"/>
          <w:smallCaps w:val="false"/>
        </w:rPr>
        <w:drawing>
          <wp:inline distT="0" distB="0" distL="0" distR="0">
            <wp:extent cx="7620000" cy="40233600"/>
            <wp:effectExtent l="0" t="0" r="0" b="0"/>
            <wp:docPr id="381"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360" descr=""/>
                    <pic:cNvPicPr>
                      <a:picLocks noChangeAspect="1" noChangeArrowheads="1"/>
                    </pic:cNvPicPr>
                  </pic:nvPicPr>
                  <pic:blipFill>
                    <a:blip r:embed="rId372"/>
                    <a:stretch>
                      <a:fillRect/>
                    </a:stretch>
                  </pic:blipFill>
                  <pic:spPr bwMode="auto">
                    <a:xfrm>
                      <a:off x="0" y="0"/>
                      <a:ext cx="7620000" cy="40233600"/>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image" Target="media/image8.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8.jpeg"/><Relationship Id="rId25" Type="http://schemas.openxmlformats.org/officeDocument/2006/relationships/image" Target="media/image13.jpeg"/><Relationship Id="rId26" Type="http://schemas.openxmlformats.org/officeDocument/2006/relationships/image" Target="media/image13.jpeg"/><Relationship Id="rId27" Type="http://schemas.openxmlformats.org/officeDocument/2006/relationships/image" Target="media/image8.jpeg"/><Relationship Id="rId28" Type="http://schemas.openxmlformats.org/officeDocument/2006/relationships/image" Target="media/image13.jpeg"/><Relationship Id="rId29" Type="http://schemas.openxmlformats.org/officeDocument/2006/relationships/image" Target="media/image13.jpeg"/><Relationship Id="rId30" Type="http://schemas.openxmlformats.org/officeDocument/2006/relationships/image" Target="media/image13.jpeg"/><Relationship Id="rId31" Type="http://schemas.openxmlformats.org/officeDocument/2006/relationships/image" Target="media/image8.jpeg"/><Relationship Id="rId32" Type="http://schemas.openxmlformats.org/officeDocument/2006/relationships/image" Target="media/image14.jpeg"/><Relationship Id="rId33" Type="http://schemas.openxmlformats.org/officeDocument/2006/relationships/image" Target="media/image15.jpeg"/><Relationship Id="rId34" Type="http://schemas.openxmlformats.org/officeDocument/2006/relationships/image" Target="media/image16.jpeg"/><Relationship Id="rId35" Type="http://schemas.openxmlformats.org/officeDocument/2006/relationships/image" Target="media/image17.jpeg"/><Relationship Id="rId36" Type="http://schemas.openxmlformats.org/officeDocument/2006/relationships/image" Target="media/image18.jpeg"/><Relationship Id="rId37" Type="http://schemas.openxmlformats.org/officeDocument/2006/relationships/image" Target="media/image18.jpeg"/><Relationship Id="rId38" Type="http://schemas.openxmlformats.org/officeDocument/2006/relationships/image" Target="media/image19.jpeg"/><Relationship Id="rId39" Type="http://schemas.openxmlformats.org/officeDocument/2006/relationships/image" Target="media/image19.jpeg"/><Relationship Id="rId40" Type="http://schemas.openxmlformats.org/officeDocument/2006/relationships/image" Target="media/image20.jpeg"/><Relationship Id="rId41" Type="http://schemas.openxmlformats.org/officeDocument/2006/relationships/image" Target="media/image20.jpeg"/><Relationship Id="rId42" Type="http://schemas.openxmlformats.org/officeDocument/2006/relationships/image" Target="media/image21.jpeg"/><Relationship Id="rId43" Type="http://schemas.openxmlformats.org/officeDocument/2006/relationships/image" Target="media/image21.jpeg"/><Relationship Id="rId44" Type="http://schemas.openxmlformats.org/officeDocument/2006/relationships/image" Target="media/image17.jpeg"/><Relationship Id="rId45" Type="http://schemas.openxmlformats.org/officeDocument/2006/relationships/image" Target="media/image17.jpeg"/><Relationship Id="rId46" Type="http://schemas.openxmlformats.org/officeDocument/2006/relationships/image" Target="media/image17.jpeg"/><Relationship Id="rId47" Type="http://schemas.openxmlformats.org/officeDocument/2006/relationships/image" Target="media/image17.jpeg"/><Relationship Id="rId48" Type="http://schemas.openxmlformats.org/officeDocument/2006/relationships/image" Target="media/image8.jpeg"/><Relationship Id="rId49" Type="http://schemas.openxmlformats.org/officeDocument/2006/relationships/image" Target="media/image22.jpeg"/><Relationship Id="rId50" Type="http://schemas.openxmlformats.org/officeDocument/2006/relationships/image" Target="media/image8.jpeg"/><Relationship Id="rId51" Type="http://schemas.openxmlformats.org/officeDocument/2006/relationships/image" Target="media/image23.jpeg"/><Relationship Id="rId52" Type="http://schemas.openxmlformats.org/officeDocument/2006/relationships/image" Target="media/image23.jpeg"/><Relationship Id="rId53" Type="http://schemas.openxmlformats.org/officeDocument/2006/relationships/image" Target="media/image24.jpeg"/><Relationship Id="rId54" Type="http://schemas.openxmlformats.org/officeDocument/2006/relationships/image" Target="media/image23.jpeg"/><Relationship Id="rId55" Type="http://schemas.openxmlformats.org/officeDocument/2006/relationships/image" Target="media/image23.jpeg"/><Relationship Id="rId56" Type="http://schemas.openxmlformats.org/officeDocument/2006/relationships/image" Target="media/image23.jpeg"/><Relationship Id="rId57" Type="http://schemas.openxmlformats.org/officeDocument/2006/relationships/image" Target="media/image23.jpeg"/><Relationship Id="rId58" Type="http://schemas.openxmlformats.org/officeDocument/2006/relationships/image" Target="media/image23.jpeg"/><Relationship Id="rId59" Type="http://schemas.openxmlformats.org/officeDocument/2006/relationships/image" Target="media/image23.jpeg"/><Relationship Id="rId60" Type="http://schemas.openxmlformats.org/officeDocument/2006/relationships/image" Target="media/image23.jpeg"/><Relationship Id="rId61" Type="http://schemas.openxmlformats.org/officeDocument/2006/relationships/image" Target="media/image23.jpeg"/><Relationship Id="rId62" Type="http://schemas.openxmlformats.org/officeDocument/2006/relationships/image" Target="media/image23.jpeg"/><Relationship Id="rId63" Type="http://schemas.openxmlformats.org/officeDocument/2006/relationships/image" Target="media/image8.jpeg"/><Relationship Id="rId64" Type="http://schemas.openxmlformats.org/officeDocument/2006/relationships/image" Target="media/image25.jpeg"/><Relationship Id="rId65" Type="http://schemas.openxmlformats.org/officeDocument/2006/relationships/image" Target="media/image8.jpeg"/><Relationship Id="rId66" Type="http://schemas.openxmlformats.org/officeDocument/2006/relationships/image" Target="media/image26.jpeg"/><Relationship Id="rId67" Type="http://schemas.openxmlformats.org/officeDocument/2006/relationships/image" Target="media/image8.jpeg"/><Relationship Id="rId68" Type="http://schemas.openxmlformats.org/officeDocument/2006/relationships/image" Target="media/image27.jpeg"/><Relationship Id="rId69" Type="http://schemas.openxmlformats.org/officeDocument/2006/relationships/image" Target="media/image28.jpeg"/><Relationship Id="rId70" Type="http://schemas.openxmlformats.org/officeDocument/2006/relationships/image" Target="media/image29.jpeg"/><Relationship Id="rId71" Type="http://schemas.openxmlformats.org/officeDocument/2006/relationships/image" Target="media/image30.jpeg"/><Relationship Id="rId72" Type="http://schemas.openxmlformats.org/officeDocument/2006/relationships/image" Target="media/image31.jpeg"/><Relationship Id="rId73" Type="http://schemas.openxmlformats.org/officeDocument/2006/relationships/image" Target="media/image28.jpeg"/><Relationship Id="rId74" Type="http://schemas.openxmlformats.org/officeDocument/2006/relationships/image" Target="media/image29.jpeg"/><Relationship Id="rId75" Type="http://schemas.openxmlformats.org/officeDocument/2006/relationships/image" Target="media/image30.jpeg"/><Relationship Id="rId76" Type="http://schemas.openxmlformats.org/officeDocument/2006/relationships/image" Target="media/image31.jpeg"/><Relationship Id="rId77" Type="http://schemas.openxmlformats.org/officeDocument/2006/relationships/image" Target="media/image32.jpeg"/><Relationship Id="rId78" Type="http://schemas.openxmlformats.org/officeDocument/2006/relationships/image" Target="media/image33.jpeg"/><Relationship Id="rId79" Type="http://schemas.openxmlformats.org/officeDocument/2006/relationships/image" Target="media/image34.jpeg"/><Relationship Id="rId80" Type="http://schemas.openxmlformats.org/officeDocument/2006/relationships/image" Target="media/image32.jpeg"/><Relationship Id="rId81" Type="http://schemas.openxmlformats.org/officeDocument/2006/relationships/image" Target="media/image33.jpeg"/><Relationship Id="rId82" Type="http://schemas.openxmlformats.org/officeDocument/2006/relationships/image" Target="media/image34.jpeg"/><Relationship Id="rId83" Type="http://schemas.openxmlformats.org/officeDocument/2006/relationships/image" Target="media/image8.jpeg"/><Relationship Id="rId84" Type="http://schemas.openxmlformats.org/officeDocument/2006/relationships/image" Target="media/image35.jpeg"/><Relationship Id="rId85" Type="http://schemas.openxmlformats.org/officeDocument/2006/relationships/image" Target="media/image36.jpeg"/><Relationship Id="rId86" Type="http://schemas.openxmlformats.org/officeDocument/2006/relationships/image" Target="media/image37.jpeg"/><Relationship Id="rId87" Type="http://schemas.openxmlformats.org/officeDocument/2006/relationships/image" Target="media/image38.jpeg"/><Relationship Id="rId88" Type="http://schemas.openxmlformats.org/officeDocument/2006/relationships/image" Target="media/image39.jpeg"/><Relationship Id="rId89" Type="http://schemas.openxmlformats.org/officeDocument/2006/relationships/image" Target="media/image8.jpeg"/><Relationship Id="rId90" Type="http://schemas.openxmlformats.org/officeDocument/2006/relationships/image" Target="media/image40.jpeg"/><Relationship Id="rId91" Type="http://schemas.openxmlformats.org/officeDocument/2006/relationships/image" Target="media/image36.jpeg"/><Relationship Id="rId92" Type="http://schemas.openxmlformats.org/officeDocument/2006/relationships/image" Target="media/image37.jpeg"/><Relationship Id="rId93" Type="http://schemas.openxmlformats.org/officeDocument/2006/relationships/image" Target="media/image38.jpeg"/><Relationship Id="rId94" Type="http://schemas.openxmlformats.org/officeDocument/2006/relationships/image" Target="media/image39.jpeg"/><Relationship Id="rId95" Type="http://schemas.openxmlformats.org/officeDocument/2006/relationships/image" Target="media/image8.jpeg"/><Relationship Id="rId96" Type="http://schemas.openxmlformats.org/officeDocument/2006/relationships/image" Target="media/image41.jpeg"/><Relationship Id="rId97" Type="http://schemas.openxmlformats.org/officeDocument/2006/relationships/image" Target="media/image36.jpeg"/><Relationship Id="rId98" Type="http://schemas.openxmlformats.org/officeDocument/2006/relationships/image" Target="media/image37.jpeg"/><Relationship Id="rId99" Type="http://schemas.openxmlformats.org/officeDocument/2006/relationships/image" Target="media/image38.jpeg"/><Relationship Id="rId100" Type="http://schemas.openxmlformats.org/officeDocument/2006/relationships/image" Target="media/image39.jpeg"/><Relationship Id="rId101" Type="http://schemas.openxmlformats.org/officeDocument/2006/relationships/image" Target="media/image42.jpeg"/><Relationship Id="rId102" Type="http://schemas.openxmlformats.org/officeDocument/2006/relationships/image" Target="media/image43.jpeg"/><Relationship Id="rId103" Type="http://schemas.openxmlformats.org/officeDocument/2006/relationships/image" Target="media/image44.jpeg"/><Relationship Id="rId104" Type="http://schemas.openxmlformats.org/officeDocument/2006/relationships/image" Target="media/image8.jpeg"/><Relationship Id="rId105" Type="http://schemas.openxmlformats.org/officeDocument/2006/relationships/image" Target="media/image45.jpeg"/><Relationship Id="rId106" Type="http://schemas.openxmlformats.org/officeDocument/2006/relationships/image" Target="media/image36.jpeg"/><Relationship Id="rId107" Type="http://schemas.openxmlformats.org/officeDocument/2006/relationships/image" Target="media/image37.jpeg"/><Relationship Id="rId108" Type="http://schemas.openxmlformats.org/officeDocument/2006/relationships/image" Target="media/image38.jpeg"/><Relationship Id="rId109" Type="http://schemas.openxmlformats.org/officeDocument/2006/relationships/image" Target="media/image39.jpeg"/><Relationship Id="rId110" Type="http://schemas.openxmlformats.org/officeDocument/2006/relationships/image" Target="media/image42.jpeg"/><Relationship Id="rId111" Type="http://schemas.openxmlformats.org/officeDocument/2006/relationships/image" Target="media/image8.jpeg"/><Relationship Id="rId112" Type="http://schemas.openxmlformats.org/officeDocument/2006/relationships/image" Target="media/image46.jpeg"/><Relationship Id="rId113" Type="http://schemas.openxmlformats.org/officeDocument/2006/relationships/image" Target="media/image36.jpeg"/><Relationship Id="rId114" Type="http://schemas.openxmlformats.org/officeDocument/2006/relationships/image" Target="media/image37.jpeg"/><Relationship Id="rId115" Type="http://schemas.openxmlformats.org/officeDocument/2006/relationships/image" Target="media/image38.jpeg"/><Relationship Id="rId116" Type="http://schemas.openxmlformats.org/officeDocument/2006/relationships/image" Target="media/image39.jpeg"/><Relationship Id="rId117" Type="http://schemas.openxmlformats.org/officeDocument/2006/relationships/image" Target="media/image8.jpeg"/><Relationship Id="rId118" Type="http://schemas.openxmlformats.org/officeDocument/2006/relationships/image" Target="media/image47.jpeg"/><Relationship Id="rId119" Type="http://schemas.openxmlformats.org/officeDocument/2006/relationships/image" Target="media/image36.jpeg"/><Relationship Id="rId120" Type="http://schemas.openxmlformats.org/officeDocument/2006/relationships/image" Target="media/image37.jpeg"/><Relationship Id="rId121" Type="http://schemas.openxmlformats.org/officeDocument/2006/relationships/image" Target="media/image38.jpeg"/><Relationship Id="rId122" Type="http://schemas.openxmlformats.org/officeDocument/2006/relationships/image" Target="media/image39.jpeg"/><Relationship Id="rId123" Type="http://schemas.openxmlformats.org/officeDocument/2006/relationships/image" Target="media/image42.jpeg"/><Relationship Id="rId124" Type="http://schemas.openxmlformats.org/officeDocument/2006/relationships/image" Target="media/image43.jpeg"/><Relationship Id="rId125" Type="http://schemas.openxmlformats.org/officeDocument/2006/relationships/image" Target="media/image8.jpeg"/><Relationship Id="rId126" Type="http://schemas.openxmlformats.org/officeDocument/2006/relationships/image" Target="media/image48.jpeg"/><Relationship Id="rId127" Type="http://schemas.openxmlformats.org/officeDocument/2006/relationships/image" Target="media/image36.jpeg"/><Relationship Id="rId128" Type="http://schemas.openxmlformats.org/officeDocument/2006/relationships/image" Target="media/image37.jpeg"/><Relationship Id="rId129" Type="http://schemas.openxmlformats.org/officeDocument/2006/relationships/image" Target="media/image38.jpeg"/><Relationship Id="rId130" Type="http://schemas.openxmlformats.org/officeDocument/2006/relationships/image" Target="media/image39.jpeg"/><Relationship Id="rId131" Type="http://schemas.openxmlformats.org/officeDocument/2006/relationships/image" Target="media/image42.jpeg"/><Relationship Id="rId132" Type="http://schemas.openxmlformats.org/officeDocument/2006/relationships/image" Target="media/image43.jpeg"/><Relationship Id="rId133" Type="http://schemas.openxmlformats.org/officeDocument/2006/relationships/image" Target="media/image44.jpeg"/><Relationship Id="rId134" Type="http://schemas.openxmlformats.org/officeDocument/2006/relationships/image" Target="media/image8.jpeg"/><Relationship Id="rId135" Type="http://schemas.openxmlformats.org/officeDocument/2006/relationships/image" Target="media/image49.jpeg"/><Relationship Id="rId136" Type="http://schemas.openxmlformats.org/officeDocument/2006/relationships/image" Target="media/image36.jpeg"/><Relationship Id="rId137" Type="http://schemas.openxmlformats.org/officeDocument/2006/relationships/image" Target="media/image37.jpeg"/><Relationship Id="rId138" Type="http://schemas.openxmlformats.org/officeDocument/2006/relationships/image" Target="media/image38.jpeg"/><Relationship Id="rId139" Type="http://schemas.openxmlformats.org/officeDocument/2006/relationships/image" Target="media/image39.jpeg"/><Relationship Id="rId140" Type="http://schemas.openxmlformats.org/officeDocument/2006/relationships/image" Target="media/image42.jpeg"/><Relationship Id="rId141" Type="http://schemas.openxmlformats.org/officeDocument/2006/relationships/image" Target="media/image43.jpeg"/><Relationship Id="rId142" Type="http://schemas.openxmlformats.org/officeDocument/2006/relationships/image" Target="media/image8.jpeg"/><Relationship Id="rId143" Type="http://schemas.openxmlformats.org/officeDocument/2006/relationships/image" Target="media/image50.jpeg"/><Relationship Id="rId144" Type="http://schemas.openxmlformats.org/officeDocument/2006/relationships/image" Target="media/image37.jpeg"/><Relationship Id="rId145" Type="http://schemas.openxmlformats.org/officeDocument/2006/relationships/image" Target="media/image38.jpeg"/><Relationship Id="rId146" Type="http://schemas.openxmlformats.org/officeDocument/2006/relationships/image" Target="media/image39.jpeg"/><Relationship Id="rId147" Type="http://schemas.openxmlformats.org/officeDocument/2006/relationships/image" Target="media/image8.jpeg"/><Relationship Id="rId148" Type="http://schemas.openxmlformats.org/officeDocument/2006/relationships/image" Target="media/image51.jpeg"/><Relationship Id="rId149" Type="http://schemas.openxmlformats.org/officeDocument/2006/relationships/image" Target="media/image36.jpeg"/><Relationship Id="rId150" Type="http://schemas.openxmlformats.org/officeDocument/2006/relationships/image" Target="media/image37.jpeg"/><Relationship Id="rId151" Type="http://schemas.openxmlformats.org/officeDocument/2006/relationships/image" Target="media/image38.jpeg"/><Relationship Id="rId152" Type="http://schemas.openxmlformats.org/officeDocument/2006/relationships/image" Target="media/image39.jpeg"/><Relationship Id="rId153" Type="http://schemas.openxmlformats.org/officeDocument/2006/relationships/image" Target="media/image42.jpeg"/><Relationship Id="rId154" Type="http://schemas.openxmlformats.org/officeDocument/2006/relationships/image" Target="media/image43.jpeg"/><Relationship Id="rId155" Type="http://schemas.openxmlformats.org/officeDocument/2006/relationships/image" Target="media/image44.jpeg"/><Relationship Id="rId156" Type="http://schemas.openxmlformats.org/officeDocument/2006/relationships/image" Target="media/image8.jpeg"/><Relationship Id="rId157" Type="http://schemas.openxmlformats.org/officeDocument/2006/relationships/image" Target="media/image52.jpeg"/><Relationship Id="rId158" Type="http://schemas.openxmlformats.org/officeDocument/2006/relationships/image" Target="media/image37.jpeg"/><Relationship Id="rId159" Type="http://schemas.openxmlformats.org/officeDocument/2006/relationships/image" Target="media/image53.jpeg"/><Relationship Id="rId160" Type="http://schemas.openxmlformats.org/officeDocument/2006/relationships/image" Target="media/image38.jpeg"/><Relationship Id="rId161" Type="http://schemas.openxmlformats.org/officeDocument/2006/relationships/image" Target="media/image42.jpeg"/><Relationship Id="rId162" Type="http://schemas.openxmlformats.org/officeDocument/2006/relationships/image" Target="media/image39.jpeg"/><Relationship Id="rId163" Type="http://schemas.openxmlformats.org/officeDocument/2006/relationships/image" Target="media/image8.jpeg"/><Relationship Id="rId164" Type="http://schemas.openxmlformats.org/officeDocument/2006/relationships/image" Target="media/image54.jpeg"/><Relationship Id="rId165" Type="http://schemas.openxmlformats.org/officeDocument/2006/relationships/image" Target="media/image36.jpeg"/><Relationship Id="rId166" Type="http://schemas.openxmlformats.org/officeDocument/2006/relationships/image" Target="media/image37.jpeg"/><Relationship Id="rId167" Type="http://schemas.openxmlformats.org/officeDocument/2006/relationships/image" Target="media/image42.jpeg"/><Relationship Id="rId168" Type="http://schemas.openxmlformats.org/officeDocument/2006/relationships/image" Target="media/image43.jpeg"/><Relationship Id="rId169" Type="http://schemas.openxmlformats.org/officeDocument/2006/relationships/image" Target="media/image44.jpeg"/><Relationship Id="rId170" Type="http://schemas.openxmlformats.org/officeDocument/2006/relationships/image" Target="media/image8.jpeg"/><Relationship Id="rId171" Type="http://schemas.openxmlformats.org/officeDocument/2006/relationships/image" Target="media/image55.jpeg"/><Relationship Id="rId172" Type="http://schemas.openxmlformats.org/officeDocument/2006/relationships/image" Target="media/image36.jpeg"/><Relationship Id="rId173" Type="http://schemas.openxmlformats.org/officeDocument/2006/relationships/image" Target="media/image37.jpeg"/><Relationship Id="rId174" Type="http://schemas.openxmlformats.org/officeDocument/2006/relationships/image" Target="media/image38.jpeg"/><Relationship Id="rId175" Type="http://schemas.openxmlformats.org/officeDocument/2006/relationships/image" Target="media/image42.jpeg"/><Relationship Id="rId176" Type="http://schemas.openxmlformats.org/officeDocument/2006/relationships/image" Target="media/image43.jpeg"/><Relationship Id="rId177" Type="http://schemas.openxmlformats.org/officeDocument/2006/relationships/image" Target="media/image53.jpeg"/><Relationship Id="rId178" Type="http://schemas.openxmlformats.org/officeDocument/2006/relationships/image" Target="media/image8.jpeg"/><Relationship Id="rId179" Type="http://schemas.openxmlformats.org/officeDocument/2006/relationships/image" Target="media/image8.jpeg"/><Relationship Id="rId180" Type="http://schemas.openxmlformats.org/officeDocument/2006/relationships/image" Target="media/image8.jpeg"/><Relationship Id="rId181" Type="http://schemas.openxmlformats.org/officeDocument/2006/relationships/image" Target="media/image8.jpeg"/><Relationship Id="rId182" Type="http://schemas.openxmlformats.org/officeDocument/2006/relationships/image" Target="media/image8.jpeg"/><Relationship Id="rId183" Type="http://schemas.openxmlformats.org/officeDocument/2006/relationships/image" Target="media/image8.jpeg"/><Relationship Id="rId184" Type="http://schemas.openxmlformats.org/officeDocument/2006/relationships/image" Target="media/image8.jpeg"/><Relationship Id="rId185" Type="http://schemas.openxmlformats.org/officeDocument/2006/relationships/image" Target="media/image8.jpeg"/><Relationship Id="rId186" Type="http://schemas.openxmlformats.org/officeDocument/2006/relationships/image" Target="media/image56.jpeg"/><Relationship Id="rId187" Type="http://schemas.openxmlformats.org/officeDocument/2006/relationships/image" Target="media/image8.jpeg"/><Relationship Id="rId188" Type="http://schemas.openxmlformats.org/officeDocument/2006/relationships/image" Target="media/image57.jpeg"/><Relationship Id="rId189" Type="http://schemas.openxmlformats.org/officeDocument/2006/relationships/image" Target="media/image58.jpeg"/><Relationship Id="rId190" Type="http://schemas.openxmlformats.org/officeDocument/2006/relationships/image" Target="media/image57.jpeg"/><Relationship Id="rId191" Type="http://schemas.openxmlformats.org/officeDocument/2006/relationships/image" Target="media/image58.jpeg"/><Relationship Id="rId192" Type="http://schemas.openxmlformats.org/officeDocument/2006/relationships/image" Target="media/image58.jpeg"/><Relationship Id="rId193" Type="http://schemas.openxmlformats.org/officeDocument/2006/relationships/image" Target="media/image57.jpeg"/><Relationship Id="rId194" Type="http://schemas.openxmlformats.org/officeDocument/2006/relationships/image" Target="media/image58.jpeg"/><Relationship Id="rId195" Type="http://schemas.openxmlformats.org/officeDocument/2006/relationships/image" Target="media/image57.jpeg"/><Relationship Id="rId196" Type="http://schemas.openxmlformats.org/officeDocument/2006/relationships/image" Target="media/image58.jpeg"/><Relationship Id="rId197" Type="http://schemas.openxmlformats.org/officeDocument/2006/relationships/image" Target="media/image57.jpeg"/><Relationship Id="rId198" Type="http://schemas.openxmlformats.org/officeDocument/2006/relationships/image" Target="media/image58.jpeg"/><Relationship Id="rId199" Type="http://schemas.openxmlformats.org/officeDocument/2006/relationships/image" Target="media/image59.jpeg"/><Relationship Id="rId200" Type="http://schemas.openxmlformats.org/officeDocument/2006/relationships/image" Target="media/image8.jpeg"/><Relationship Id="rId201" Type="http://schemas.openxmlformats.org/officeDocument/2006/relationships/image" Target="media/image8.jpeg"/><Relationship Id="rId202" Type="http://schemas.openxmlformats.org/officeDocument/2006/relationships/image" Target="media/image60.jpeg"/><Relationship Id="rId203" Type="http://schemas.openxmlformats.org/officeDocument/2006/relationships/image" Target="media/image8.jpeg"/><Relationship Id="rId204" Type="http://schemas.openxmlformats.org/officeDocument/2006/relationships/image" Target="media/image61.jpeg"/><Relationship Id="rId205" Type="http://schemas.openxmlformats.org/officeDocument/2006/relationships/image" Target="media/image8.jpeg"/><Relationship Id="rId206" Type="http://schemas.openxmlformats.org/officeDocument/2006/relationships/image" Target="media/image62.jpeg"/><Relationship Id="rId207" Type="http://schemas.openxmlformats.org/officeDocument/2006/relationships/image" Target="media/image8.jpeg"/><Relationship Id="rId208" Type="http://schemas.openxmlformats.org/officeDocument/2006/relationships/image" Target="media/image8.jpeg"/><Relationship Id="rId209" Type="http://schemas.openxmlformats.org/officeDocument/2006/relationships/image" Target="media/image8.jpeg"/><Relationship Id="rId210" Type="http://schemas.openxmlformats.org/officeDocument/2006/relationships/image" Target="media/image8.jpeg"/><Relationship Id="rId211" Type="http://schemas.openxmlformats.org/officeDocument/2006/relationships/image" Target="media/image63.jpeg"/><Relationship Id="rId212" Type="http://schemas.openxmlformats.org/officeDocument/2006/relationships/image" Target="media/image8.jpeg"/><Relationship Id="rId213" Type="http://schemas.openxmlformats.org/officeDocument/2006/relationships/image" Target="media/image64.jpeg"/><Relationship Id="rId214" Type="http://schemas.openxmlformats.org/officeDocument/2006/relationships/image" Target="media/image8.jpeg"/><Relationship Id="rId215" Type="http://schemas.openxmlformats.org/officeDocument/2006/relationships/image" Target="media/image65.jpeg"/><Relationship Id="rId216" Type="http://schemas.openxmlformats.org/officeDocument/2006/relationships/image" Target="media/image66.jpeg"/><Relationship Id="rId217" Type="http://schemas.openxmlformats.org/officeDocument/2006/relationships/image" Target="media/image67.jpeg"/><Relationship Id="rId218" Type="http://schemas.openxmlformats.org/officeDocument/2006/relationships/image" Target="media/image66.jpeg"/><Relationship Id="rId219" Type="http://schemas.openxmlformats.org/officeDocument/2006/relationships/image" Target="media/image67.jpeg"/><Relationship Id="rId220" Type="http://schemas.openxmlformats.org/officeDocument/2006/relationships/image" Target="media/image8.jpeg"/><Relationship Id="rId221" Type="http://schemas.openxmlformats.org/officeDocument/2006/relationships/image" Target="media/image68.jpeg"/><Relationship Id="rId222" Type="http://schemas.openxmlformats.org/officeDocument/2006/relationships/image" Target="media/image68.jpeg"/><Relationship Id="rId223" Type="http://schemas.openxmlformats.org/officeDocument/2006/relationships/image" Target="media/image68.jpeg"/><Relationship Id="rId224" Type="http://schemas.openxmlformats.org/officeDocument/2006/relationships/image" Target="media/image68.jpeg"/><Relationship Id="rId225" Type="http://schemas.openxmlformats.org/officeDocument/2006/relationships/image" Target="media/image68.jpeg"/><Relationship Id="rId226" Type="http://schemas.openxmlformats.org/officeDocument/2006/relationships/image" Target="media/image68.jpeg"/><Relationship Id="rId227" Type="http://schemas.openxmlformats.org/officeDocument/2006/relationships/image" Target="media/image68.jpeg"/><Relationship Id="rId228" Type="http://schemas.openxmlformats.org/officeDocument/2006/relationships/image" Target="media/image68.jpeg"/><Relationship Id="rId229" Type="http://schemas.openxmlformats.org/officeDocument/2006/relationships/image" Target="media/image68.jpeg"/><Relationship Id="rId230" Type="http://schemas.openxmlformats.org/officeDocument/2006/relationships/image" Target="media/image68.jpeg"/><Relationship Id="rId231" Type="http://schemas.openxmlformats.org/officeDocument/2006/relationships/image" Target="media/image68.jpeg"/><Relationship Id="rId232" Type="http://schemas.openxmlformats.org/officeDocument/2006/relationships/image" Target="media/image8.jpeg"/><Relationship Id="rId233" Type="http://schemas.openxmlformats.org/officeDocument/2006/relationships/image" Target="media/image69.jpeg"/><Relationship Id="rId234" Type="http://schemas.openxmlformats.org/officeDocument/2006/relationships/image" Target="media/image8.jpeg"/><Relationship Id="rId235" Type="http://schemas.openxmlformats.org/officeDocument/2006/relationships/image" Target="media/image8.jpeg"/><Relationship Id="rId236" Type="http://schemas.openxmlformats.org/officeDocument/2006/relationships/image" Target="media/image70.jpeg"/><Relationship Id="rId237" Type="http://schemas.openxmlformats.org/officeDocument/2006/relationships/image" Target="media/image8.jpeg"/><Relationship Id="rId238" Type="http://schemas.openxmlformats.org/officeDocument/2006/relationships/image" Target="media/image71.jpeg"/><Relationship Id="rId239" Type="http://schemas.openxmlformats.org/officeDocument/2006/relationships/image" Target="media/image72.jpeg"/><Relationship Id="rId240" Type="http://schemas.openxmlformats.org/officeDocument/2006/relationships/image" Target="media/image73.jpeg"/><Relationship Id="rId241" Type="http://schemas.openxmlformats.org/officeDocument/2006/relationships/image" Target="media/image8.jpeg"/><Relationship Id="rId242" Type="http://schemas.openxmlformats.org/officeDocument/2006/relationships/image" Target="media/image74.jpeg"/><Relationship Id="rId243" Type="http://schemas.openxmlformats.org/officeDocument/2006/relationships/image" Target="media/image75.jpeg"/><Relationship Id="rId244" Type="http://schemas.openxmlformats.org/officeDocument/2006/relationships/image" Target="media/image76.jpeg"/><Relationship Id="rId245" Type="http://schemas.openxmlformats.org/officeDocument/2006/relationships/image" Target="media/image8.jpeg"/><Relationship Id="rId246" Type="http://schemas.openxmlformats.org/officeDocument/2006/relationships/image" Target="media/image77.jpeg"/><Relationship Id="rId247" Type="http://schemas.openxmlformats.org/officeDocument/2006/relationships/image" Target="media/image78.jpeg"/><Relationship Id="rId248" Type="http://schemas.openxmlformats.org/officeDocument/2006/relationships/image" Target="media/image8.jpeg"/><Relationship Id="rId249" Type="http://schemas.openxmlformats.org/officeDocument/2006/relationships/image" Target="media/image79.jpeg"/><Relationship Id="rId250" Type="http://schemas.openxmlformats.org/officeDocument/2006/relationships/image" Target="media/image8.jpeg"/><Relationship Id="rId251" Type="http://schemas.openxmlformats.org/officeDocument/2006/relationships/image" Target="media/image8.jpeg"/><Relationship Id="rId252" Type="http://schemas.openxmlformats.org/officeDocument/2006/relationships/image" Target="media/image8.jpeg"/><Relationship Id="rId253" Type="http://schemas.openxmlformats.org/officeDocument/2006/relationships/image" Target="media/image8.jpeg"/><Relationship Id="rId254" Type="http://schemas.openxmlformats.org/officeDocument/2006/relationships/image" Target="media/image8.jpeg"/><Relationship Id="rId255" Type="http://schemas.openxmlformats.org/officeDocument/2006/relationships/image" Target="media/image8.jpeg"/><Relationship Id="rId256" Type="http://schemas.openxmlformats.org/officeDocument/2006/relationships/image" Target="media/image8.jpeg"/><Relationship Id="rId257" Type="http://schemas.openxmlformats.org/officeDocument/2006/relationships/image" Target="media/image8.jpeg"/><Relationship Id="rId258" Type="http://schemas.openxmlformats.org/officeDocument/2006/relationships/image" Target="media/image8.jpeg"/><Relationship Id="rId259" Type="http://schemas.openxmlformats.org/officeDocument/2006/relationships/image" Target="media/image8.jpeg"/><Relationship Id="rId260" Type="http://schemas.openxmlformats.org/officeDocument/2006/relationships/image" Target="media/image80.jpeg"/><Relationship Id="rId261" Type="http://schemas.openxmlformats.org/officeDocument/2006/relationships/image" Target="media/image8.jpeg"/><Relationship Id="rId262" Type="http://schemas.openxmlformats.org/officeDocument/2006/relationships/image" Target="media/image81.jpeg"/><Relationship Id="rId263" Type="http://schemas.openxmlformats.org/officeDocument/2006/relationships/image" Target="media/image82.jpeg"/><Relationship Id="rId264" Type="http://schemas.openxmlformats.org/officeDocument/2006/relationships/image" Target="media/image83.jpeg"/><Relationship Id="rId265" Type="http://schemas.openxmlformats.org/officeDocument/2006/relationships/image" Target="media/image84.jpeg"/><Relationship Id="rId266" Type="http://schemas.openxmlformats.org/officeDocument/2006/relationships/image" Target="media/image85.jpeg"/><Relationship Id="rId267" Type="http://schemas.openxmlformats.org/officeDocument/2006/relationships/image" Target="media/image86.jpeg"/><Relationship Id="rId268" Type="http://schemas.openxmlformats.org/officeDocument/2006/relationships/image" Target="media/image87.jpeg"/><Relationship Id="rId269" Type="http://schemas.openxmlformats.org/officeDocument/2006/relationships/image" Target="media/image8.jpeg"/><Relationship Id="rId270" Type="http://schemas.openxmlformats.org/officeDocument/2006/relationships/image" Target="media/image88.jpeg"/><Relationship Id="rId271" Type="http://schemas.openxmlformats.org/officeDocument/2006/relationships/image" Target="media/image8.jpeg"/><Relationship Id="rId272" Type="http://schemas.openxmlformats.org/officeDocument/2006/relationships/image" Target="media/image89.jpeg"/><Relationship Id="rId273" Type="http://schemas.openxmlformats.org/officeDocument/2006/relationships/image" Target="media/image8.jpeg"/><Relationship Id="rId274" Type="http://schemas.openxmlformats.org/officeDocument/2006/relationships/image" Target="media/image8.jpeg"/><Relationship Id="rId275" Type="http://schemas.openxmlformats.org/officeDocument/2006/relationships/image" Target="media/image90.jpeg"/><Relationship Id="rId276" Type="http://schemas.openxmlformats.org/officeDocument/2006/relationships/image" Target="media/image8.jpeg"/><Relationship Id="rId277" Type="http://schemas.openxmlformats.org/officeDocument/2006/relationships/image" Target="media/image8.jpeg"/><Relationship Id="rId278" Type="http://schemas.openxmlformats.org/officeDocument/2006/relationships/image" Target="media/image91.jpeg"/><Relationship Id="rId279" Type="http://schemas.openxmlformats.org/officeDocument/2006/relationships/image" Target="media/image92.jpeg"/><Relationship Id="rId280" Type="http://schemas.openxmlformats.org/officeDocument/2006/relationships/image" Target="media/image93.jpeg"/><Relationship Id="rId281" Type="http://schemas.openxmlformats.org/officeDocument/2006/relationships/image" Target="media/image94.jpeg"/><Relationship Id="rId282" Type="http://schemas.openxmlformats.org/officeDocument/2006/relationships/image" Target="media/image8.jpeg"/><Relationship Id="rId283" Type="http://schemas.openxmlformats.org/officeDocument/2006/relationships/image" Target="media/image95.jpeg"/><Relationship Id="rId284" Type="http://schemas.openxmlformats.org/officeDocument/2006/relationships/image" Target="media/image95.jpeg"/><Relationship Id="rId285" Type="http://schemas.openxmlformats.org/officeDocument/2006/relationships/image" Target="media/image95.jpeg"/><Relationship Id="rId286" Type="http://schemas.openxmlformats.org/officeDocument/2006/relationships/image" Target="media/image95.jpeg"/><Relationship Id="rId287" Type="http://schemas.openxmlformats.org/officeDocument/2006/relationships/image" Target="media/image95.jpeg"/><Relationship Id="rId288" Type="http://schemas.openxmlformats.org/officeDocument/2006/relationships/image" Target="media/image95.jpeg"/><Relationship Id="rId289" Type="http://schemas.openxmlformats.org/officeDocument/2006/relationships/image" Target="media/image95.jpeg"/><Relationship Id="rId290" Type="http://schemas.openxmlformats.org/officeDocument/2006/relationships/image" Target="media/image95.jpeg"/><Relationship Id="rId291" Type="http://schemas.openxmlformats.org/officeDocument/2006/relationships/image" Target="media/image96.jpeg"/><Relationship Id="rId292" Type="http://schemas.openxmlformats.org/officeDocument/2006/relationships/image" Target="media/image96.jpeg"/><Relationship Id="rId293" Type="http://schemas.openxmlformats.org/officeDocument/2006/relationships/image" Target="media/image96.jpeg"/><Relationship Id="rId294" Type="http://schemas.openxmlformats.org/officeDocument/2006/relationships/image" Target="media/image96.jpeg"/><Relationship Id="rId295" Type="http://schemas.openxmlformats.org/officeDocument/2006/relationships/image" Target="media/image8.jpeg"/><Relationship Id="rId296" Type="http://schemas.openxmlformats.org/officeDocument/2006/relationships/image" Target="media/image8.jpeg"/><Relationship Id="rId297" Type="http://schemas.openxmlformats.org/officeDocument/2006/relationships/image" Target="media/image97.jpeg"/><Relationship Id="rId298" Type="http://schemas.openxmlformats.org/officeDocument/2006/relationships/image" Target="media/image98.jpeg"/><Relationship Id="rId299" Type="http://schemas.openxmlformats.org/officeDocument/2006/relationships/image" Target="media/image8.jpeg"/><Relationship Id="rId300" Type="http://schemas.openxmlformats.org/officeDocument/2006/relationships/image" Target="media/image99.jpeg"/><Relationship Id="rId301" Type="http://schemas.openxmlformats.org/officeDocument/2006/relationships/image" Target="media/image8.jpeg"/><Relationship Id="rId302" Type="http://schemas.openxmlformats.org/officeDocument/2006/relationships/image" Target="media/image8.jpeg"/><Relationship Id="rId303" Type="http://schemas.openxmlformats.org/officeDocument/2006/relationships/image" Target="media/image8.jpeg"/><Relationship Id="rId304" Type="http://schemas.openxmlformats.org/officeDocument/2006/relationships/image" Target="media/image100.jpeg"/><Relationship Id="rId305" Type="http://schemas.openxmlformats.org/officeDocument/2006/relationships/image" Target="media/image101.jpeg"/><Relationship Id="rId306" Type="http://schemas.openxmlformats.org/officeDocument/2006/relationships/image" Target="media/image102.jpeg"/><Relationship Id="rId307" Type="http://schemas.openxmlformats.org/officeDocument/2006/relationships/image" Target="media/image103.jpeg"/><Relationship Id="rId308" Type="http://schemas.openxmlformats.org/officeDocument/2006/relationships/image" Target="media/image8.jpeg"/><Relationship Id="rId309" Type="http://schemas.openxmlformats.org/officeDocument/2006/relationships/image" Target="media/image8.jpeg"/><Relationship Id="rId310" Type="http://schemas.openxmlformats.org/officeDocument/2006/relationships/image" Target="media/image8.jpeg"/><Relationship Id="rId311" Type="http://schemas.openxmlformats.org/officeDocument/2006/relationships/image" Target="media/image8.jpeg"/><Relationship Id="rId312" Type="http://schemas.openxmlformats.org/officeDocument/2006/relationships/image" Target="media/image8.jpeg"/><Relationship Id="rId313" Type="http://schemas.openxmlformats.org/officeDocument/2006/relationships/image" Target="media/image8.jpeg"/><Relationship Id="rId314" Type="http://schemas.openxmlformats.org/officeDocument/2006/relationships/image" Target="media/image104.jpeg"/><Relationship Id="rId315" Type="http://schemas.openxmlformats.org/officeDocument/2006/relationships/image" Target="media/image8.jpeg"/><Relationship Id="rId316" Type="http://schemas.openxmlformats.org/officeDocument/2006/relationships/image" Target="media/image8.jpeg"/><Relationship Id="rId317" Type="http://schemas.openxmlformats.org/officeDocument/2006/relationships/image" Target="media/image8.jpeg"/><Relationship Id="rId318" Type="http://schemas.openxmlformats.org/officeDocument/2006/relationships/image" Target="media/image8.jpeg"/><Relationship Id="rId319" Type="http://schemas.openxmlformats.org/officeDocument/2006/relationships/image" Target="media/image8.jpeg"/><Relationship Id="rId320" Type="http://schemas.openxmlformats.org/officeDocument/2006/relationships/image" Target="media/image8.jpeg"/><Relationship Id="rId321" Type="http://schemas.openxmlformats.org/officeDocument/2006/relationships/image" Target="media/image8.jpeg"/><Relationship Id="rId322" Type="http://schemas.openxmlformats.org/officeDocument/2006/relationships/image" Target="media/image8.jpeg"/><Relationship Id="rId323" Type="http://schemas.openxmlformats.org/officeDocument/2006/relationships/image" Target="media/image8.jpeg"/><Relationship Id="rId324" Type="http://schemas.openxmlformats.org/officeDocument/2006/relationships/image" Target="media/image8.jpeg"/><Relationship Id="rId325" Type="http://schemas.openxmlformats.org/officeDocument/2006/relationships/image" Target="media/image8.jpeg"/><Relationship Id="rId326" Type="http://schemas.openxmlformats.org/officeDocument/2006/relationships/image" Target="media/image8.jpeg"/><Relationship Id="rId327" Type="http://schemas.openxmlformats.org/officeDocument/2006/relationships/image" Target="media/image8.jpeg"/><Relationship Id="rId328" Type="http://schemas.openxmlformats.org/officeDocument/2006/relationships/image" Target="media/image8.jpeg"/><Relationship Id="rId329" Type="http://schemas.openxmlformats.org/officeDocument/2006/relationships/image" Target="media/image8.jpeg"/><Relationship Id="rId330" Type="http://schemas.openxmlformats.org/officeDocument/2006/relationships/image" Target="media/image8.jpeg"/><Relationship Id="rId331" Type="http://schemas.openxmlformats.org/officeDocument/2006/relationships/image" Target="media/image8.jpeg"/><Relationship Id="rId332" Type="http://schemas.openxmlformats.org/officeDocument/2006/relationships/image" Target="media/image8.jpeg"/><Relationship Id="rId333" Type="http://schemas.openxmlformats.org/officeDocument/2006/relationships/image" Target="media/image8.jpeg"/><Relationship Id="rId334" Type="http://schemas.openxmlformats.org/officeDocument/2006/relationships/image" Target="media/image8.jpeg"/><Relationship Id="rId335" Type="http://schemas.openxmlformats.org/officeDocument/2006/relationships/image" Target="media/image105.jpeg"/><Relationship Id="rId336" Type="http://schemas.openxmlformats.org/officeDocument/2006/relationships/image" Target="media/image8.jpeg"/><Relationship Id="rId337" Type="http://schemas.openxmlformats.org/officeDocument/2006/relationships/image" Target="media/image106.jpeg"/><Relationship Id="rId338" Type="http://schemas.openxmlformats.org/officeDocument/2006/relationships/image" Target="media/image107.jpeg"/><Relationship Id="rId339" Type="http://schemas.openxmlformats.org/officeDocument/2006/relationships/image" Target="media/image8.jpeg"/><Relationship Id="rId340" Type="http://schemas.openxmlformats.org/officeDocument/2006/relationships/image" Target="media/image8.jpeg"/><Relationship Id="rId341" Type="http://schemas.openxmlformats.org/officeDocument/2006/relationships/image" Target="media/image8.jpeg"/><Relationship Id="rId342" Type="http://schemas.openxmlformats.org/officeDocument/2006/relationships/image" Target="media/image8.jpeg"/><Relationship Id="rId343" Type="http://schemas.openxmlformats.org/officeDocument/2006/relationships/image" Target="media/image108.jpeg"/><Relationship Id="rId344" Type="http://schemas.openxmlformats.org/officeDocument/2006/relationships/image" Target="media/image8.jpeg"/><Relationship Id="rId345" Type="http://schemas.openxmlformats.org/officeDocument/2006/relationships/image" Target="media/image109.jpeg"/><Relationship Id="rId346" Type="http://schemas.openxmlformats.org/officeDocument/2006/relationships/image" Target="media/image8.jpeg"/><Relationship Id="rId347" Type="http://schemas.openxmlformats.org/officeDocument/2006/relationships/image" Target="media/image109.jpeg"/><Relationship Id="rId348" Type="http://schemas.openxmlformats.org/officeDocument/2006/relationships/image" Target="media/image8.jpeg"/><Relationship Id="rId349" Type="http://schemas.openxmlformats.org/officeDocument/2006/relationships/image" Target="media/image109.jpeg"/><Relationship Id="rId350" Type="http://schemas.openxmlformats.org/officeDocument/2006/relationships/image" Target="media/image8.jpeg"/><Relationship Id="rId351" Type="http://schemas.openxmlformats.org/officeDocument/2006/relationships/image" Target="media/image109.jpeg"/><Relationship Id="rId352" Type="http://schemas.openxmlformats.org/officeDocument/2006/relationships/image" Target="media/image8.jpeg"/><Relationship Id="rId353" Type="http://schemas.openxmlformats.org/officeDocument/2006/relationships/image" Target="media/image8.jpeg"/><Relationship Id="rId354" Type="http://schemas.openxmlformats.org/officeDocument/2006/relationships/image" Target="media/image8.jpeg"/><Relationship Id="rId355" Type="http://schemas.openxmlformats.org/officeDocument/2006/relationships/image" Target="media/image8.jpeg"/><Relationship Id="rId356" Type="http://schemas.openxmlformats.org/officeDocument/2006/relationships/image" Target="media/image109.jpeg"/><Relationship Id="rId357" Type="http://schemas.openxmlformats.org/officeDocument/2006/relationships/image" Target="media/image109.jpeg"/><Relationship Id="rId358" Type="http://schemas.openxmlformats.org/officeDocument/2006/relationships/image" Target="media/image109.jpeg"/><Relationship Id="rId359" Type="http://schemas.openxmlformats.org/officeDocument/2006/relationships/image" Target="media/image109.jpeg"/><Relationship Id="rId360" Type="http://schemas.openxmlformats.org/officeDocument/2006/relationships/image" Target="media/image109.jpeg"/><Relationship Id="rId361" Type="http://schemas.openxmlformats.org/officeDocument/2006/relationships/image" Target="media/image8.jpeg"/><Relationship Id="rId362" Type="http://schemas.openxmlformats.org/officeDocument/2006/relationships/image" Target="media/image8.jpeg"/><Relationship Id="rId363" Type="http://schemas.openxmlformats.org/officeDocument/2006/relationships/image" Target="media/image8.jpeg"/><Relationship Id="rId364" Type="http://schemas.openxmlformats.org/officeDocument/2006/relationships/image" Target="media/image8.jpeg"/><Relationship Id="rId365" Type="http://schemas.openxmlformats.org/officeDocument/2006/relationships/image" Target="media/image8.jpeg"/><Relationship Id="rId366" Type="http://schemas.openxmlformats.org/officeDocument/2006/relationships/image" Target="media/image8.jpeg"/><Relationship Id="rId367" Type="http://schemas.openxmlformats.org/officeDocument/2006/relationships/image" Target="media/image8.jpeg"/><Relationship Id="rId368" Type="http://schemas.openxmlformats.org/officeDocument/2006/relationships/image" Target="media/image8.jpeg"/><Relationship Id="rId369" Type="http://schemas.openxmlformats.org/officeDocument/2006/relationships/image" Target="media/image8.jpeg"/><Relationship Id="rId370" Type="http://schemas.openxmlformats.org/officeDocument/2006/relationships/image" Target="media/image110.jpeg"/><Relationship Id="rId371" Type="http://schemas.openxmlformats.org/officeDocument/2006/relationships/image" Target="media/image111.jpeg"/><Relationship Id="rId372" Type="http://schemas.openxmlformats.org/officeDocument/2006/relationships/image" Target="media/image112.jpeg"/><Relationship Id="rId373" Type="http://schemas.openxmlformats.org/officeDocument/2006/relationships/fontTable" Target="fontTable.xml"/><Relationship Id="rId37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58124</Words>
  <Characters>327786</Characters>
  <CharactersWithSpaces>388108</CharactersWithSpaces>
  <Paragraphs>10552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