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44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440" w:type="dxa"/>
            <w:vAlign w:val="bottom"/>
            <w:vMerge w:val="continue"/>
          </w:tcPr>
          <w:p>
            <w:pPr>
              <w:spacing w:after="0"/>
              <w:rPr>
                <w:sz w:val="5"/>
                <w:szCs w:val="5"/>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120"/>
              <w:spacing w:after="0" w:line="115"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13"/>
                <w:szCs w:val="13"/>
                <w:color w:val="auto"/>
              </w:rPr>
            </w:pPr>
          </w:p>
        </w:tc>
        <w:tc>
          <w:tcPr>
            <w:tcW w:w="50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6"/>
          </w:tcPr>
          <w:p>
            <w:pPr>
              <w:ind w:left="160"/>
              <w:spacing w:after="0"/>
              <w:rPr>
                <w:sz w:val="20"/>
                <w:szCs w:val="20"/>
                <w:color w:val="auto"/>
              </w:rPr>
            </w:pPr>
            <w:r>
              <w:rPr>
                <w:rFonts w:ascii="Arial" w:cs="Arial" w:eastAsia="Arial" w:hAnsi="Arial"/>
                <w:sz w:val="18"/>
                <w:szCs w:val="18"/>
                <w:color w:val="0000FF"/>
              </w:rPr>
              <w:t>09/10/2019</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3040" w:type="dxa"/>
            <w:vAlign w:val="bottom"/>
            <w:tcBorders>
              <w:bottom w:val="single" w:sz="8" w:color="2C2C2C"/>
            </w:tcBorders>
            <w:gridSpan w:val="5"/>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6"/>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6"/>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09/10/2019</w:t>
            </w: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172,904</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5"/>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281.1491</w:t>
            </w:r>
          </w:p>
        </w:tc>
        <w:tc>
          <w:tcPr>
            <w:tcW w:w="1240" w:type="dxa"/>
            <w:vAlign w:val="bottom"/>
            <w:tcBorders>
              <w:bottom w:val="single" w:sz="8" w:color="2C2C2C"/>
            </w:tcBorders>
            <w:gridSpan w:val="2"/>
          </w:tcPr>
          <w:p>
            <w:pPr>
              <w:jc w:val="right"/>
              <w:ind w:right="179"/>
              <w:spacing w:after="0"/>
              <w:rPr>
                <w:sz w:val="20"/>
                <w:szCs w:val="20"/>
                <w:color w:val="auto"/>
              </w:rPr>
            </w:pPr>
            <w:r>
              <w:rPr>
                <w:rFonts w:ascii="Arial" w:cs="Arial" w:eastAsia="Arial" w:hAnsi="Arial"/>
                <w:sz w:val="18"/>
                <w:szCs w:val="18"/>
                <w:color w:val="0000FF"/>
              </w:rPr>
              <w:t>20,550,813</w:t>
            </w:r>
          </w:p>
        </w:tc>
        <w:tc>
          <w:tcPr>
            <w:tcW w:w="940" w:type="dxa"/>
            <w:vAlign w:val="bottom"/>
            <w:tcBorders>
              <w:bottom w:val="single" w:sz="8" w:color="2C2C2C"/>
            </w:tcBorders>
            <w:gridSpan w:val="2"/>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2,799,552</w:t>
            </w:r>
          </w:p>
        </w:tc>
        <w:tc>
          <w:tcPr>
            <w:tcW w:w="940" w:type="dxa"/>
            <w:vAlign w:val="bottom"/>
            <w:gridSpan w:val="2"/>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(3)</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20" w:type="dxa"/>
            <w:vAlign w:val="bottom"/>
            <w:gridSpan w:val="16"/>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Private sale to the Issuer pursuant to the letter agreement entered into with the Issuer on January 7, 2018 and filed on January 9, 2018 by the Reporting Person as Exhibit 99.4 to Amendment No. 13 to Reporting Person's statement on Schedule 13D.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Directly owned by Aventisub LLC ("Aventisub"), formerly known as Aventis Pharmaceuticals Inc., an indirect, wholly-owned subsidiary of the Reporting Person.</w:t>
      </w:r>
    </w:p>
    <w:p>
      <w:pPr>
        <w:spacing w:after="0" w:line="41" w:lineRule="exact"/>
        <w:rPr>
          <w:rFonts w:ascii="Arial" w:cs="Arial" w:eastAsia="Arial" w:hAnsi="Arial"/>
          <w:sz w:val="14"/>
          <w:szCs w:val="14"/>
          <w:color w:val="008000"/>
        </w:rPr>
      </w:pPr>
    </w:p>
    <w:p>
      <w:pPr>
        <w:ind w:left="40" w:right="4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Amended and Restated Investor Agreement, dated as of January 11, 2014, by and among the Reporting Person, sanofi-aventis US LLC, Aventis, sanofi-aventis Amerique du Nord (collectively, the "Sanofi Parties") and the Issuer, the Sanofi Parties have agreed to vote their respective shares of the Issuer, subject to specified exceptions, in accordance with the recommendation of the Issuer's Board of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 (incorporated herein by reference to Exhibit 24 to Form 4 filed by the Reporting Person with the SEC on February 3, 2016, with respect to Alnylam Pharmaceuticals, Inc.).</w:t>
      </w:r>
    </w:p>
    <w:p>
      <w:pPr>
        <w:ind w:left="6860"/>
        <w:spacing w:after="0" w:line="193" w:lineRule="auto"/>
        <w:rPr>
          <w:sz w:val="20"/>
          <w:szCs w:val="20"/>
          <w:color w:val="auto"/>
        </w:rPr>
      </w:pPr>
      <w:r>
        <w:rPr>
          <w:rFonts w:ascii="Arial" w:cs="Arial" w:eastAsia="Arial" w:hAnsi="Arial"/>
          <w:sz w:val="18"/>
          <w:szCs w:val="18"/>
          <w:color w:val="0000FF"/>
        </w:rPr>
        <w:t xml:space="preserve">/s/ Alexandra Roger, Attorney- </w:t>
      </w:r>
      <w:r>
        <w:rPr>
          <w:rFonts w:ascii="Arial" w:cs="Arial" w:eastAsia="Arial" w:hAnsi="Arial"/>
          <w:sz w:val="35"/>
          <w:szCs w:val="35"/>
          <w:color w:val="0000FF"/>
          <w:vertAlign w:val="subscript"/>
        </w:rPr>
        <w:t>09/12/2019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2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2019-12-23T21:58:03Z</dcterms:created>
  <dcterms:modified xsi:type="dcterms:W3CDTF">2019-12-23T21:58:03Z</dcterms:modified>
</cp:coreProperties>
</file>