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-235585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3996690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7045960" cy="623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23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Landry Robert E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REGENERON PHARMACEUTICALS,</w:t>
              </w:r>
            </w:hyperlink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3840" w:type="dxa"/>
            <w:vAlign w:val="bottom"/>
            <w:gridSpan w:val="4"/>
            <w:vMerge w:val="restart"/>
          </w:tcPr>
          <w:p>
            <w:pPr>
              <w:ind w:left="60"/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3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3840" w:type="dxa"/>
            <w:vAlign w:val="bottom"/>
            <w:tcBorders>
              <w:top w:val="single" w:sz="8" w:color="2C2C2C"/>
            </w:tcBorders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3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3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Finance CFO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3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01/12/2024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6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left="320" w:right="58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01/12/2024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378.98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23,406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01/12/2024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568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928.18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22,838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270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40" w:type="dxa"/>
            <w:vAlign w:val="bottom"/>
            <w:gridSpan w:val="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3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378.98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01/12/2024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12/12/2027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14,687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stock option award vests in four equal annual installments, commencing one year after the date of grant.</w:t>
      </w:r>
    </w:p>
    <w:p>
      <w:pPr>
        <w:spacing w:after="0" w:line="5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/s/**Robert E. Landry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01/17/2024</w:t>
            </w: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516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2024-01-17T15:12:05Z</dcterms:created>
  <dcterms:modified xsi:type="dcterms:W3CDTF">2024-01-17T15:12:05Z</dcterms:modified>
</cp:coreProperties>
</file>