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195580</wp:posOffset>
            </wp:positionV>
            <wp:extent cx="631888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8885" cy="317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3"/>
          <w:szCs w:val="23"/>
          <w:b w:val="1"/>
          <w:bCs w:val="1"/>
          <w:color w:val="auto"/>
        </w:rPr>
        <w:t>UNITED STATES SECURITIES AND EXCHANGE COMMISSION</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(Mark One)</w:t>
      </w:r>
    </w:p>
    <w:p>
      <w:pPr>
        <w:spacing w:after="0" w:line="17" w:lineRule="exact"/>
        <w:rPr>
          <w:sz w:val="20"/>
          <w:szCs w:val="20"/>
          <w:color w:val="auto"/>
        </w:rPr>
      </w:pPr>
    </w:p>
    <w:p>
      <w:pPr>
        <w:ind w:left="1780" w:hanging="683"/>
        <w:spacing w:after="0"/>
        <w:tabs>
          <w:tab w:leader="none" w:pos="1780" w:val="left"/>
        </w:tabs>
        <w:numPr>
          <w:ilvl w:val="0"/>
          <w:numId w:val="1"/>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ANNUAL REPORT PURSUANT TO SECTION 13 OR 15(d) OF THE SECURITIES EXCHANGE</w:t>
      </w:r>
    </w:p>
    <w:p>
      <w:pPr>
        <w:spacing w:after="0" w:line="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b w:val="1"/>
          <w:bCs w:val="1"/>
          <w:color w:val="auto"/>
        </w:rPr>
        <w:t>ACT OF 1934</w:t>
      </w:r>
    </w:p>
    <w:p>
      <w:pPr>
        <w:ind w:left="178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2005</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 w:lineRule="exact"/>
        <w:rPr>
          <w:sz w:val="20"/>
          <w:szCs w:val="20"/>
          <w:color w:val="auto"/>
        </w:rPr>
      </w:pPr>
    </w:p>
    <w:p>
      <w:pPr>
        <w:ind w:left="1780" w:hanging="645"/>
        <w:spacing w:after="0"/>
        <w:tabs>
          <w:tab w:leader="none" w:pos="178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w:t>
      </w:r>
    </w:p>
    <w:p>
      <w:pPr>
        <w:ind w:left="1780"/>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ectPr>
          <w:pgSz w:w="11900" w:h="16838" w:orient="portrait"/>
          <w:cols w:equalWidth="0" w:num="1">
            <w:col w:w="10580"/>
          </w:cols>
          <w:pgMar w:left="240" w:top="120" w:right="1079" w:bottom="1440" w:gutter="0" w:footer="0" w:header="0"/>
        </w:sectPr>
      </w:pP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0"/>
          <w:szCs w:val="20"/>
          <w:color w:val="auto"/>
        </w:rPr>
      </w:pPr>
    </w:p>
    <w:p>
      <w:pPr>
        <w:sectPr>
          <w:pgSz w:w="11900" w:h="16838" w:orient="portrait"/>
          <w:cols w:equalWidth="0" w:num="2">
            <w:col w:w="3920" w:space="460"/>
            <w:col w:w="6200"/>
          </w:cols>
          <w:pgMar w:left="240" w:top="120" w:right="1079" w:bottom="1440" w:gutter="0" w:footer="0" w:header="0"/>
          <w:type w:val="continuous"/>
        </w:sect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Commission File Number 0-19034</w:t>
      </w:r>
    </w:p>
    <w:p>
      <w:pPr>
        <w:spacing w:after="0" w:line="4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ectPr>
          <w:pgSz w:w="11900" w:h="16838" w:orient="portrait"/>
          <w:cols w:equalWidth="0" w:num="1">
            <w:col w:w="10580"/>
          </w:cols>
          <w:pgMar w:left="240" w:top="120" w:right="1079" w:bottom="1440" w:gutter="0" w:footer="0" w:header="0"/>
          <w:type w:val="continuous"/>
        </w:sectPr>
      </w:pPr>
    </w:p>
    <w:p>
      <w:pPr>
        <w:spacing w:after="0" w:line="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New York</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13-3444607</w:t>
      </w:r>
    </w:p>
    <w:p>
      <w:pPr>
        <w:spacing w:after="0" w:line="23" w:lineRule="exact"/>
        <w:rPr>
          <w:sz w:val="20"/>
          <w:szCs w:val="20"/>
          <w:color w:val="auto"/>
        </w:rPr>
      </w:pPr>
    </w:p>
    <w:p>
      <w:pPr>
        <w:sectPr>
          <w:pgSz w:w="11900" w:h="16838" w:orient="portrait"/>
          <w:cols w:equalWidth="0" w:num="2">
            <w:col w:w="7120" w:space="720"/>
            <w:col w:w="2740"/>
          </w:cols>
          <w:pgMar w:left="240" w:top="120" w:right="1079" w:bottom="1440" w:gutter="0" w:footer="0" w:header="0"/>
          <w:type w:val="continuous"/>
        </w:sectPr>
      </w:pPr>
    </w:p>
    <w:p>
      <w:pPr>
        <w:ind w:left="2400"/>
        <w:spacing w:after="0"/>
        <w:rPr>
          <w:sz w:val="20"/>
          <w:szCs w:val="20"/>
          <w:color w:val="auto"/>
        </w:rPr>
      </w:pPr>
      <w:r>
        <w:rPr>
          <w:rFonts w:ascii="Times New Roman" w:cs="Times New Roman" w:eastAsia="Times New Roman" w:hAnsi="Times New Roman"/>
          <w:sz w:val="13"/>
          <w:szCs w:val="13"/>
          <w:i w:val="1"/>
          <w:iCs w:val="1"/>
          <w:color w:val="auto"/>
        </w:rPr>
        <w:t>(State or other jurisdiction of</w:t>
      </w:r>
    </w:p>
    <w:p>
      <w:pPr>
        <w:ind w:left="2360"/>
        <w:spacing w:after="0"/>
        <w:rPr>
          <w:sz w:val="20"/>
          <w:szCs w:val="20"/>
          <w:color w:val="auto"/>
        </w:rPr>
      </w:pPr>
      <w:r>
        <w:rPr>
          <w:rFonts w:ascii="Times New Roman" w:cs="Times New Roman" w:eastAsia="Times New Roman" w:hAnsi="Times New Roman"/>
          <w:sz w:val="13"/>
          <w:szCs w:val="13"/>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145" w:lineRule="exact"/>
        <w:rPr>
          <w:sz w:val="20"/>
          <w:szCs w:val="20"/>
          <w:color w:val="auto"/>
        </w:rPr>
      </w:pPr>
    </w:p>
    <w:p>
      <w:pPr>
        <w:sectPr>
          <w:pgSz w:w="11900" w:h="16838" w:orient="portrait"/>
          <w:cols w:equalWidth="0" w:num="2">
            <w:col w:w="6540" w:space="720"/>
            <w:col w:w="3320"/>
          </w:cols>
          <w:pgMar w:left="240" w:top="120" w:right="107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b w:val="1"/>
          <w:bCs w:val="1"/>
          <w:color w:val="auto"/>
        </w:rPr>
        <w:t>777 Old Saw Mill River Road, Tarrytown,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10591-6707</w:t>
      </w:r>
    </w:p>
    <w:p>
      <w:pPr>
        <w:spacing w:after="0" w:line="5" w:lineRule="exact"/>
        <w:rPr>
          <w:sz w:val="20"/>
          <w:szCs w:val="20"/>
          <w:color w:val="auto"/>
        </w:rPr>
      </w:pPr>
    </w:p>
    <w:p>
      <w:pPr>
        <w:sectPr>
          <w:pgSz w:w="11900" w:h="16838" w:orient="portrait"/>
          <w:cols w:equalWidth="0" w:num="2">
            <w:col w:w="7120" w:space="720"/>
            <w:col w:w="2740"/>
          </w:cols>
          <w:pgMar w:left="240" w:top="120" w:right="1079"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i w:val="1"/>
          <w:iCs w:val="1"/>
          <w:color w:val="auto"/>
        </w:rPr>
        <w:t>(Zip code)</w:t>
      </w:r>
    </w:p>
    <w:p>
      <w:pPr>
        <w:spacing w:after="0" w:line="39" w:lineRule="exact"/>
        <w:rPr>
          <w:sz w:val="20"/>
          <w:szCs w:val="20"/>
          <w:color w:val="auto"/>
        </w:rPr>
      </w:pPr>
    </w:p>
    <w:p>
      <w:pPr>
        <w:sectPr>
          <w:pgSz w:w="11900" w:h="16838" w:orient="portrait"/>
          <w:cols w:equalWidth="0" w:num="2">
            <w:col w:w="7200" w:space="720"/>
            <w:col w:w="2660"/>
          </w:cols>
          <w:pgMar w:left="240" w:top="120" w:right="1079" w:bottom="1440" w:gutter="0" w:footer="0" w:header="0"/>
          <w:type w:val="continuous"/>
        </w:sect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(914) 347-7000</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6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7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i w:val="1"/>
          <w:iCs w:val="1"/>
          <w:color w:val="auto"/>
        </w:rPr>
        <w:t>(Title of Class)</w:t>
      </w:r>
    </w:p>
    <w:p>
      <w:pPr>
        <w:spacing w:after="0" w:line="3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Common Stock — par value $.001 per share</w:t>
      </w:r>
    </w:p>
    <w:p>
      <w:pPr>
        <w:spacing w:after="0" w:line="1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i w:val="1"/>
          <w:iCs w:val="1"/>
          <w:color w:val="auto"/>
        </w:rPr>
        <w:t>(Title of Class)</w:t>
      </w:r>
    </w:p>
    <w:p>
      <w:pPr>
        <w:spacing w:after="0" w:line="3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Preferred Share Purchase Rights expiring October 18, 2006</w:t>
      </w:r>
    </w:p>
    <w:p>
      <w:pPr>
        <w:spacing w:after="0" w:line="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i w:val="1"/>
          <w:iCs w:val="1"/>
          <w:color w:val="auto"/>
        </w:rPr>
        <w:t>(Title of Class)</w:t>
      </w:r>
    </w:p>
    <w:p>
      <w:pPr>
        <w:spacing w:after="0" w:line="69" w:lineRule="exact"/>
        <w:rPr>
          <w:sz w:val="20"/>
          <w:szCs w:val="20"/>
          <w:color w:val="auto"/>
        </w:rPr>
      </w:pPr>
    </w:p>
    <w:p>
      <w:pPr>
        <w:ind w:left="1080" w:right="1560"/>
        <w:spacing w:after="0" w:line="241"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o Indicate by check mark if the registrant is not required to file reports pursuant to Section 13 or 15(d) of the Act. Yes o No </w:t>
      </w:r>
      <w:r>
        <w:rPr>
          <w:rFonts w:ascii="MS PGothic" w:cs="MS PGothic" w:eastAsia="MS PGothic" w:hAnsi="MS PGothic"/>
          <w:sz w:val="15"/>
          <w:szCs w:val="15"/>
          <w:color w:val="auto"/>
        </w:rPr>
        <w:t>☑</w:t>
      </w:r>
    </w:p>
    <w:p>
      <w:pPr>
        <w:spacing w:after="0" w:line="40" w:lineRule="exact"/>
        <w:rPr>
          <w:sz w:val="20"/>
          <w:szCs w:val="20"/>
          <w:color w:val="auto"/>
        </w:rPr>
      </w:pPr>
    </w:p>
    <w:p>
      <w:pPr>
        <w:ind w:left="680" w:firstLine="398"/>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o</w:t>
      </w:r>
    </w:p>
    <w:p>
      <w:pPr>
        <w:spacing w:after="0" w:line="41" w:lineRule="exact"/>
        <w:rPr>
          <w:sz w:val="20"/>
          <w:szCs w:val="20"/>
          <w:color w:val="auto"/>
        </w:rPr>
      </w:pPr>
    </w:p>
    <w:p>
      <w:pPr>
        <w:ind w:left="680" w:firstLine="398"/>
        <w:spacing w:after="0" w:line="273" w:lineRule="auto"/>
        <w:rPr>
          <w:sz w:val="20"/>
          <w:szCs w:val="20"/>
          <w:color w:val="auto"/>
        </w:rPr>
      </w:pPr>
      <w:r>
        <w:rPr>
          <w:rFonts w:ascii="Times New Roman" w:cs="Times New Roman" w:eastAsia="Times New Roman" w:hAnsi="Times New Roman"/>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3" w:lineRule="exact"/>
        <w:rPr>
          <w:sz w:val="20"/>
          <w:szCs w:val="20"/>
          <w:color w:val="auto"/>
        </w:rPr>
      </w:pPr>
    </w:p>
    <w:p>
      <w:pPr>
        <w:ind w:left="680" w:right="60" w:firstLine="398"/>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or a non-accelerated filer. See definition of “accelerated filer and large accelerated filer” in Rule 12b-2 of the Exchange Act. (Check one):</w:t>
      </w:r>
    </w:p>
    <w:p>
      <w:pPr>
        <w:ind w:left="1080" w:right="2740" w:firstLine="2394"/>
        <w:spacing w:after="0" w:line="233" w:lineRule="exact"/>
        <w:rPr>
          <w:sz w:val="20"/>
          <w:szCs w:val="20"/>
          <w:color w:val="auto"/>
        </w:rPr>
      </w:pPr>
      <w:r>
        <w:rPr>
          <w:rFonts w:ascii="Times New Roman" w:cs="Times New Roman" w:eastAsia="Times New Roman" w:hAnsi="Times New Roman"/>
          <w:sz w:val="15"/>
          <w:szCs w:val="15"/>
          <w:color w:val="auto"/>
        </w:rPr>
        <w:t xml:space="preserve">Large accelerated filer o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Non-accelerated filer o Indicate by check mark whether the registrant is a shell company (as defined in Rule 12b-2 of the Act). o</w:t>
      </w:r>
    </w:p>
    <w:p>
      <w:pPr>
        <w:spacing w:after="0" w:line="56" w:lineRule="exact"/>
        <w:rPr>
          <w:sz w:val="20"/>
          <w:szCs w:val="20"/>
          <w:color w:val="auto"/>
        </w:rPr>
      </w:pPr>
    </w:p>
    <w:p>
      <w:pPr>
        <w:ind w:left="680" w:right="420" w:firstLine="398"/>
        <w:spacing w:after="0" w:line="287" w:lineRule="auto"/>
        <w:rPr>
          <w:sz w:val="20"/>
          <w:szCs w:val="20"/>
          <w:color w:val="auto"/>
        </w:rPr>
      </w:pPr>
      <w:r>
        <w:rPr>
          <w:rFonts w:ascii="Times New Roman" w:cs="Times New Roman" w:eastAsia="Times New Roman" w:hAnsi="Times New Roman"/>
          <w:sz w:val="15"/>
          <w:szCs w:val="15"/>
          <w:color w:val="auto"/>
        </w:rPr>
        <w:t>The aggregate market value of the common stock held by non-affiliates of the registrant was approximately $436,098,000, computed by reference to the closing sales price of the stock on NASDAQ on June 30, 2005, the last trading day of the registrant’s most recently completed second fiscal quarter.</w:t>
      </w:r>
    </w:p>
    <w:p>
      <w:pPr>
        <w:spacing w:after="0" w:line="2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The number of shares outstanding of each of the registrant’s classes of common stock as of February 15, 2006:</w:t>
      </w:r>
    </w:p>
    <w:p>
      <w:pPr>
        <w:spacing w:after="0" w:line="128" w:lineRule="exact"/>
        <w:rPr>
          <w:sz w:val="20"/>
          <w:szCs w:val="20"/>
          <w:color w:val="auto"/>
        </w:rPr>
      </w:pPr>
    </w:p>
    <w:tbl>
      <w:tblPr>
        <w:tblLayout w:type="fixed"/>
        <w:tblInd w:w="2200" w:type="dxa"/>
        <w:tblCellMar>
          <w:top w:w="0" w:type="dxa"/>
          <w:left w:w="0" w:type="dxa"/>
          <w:bottom w:w="0" w:type="dxa"/>
          <w:right w:w="0" w:type="dxa"/>
        </w:tblCellMar>
      </w:tblPr>
      <w:tr>
        <w:trPr>
          <w:trHeight w:val="174"/>
        </w:trPr>
        <w:tc>
          <w:tcPr>
            <w:tcW w:w="39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Class of Common Stock</w:t>
            </w:r>
          </w:p>
        </w:tc>
        <w:tc>
          <w:tcPr>
            <w:tcW w:w="302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Number of Shares</w:t>
            </w:r>
          </w:p>
        </w:tc>
      </w:tr>
      <w:tr>
        <w:trPr>
          <w:trHeight w:val="196"/>
        </w:trPr>
        <w:tc>
          <w:tcPr>
            <w:tcW w:w="3980" w:type="dxa"/>
            <w:vAlign w:val="bottom"/>
          </w:tcPr>
          <w:p>
            <w:pPr>
              <w:jc w:val="center"/>
              <w:ind w:right="1968"/>
              <w:spacing w:after="0"/>
              <w:rPr>
                <w:sz w:val="20"/>
                <w:szCs w:val="20"/>
                <w:color w:val="auto"/>
              </w:rPr>
            </w:pPr>
            <w:r>
              <w:rPr>
                <w:rFonts w:ascii="Times New Roman" w:cs="Times New Roman" w:eastAsia="Times New Roman" w:hAnsi="Times New Roman"/>
                <w:sz w:val="15"/>
                <w:szCs w:val="15"/>
                <w:color w:val="auto"/>
                <w:w w:val="98"/>
              </w:rPr>
              <w:t>Class A Stock, $.001 par value</w:t>
            </w:r>
          </w:p>
        </w:tc>
        <w:tc>
          <w:tcPr>
            <w:tcW w:w="3020" w:type="dxa"/>
            <w:vAlign w:val="bottom"/>
          </w:tcPr>
          <w:p>
            <w:pPr>
              <w:jc w:val="right"/>
              <w:ind w:right="648"/>
              <w:spacing w:after="0"/>
              <w:rPr>
                <w:sz w:val="20"/>
                <w:szCs w:val="20"/>
                <w:color w:val="auto"/>
              </w:rPr>
            </w:pPr>
            <w:r>
              <w:rPr>
                <w:rFonts w:ascii="Times New Roman" w:cs="Times New Roman" w:eastAsia="Times New Roman" w:hAnsi="Times New Roman"/>
                <w:sz w:val="15"/>
                <w:szCs w:val="15"/>
                <w:color w:val="auto"/>
              </w:rPr>
              <w:t>2,325,973</w:t>
            </w:r>
          </w:p>
        </w:tc>
      </w:tr>
      <w:tr>
        <w:trPr>
          <w:trHeight w:val="193"/>
        </w:trPr>
        <w:tc>
          <w:tcPr>
            <w:tcW w:w="3980" w:type="dxa"/>
            <w:vAlign w:val="bottom"/>
          </w:tcPr>
          <w:p>
            <w:pPr>
              <w:jc w:val="center"/>
              <w:ind w:right="1968"/>
              <w:spacing w:after="0"/>
              <w:rPr>
                <w:sz w:val="20"/>
                <w:szCs w:val="20"/>
                <w:color w:val="auto"/>
              </w:rPr>
            </w:pPr>
            <w:r>
              <w:rPr>
                <w:rFonts w:ascii="Times New Roman" w:cs="Times New Roman" w:eastAsia="Times New Roman" w:hAnsi="Times New Roman"/>
                <w:sz w:val="15"/>
                <w:szCs w:val="15"/>
                <w:color w:val="auto"/>
                <w:w w:val="99"/>
              </w:rPr>
              <w:t>Common Stock, $.001 par value</w:t>
            </w:r>
          </w:p>
        </w:tc>
        <w:tc>
          <w:tcPr>
            <w:tcW w:w="3020" w:type="dxa"/>
            <w:vAlign w:val="bottom"/>
          </w:tcPr>
          <w:p>
            <w:pPr>
              <w:jc w:val="right"/>
              <w:ind w:right="608"/>
              <w:spacing w:after="0"/>
              <w:rPr>
                <w:sz w:val="20"/>
                <w:szCs w:val="20"/>
                <w:color w:val="auto"/>
              </w:rPr>
            </w:pPr>
            <w:r>
              <w:rPr>
                <w:rFonts w:ascii="Times New Roman" w:cs="Times New Roman" w:eastAsia="Times New Roman" w:hAnsi="Times New Roman"/>
                <w:sz w:val="15"/>
                <w:szCs w:val="15"/>
                <w:color w:val="auto"/>
              </w:rPr>
              <w:t>54,532,748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-248285</wp:posOffset>
            </wp:positionV>
            <wp:extent cx="31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 cy="762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-248285</wp:posOffset>
            </wp:positionV>
            <wp:extent cx="31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50" cy="7620"/>
                    </a:xfrm>
                    <a:prstGeom prst="rect">
                      <a:avLst/>
                    </a:prstGeom>
                    <a:noFill/>
                  </pic:spPr>
                </pic:pic>
              </a:graphicData>
            </a:graphic>
          </wp:anchor>
        </w:drawing>
      </w:r>
    </w:p>
    <w:p>
      <w:pPr>
        <w:spacing w:after="0" w:line="7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23" w:lineRule="exact"/>
        <w:rPr>
          <w:sz w:val="20"/>
          <w:szCs w:val="20"/>
          <w:color w:val="auto"/>
        </w:rPr>
      </w:pPr>
    </w:p>
    <w:p>
      <w:pPr>
        <w:ind w:left="680" w:right="660" w:firstLine="398"/>
        <w:spacing w:after="0" w:line="287" w:lineRule="auto"/>
        <w:rPr>
          <w:sz w:val="20"/>
          <w:szCs w:val="20"/>
          <w:color w:val="auto"/>
        </w:rPr>
      </w:pPr>
      <w:r>
        <w:rPr>
          <w:rFonts w:ascii="Times New Roman" w:cs="Times New Roman" w:eastAsia="Times New Roman" w:hAnsi="Times New Roman"/>
          <w:sz w:val="15"/>
          <w:szCs w:val="15"/>
          <w:color w:val="auto"/>
        </w:rPr>
        <w:t>Specified portions of the Registrant’s definitive proxy statement to be filed in connection with solicitation of proxies for its 2006 Annual Meeting of Shareholders are incorporated by reference into Part III of this Form 10-K. Exhibit index is located on pages 45 to 48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100965</wp:posOffset>
            </wp:positionV>
            <wp:extent cx="6318885"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8885" cy="317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255905</wp:posOffset>
            </wp:positionV>
            <wp:extent cx="726249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580"/>
          </w:cols>
          <w:pgMar w:left="240" w:top="120" w:right="1079" w:bottom="1440" w:gutter="0" w:footer="0" w:header="0"/>
          <w:type w:val="continuous"/>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197" w:lineRule="exact"/>
        <w:rPr>
          <w:sz w:val="20"/>
          <w:szCs w:val="20"/>
          <w:color w:val="auto"/>
        </w:rPr>
      </w:pPr>
    </w:p>
    <w:p>
      <w:pPr>
        <w:spacing w:after="0"/>
        <w:rPr>
          <w:rFonts w:ascii="Times New Roman" w:cs="Times New Roman" w:eastAsia="Times New Roman" w:hAnsi="Times New Roman"/>
          <w:sz w:val="20"/>
          <w:szCs w:val="20"/>
          <w:u w:val="single" w:color="auto"/>
          <w:color w:val="0000EE"/>
        </w:rPr>
      </w:pPr>
      <w:hyperlink w:anchor="page4">
        <w:r>
          <w:rPr>
            <w:rFonts w:ascii="Times New Roman" w:cs="Times New Roman" w:eastAsia="Times New Roman" w:hAnsi="Times New Roman"/>
            <w:sz w:val="20"/>
            <w:szCs w:val="20"/>
            <w:u w:val="single" w:color="auto"/>
            <w:color w:val="0000EE"/>
          </w:rPr>
          <w:t>PART I</w:t>
        </w:r>
      </w:hyperlink>
    </w:p>
    <w:p>
      <w:pPr>
        <w:spacing w:after="0" w:line="9" w:lineRule="exact"/>
        <w:rPr>
          <w:sz w:val="20"/>
          <w:szCs w:val="20"/>
          <w:color w:val="auto"/>
        </w:rPr>
      </w:pPr>
    </w:p>
    <w:p>
      <w:pPr>
        <w:ind w:left="280"/>
        <w:spacing w:after="0"/>
        <w:rPr>
          <w:rFonts w:ascii="Times New Roman" w:cs="Times New Roman" w:eastAsia="Times New Roman" w:hAnsi="Times New Roman"/>
          <w:sz w:val="20"/>
          <w:szCs w:val="20"/>
          <w:u w:val="single" w:color="auto"/>
          <w:color w:val="0000EE"/>
        </w:rPr>
      </w:pPr>
      <w:hyperlink w:anchor="page4">
        <w:r>
          <w:rPr>
            <w:rFonts w:ascii="Times New Roman" w:cs="Times New Roman" w:eastAsia="Times New Roman" w:hAnsi="Times New Roman"/>
            <w:sz w:val="20"/>
            <w:szCs w:val="20"/>
            <w:u w:val="single" w:color="auto"/>
            <w:color w:val="0000EE"/>
          </w:rPr>
          <w:t>Item 1. Business</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13">
        <w:r>
          <w:rPr>
            <w:rFonts w:ascii="Times New Roman" w:cs="Times New Roman" w:eastAsia="Times New Roman" w:hAnsi="Times New Roman"/>
            <w:sz w:val="20"/>
            <w:szCs w:val="20"/>
            <w:u w:val="single" w:color="auto"/>
            <w:color w:val="0000EE"/>
          </w:rPr>
          <w:t>Item 1A. Risk Factors</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24">
        <w:r>
          <w:rPr>
            <w:rFonts w:ascii="Times New Roman" w:cs="Times New Roman" w:eastAsia="Times New Roman" w:hAnsi="Times New Roman"/>
            <w:sz w:val="20"/>
            <w:szCs w:val="20"/>
            <w:u w:val="single" w:color="auto"/>
            <w:color w:val="0000EE"/>
          </w:rPr>
          <w:t>Item 1B. Unresolved Staff Comments</w:t>
        </w:r>
      </w:hyperlink>
    </w:p>
    <w:p>
      <w:pPr>
        <w:ind w:left="280"/>
        <w:spacing w:after="0" w:line="234" w:lineRule="auto"/>
        <w:rPr>
          <w:rFonts w:ascii="Times New Roman" w:cs="Times New Roman" w:eastAsia="Times New Roman" w:hAnsi="Times New Roman"/>
          <w:sz w:val="20"/>
          <w:szCs w:val="20"/>
          <w:u w:val="single" w:color="auto"/>
          <w:color w:val="0000EE"/>
        </w:rPr>
      </w:pPr>
      <w:hyperlink w:anchor="page24">
        <w:r>
          <w:rPr>
            <w:rFonts w:ascii="Times New Roman" w:cs="Times New Roman" w:eastAsia="Times New Roman" w:hAnsi="Times New Roman"/>
            <w:sz w:val="20"/>
            <w:szCs w:val="20"/>
            <w:u w:val="single" w:color="auto"/>
            <w:color w:val="0000EE"/>
          </w:rPr>
          <w:t>Item 2. Properties</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25">
        <w:r>
          <w:rPr>
            <w:rFonts w:ascii="Times New Roman" w:cs="Times New Roman" w:eastAsia="Times New Roman" w:hAnsi="Times New Roman"/>
            <w:sz w:val="20"/>
            <w:szCs w:val="20"/>
            <w:u w:val="single" w:color="auto"/>
            <w:color w:val="0000EE"/>
          </w:rPr>
          <w:t>Item 3. Legal Proceedings</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25">
        <w:r>
          <w:rPr>
            <w:rFonts w:ascii="Times New Roman" w:cs="Times New Roman" w:eastAsia="Times New Roman" w:hAnsi="Times New Roman"/>
            <w:sz w:val="20"/>
            <w:szCs w:val="20"/>
            <w:u w:val="single" w:color="auto"/>
            <w:color w:val="0000EE"/>
          </w:rPr>
          <w:t>Item 4. Submission of Matters to a Vote of Security Holders</w:t>
        </w:r>
      </w:hyperlink>
    </w:p>
    <w:p>
      <w:pPr>
        <w:spacing w:after="0" w:line="234" w:lineRule="auto"/>
        <w:rPr>
          <w:rFonts w:ascii="Times New Roman" w:cs="Times New Roman" w:eastAsia="Times New Roman" w:hAnsi="Times New Roman"/>
          <w:sz w:val="20"/>
          <w:szCs w:val="20"/>
          <w:u w:val="single" w:color="auto"/>
          <w:color w:val="0000EE"/>
        </w:rPr>
      </w:pPr>
      <w:hyperlink w:anchor="page25">
        <w:r>
          <w:rPr>
            <w:rFonts w:ascii="Times New Roman" w:cs="Times New Roman" w:eastAsia="Times New Roman" w:hAnsi="Times New Roman"/>
            <w:sz w:val="20"/>
            <w:szCs w:val="20"/>
            <w:u w:val="single" w:color="auto"/>
            <w:color w:val="0000EE"/>
          </w:rPr>
          <w:t>PART II</w:t>
        </w:r>
      </w:hyperlink>
    </w:p>
    <w:p>
      <w:pPr>
        <w:ind w:left="280" w:right="259"/>
        <w:spacing w:after="0" w:line="233" w:lineRule="auto"/>
        <w:rPr>
          <w:rFonts w:ascii="Times New Roman" w:cs="Times New Roman" w:eastAsia="Times New Roman" w:hAnsi="Times New Roman"/>
          <w:sz w:val="20"/>
          <w:szCs w:val="20"/>
          <w:u w:val="single" w:color="auto"/>
          <w:color w:val="0000EE"/>
        </w:rPr>
      </w:pPr>
      <w:hyperlink w:anchor="page25">
        <w:r>
          <w:rPr>
            <w:rFonts w:ascii="Times New Roman" w:cs="Times New Roman" w:eastAsia="Times New Roman" w:hAnsi="Times New Roman"/>
            <w:sz w:val="20"/>
            <w:szCs w:val="20"/>
            <w:u w:val="single" w:color="auto"/>
            <w:color w:val="0000EE"/>
          </w:rPr>
          <w:t>Item 5. Market for Registrant’s Common Equity, Related Stockholder Matters and Issuer Purchases of Equity</w:t>
        </w:r>
      </w:hyperlink>
      <w:r>
        <w:rPr>
          <w:rFonts w:ascii="Times New Roman" w:cs="Times New Roman" w:eastAsia="Times New Roman" w:hAnsi="Times New Roman"/>
          <w:sz w:val="20"/>
          <w:szCs w:val="20"/>
          <w:u w:val="single" w:color="auto"/>
          <w:color w:val="0000EE"/>
        </w:rPr>
        <w:t xml:space="preserve"> </w:t>
      </w:r>
      <w:hyperlink w:anchor="page25">
        <w:r>
          <w:rPr>
            <w:rFonts w:ascii="Times New Roman" w:cs="Times New Roman" w:eastAsia="Times New Roman" w:hAnsi="Times New Roman"/>
            <w:sz w:val="20"/>
            <w:szCs w:val="20"/>
            <w:u w:val="single" w:color="auto"/>
            <w:color w:val="0000EE"/>
          </w:rPr>
          <w:t>Securities</w:t>
        </w:r>
      </w:hyperlink>
    </w:p>
    <w:p>
      <w:pPr>
        <w:ind w:left="280"/>
        <w:spacing w:after="0" w:line="234" w:lineRule="auto"/>
        <w:rPr>
          <w:rFonts w:ascii="Times New Roman" w:cs="Times New Roman" w:eastAsia="Times New Roman" w:hAnsi="Times New Roman"/>
          <w:sz w:val="20"/>
          <w:szCs w:val="20"/>
          <w:u w:val="single" w:color="auto"/>
          <w:color w:val="0000EE"/>
        </w:rPr>
      </w:pPr>
      <w:hyperlink w:anchor="page27">
        <w:r>
          <w:rPr>
            <w:rFonts w:ascii="Times New Roman" w:cs="Times New Roman" w:eastAsia="Times New Roman" w:hAnsi="Times New Roman"/>
            <w:sz w:val="20"/>
            <w:szCs w:val="20"/>
            <w:u w:val="single" w:color="auto"/>
            <w:color w:val="0000EE"/>
          </w:rPr>
          <w:t>Item 6. Selected Financial Data</w:t>
        </w:r>
      </w:hyperlink>
    </w:p>
    <w:p>
      <w:pPr>
        <w:ind w:left="280" w:right="1199"/>
        <w:spacing w:after="0" w:line="233" w:lineRule="auto"/>
        <w:rPr>
          <w:rFonts w:ascii="Times New Roman" w:cs="Times New Roman" w:eastAsia="Times New Roman" w:hAnsi="Times New Roman"/>
          <w:sz w:val="20"/>
          <w:szCs w:val="20"/>
          <w:u w:val="single" w:color="auto"/>
          <w:color w:val="0000EE"/>
        </w:rPr>
      </w:pPr>
      <w:hyperlink w:anchor="page28">
        <w:r>
          <w:rPr>
            <w:rFonts w:ascii="Times New Roman" w:cs="Times New Roman" w:eastAsia="Times New Roman" w:hAnsi="Times New Roman"/>
            <w:sz w:val="20"/>
            <w:szCs w:val="20"/>
            <w:u w:val="single" w:color="auto"/>
            <w:color w:val="0000EE"/>
          </w:rPr>
          <w:t>Item 7. Management’s Discussion and Analysis of Financial Condition and Results of Operations</w:t>
        </w:r>
      </w:hyperlink>
      <w:r>
        <w:rPr>
          <w:rFonts w:ascii="Times New Roman" w:cs="Times New Roman" w:eastAsia="Times New Roman" w:hAnsi="Times New Roman"/>
          <w:sz w:val="20"/>
          <w:szCs w:val="20"/>
          <w:u w:val="single" w:color="auto"/>
          <w:color w:val="0000EE"/>
        </w:rPr>
        <w:t xml:space="preserve"> </w:t>
      </w:r>
      <w:hyperlink w:anchor="page46">
        <w:r>
          <w:rPr>
            <w:rFonts w:ascii="Times New Roman" w:cs="Times New Roman" w:eastAsia="Times New Roman" w:hAnsi="Times New Roman"/>
            <w:sz w:val="20"/>
            <w:szCs w:val="20"/>
            <w:u w:val="single" w:color="auto"/>
            <w:color w:val="0000EE"/>
          </w:rPr>
          <w:t>Item 7A. Quantitative and Qualitative Disclosure About Market Risk</w:t>
        </w:r>
      </w:hyperlink>
      <w:r>
        <w:rPr>
          <w:rFonts w:ascii="Times New Roman" w:cs="Times New Roman" w:eastAsia="Times New Roman" w:hAnsi="Times New Roman"/>
          <w:sz w:val="20"/>
          <w:szCs w:val="20"/>
          <w:u w:val="single" w:color="auto"/>
          <w:color w:val="0000EE"/>
        </w:rPr>
        <w:t xml:space="preserve"> </w:t>
      </w:r>
      <w:hyperlink w:anchor="page46">
        <w:r>
          <w:rPr>
            <w:rFonts w:ascii="Times New Roman" w:cs="Times New Roman" w:eastAsia="Times New Roman" w:hAnsi="Times New Roman"/>
            <w:sz w:val="20"/>
            <w:szCs w:val="20"/>
            <w:u w:val="single" w:color="auto"/>
            <w:color w:val="0000EE"/>
          </w:rPr>
          <w:t>Item 8. Financial Statements and Supplementary Data</w:t>
        </w:r>
      </w:hyperlink>
    </w:p>
    <w:p>
      <w:pPr>
        <w:ind w:left="280"/>
        <w:spacing w:after="0" w:line="234" w:lineRule="auto"/>
        <w:rPr>
          <w:rFonts w:ascii="Times New Roman" w:cs="Times New Roman" w:eastAsia="Times New Roman" w:hAnsi="Times New Roman"/>
          <w:sz w:val="20"/>
          <w:szCs w:val="20"/>
          <w:u w:val="single" w:color="auto"/>
          <w:color w:val="0000EE"/>
        </w:rPr>
      </w:pPr>
      <w:hyperlink w:anchor="page46">
        <w:r>
          <w:rPr>
            <w:rFonts w:ascii="Times New Roman" w:cs="Times New Roman" w:eastAsia="Times New Roman" w:hAnsi="Times New Roman"/>
            <w:sz w:val="20"/>
            <w:szCs w:val="20"/>
            <w:u w:val="single" w:color="auto"/>
            <w:color w:val="0000EE"/>
          </w:rPr>
          <w:t>Item 9. Changes in and Disagreements with Accountants on Accounting and Financial Disclosure</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47">
        <w:r>
          <w:rPr>
            <w:rFonts w:ascii="Times New Roman" w:cs="Times New Roman" w:eastAsia="Times New Roman" w:hAnsi="Times New Roman"/>
            <w:sz w:val="20"/>
            <w:szCs w:val="20"/>
            <w:u w:val="single" w:color="auto"/>
            <w:color w:val="0000EE"/>
          </w:rPr>
          <w:t>Item 9A. Controls and Procedures</w:t>
        </w:r>
      </w:hyperlink>
    </w:p>
    <w:p>
      <w:pPr>
        <w:ind w:left="280"/>
        <w:spacing w:after="0" w:line="234" w:lineRule="auto"/>
        <w:rPr>
          <w:rFonts w:ascii="Times New Roman" w:cs="Times New Roman" w:eastAsia="Times New Roman" w:hAnsi="Times New Roman"/>
          <w:sz w:val="20"/>
          <w:szCs w:val="20"/>
          <w:u w:val="single" w:color="auto"/>
          <w:color w:val="0000EE"/>
        </w:rPr>
      </w:pPr>
      <w:hyperlink w:anchor="page47">
        <w:r>
          <w:rPr>
            <w:rFonts w:ascii="Times New Roman" w:cs="Times New Roman" w:eastAsia="Times New Roman" w:hAnsi="Times New Roman"/>
            <w:sz w:val="20"/>
            <w:szCs w:val="20"/>
            <w:u w:val="single" w:color="auto"/>
            <w:color w:val="0000EE"/>
          </w:rPr>
          <w:t>Item 9B. Other Information</w:t>
        </w:r>
      </w:hyperlink>
    </w:p>
    <w:p>
      <w:pPr>
        <w:spacing w:after="0" w:line="233" w:lineRule="auto"/>
        <w:rPr>
          <w:rFonts w:ascii="Times New Roman" w:cs="Times New Roman" w:eastAsia="Times New Roman" w:hAnsi="Times New Roman"/>
          <w:sz w:val="20"/>
          <w:szCs w:val="20"/>
          <w:u w:val="single" w:color="auto"/>
          <w:color w:val="0000EE"/>
        </w:rPr>
      </w:pPr>
      <w:hyperlink w:anchor="page47">
        <w:r>
          <w:rPr>
            <w:rFonts w:ascii="Times New Roman" w:cs="Times New Roman" w:eastAsia="Times New Roman" w:hAnsi="Times New Roman"/>
            <w:sz w:val="20"/>
            <w:szCs w:val="20"/>
            <w:u w:val="single" w:color="auto"/>
            <w:color w:val="0000EE"/>
          </w:rPr>
          <w:t>PART III</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47">
        <w:r>
          <w:rPr>
            <w:rFonts w:ascii="Times New Roman" w:cs="Times New Roman" w:eastAsia="Times New Roman" w:hAnsi="Times New Roman"/>
            <w:sz w:val="20"/>
            <w:szCs w:val="20"/>
            <w:u w:val="single" w:color="auto"/>
            <w:color w:val="0000EE"/>
          </w:rPr>
          <w:t>Item 10. Directors and Officers of the Registrant</w:t>
        </w:r>
      </w:hyperlink>
    </w:p>
    <w:p>
      <w:pPr>
        <w:ind w:left="280"/>
        <w:spacing w:after="0" w:line="234" w:lineRule="auto"/>
        <w:rPr>
          <w:rFonts w:ascii="Times New Roman" w:cs="Times New Roman" w:eastAsia="Times New Roman" w:hAnsi="Times New Roman"/>
          <w:sz w:val="20"/>
          <w:szCs w:val="20"/>
          <w:u w:val="single" w:color="auto"/>
          <w:color w:val="0000EE"/>
        </w:rPr>
      </w:pPr>
      <w:hyperlink w:anchor="page48">
        <w:r>
          <w:rPr>
            <w:rFonts w:ascii="Times New Roman" w:cs="Times New Roman" w:eastAsia="Times New Roman" w:hAnsi="Times New Roman"/>
            <w:sz w:val="20"/>
            <w:szCs w:val="20"/>
            <w:u w:val="single" w:color="auto"/>
            <w:color w:val="0000EE"/>
          </w:rPr>
          <w:t>Item 11. Executive Compensation</w:t>
        </w:r>
      </w:hyperlink>
    </w:p>
    <w:p>
      <w:pPr>
        <w:ind w:left="280" w:right="2839"/>
        <w:spacing w:after="0" w:line="233" w:lineRule="auto"/>
        <w:rPr>
          <w:rFonts w:ascii="Times New Roman" w:cs="Times New Roman" w:eastAsia="Times New Roman" w:hAnsi="Times New Roman"/>
          <w:sz w:val="20"/>
          <w:szCs w:val="20"/>
          <w:u w:val="single" w:color="auto"/>
          <w:color w:val="0000EE"/>
        </w:rPr>
      </w:pPr>
      <w:hyperlink w:anchor="page48">
        <w:r>
          <w:rPr>
            <w:rFonts w:ascii="Times New Roman" w:cs="Times New Roman" w:eastAsia="Times New Roman" w:hAnsi="Times New Roman"/>
            <w:sz w:val="20"/>
            <w:szCs w:val="20"/>
            <w:u w:val="single" w:color="auto"/>
            <w:color w:val="0000EE"/>
          </w:rPr>
          <w:t>Item 12. Security Ownership of Certain Beneficial Owners and Management</w:t>
        </w:r>
      </w:hyperlink>
      <w:r>
        <w:rPr>
          <w:rFonts w:ascii="Times New Roman" w:cs="Times New Roman" w:eastAsia="Times New Roman" w:hAnsi="Times New Roman"/>
          <w:sz w:val="20"/>
          <w:szCs w:val="20"/>
          <w:u w:val="single" w:color="auto"/>
          <w:color w:val="0000EE"/>
        </w:rPr>
        <w:t xml:space="preserve"> </w:t>
      </w:r>
      <w:hyperlink w:anchor="page48">
        <w:r>
          <w:rPr>
            <w:rFonts w:ascii="Times New Roman" w:cs="Times New Roman" w:eastAsia="Times New Roman" w:hAnsi="Times New Roman"/>
            <w:sz w:val="20"/>
            <w:szCs w:val="20"/>
            <w:u w:val="single" w:color="auto"/>
            <w:color w:val="0000EE"/>
          </w:rPr>
          <w:t>Item 13. Certain Relationships and Related Transactions</w:t>
        </w:r>
      </w:hyperlink>
      <w:r>
        <w:rPr>
          <w:rFonts w:ascii="Times New Roman" w:cs="Times New Roman" w:eastAsia="Times New Roman" w:hAnsi="Times New Roman"/>
          <w:sz w:val="20"/>
          <w:szCs w:val="20"/>
          <w:u w:val="single" w:color="auto"/>
          <w:color w:val="0000EE"/>
        </w:rPr>
        <w:t xml:space="preserve"> </w:t>
      </w:r>
      <w:hyperlink w:anchor="page48">
        <w:r>
          <w:rPr>
            <w:rFonts w:ascii="Times New Roman" w:cs="Times New Roman" w:eastAsia="Times New Roman" w:hAnsi="Times New Roman"/>
            <w:sz w:val="20"/>
            <w:szCs w:val="20"/>
            <w:u w:val="single" w:color="auto"/>
            <w:color w:val="0000EE"/>
          </w:rPr>
          <w:t>Item 14. Principal Accountant Fees and Services</w:t>
        </w:r>
      </w:hyperlink>
    </w:p>
    <w:p>
      <w:pPr>
        <w:spacing w:after="0" w:line="234" w:lineRule="auto"/>
        <w:rPr>
          <w:rFonts w:ascii="Times New Roman" w:cs="Times New Roman" w:eastAsia="Times New Roman" w:hAnsi="Times New Roman"/>
          <w:sz w:val="20"/>
          <w:szCs w:val="20"/>
          <w:u w:val="single" w:color="auto"/>
          <w:color w:val="0000EE"/>
        </w:rPr>
      </w:pPr>
      <w:hyperlink w:anchor="page48">
        <w:r>
          <w:rPr>
            <w:rFonts w:ascii="Times New Roman" w:cs="Times New Roman" w:eastAsia="Times New Roman" w:hAnsi="Times New Roman"/>
            <w:sz w:val="20"/>
            <w:szCs w:val="20"/>
            <w:u w:val="single" w:color="auto"/>
            <w:color w:val="0000EE"/>
          </w:rPr>
          <w:t>PART IV</w:t>
        </w:r>
      </w:hyperlink>
    </w:p>
    <w:p>
      <w:pPr>
        <w:ind w:left="280"/>
        <w:spacing w:after="0" w:line="233" w:lineRule="auto"/>
        <w:rPr>
          <w:rFonts w:ascii="Times New Roman" w:cs="Times New Roman" w:eastAsia="Times New Roman" w:hAnsi="Times New Roman"/>
          <w:sz w:val="20"/>
          <w:szCs w:val="20"/>
          <w:u w:val="single" w:color="auto"/>
          <w:color w:val="0000EE"/>
        </w:rPr>
      </w:pPr>
      <w:hyperlink w:anchor="page48">
        <w:r>
          <w:rPr>
            <w:rFonts w:ascii="Times New Roman" w:cs="Times New Roman" w:eastAsia="Times New Roman" w:hAnsi="Times New Roman"/>
            <w:sz w:val="20"/>
            <w:szCs w:val="20"/>
            <w:u w:val="single" w:color="auto"/>
            <w:color w:val="0000EE"/>
          </w:rPr>
          <w:t>Item 15. Exhibits and Financial Statement Schedules</w:t>
        </w:r>
      </w:hyperlink>
    </w:p>
    <w:p>
      <w:pPr>
        <w:spacing w:after="0" w:line="234" w:lineRule="auto"/>
        <w:rPr>
          <w:rFonts w:ascii="Times New Roman" w:cs="Times New Roman" w:eastAsia="Times New Roman" w:hAnsi="Times New Roman"/>
          <w:sz w:val="20"/>
          <w:szCs w:val="20"/>
          <w:u w:val="single" w:color="auto"/>
          <w:color w:val="0000EE"/>
        </w:rPr>
      </w:pPr>
      <w:hyperlink w:anchor="page52">
        <w:r>
          <w:rPr>
            <w:rFonts w:ascii="Times New Roman" w:cs="Times New Roman" w:eastAsia="Times New Roman" w:hAnsi="Times New Roman"/>
            <w:sz w:val="20"/>
            <w:szCs w:val="20"/>
            <w:u w:val="single" w:color="auto"/>
            <w:color w:val="0000EE"/>
          </w:rPr>
          <w:t>SIGNATURE</w:t>
        </w:r>
      </w:hyperlink>
    </w:p>
    <w:p>
      <w:pPr>
        <w:spacing w:after="0" w:line="233" w:lineRule="auto"/>
        <w:rPr>
          <w:sz w:val="20"/>
          <w:szCs w:val="20"/>
          <w:color w:val="auto"/>
        </w:rPr>
      </w:pPr>
      <w:r>
        <w:rPr>
          <w:rFonts w:ascii="Times New Roman" w:cs="Times New Roman" w:eastAsia="Times New Roman" w:hAnsi="Times New Roman"/>
          <w:sz w:val="20"/>
          <w:szCs w:val="20"/>
          <w:u w:val="single" w:color="auto"/>
          <w:color w:val="0000EE"/>
        </w:rPr>
        <w:t>EX-10.13.3: AMENDMENT NO. 3 TO COLLABORATION AGREEMENT</w:t>
      </w:r>
    </w:p>
    <w:p>
      <w:pPr>
        <w:spacing w:after="0" w:line="233" w:lineRule="auto"/>
        <w:rPr>
          <w:sz w:val="20"/>
          <w:szCs w:val="20"/>
          <w:color w:val="auto"/>
        </w:rPr>
      </w:pPr>
      <w:r>
        <w:rPr>
          <w:rFonts w:ascii="Times New Roman" w:cs="Times New Roman" w:eastAsia="Times New Roman" w:hAnsi="Times New Roman"/>
          <w:sz w:val="20"/>
          <w:szCs w:val="20"/>
          <w:u w:val="single" w:color="auto"/>
          <w:color w:val="0000EE"/>
        </w:rPr>
        <w:t>EX-10.13.4: AMENDMENT NO. 4 TO COLLABORATION AGREEMENT</w:t>
      </w:r>
    </w:p>
    <w:p>
      <w:pPr>
        <w:spacing w:after="0" w:line="1" w:lineRule="exact"/>
        <w:rPr>
          <w:rFonts w:ascii="Times New Roman" w:cs="Times New Roman" w:eastAsia="Times New Roman" w:hAnsi="Times New Roman"/>
          <w:sz w:val="20"/>
          <w:szCs w:val="20"/>
          <w:u w:val="single" w:color="auto"/>
          <w:color w:val="0000EE"/>
        </w:rPr>
      </w:pPr>
    </w:p>
    <w:p>
      <w:pPr>
        <w:spacing w:after="0"/>
        <w:rPr>
          <w:sz w:val="20"/>
          <w:szCs w:val="20"/>
          <w:color w:val="auto"/>
        </w:rPr>
      </w:pPr>
      <w:r>
        <w:rPr>
          <w:rFonts w:ascii="Times New Roman" w:cs="Times New Roman" w:eastAsia="Times New Roman" w:hAnsi="Times New Roman"/>
          <w:sz w:val="19"/>
          <w:szCs w:val="19"/>
          <w:u w:val="single" w:color="auto"/>
          <w:color w:val="0000EE"/>
        </w:rPr>
        <w:t>EX-12.1: STATEMENT RE: COMPUTATION OF RATIO OF EARNINGS TO COMBINED FIXED CHARGES</w:t>
      </w:r>
    </w:p>
    <w:p>
      <w:pPr>
        <w:spacing w:after="0" w:line="238" w:lineRule="auto"/>
        <w:rPr>
          <w:sz w:val="20"/>
          <w:szCs w:val="20"/>
          <w:color w:val="auto"/>
        </w:rPr>
      </w:pPr>
      <w:r>
        <w:rPr>
          <w:rFonts w:ascii="Times New Roman" w:cs="Times New Roman" w:eastAsia="Times New Roman" w:hAnsi="Times New Roman"/>
          <w:sz w:val="20"/>
          <w:szCs w:val="20"/>
          <w:u w:val="single" w:color="auto"/>
          <w:color w:val="0000EE"/>
        </w:rPr>
        <w:t>EX-23.1: CONSENT OF PRICEWATERHOUSECOOPERS LLP</w:t>
      </w:r>
    </w:p>
    <w:p>
      <w:pPr>
        <w:spacing w:after="0" w:line="234" w:lineRule="auto"/>
        <w:rPr>
          <w:sz w:val="20"/>
          <w:szCs w:val="20"/>
          <w:color w:val="auto"/>
        </w:rPr>
      </w:pPr>
      <w:r>
        <w:rPr>
          <w:rFonts w:ascii="Times New Roman" w:cs="Times New Roman" w:eastAsia="Times New Roman" w:hAnsi="Times New Roman"/>
          <w:sz w:val="20"/>
          <w:szCs w:val="20"/>
          <w:u w:val="single" w:color="auto"/>
          <w:color w:val="0000EE"/>
        </w:rPr>
        <w:t>EX-31.1: CERTIFICATION</w:t>
      </w:r>
    </w:p>
    <w:p>
      <w:pPr>
        <w:spacing w:after="0" w:line="233" w:lineRule="auto"/>
        <w:rPr>
          <w:sz w:val="20"/>
          <w:szCs w:val="20"/>
          <w:color w:val="auto"/>
        </w:rPr>
      </w:pPr>
      <w:r>
        <w:rPr>
          <w:rFonts w:ascii="Times New Roman" w:cs="Times New Roman" w:eastAsia="Times New Roman" w:hAnsi="Times New Roman"/>
          <w:sz w:val="20"/>
          <w:szCs w:val="20"/>
          <w:u w:val="single" w:color="auto"/>
          <w:color w:val="0000EE"/>
        </w:rPr>
        <w:t>EX-31.2: CERTIFICATION</w:t>
      </w:r>
    </w:p>
    <w:p>
      <w:pPr>
        <w:spacing w:after="0"/>
        <w:rPr>
          <w:sz w:val="20"/>
          <w:szCs w:val="20"/>
          <w:color w:val="auto"/>
        </w:rPr>
      </w:pPr>
      <w:r>
        <w:rPr>
          <w:rFonts w:ascii="Times New Roman" w:cs="Times New Roman" w:eastAsia="Times New Roman" w:hAnsi="Times New Roman"/>
          <w:sz w:val="20"/>
          <w:szCs w:val="20"/>
          <w:u w:val="single" w:color="auto"/>
          <w:color w:val="0000EE"/>
        </w:rPr>
        <w:t>EX-32: CERTIFICATION</w:t>
      </w:r>
    </w:p>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drawing>
          <wp:anchor simplePos="0" relativeHeight="251657728" behindDoc="1" locked="0" layoutInCell="0" allowOverlap="1">
            <wp:simplePos x="0" y="0"/>
            <wp:positionH relativeFrom="column">
              <wp:posOffset>-332740</wp:posOffset>
            </wp:positionH>
            <wp:positionV relativeFrom="paragraph">
              <wp:posOffset>121920</wp:posOffset>
            </wp:positionV>
            <wp:extent cx="66078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7810" cy="20320"/>
                    </a:xfrm>
                    <a:prstGeom prst="rect">
                      <a:avLst/>
                    </a:prstGeom>
                    <a:noFill/>
                  </pic:spPr>
                </pic:pic>
              </a:graphicData>
            </a:graphic>
          </wp:anchor>
        </w:drawing>
      </w:r>
    </w:p>
    <w:p>
      <w:pPr>
        <w:sectPr>
          <w:pgSz w:w="11900" w:h="16838" w:orient="portrait"/>
          <w:cols w:equalWidth="0" w:num="1">
            <w:col w:w="9239"/>
          </w:cols>
          <w:pgMar w:left="1220" w:top="110" w:right="1440" w:bottom="1440" w:gutter="0" w:footer="0" w:header="0"/>
        </w:sectPr>
      </w:pPr>
    </w:p>
    <w:bookmarkStart w:id="3" w:name="page4"/>
    <w:bookmarkEnd w:id="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67" w:lineRule="exact"/>
        <w:rPr>
          <w:sz w:val="20"/>
          <w:szCs w:val="20"/>
          <w:color w:val="auto"/>
        </w:rPr>
      </w:pPr>
    </w:p>
    <w:p>
      <w:pPr>
        <w:ind w:right="20" w:firstLine="312"/>
        <w:spacing w:after="0" w:line="247" w:lineRule="auto"/>
        <w:rPr>
          <w:sz w:val="20"/>
          <w:szCs w:val="20"/>
          <w:color w:val="auto"/>
        </w:rPr>
      </w:pPr>
      <w:r>
        <w:rPr>
          <w:rFonts w:ascii="Times New Roman" w:cs="Times New Roman" w:eastAsia="Times New Roman" w:hAnsi="Times New Roman"/>
          <w:sz w:val="17"/>
          <w:szCs w:val="17"/>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events or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69" w:lineRule="exact"/>
        <w:rPr>
          <w:sz w:val="20"/>
          <w:szCs w:val="20"/>
          <w:color w:val="auto"/>
        </w:rPr>
      </w:pPr>
    </w:p>
    <w:p>
      <w:pPr>
        <w:ind w:right="100" w:firstLine="312"/>
        <w:spacing w:after="0" w:line="265" w:lineRule="auto"/>
        <w:rPr>
          <w:sz w:val="20"/>
          <w:szCs w:val="20"/>
          <w:color w:val="auto"/>
        </w:rPr>
      </w:pPr>
      <w:r>
        <w:rPr>
          <w:rFonts w:ascii="Times New Roman" w:cs="Times New Roman" w:eastAsia="Times New Roman" w:hAnsi="Times New Roman"/>
          <w:sz w:val="16"/>
          <w:szCs w:val="16"/>
          <w:color w:val="auto"/>
        </w:rPr>
        <w:t>Regeneron Pharmaceuticals, Inc. is a biopharmaceutical company that discovers, develops, and intends to commercialize pharmaceutical products for the treatment of serious medical conditions. We are currently focused on three clinical development programs: VEGF Trap in oncology, VEGF Trap eye formulation (VEGF Trap-Eye) in eye diseases using intraocular delivery, and IL-1 Trap in various systemic inflammatory indications. The VEGF Trap oncology development program is being developed jointly with the sanofi-aventis Group under a September 2003 collaboration agreement.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Traps and Human Monoclonal Antibodies. Developing and commercializing new medicines entails significant risk and expense. Since inception we have not generated any sales or profits from the commercialization of any of our product candidates.</w:t>
      </w:r>
    </w:p>
    <w:p>
      <w:pPr>
        <w:spacing w:after="0" w:line="27" w:lineRule="exact"/>
        <w:rPr>
          <w:sz w:val="20"/>
          <w:szCs w:val="20"/>
          <w:color w:val="auto"/>
        </w:rPr>
      </w:pPr>
    </w:p>
    <w:p>
      <w:pPr>
        <w:ind w:right="100" w:firstLine="312"/>
        <w:spacing w:after="0" w:line="247" w:lineRule="auto"/>
        <w:rPr>
          <w:sz w:val="20"/>
          <w:szCs w:val="20"/>
          <w:color w:val="auto"/>
        </w:rPr>
      </w:pPr>
      <w:r>
        <w:rPr>
          <w:rFonts w:ascii="Times New Roman" w:cs="Times New Roman" w:eastAsia="Times New Roman" w:hAnsi="Times New Roman"/>
          <w:sz w:val="17"/>
          <w:szCs w:val="17"/>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Traps, Human Monoclonal Antibody (VelocImmune</w:t>
      </w:r>
      <w:r>
        <w:rPr>
          <w:rFonts w:ascii="Times New Roman" w:cs="Times New Roman" w:eastAsia="Times New Roman" w:hAnsi="Times New Roman"/>
          <w:sz w:val="9"/>
          <w:szCs w:val="9"/>
          <w:color w:val="auto"/>
        </w:rPr>
        <w:t>TM</w:t>
      </w:r>
      <w:r>
        <w:rPr>
          <w:rFonts w:ascii="Times New Roman" w:cs="Times New Roman" w:eastAsia="Times New Roman" w:hAnsi="Times New Roman"/>
          <w:sz w:val="17"/>
          <w:szCs w:val="17"/>
          <w:color w:val="auto"/>
        </w:rPr>
        <w:t>), and cell line expression technologies may then be utilized to design and produce new product candidates directed against the disease target. We continue to invest in the development of enabling technologies to assist in our efforts to identify, develop, and commercialize new product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Clinical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1. VEGF Trap — Oncology</w:t>
      </w:r>
    </w:p>
    <w:p>
      <w:pPr>
        <w:spacing w:after="0" w:line="69" w:lineRule="exact"/>
        <w:rPr>
          <w:sz w:val="20"/>
          <w:szCs w:val="20"/>
          <w:color w:val="auto"/>
        </w:rPr>
      </w:pPr>
    </w:p>
    <w:p>
      <w:pPr>
        <w:ind w:firstLine="312"/>
        <w:spacing w:after="0" w:line="250" w:lineRule="auto"/>
        <w:rPr>
          <w:sz w:val="20"/>
          <w:szCs w:val="20"/>
          <w:color w:val="auto"/>
        </w:rPr>
      </w:pPr>
      <w:r>
        <w:rPr>
          <w:rFonts w:ascii="Times New Roman" w:cs="Times New Roman" w:eastAsia="Times New Roman" w:hAnsi="Times New Roman"/>
          <w:sz w:val="17"/>
          <w:szCs w:val="17"/>
          <w:color w:val="auto"/>
        </w:rPr>
        <w:t>The VEGF Trap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 The VEGF Trap is being developed in cancer indications in collaboration with sanofi-aventis, as described in the section below entitled “Collaboration with the sanofi-aventis Group.”</w:t>
      </w:r>
    </w:p>
    <w:p>
      <w:pPr>
        <w:spacing w:after="0" w:line="38" w:lineRule="exact"/>
        <w:rPr>
          <w:sz w:val="20"/>
          <w:szCs w:val="20"/>
          <w:color w:val="auto"/>
        </w:rPr>
      </w:pPr>
    </w:p>
    <w:p>
      <w:pPr>
        <w:ind w:right="100" w:firstLine="312"/>
        <w:spacing w:after="0" w:line="250" w:lineRule="auto"/>
        <w:rPr>
          <w:sz w:val="20"/>
          <w:szCs w:val="20"/>
          <w:color w:val="auto"/>
        </w:rPr>
      </w:pPr>
      <w:r>
        <w:rPr>
          <w:rFonts w:ascii="Times New Roman" w:cs="Times New Roman" w:eastAsia="Times New Roman" w:hAnsi="Times New Roman"/>
          <w:sz w:val="17"/>
          <w:szCs w:val="17"/>
          <w:color w:val="auto"/>
        </w:rPr>
        <w:t>In September 2005, we announced that we and sanofi-aventis were expanding the VEGF Trap oncology program and would initiate trials in various cancer indications. The companies have initiated a single-agent phase 2 study of the VEGF Trap in non-small cell lung adenocarcinoma. Two additional phase 2 single-agent safety/efficacy studies, in advanced ovarian cancer and symptomatic malignant ascites, are planned to begin during the first quarter of 2006. In 2004, the United States Food and Drug Administration (FDA) granted Fast Track designation to the VEGF Trap for the treatment of symptomatic malignant ascites.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136525</wp:posOffset>
            </wp:positionV>
            <wp:extent cx="726249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360"/>
          </w:cols>
          <w:pgMar w:left="700" w:top="393" w:right="839" w:bottom="1440" w:gutter="0" w:footer="0" w:header="0"/>
        </w:sectPr>
      </w:pPr>
    </w:p>
    <w:bookmarkStart w:id="4" w:name="page5"/>
    <w:bookmarkEnd w:id="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jc w:val="both"/>
        <w:ind w:right="20" w:firstLine="343"/>
        <w:spacing w:after="0" w:line="252" w:lineRule="auto"/>
        <w:rPr>
          <w:sz w:val="20"/>
          <w:szCs w:val="20"/>
          <w:color w:val="auto"/>
        </w:rPr>
      </w:pPr>
      <w:r>
        <w:rPr>
          <w:rFonts w:ascii="Times New Roman" w:cs="Times New Roman" w:eastAsia="Times New Roman" w:hAnsi="Times New Roman"/>
          <w:sz w:val="17"/>
          <w:szCs w:val="17"/>
          <w:color w:val="auto"/>
        </w:rPr>
        <w:t>The companies plan to conduct three trials using the VEGF Trap in combination with standard chemotherapy regimens; two of which are planned to begin as early as the second half of 2006, assuming successful completion of initial safety and tolerability studies. Three of these safety and tolerability combination studies were initiated in 2005 and two more began in the first quarter of 2006. The companies are also working with the National Cancer Institute (NCI) Cancer Therapeutics Evaluation Program to commence up to ten additional cancer trials in 2006.</w:t>
      </w:r>
    </w:p>
    <w:p>
      <w:pPr>
        <w:spacing w:after="0" w:line="86" w:lineRule="exact"/>
        <w:rPr>
          <w:sz w:val="20"/>
          <w:szCs w:val="20"/>
          <w:color w:val="auto"/>
        </w:rPr>
      </w:pPr>
    </w:p>
    <w:p>
      <w:pPr>
        <w:ind w:firstLine="343"/>
        <w:spacing w:after="0" w:line="248" w:lineRule="auto"/>
        <w:rPr>
          <w:sz w:val="20"/>
          <w:szCs w:val="20"/>
          <w:color w:val="auto"/>
        </w:rPr>
      </w:pPr>
      <w:r>
        <w:rPr>
          <w:rFonts w:ascii="Times New Roman" w:cs="Times New Roman" w:eastAsia="Times New Roman" w:hAnsi="Times New Roman"/>
          <w:sz w:val="17"/>
          <w:szCs w:val="17"/>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VEGF is secreted by many tumors to stimulate the growth of new blood vessels to support the tumor. Countering the effects of VEGF, thereby blocking the blood supply to tumors, has been shown to provide therapeutic benefits. This approach, of inhibiting angiogenesis as a mechanism of action for an oncology medicine, was validated in February 2004, when the FDA approved Genentech, Inc.’s VEGF inhibitor, Avastin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Avastin is an antibody product designed to inhibit VEGF and interfere with the blood supply to tumors.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 with the sanofi-aventis Group</w:t>
      </w:r>
    </w:p>
    <w:p>
      <w:pPr>
        <w:spacing w:after="0" w:line="119" w:lineRule="exact"/>
        <w:rPr>
          <w:sz w:val="20"/>
          <w:szCs w:val="20"/>
          <w:color w:val="auto"/>
        </w:rPr>
      </w:pPr>
    </w:p>
    <w:p>
      <w:pPr>
        <w:ind w:right="260" w:firstLine="343"/>
        <w:spacing w:after="0" w:line="252" w:lineRule="auto"/>
        <w:rPr>
          <w:sz w:val="20"/>
          <w:szCs w:val="20"/>
          <w:color w:val="auto"/>
        </w:rPr>
      </w:pPr>
      <w:r>
        <w:rPr>
          <w:rFonts w:ascii="Times New Roman" w:cs="Times New Roman" w:eastAsia="Times New Roman" w:hAnsi="Times New Roman"/>
          <w:sz w:val="17"/>
          <w:szCs w:val="17"/>
          <w:color w:val="auto"/>
        </w:rPr>
        <w:t>In September 2003, we entered into a collaboration agreement with Aventis Pharmaceuticals Inc. (now a member of the sanofi-aventis Group) to collaborate on the development and commercialization of the VEGF Trap in all countries other than Japan, where we retained the exclusive right to develop and commercialize the VEGF Trap. Sanofi-aventis made a non-refundable up-front payment of $80.0 million and purchased 2,799,552 newly issued unregistered shares of our Common Stock for $45.0 million.</w:t>
      </w:r>
    </w:p>
    <w:p>
      <w:pPr>
        <w:spacing w:after="0" w:line="86" w:lineRule="exact"/>
        <w:rPr>
          <w:sz w:val="20"/>
          <w:szCs w:val="20"/>
          <w:color w:val="auto"/>
        </w:rPr>
      </w:pPr>
    </w:p>
    <w:p>
      <w:pPr>
        <w:ind w:firstLine="343"/>
        <w:spacing w:after="0" w:line="256" w:lineRule="auto"/>
        <w:rPr>
          <w:sz w:val="20"/>
          <w:szCs w:val="20"/>
          <w:color w:val="auto"/>
        </w:rPr>
      </w:pPr>
      <w:r>
        <w:rPr>
          <w:rFonts w:ascii="Times New Roman" w:cs="Times New Roman" w:eastAsia="Times New Roman" w:hAnsi="Times New Roman"/>
          <w:sz w:val="17"/>
          <w:szCs w:val="17"/>
          <w:color w:val="auto"/>
        </w:rPr>
        <w:t>In January 2005, we and sanofi-aventis amended the collaboration agreement to exclude from the scope of the collaboration the development and commercialization of the VEGF Trap for intraocular delivery to the eye. In connection with the amendment, sanofi-aventis made a one-time payment to us of $25.0 million in January 2005, of which 50% is repayable to sanofi-aventis following commercialization of the VEGF Trap in accordance with the terms of the amendment.</w:t>
      </w:r>
    </w:p>
    <w:p>
      <w:pPr>
        <w:spacing w:after="0" w:line="83" w:lineRule="exact"/>
        <w:rPr>
          <w:sz w:val="20"/>
          <w:szCs w:val="20"/>
          <w:color w:val="auto"/>
        </w:rPr>
      </w:pPr>
    </w:p>
    <w:p>
      <w:pPr>
        <w:ind w:firstLine="343"/>
        <w:spacing w:after="0" w:line="252" w:lineRule="auto"/>
        <w:rPr>
          <w:sz w:val="20"/>
          <w:szCs w:val="20"/>
          <w:color w:val="auto"/>
        </w:rPr>
      </w:pPr>
      <w:r>
        <w:rPr>
          <w:rFonts w:ascii="Times New Roman" w:cs="Times New Roman" w:eastAsia="Times New Roman" w:hAnsi="Times New Roman"/>
          <w:sz w:val="17"/>
          <w:szCs w:val="17"/>
          <w:color w:val="auto"/>
        </w:rPr>
        <w:t>In December 2005, we and sanofi-aventis amended our collaboration agreement to expand the territory in which the companies are collaborating on the development of the VEGF Trap to include Japan. In connection with this amendment, sanofi-aventis agreed to make a $25.0 million non-refundable up-front payment to us, which was received in January 2006. We may also receive up to $40.0 million in milestone payments upon receipt of marketing approvals in Japan and a royalty of approximately 35% on annual sales of the VEGF Trap in Japan, subject to certain potential adjustments.</w:t>
      </w:r>
    </w:p>
    <w:p>
      <w:pPr>
        <w:spacing w:after="0" w:line="86" w:lineRule="exact"/>
        <w:rPr>
          <w:sz w:val="20"/>
          <w:szCs w:val="20"/>
          <w:color w:val="auto"/>
        </w:rPr>
      </w:pPr>
    </w:p>
    <w:p>
      <w:pPr>
        <w:ind w:right="80" w:firstLine="343"/>
        <w:spacing w:after="0" w:line="273" w:lineRule="auto"/>
        <w:rPr>
          <w:sz w:val="20"/>
          <w:szCs w:val="20"/>
          <w:color w:val="auto"/>
        </w:rPr>
      </w:pPr>
      <w:r>
        <w:rPr>
          <w:rFonts w:ascii="Times New Roman" w:cs="Times New Roman" w:eastAsia="Times New Roman" w:hAnsi="Times New Roman"/>
          <w:sz w:val="16"/>
          <w:szCs w:val="16"/>
          <w:color w:val="auto"/>
        </w:rPr>
        <w:t>Under the collaboration agreement, as amended, we and sanofi-aventis will share co-promotion rights and profits on sales, if any, of the VEGF Trap outside of Japan, for disease indications included in our collaboration. We may also receive up to $400.0 million in additional milestone payments upon receipt of specified marketing approvals, including up to $360.0 million in milestone payments for up to eight VEGF Trap indications in the United States or the European Union. In December 2004, we earned a $25.0 million payment from sanofi-aventis, which was received in January 2005, upon the achievement of an early-stage clinical milestone.</w:t>
      </w:r>
    </w:p>
    <w:p>
      <w:pPr>
        <w:spacing w:after="0" w:line="70" w:lineRule="exact"/>
        <w:rPr>
          <w:sz w:val="20"/>
          <w:szCs w:val="20"/>
          <w:color w:val="auto"/>
        </w:rPr>
      </w:pPr>
    </w:p>
    <w:p>
      <w:pPr>
        <w:ind w:right="20" w:firstLine="343"/>
        <w:spacing w:after="0" w:line="268" w:lineRule="auto"/>
        <w:rPr>
          <w:sz w:val="20"/>
          <w:szCs w:val="20"/>
          <w:color w:val="auto"/>
        </w:rPr>
      </w:pPr>
      <w:r>
        <w:rPr>
          <w:rFonts w:ascii="Times New Roman" w:cs="Times New Roman" w:eastAsia="Times New Roman" w:hAnsi="Times New Roman"/>
          <w:sz w:val="17"/>
          <w:szCs w:val="17"/>
          <w:color w:val="auto"/>
        </w:rPr>
        <w:t>Regeneron has agreed to continue to manufacture clinical supplies of the VEGF Trap at our plant in Rensselaer, New York. Sanofi-aventis has agreed to be responsible for providing commercial scale manufacturing capacity for the VEGF Trap.</w:t>
      </w:r>
    </w:p>
    <w:p>
      <w:pPr>
        <w:spacing w:after="0" w:line="73" w:lineRule="exact"/>
        <w:rPr>
          <w:sz w:val="20"/>
          <w:szCs w:val="20"/>
          <w:color w:val="auto"/>
        </w:rPr>
      </w:pPr>
    </w:p>
    <w:p>
      <w:pPr>
        <w:ind w:right="120" w:firstLine="343"/>
        <w:spacing w:after="0" w:line="250" w:lineRule="auto"/>
        <w:rPr>
          <w:sz w:val="20"/>
          <w:szCs w:val="20"/>
          <w:color w:val="auto"/>
        </w:rPr>
      </w:pPr>
      <w:r>
        <w:rPr>
          <w:rFonts w:ascii="Times New Roman" w:cs="Times New Roman" w:eastAsia="Times New Roman" w:hAnsi="Times New Roman"/>
          <w:sz w:val="17"/>
          <w:szCs w:val="17"/>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Since inception of the collaboration through December 31, 2005, we and sanofi-aventis have incurred $130.5 million in agreed upon development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expenses related to the VEGF Trap program.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w:t>
      </w:r>
    </w:p>
    <w:p>
      <w:pPr>
        <w:spacing w:after="0" w:line="33" w:lineRule="exact"/>
        <w:rPr>
          <w:sz w:val="20"/>
          <w:szCs w:val="20"/>
          <w:color w:val="auto"/>
        </w:rPr>
      </w:pPr>
    </w:p>
    <w:p>
      <w:pPr>
        <w:ind w:right="180" w:firstLine="343"/>
        <w:spacing w:after="0" w:line="300" w:lineRule="auto"/>
        <w:rPr>
          <w:sz w:val="20"/>
          <w:szCs w:val="20"/>
          <w:color w:val="auto"/>
        </w:rPr>
      </w:pPr>
      <w:r>
        <w:rPr>
          <w:rFonts w:ascii="Times New Roman" w:cs="Times New Roman" w:eastAsia="Times New Roman" w:hAnsi="Times New Roman"/>
          <w:sz w:val="16"/>
          <w:szCs w:val="16"/>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 VEGF Trap — Eye Diseases</w:t>
      </w:r>
    </w:p>
    <w:p>
      <w:pPr>
        <w:spacing w:after="0" w:line="69" w:lineRule="exact"/>
        <w:rPr>
          <w:sz w:val="20"/>
          <w:szCs w:val="20"/>
          <w:color w:val="auto"/>
        </w:rPr>
      </w:pPr>
    </w:p>
    <w:p>
      <w:pPr>
        <w:ind w:firstLine="343"/>
        <w:spacing w:after="0" w:line="256" w:lineRule="auto"/>
        <w:rPr>
          <w:sz w:val="20"/>
          <w:szCs w:val="20"/>
          <w:color w:val="auto"/>
        </w:rPr>
      </w:pPr>
      <w:r>
        <w:rPr>
          <w:rFonts w:ascii="Times New Roman" w:cs="Times New Roman" w:eastAsia="Times New Roman" w:hAnsi="Times New Roman"/>
          <w:sz w:val="17"/>
          <w:szCs w:val="17"/>
          <w:color w:val="auto"/>
        </w:rPr>
        <w:t>We are developing the VEGF Trap-Eye for the treatment of certain eye diseases. This product candidate has been purified and formulated in concentrations suitable for direct injection into the eye. We retain the exclusive right to develop and commercialize the VEGF Trap-Eye for the treatment of eye diseases utilizing local (intravitreal) delivery to the eye.</w:t>
      </w:r>
    </w:p>
    <w:p>
      <w:pPr>
        <w:spacing w:after="0" w:line="33" w:lineRule="exact"/>
        <w:rPr>
          <w:sz w:val="20"/>
          <w:szCs w:val="20"/>
          <w:color w:val="auto"/>
        </w:rPr>
      </w:pPr>
    </w:p>
    <w:p>
      <w:pPr>
        <w:ind w:right="20" w:firstLine="343"/>
        <w:spacing w:after="0" w:line="247" w:lineRule="auto"/>
        <w:rPr>
          <w:sz w:val="20"/>
          <w:szCs w:val="20"/>
          <w:color w:val="auto"/>
        </w:rPr>
      </w:pPr>
      <w:r>
        <w:rPr>
          <w:rFonts w:ascii="Times New Roman" w:cs="Times New Roman" w:eastAsia="Times New Roman" w:hAnsi="Times New Roman"/>
          <w:sz w:val="17"/>
          <w:szCs w:val="17"/>
          <w:color w:val="auto"/>
        </w:rPr>
        <w:t>In February 2006, we announced positive preliminary results from an ongoing phase 1 dose-escalation study of the VEGF Trap-Eye in patients with the neovascular form of age-related macular degeneration (wet AMD). The phase 1 trial is a two-part, dose-escalating study designed to assess the safety and tolerability of the VEGF Trap-Eye in patients with wet AMD. In part A of this trial, patients received a single dose of the VEGF Trap-Eye delivered by intravitreal injection into the eye, after which they are evaluated for three months to measure the durability of effects and provide guidance for dosing regimens to be used in future trials. A total of 21 patients received a single dose of VEGF Trap-Eye at doses up to 4 milligrams (mg) intravitreally. All dose levels were generally well tolerated, and a maximum tolerated dose was not reached in the study. Clinical investigators at a scientific conference recently reported positive preliminary results of this study at doses up to 2 mg. The investigators reported that patients receiving the VEGF Trap-Eye demonstrated rapid, substantial, and prolonged (up to four weeks) reductions in retinal thickness, a clinical measure of disease activity in wet AMD. Although dosing has been completed, patients in this trial are still being evaluated to measure the durability of drug effect (as measured by optical coherence tomography) pursuant to the study protocol.</w:t>
      </w:r>
    </w:p>
    <w:p>
      <w:pPr>
        <w:spacing w:after="0" w:line="40" w:lineRule="exact"/>
        <w:rPr>
          <w:sz w:val="20"/>
          <w:szCs w:val="20"/>
          <w:color w:val="auto"/>
        </w:rPr>
      </w:pPr>
    </w:p>
    <w:p>
      <w:pPr>
        <w:ind w:right="60" w:firstLine="343"/>
        <w:spacing w:after="0" w:line="256" w:lineRule="auto"/>
        <w:rPr>
          <w:sz w:val="20"/>
          <w:szCs w:val="20"/>
          <w:color w:val="auto"/>
        </w:rPr>
      </w:pPr>
      <w:r>
        <w:rPr>
          <w:rFonts w:ascii="Times New Roman" w:cs="Times New Roman" w:eastAsia="Times New Roman" w:hAnsi="Times New Roman"/>
          <w:sz w:val="17"/>
          <w:szCs w:val="17"/>
          <w:color w:val="auto"/>
        </w:rPr>
        <w:t>In February 2006, we initiated part B of the phase 1 trial. In this part of the trial, we plan to evaluate the safety and tolerability of a single intravitreal injection of the VEGF Trap-Eye compared with Macugen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(Eyetech Pharmaceuticals, Inc.), an approved treatment for wet AMD. We plan to initiate a phase 2 trial of the VEGF Trap-Eye delivered intravitreally in patients with wet AMD in the first half of 2006.</w:t>
      </w:r>
    </w:p>
    <w:p>
      <w:pPr>
        <w:spacing w:after="0" w:line="33" w:lineRule="exact"/>
        <w:rPr>
          <w:sz w:val="20"/>
          <w:szCs w:val="20"/>
          <w:color w:val="auto"/>
        </w:rPr>
      </w:pPr>
    </w:p>
    <w:p>
      <w:pPr>
        <w:jc w:val="both"/>
        <w:ind w:right="60" w:firstLine="343"/>
        <w:spacing w:after="0" w:line="256" w:lineRule="auto"/>
        <w:rPr>
          <w:sz w:val="20"/>
          <w:szCs w:val="20"/>
          <w:color w:val="auto"/>
        </w:rPr>
      </w:pPr>
      <w:r>
        <w:rPr>
          <w:rFonts w:ascii="Times New Roman" w:cs="Times New Roman" w:eastAsia="Times New Roman" w:hAnsi="Times New Roman"/>
          <w:sz w:val="17"/>
          <w:szCs w:val="17"/>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 has been approved to treat patients with this condition.</w:t>
      </w:r>
    </w:p>
    <w:p>
      <w:pPr>
        <w:spacing w:after="0" w:line="33" w:lineRule="exact"/>
        <w:rPr>
          <w:sz w:val="20"/>
          <w:szCs w:val="20"/>
          <w:color w:val="auto"/>
        </w:rPr>
      </w:pPr>
    </w:p>
    <w:p>
      <w:pPr>
        <w:jc w:val="both"/>
        <w:ind w:right="40" w:firstLine="343"/>
        <w:spacing w:after="0" w:line="250" w:lineRule="auto"/>
        <w:rPr>
          <w:sz w:val="20"/>
          <w:szCs w:val="20"/>
          <w:color w:val="auto"/>
        </w:rPr>
      </w:pPr>
      <w:r>
        <w:rPr>
          <w:rFonts w:ascii="Times New Roman" w:cs="Times New Roman" w:eastAsia="Times New Roman" w:hAnsi="Times New Roman"/>
          <w:sz w:val="17"/>
          <w:szCs w:val="17"/>
          <w:color w:val="auto"/>
        </w:rPr>
        <w:t>Wet AMD and Diabetic Retinopathy (DR) are two of the leading causes of adult blindness in the developed world. In both conditions, severe visual loss is caused by a combination of retinal edema and neovascular proliferation. It is estimated that, in the U.S., 6% of individuals aged 65-74 and 20% of those older than 75 are affected with wet AMD. DR is a major complication of diabetes mellitus that can lead to significant vision impairment. DR is characterized, in part, by vascular leakage, which results in the collection of fluid in the retina. When the macula, the central area that is responsible for fine visual acuity, is involved, loss of visual acuity occurs. This is referred to as Diabetic Macular Edema (DME). DME is the most prevalent cause of moderate visual loss in patients with diabetes.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3. IL-1 Trap — Inflammatory Diseases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IL-1 Trap is a protein-based product candidate designed to bind the interleukin-1 (called IL-1) cytokine and prevent its interaction with cell surface receptors.</w:t>
      </w:r>
    </w:p>
    <w:p>
      <w:pPr>
        <w:spacing w:after="0" w:line="65" w:lineRule="exact"/>
        <w:rPr>
          <w:sz w:val="20"/>
          <w:szCs w:val="20"/>
          <w:color w:val="auto"/>
        </w:rPr>
      </w:pPr>
    </w:p>
    <w:p>
      <w:pPr>
        <w:ind w:right="60" w:firstLine="343"/>
        <w:spacing w:after="0" w:line="256" w:lineRule="auto"/>
        <w:rPr>
          <w:sz w:val="20"/>
          <w:szCs w:val="20"/>
          <w:color w:val="auto"/>
        </w:rPr>
      </w:pPr>
      <w:r>
        <w:rPr>
          <w:rFonts w:ascii="Times New Roman" w:cs="Times New Roman" w:eastAsia="Times New Roman" w:hAnsi="Times New Roman"/>
          <w:sz w:val="17"/>
          <w:szCs w:val="17"/>
          <w:color w:val="auto"/>
        </w:rPr>
        <w:t xml:space="preserve">We are evaluating the IL-1 Trap in a number of diseases and disorders where IL-1 may play an important role, including diseases associated with inflammation. These diseases include Systemic Juvenile Idiopathic Arthritis (SJIA), Polymyalgia Rheumatica (PMR), certain inflammatory vascular diseases, and a spectrum of rare diseases called </w:t>
      </w:r>
      <w:r>
        <w:rPr>
          <w:rFonts w:ascii="Times New Roman" w:cs="Times New Roman" w:eastAsia="Times New Roman" w:hAnsi="Times New Roman"/>
          <w:sz w:val="17"/>
          <w:szCs w:val="17"/>
          <w:i w:val="1"/>
          <w:iCs w:val="1"/>
          <w:color w:val="auto"/>
        </w:rPr>
        <w:t>CIAS</w:t>
      </w:r>
      <w:r>
        <w:rPr>
          <w:rFonts w:ascii="Times New Roman" w:cs="Times New Roman" w:eastAsia="Times New Roman" w:hAnsi="Times New Roman"/>
          <w:sz w:val="17"/>
          <w:szCs w:val="17"/>
          <w:color w:val="auto"/>
        </w:rPr>
        <w:t>1-Associated Periodic Syndrome (CAPS).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6" w:name="page7"/>
    <w:bookmarkEnd w:id="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right="260" w:firstLine="343"/>
        <w:spacing w:after="0" w:line="256" w:lineRule="auto"/>
        <w:rPr>
          <w:sz w:val="20"/>
          <w:szCs w:val="20"/>
          <w:color w:val="auto"/>
        </w:rPr>
      </w:pPr>
      <w:r>
        <w:rPr>
          <w:rFonts w:ascii="Times New Roman" w:cs="Times New Roman" w:eastAsia="Times New Roman" w:hAnsi="Times New Roman"/>
          <w:sz w:val="17"/>
          <w:szCs w:val="17"/>
          <w:color w:val="auto"/>
        </w:rPr>
        <w:t>In the fourth quarter of 2005, we initiated a pivotal study of the IL-1 Trap in patients with CAPS. This study will include a six-month, placebo-controlled efficacy phase, followed by a six-month open-label extension phase. We plan to complete the efficacy phase of this trial by the end of 2006. In December 2004, the FDA granted orphan drug status to the IL-1 Trap for the treatment of CAPS.</w:t>
      </w:r>
    </w:p>
    <w:p>
      <w:pPr>
        <w:spacing w:after="0" w:line="83" w:lineRule="exact"/>
        <w:rPr>
          <w:sz w:val="20"/>
          <w:szCs w:val="20"/>
          <w:color w:val="auto"/>
        </w:rPr>
      </w:pPr>
    </w:p>
    <w:p>
      <w:pPr>
        <w:ind w:right="240" w:firstLine="343"/>
        <w:spacing w:after="0" w:line="268" w:lineRule="auto"/>
        <w:rPr>
          <w:sz w:val="20"/>
          <w:szCs w:val="20"/>
          <w:color w:val="auto"/>
        </w:rPr>
      </w:pPr>
      <w:r>
        <w:rPr>
          <w:rFonts w:ascii="Times New Roman" w:cs="Times New Roman" w:eastAsia="Times New Roman" w:hAnsi="Times New Roman"/>
          <w:sz w:val="17"/>
          <w:szCs w:val="17"/>
          <w:color w:val="auto"/>
        </w:rPr>
        <w:t>We currently have underway proof-of-concept trials of the IL-1 Trap in patients with SJIA and PMR. In April 2005, the FDA granted orphan drug status to the IL-1 Trap for the treatment of SJIA. Following successful completion of these trials, we may initiate additional trials for these indications.</w:t>
      </w:r>
    </w:p>
    <w:p>
      <w:pPr>
        <w:spacing w:after="0" w:line="72" w:lineRule="exact"/>
        <w:rPr>
          <w:sz w:val="20"/>
          <w:szCs w:val="20"/>
          <w:color w:val="auto"/>
        </w:rPr>
      </w:pPr>
    </w:p>
    <w:p>
      <w:pPr>
        <w:ind w:right="40" w:firstLine="343"/>
        <w:spacing w:after="0" w:line="249" w:lineRule="auto"/>
        <w:rPr>
          <w:sz w:val="20"/>
          <w:szCs w:val="20"/>
          <w:color w:val="auto"/>
        </w:rPr>
      </w:pPr>
      <w:r>
        <w:rPr>
          <w:rFonts w:ascii="Times New Roman" w:cs="Times New Roman" w:eastAsia="Times New Roman" w:hAnsi="Times New Roman"/>
          <w:sz w:val="17"/>
          <w:szCs w:val="17"/>
          <w:color w:val="auto"/>
        </w:rPr>
        <w:t>An IL-1 receptor antagonist, Kineret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(Amgen Inc.), has been approved by the FDA for the treatment of rheumatoid arthritis. It has been publicly reported that in small trials, Kineret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appears to reduce the symptoms in CAPS patients and SJIA patients, which supports the role of IL-1 in these diseases. CAPS includes rare genetic disorders, such as Familial Cold Auto-Inflammatory Syndrome (FCAS), Muckle Wells Syndrome, and Neonatal Onset Multisystem Inflammatory Disorder (NOMID), which affect a small group of people. Patients with these disorders develop fever, joint aches, headaches, and rashes. In certain indications, these symptoms can be extremely serious. There are no currently approved therapies for CAPS. SJIA is a severe inflammatory disorder, which may be debilitating or fatal. It is estimated that there are between 5,000 and 10,000 children with SJIA in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Research Technologies:</w:t>
      </w:r>
    </w:p>
    <w:p>
      <w:pPr>
        <w:spacing w:after="0" w:line="119" w:lineRule="exact"/>
        <w:rPr>
          <w:sz w:val="20"/>
          <w:szCs w:val="20"/>
          <w:color w:val="auto"/>
        </w:rPr>
      </w:pPr>
    </w:p>
    <w:p>
      <w:pPr>
        <w:ind w:right="260" w:firstLine="343"/>
        <w:spacing w:after="0" w:line="248" w:lineRule="auto"/>
        <w:rPr>
          <w:sz w:val="20"/>
          <w:szCs w:val="20"/>
          <w:color w:val="auto"/>
        </w:rPr>
      </w:pPr>
      <w:r>
        <w:rPr>
          <w:rFonts w:ascii="Times New Roman" w:cs="Times New Roman" w:eastAsia="Times New Roman" w:hAnsi="Times New Roman"/>
          <w:sz w:val="17"/>
          <w:szCs w:val="17"/>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92" w:lineRule="exact"/>
        <w:rPr>
          <w:sz w:val="20"/>
          <w:szCs w:val="20"/>
          <w:color w:val="auto"/>
        </w:rPr>
      </w:pPr>
    </w:p>
    <w:p>
      <w:pPr>
        <w:ind w:firstLine="343"/>
        <w:spacing w:after="0" w:line="248" w:lineRule="auto"/>
        <w:rPr>
          <w:sz w:val="20"/>
          <w:szCs w:val="20"/>
          <w:color w:val="auto"/>
        </w:rPr>
      </w:pPr>
      <w:r>
        <w:rPr>
          <w:rFonts w:ascii="Times New Roman" w:cs="Times New Roman" w:eastAsia="Times New Roman" w:hAnsi="Times New Roman"/>
          <w:sz w:val="17"/>
          <w:szCs w:val="17"/>
          <w:color w:val="auto"/>
        </w:rPr>
        <w:t>Regeneron scientists have developed two different technologies to design protein therapeutics to block the action of specific secreted proteins. The first technology, termed the “Trap” technology, was used to generate our current clinical pipeline, including the VEGF Trap, the VEGF Trap-Eye, and the IL-1 Trap. These novel “Traps” are composed of fusions between two distinct receptor components and the constant region of an antibody molecule called the “Fc region”, resulting in high affinity product candidates. Our new technology for designing protein therapeutics focuses on the production of fully human monoclonal antibodies. With the global market for approved monoclonal antibody therapeutics exceeding $11 billion, there is a growing demand for monoclonal antibody technologies to help turn genomic discoveries into product candidates. We call our technology VelocImmune</w:t>
      </w:r>
      <w:r>
        <w:rPr>
          <w:rFonts w:ascii="Times New Roman" w:cs="Times New Roman" w:eastAsia="Times New Roman" w:hAnsi="Times New Roman"/>
          <w:sz w:val="9"/>
          <w:szCs w:val="9"/>
          <w:color w:val="auto"/>
        </w:rPr>
        <w:t>TM</w:t>
      </w:r>
      <w:r>
        <w:rPr>
          <w:rFonts w:ascii="Times New Roman" w:cs="Times New Roman" w:eastAsia="Times New Roman" w:hAnsi="Times New Roman"/>
          <w:sz w:val="17"/>
          <w:szCs w:val="17"/>
          <w:color w:val="auto"/>
        </w:rPr>
        <w:t xml:space="preserve"> and, as described below, believe that it is a unique way of generating a wide variety of high affinity therapeutic, human monoclonal antibodies.</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VelocImmune</w:t>
      </w:r>
      <w:r>
        <w:rPr>
          <w:rFonts w:ascii="Times New Roman" w:cs="Times New Roman" w:eastAsia="Times New Roman" w:hAnsi="Times New Roman"/>
          <w:sz w:val="9"/>
          <w:szCs w:val="9"/>
          <w:b w:val="1"/>
          <w:bCs w:val="1"/>
          <w:i w:val="1"/>
          <w:iCs w:val="1"/>
          <w:color w:val="auto"/>
        </w:rPr>
        <w:t>TM</w:t>
      </w:r>
      <w:r>
        <w:rPr>
          <w:rFonts w:ascii="Times New Roman" w:cs="Times New Roman" w:eastAsia="Times New Roman" w:hAnsi="Times New Roman"/>
          <w:sz w:val="17"/>
          <w:szCs w:val="17"/>
          <w:b w:val="1"/>
          <w:bCs w:val="1"/>
          <w:i w:val="1"/>
          <w:iCs w:val="1"/>
          <w:color w:val="auto"/>
        </w:rPr>
        <w:t xml:space="preserve"> (Human Monoclonal Antibodies)</w:t>
      </w:r>
    </w:p>
    <w:p>
      <w:pPr>
        <w:spacing w:after="0" w:line="119" w:lineRule="exact"/>
        <w:rPr>
          <w:sz w:val="20"/>
          <w:szCs w:val="20"/>
          <w:color w:val="auto"/>
        </w:rPr>
      </w:pPr>
    </w:p>
    <w:p>
      <w:pPr>
        <w:ind w:right="180" w:firstLine="343"/>
        <w:spacing w:after="0" w:line="248" w:lineRule="auto"/>
        <w:rPr>
          <w:sz w:val="20"/>
          <w:szCs w:val="20"/>
          <w:color w:val="auto"/>
        </w:rPr>
      </w:pPr>
      <w:r>
        <w:rPr>
          <w:rFonts w:ascii="Times New Roman" w:cs="Times New Roman" w:eastAsia="Times New Roman" w:hAnsi="Times New Roman"/>
          <w:sz w:val="17"/>
          <w:szCs w:val="17"/>
          <w:color w:val="auto"/>
        </w:rPr>
        <w:t>We have developed a novel mouse technology platform, called VelocImmune, for producing fully human monoclonal antibodies. The VelocImmune mouse platform was generated by exploiting our VelociGene technology platform (see below), in a process in which several megabases of mouse immune gene loci were replaced or “humanized” with corresponding human immune gene loci. The VelocImmune mice can be used to efficiently generate fully human monoclonal antibodies to targets of therapeutic interest. VelocImmune and our related technologies offer the potential to increase the speed and efficiency through which human monoclonal antibody therapeutics may be discovered and validated, thereby improving the overall efficiency of our early stage drug development activities. We are utilizing the VelocImmune technology to produce our next generation of drug candidates for preclinical development and are exploring the possibility of entering into licensing or collaborative arrangements with third parties related to VelocImmune and related technologies.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VelociGene</w:t>
      </w:r>
      <w:r>
        <w:rPr>
          <w:rFonts w:ascii="Times New Roman" w:cs="Times New Roman" w:eastAsia="Times New Roman" w:hAnsi="Times New Roman"/>
          <w:sz w:val="9"/>
          <w:szCs w:val="9"/>
          <w:b w:val="1"/>
          <w:bCs w:val="1"/>
          <w:i w:val="1"/>
          <w:iCs w:val="1"/>
          <w:color w:val="auto"/>
        </w:rPr>
        <w:t>TM</w:t>
      </w:r>
      <w:r>
        <w:rPr>
          <w:rFonts w:ascii="Times New Roman" w:cs="Times New Roman" w:eastAsia="Times New Roman" w:hAnsi="Times New Roman"/>
          <w:sz w:val="17"/>
          <w:szCs w:val="17"/>
          <w:b w:val="1"/>
          <w:bCs w:val="1"/>
          <w:i w:val="1"/>
          <w:iCs w:val="1"/>
          <w:color w:val="auto"/>
        </w:rPr>
        <w:t xml:space="preserve"> and VelociMouse</w:t>
      </w:r>
      <w:r>
        <w:rPr>
          <w:rFonts w:ascii="Times New Roman" w:cs="Times New Roman" w:eastAsia="Times New Roman" w:hAnsi="Times New Roman"/>
          <w:sz w:val="9"/>
          <w:szCs w:val="9"/>
          <w:b w:val="1"/>
          <w:bCs w:val="1"/>
          <w:i w:val="1"/>
          <w:iCs w:val="1"/>
          <w:color w:val="auto"/>
        </w:rPr>
        <w:t>TM</w:t>
      </w:r>
      <w:r>
        <w:rPr>
          <w:rFonts w:ascii="Times New Roman" w:cs="Times New Roman" w:eastAsia="Times New Roman" w:hAnsi="Times New Roman"/>
          <w:sz w:val="17"/>
          <w:szCs w:val="17"/>
          <w:b w:val="1"/>
          <w:bCs w:val="1"/>
          <w:i w:val="1"/>
          <w:iCs w:val="1"/>
          <w:color w:val="auto"/>
        </w:rPr>
        <w:t xml:space="preserve"> (Target Validation)</w:t>
      </w:r>
    </w:p>
    <w:p>
      <w:pPr>
        <w:spacing w:after="0" w:line="119"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Our VelociGene platform allows custom and precise manipulation of very large sequences of DNA to produce highly customized alterations of a specified target gene and accelerates the production of knock-out and transgenic 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VelociGene offers the opportunity to humanize targets by replacing the mouse gene with the human homolog. Thus, VelociGene allows scientists to rapidly identify the physical and biological effects of deleting or over-expressing the target gene, as well as to characterize and test potential therapeutic molecules.</w:t>
      </w:r>
    </w:p>
    <w:p>
      <w:pPr>
        <w:spacing w:after="0" w:line="89" w:lineRule="exact"/>
        <w:rPr>
          <w:sz w:val="20"/>
          <w:szCs w:val="20"/>
          <w:color w:val="auto"/>
        </w:rPr>
      </w:pPr>
    </w:p>
    <w:p>
      <w:pPr>
        <w:ind w:left="680" w:right="40" w:firstLine="398"/>
        <w:spacing w:after="0" w:line="256" w:lineRule="auto"/>
        <w:rPr>
          <w:sz w:val="20"/>
          <w:szCs w:val="20"/>
          <w:color w:val="auto"/>
        </w:rPr>
      </w:pPr>
      <w:r>
        <w:rPr>
          <w:rFonts w:ascii="Times New Roman" w:cs="Times New Roman" w:eastAsia="Times New Roman" w:hAnsi="Times New Roman"/>
          <w:sz w:val="17"/>
          <w:szCs w:val="17"/>
          <w:color w:val="auto"/>
        </w:rPr>
        <w:t>The VelociMouse technology also allows for the direct and immediate generation of genetically altered mice from ES cells, avoiding the lengthy process involved in generating and breeding knock-out mice from chimeras. Mice generated through this method are normal and healthy and exhibit a 100% germ-line transmission frequency. Furthermore, Regeneron’s Velocimice are suitable for direct phenotyping or other studies.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Cell Line Expression Technologies</w:t>
      </w:r>
    </w:p>
    <w:p>
      <w:pPr>
        <w:spacing w:after="0" w:line="119" w:lineRule="exact"/>
        <w:rPr>
          <w:sz w:val="20"/>
          <w:szCs w:val="20"/>
          <w:color w:val="auto"/>
        </w:rPr>
      </w:pPr>
    </w:p>
    <w:p>
      <w:pPr>
        <w:ind w:left="680" w:right="200" w:firstLine="398"/>
        <w:spacing w:after="0" w:line="252" w:lineRule="auto"/>
        <w:rPr>
          <w:sz w:val="20"/>
          <w:szCs w:val="20"/>
          <w:color w:val="auto"/>
        </w:rPr>
      </w:pPr>
      <w:r>
        <w:rPr>
          <w:rFonts w:ascii="Times New Roman" w:cs="Times New Roman" w:eastAsia="Times New Roman" w:hAnsi="Times New Roman"/>
          <w:sz w:val="17"/>
          <w:szCs w:val="17"/>
          <w:color w:val="auto"/>
        </w:rPr>
        <w:t>Many proteins that are of potential pharmaceutical value are proteins which are “secreted” from the cells into the bloodstream. Examples of secreted proteins include growth factors (such as insulin and growth hormone) and antibodies. Current technologies for the isolation of cells engineered to produce high levels of secreted proteins are both laborious and time consuming. We have developed enabling platforms for the high-throughput, rapid generation of high-producing cell lines for our Traps and VelocImmune Human Monoclonal Antibodies.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u w:val="single" w:color="auto"/>
          <w:color w:val="auto"/>
        </w:rPr>
        <w:t>Research Programs</w:t>
      </w:r>
      <w:r>
        <w:rPr>
          <w:rFonts w:ascii="Times New Roman" w:cs="Times New Roman" w:eastAsia="Times New Roman" w:hAnsi="Times New Roman"/>
          <w:sz w:val="17"/>
          <w:szCs w:val="17"/>
          <w:b w:val="1"/>
          <w:bCs w:val="1"/>
          <w:color w:val="auto"/>
        </w:rPr>
        <w:t>:</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Oncology and Angiogenesis</w:t>
      </w:r>
    </w:p>
    <w:p>
      <w:pPr>
        <w:spacing w:after="0" w:line="119" w:lineRule="exact"/>
        <w:rPr>
          <w:sz w:val="20"/>
          <w:szCs w:val="20"/>
          <w:color w:val="auto"/>
        </w:rPr>
      </w:pPr>
    </w:p>
    <w:p>
      <w:pPr>
        <w:ind w:left="680" w:right="20" w:firstLine="398"/>
        <w:spacing w:after="0" w:line="247" w:lineRule="auto"/>
        <w:rPr>
          <w:sz w:val="20"/>
          <w:szCs w:val="20"/>
          <w:color w:val="auto"/>
        </w:rPr>
      </w:pPr>
      <w:r>
        <w:rPr>
          <w:rFonts w:ascii="Times New Roman" w:cs="Times New Roman" w:eastAsia="Times New Roman" w:hAnsi="Times New Roman"/>
          <w:sz w:val="17"/>
          <w:szCs w:val="17"/>
          <w:color w:val="auto"/>
        </w:rPr>
        <w:t>In many clinical settings, positively or negatively regulating blood vessel growth could have important therapeutic benefits, as could the repair of damaged and leaky vessels. Vascular Endothelial Growth Factor (VEGF) was the first growth factor shown to be specific for blood vessels, by virtue of having its receptor specifically expressed on blood vessel cells. In 1994, we discovered a second family of angiogenic growth factors, termed the Angiopoietins, and we have received patents covering members of this family. The Angiopoietins include naturally occurring positive and negative regulators of angiogenesis, as described in numerous scientific manuscripts published by our scientists and their collaborators. The Angiopoietins are being evaluated in preclinical research by us and our academic collaborators. Our preclinical studies have revealed that VEGF and the Angiopoietins normally function in a coordinated and collaborative manner during blood vessel growth. In terms of blocking vessel growth, manipulation of both VEGF and Angiopoietins seems to be of value. We have research programs focusing on several targets in the areas of oncology and angiogenesis.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Metabolic and Related Diseases</w:t>
      </w:r>
    </w:p>
    <w:p>
      <w:pPr>
        <w:spacing w:after="0" w:line="119" w:lineRule="exact"/>
        <w:rPr>
          <w:sz w:val="20"/>
          <w:szCs w:val="20"/>
          <w:color w:val="auto"/>
        </w:rPr>
      </w:pPr>
    </w:p>
    <w:p>
      <w:pPr>
        <w:ind w:left="680" w:right="160" w:firstLine="398"/>
        <w:spacing w:after="0" w:line="248" w:lineRule="auto"/>
        <w:rPr>
          <w:sz w:val="20"/>
          <w:szCs w:val="20"/>
          <w:color w:val="auto"/>
        </w:rPr>
      </w:pPr>
      <w:r>
        <w:rPr>
          <w:rFonts w:ascii="Times New Roman" w:cs="Times New Roman" w:eastAsia="Times New Roman" w:hAnsi="Times New Roman"/>
          <w:sz w:val="17"/>
          <w:szCs w:val="17"/>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the integration of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potential antibodies to evaluate in preclinical studies.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Muscle Diseases and Disorders</w:t>
      </w:r>
    </w:p>
    <w:p>
      <w:pPr>
        <w:spacing w:after="0" w:line="119" w:lineRule="exact"/>
        <w:rPr>
          <w:sz w:val="20"/>
          <w:szCs w:val="20"/>
          <w:color w:val="auto"/>
        </w:rPr>
      </w:pPr>
    </w:p>
    <w:p>
      <w:pPr>
        <w:ind w:left="680" w:right="180" w:firstLine="398"/>
        <w:spacing w:after="0" w:line="268" w:lineRule="auto"/>
        <w:rPr>
          <w:sz w:val="20"/>
          <w:szCs w:val="20"/>
          <w:color w:val="auto"/>
        </w:rPr>
      </w:pPr>
      <w:r>
        <w:rPr>
          <w:rFonts w:ascii="Times New Roman" w:cs="Times New Roman" w:eastAsia="Times New Roman" w:hAnsi="Times New Roman"/>
          <w:sz w:val="17"/>
          <w:szCs w:val="17"/>
          <w:color w:val="auto"/>
        </w:rPr>
        <w:t>Muscle atrophy occurs in many neuromuscular diseases and also when muscle is unused, as often occurs during prolonged hospital stays and during convalescence. Currently, physicians have few options to treat subjects</w:t>
      </w:r>
    </w:p>
    <w:p>
      <w:pPr>
        <w:spacing w:after="0" w:line="3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8" w:name="page9"/>
    <w:bookmarkEnd w:id="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60"/>
        <w:spacing w:after="0" w:line="250" w:lineRule="auto"/>
        <w:rPr>
          <w:sz w:val="20"/>
          <w:szCs w:val="20"/>
          <w:color w:val="auto"/>
        </w:rPr>
      </w:pPr>
      <w:r>
        <w:rPr>
          <w:rFonts w:ascii="Times New Roman" w:cs="Times New Roman" w:eastAsia="Times New Roman" w:hAnsi="Times New Roman"/>
          <w:sz w:val="17"/>
          <w:szCs w:val="17"/>
          <w:color w:val="auto"/>
        </w:rPr>
        <w:t>with muscle atrophy or other muscle conditions which afflict millions of people globally. Thus, a treatment that has beneficial effects on skeletal muscle could have significant clinical benefit. Our muscle research program is currently focused on conducting in vivo and in vitro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Other Therapeutic Areas</w:t>
      </w:r>
    </w:p>
    <w:p>
      <w:pPr>
        <w:spacing w:after="0" w:line="119" w:lineRule="exact"/>
        <w:rPr>
          <w:sz w:val="20"/>
          <w:szCs w:val="20"/>
          <w:color w:val="auto"/>
        </w:rPr>
      </w:pPr>
    </w:p>
    <w:p>
      <w:pPr>
        <w:ind w:left="680" w:right="440" w:firstLine="398"/>
        <w:spacing w:after="0" w:line="268" w:lineRule="auto"/>
        <w:rPr>
          <w:sz w:val="20"/>
          <w:szCs w:val="20"/>
          <w:color w:val="auto"/>
        </w:rPr>
      </w:pPr>
      <w:r>
        <w:rPr>
          <w:rFonts w:ascii="Times New Roman" w:cs="Times New Roman" w:eastAsia="Times New Roman" w:hAnsi="Times New Roman"/>
          <w:sz w:val="17"/>
          <w:szCs w:val="17"/>
          <w:color w:val="auto"/>
        </w:rPr>
        <w:t>We have research programs focusing on inflammatory and immune diseases, pain, bone and cartilage, ophthalmology, and cardiovascular diseases.</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19" w:lineRule="exact"/>
        <w:rPr>
          <w:sz w:val="20"/>
          <w:szCs w:val="20"/>
          <w:color w:val="auto"/>
        </w:rPr>
      </w:pPr>
    </w:p>
    <w:p>
      <w:pPr>
        <w:ind w:left="680" w:right="120" w:firstLine="398"/>
        <w:spacing w:after="0" w:line="248" w:lineRule="auto"/>
        <w:rPr>
          <w:sz w:val="20"/>
          <w:szCs w:val="20"/>
          <w:color w:val="auto"/>
        </w:rPr>
      </w:pPr>
      <w:r>
        <w:rPr>
          <w:rFonts w:ascii="Times New Roman" w:cs="Times New Roman" w:eastAsia="Times New Roman" w:hAnsi="Times New Roman"/>
          <w:sz w:val="17"/>
          <w:szCs w:val="17"/>
          <w:color w:val="auto"/>
        </w:rPr>
        <w:t>In 1993, we purchased our 104,000 square foot Rensselaer, New York manufacturing facility, and in 2003 completed a 19,500 square foot expansion. This facility is used to manufacture therapeutic candidates for our own preclinical and clinical studies. We also use the facility to manufacture a product for Merck &amp; Co., Inc. under a contract that expires in October 2006. In July 2002, we leased 75,000 square feet in a building near our Rensselaer facility which is being used for the manufacture of Traps and for warehouse space. At December 31, 2005, we employed 230 people at these owned and leased manufacturing facilities. There were no impairment losses associated with long-lived assets at these facilities as of December 31, 2005.</w:t>
      </w:r>
    </w:p>
    <w:p>
      <w:pPr>
        <w:spacing w:after="0" w:line="92" w:lineRule="exact"/>
        <w:rPr>
          <w:sz w:val="20"/>
          <w:szCs w:val="20"/>
          <w:color w:val="auto"/>
        </w:rPr>
      </w:pPr>
    </w:p>
    <w:p>
      <w:pPr>
        <w:ind w:left="680" w:right="200" w:firstLine="398"/>
        <w:spacing w:after="0" w:line="248" w:lineRule="auto"/>
        <w:rPr>
          <w:sz w:val="20"/>
          <w:szCs w:val="20"/>
          <w:color w:val="auto"/>
        </w:rPr>
      </w:pPr>
      <w:r>
        <w:rPr>
          <w:rFonts w:ascii="Times New Roman" w:cs="Times New Roman" w:eastAsia="Times New Roman" w:hAnsi="Times New Roman"/>
          <w:sz w:val="17"/>
          <w:szCs w:val="17"/>
          <w:color w:val="auto"/>
        </w:rPr>
        <w:t>In 1995, we entered into a long-term manufacturing agreement with Merck (called, as amended, the Merck Agreement) to produce an intermediate for a Merck pediatric vaccine at our Rensselaer facility. In February 2005, we and Merck extended the Merck Agreement through October 2006. Merck pays us an annual facility fee of $1.0 million (plus annual adjustments for inflation), reimburses us for certain manufacturing costs, pays us a variable fee based on the quantity of intermediate supplied to Merck, subject to certain minimum order quantities each year, and makes certain additional payments. We recognized contract manufacturing revenue related to the Merck Agreement of $13.7 million in 2005, $18.1 million in 2004, and $10.1 million in 2003.</w:t>
      </w:r>
    </w:p>
    <w:p>
      <w:pPr>
        <w:spacing w:after="0" w:line="92" w:lineRule="exact"/>
        <w:rPr>
          <w:sz w:val="20"/>
          <w:szCs w:val="20"/>
          <w:color w:val="auto"/>
        </w:rPr>
      </w:pPr>
    </w:p>
    <w:p>
      <w:pPr>
        <w:ind w:left="680" w:right="100" w:firstLine="398"/>
        <w:spacing w:after="0" w:line="267" w:lineRule="auto"/>
        <w:rPr>
          <w:sz w:val="20"/>
          <w:szCs w:val="20"/>
          <w:color w:val="auto"/>
        </w:rPr>
      </w:pPr>
      <w:r>
        <w:rPr>
          <w:rFonts w:ascii="Times New Roman" w:cs="Times New Roman" w:eastAsia="Times New Roman" w:hAnsi="Times New Roman"/>
          <w:sz w:val="16"/>
          <w:szCs w:val="16"/>
          <w:color w:val="auto"/>
        </w:rPr>
        <w:t>Among the conditions for regulatory marketing approval of a medicine is the requirement that the prospective manufacturer’s quality control and manufacturing procedures conform to the GMP regulations of the health authority. In complying with standards set forth in these regulations, manufacturers must continue to expend time, money, and effort in the area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will have a material adverse effect on our financial condition, results of operations, and cash flow.</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9" w:lineRule="exact"/>
        <w:rPr>
          <w:sz w:val="20"/>
          <w:szCs w:val="20"/>
          <w:color w:val="auto"/>
        </w:rPr>
      </w:pPr>
    </w:p>
    <w:p>
      <w:pPr>
        <w:ind w:left="680" w:firstLine="398"/>
        <w:spacing w:after="0" w:line="263" w:lineRule="auto"/>
        <w:rPr>
          <w:sz w:val="20"/>
          <w:szCs w:val="20"/>
          <w:color w:val="auto"/>
        </w:rPr>
      </w:pPr>
      <w:r>
        <w:rPr>
          <w:rFonts w:ascii="Times New Roman" w:cs="Times New Roman" w:eastAsia="Times New Roman" w:hAnsi="Times New Roman"/>
          <w:sz w:val="16"/>
          <w:szCs w:val="16"/>
          <w:color w:val="auto"/>
        </w:rPr>
        <w:t xml:space="preserve">There is substantial competition in the biotechnology and pharmaceutical industries from pharmaceutical, biotechnology, and chemical companies (see “Risk Factors — </w:t>
      </w:r>
      <w:r>
        <w:rPr>
          <w:rFonts w:ascii="Times New Roman" w:cs="Times New Roman" w:eastAsia="Times New Roman" w:hAnsi="Times New Roman"/>
          <w:sz w:val="16"/>
          <w:szCs w:val="16"/>
          <w:i w:val="1"/>
          <w:iCs w:val="1"/>
          <w:color w:val="auto"/>
        </w:rPr>
        <w:t>Even if our product candidates are ever approved, their commercial success is highly uncertain because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competitors may get to the marketplace before we do with better or lower cost drugs or the market for our product candidates may be too small to support commercialization or sufficient profitability</w:t>
      </w:r>
      <w:r>
        <w:rPr>
          <w:rFonts w:ascii="Times New Roman" w:cs="Times New Roman" w:eastAsia="Times New Roman" w:hAnsi="Times New Roman"/>
          <w:sz w:val="16"/>
          <w:szCs w:val="16"/>
          <w:color w:val="auto"/>
        </w:rPr>
        <w:t>.”). Our competitors may include Genentech, Novartis Pharma AG, Pfizer Inc., Eyetech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Pharmaceuticals, Inc. (now part of OSI Pharmaceuticals, Inc.), the Bayer Group, Onyx Pharmaceuticals, Inc., Abbott Laboratories, sanofi-aventis, Merck, Amgen, Roche,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w:t>
      </w:r>
    </w:p>
    <w:p>
      <w:pPr>
        <w:spacing w:after="0" w:line="3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9" w:name="page10"/>
    <w:bookmarkEnd w:id="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product candidates approved for sale will also be based on efficacy, safety, reliability, availability, price, patent position, and other factors.</w:t>
      </w:r>
    </w:p>
    <w:p>
      <w:pPr>
        <w:spacing w:after="0" w:line="113" w:lineRule="exact"/>
        <w:rPr>
          <w:sz w:val="20"/>
          <w:szCs w:val="20"/>
          <w:color w:val="auto"/>
        </w:rPr>
      </w:pPr>
    </w:p>
    <w:p>
      <w:pPr>
        <w:ind w:left="680" w:right="160" w:firstLine="398"/>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VEGF Trap and VEGF Trap-Eye. </w:t>
      </w:r>
      <w:r>
        <w:rPr>
          <w:rFonts w:ascii="Times New Roman" w:cs="Times New Roman" w:eastAsia="Times New Roman" w:hAnsi="Times New Roman"/>
          <w:sz w:val="17"/>
          <w:szCs w:val="17"/>
          <w:color w:val="auto"/>
        </w:rPr>
        <w:t>Many companies are developing therapeutic molecules designed to block the actions of VEGF specifically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angiogenesis in general. A variety of approaches have been employed, including antibodies to VEGF, antibodies to the VEGF receptor, small molecule antagonists to the VEGF receptor tyrosine kinase, and other anti-angiogenesis strategies. Many of these alternative approaches may offer competitive advantages to our VEGF Trap in efficacy, side-effect profile, or method of delivery. Additionally, some of these molecules are either already approved for marketing or are at a more advanced stage of development than our product candidate.</w:t>
      </w:r>
    </w:p>
    <w:p>
      <w:pPr>
        <w:spacing w:after="0" w:line="89" w:lineRule="exact"/>
        <w:rPr>
          <w:sz w:val="20"/>
          <w:szCs w:val="20"/>
          <w:color w:val="auto"/>
        </w:rPr>
      </w:pPr>
    </w:p>
    <w:p>
      <w:pPr>
        <w:ind w:left="680" w:right="100" w:firstLine="398"/>
        <w:spacing w:after="0" w:line="250" w:lineRule="auto"/>
        <w:rPr>
          <w:sz w:val="20"/>
          <w:szCs w:val="20"/>
          <w:color w:val="auto"/>
        </w:rPr>
      </w:pPr>
      <w:r>
        <w:rPr>
          <w:rFonts w:ascii="Times New Roman" w:cs="Times New Roman" w:eastAsia="Times New Roman" w:hAnsi="Times New Roman"/>
          <w:sz w:val="17"/>
          <w:szCs w:val="17"/>
          <w:color w:val="auto"/>
        </w:rPr>
        <w:t>In particular, in February 2004, Genentech was granted approval by the FDA to market and sell Avastin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(Genentech), a monoclonal antibody to VEGF in patients with colorectal cancer. The marketing approvals for Avastin and Genentech’s extensive, ongoing clinical development plans for Avastin, make it more difficult for us to enroll patients in clinical trials to support the VEGF Trap oncology program. This may delay or impair our ability to successfully develop and commercialize the VEGF Trap. Other companies are developing small molecule inhibitors to VEGF tyrosine kinases in different cancer settings.</w:t>
      </w:r>
    </w:p>
    <w:p>
      <w:pPr>
        <w:spacing w:after="0" w:line="88"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We face significant competition in our VEGF Trap-Eye programs. For example, Eyetech Pharmaceuticals and Pfizer are marketing an approved VEGF inhibitor for the treatment of wet AMD. Genentech and Novartis have completed phase 3 development of a VEGF antibody fragment in wet AMD and have submitted a marketing application for their product candidate in this indication. In addition, it has been reported that ophthalmologists are successfully using a third-party reformulated version of Genentech’s approved VEGF antagonist, Avastin, for the treatment of wet AMD. These competing VEGF blockers make it more difficult for us to enroll patients in clinical trials for the VEGF Trap-Eye in these indications and may delay or impair our ability to successfully develop and commercialize the VEGF Trap-Eye in eye diseases.</w:t>
      </w:r>
    </w:p>
    <w:p>
      <w:pPr>
        <w:spacing w:after="0" w:line="90" w:lineRule="exact"/>
        <w:rPr>
          <w:sz w:val="20"/>
          <w:szCs w:val="20"/>
          <w:color w:val="auto"/>
        </w:rPr>
      </w:pPr>
    </w:p>
    <w:p>
      <w:pPr>
        <w:ind w:left="680" w:right="40" w:firstLine="398"/>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IL-1 Trap. </w:t>
      </w:r>
      <w:r>
        <w:rPr>
          <w:rFonts w:ascii="Times New Roman" w:cs="Times New Roman" w:eastAsia="Times New Roman" w:hAnsi="Times New Roman"/>
          <w:sz w:val="17"/>
          <w:szCs w:val="17"/>
          <w:color w:val="auto"/>
        </w:rPr>
        <w:t>The availability of highly effective FDA approved TNF-antagonists such as Enbrel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(Amgen), Remicade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(Centocor),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Humira</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(Abbott) and the IL-1 receptor antagonist Kineret (Amgen), and other marketed therapies makes it difficult to successfully develop and commercialize the IL-1 Trap. Even if the IL-1 Trap is ever approved for sale, it will be difficult for our drug to compete against these FDA approved TNF-antagonists because doctors and patients will have significant experience using these effective medicines. Moreover, there are both small molecules and antibodies in development by third parties that are designed to block the synthesis of interleukin-1 or inhibit the signaling of interleukin-1. For example, Novartis is developing an antibody to interleukin-1 and Amgen is developing an antibody to the interleukin-1 receptor. These drug candidates could offer competitive advantages over the IL-1 Trap. The successful development of these competing molecules could delay or impair our ability to successfully develop and commercialize the IL-1 Trap.</w:t>
      </w:r>
    </w:p>
    <w:p>
      <w:pPr>
        <w:spacing w:after="0" w:line="92" w:lineRule="exact"/>
        <w:rPr>
          <w:sz w:val="20"/>
          <w:szCs w:val="20"/>
          <w:color w:val="auto"/>
        </w:rPr>
      </w:pPr>
    </w:p>
    <w:p>
      <w:pPr>
        <w:ind w:left="680" w:right="120" w:firstLine="398"/>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Other Areas. </w:t>
      </w:r>
      <w:r>
        <w:rPr>
          <w:rFonts w:ascii="Times New Roman" w:cs="Times New Roman" w:eastAsia="Times New Roman" w:hAnsi="Times New Roman"/>
          <w:sz w:val="16"/>
          <w:szCs w:val="16"/>
          <w:color w:val="auto"/>
        </w:rPr>
        <w:t>Many pharmaceutical and biotechnology companies are attempting to discover new therapeutics for indications in which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79" w:lineRule="exact"/>
        <w:rPr>
          <w:sz w:val="20"/>
          <w:szCs w:val="20"/>
          <w:color w:val="auto"/>
        </w:rPr>
      </w:pPr>
    </w:p>
    <w:p>
      <w:pPr>
        <w:jc w:val="both"/>
        <w:ind w:left="680" w:right="300" w:firstLine="398"/>
        <w:spacing w:after="0" w:line="256" w:lineRule="auto"/>
        <w:rPr>
          <w:sz w:val="20"/>
          <w:szCs w:val="20"/>
          <w:color w:val="auto"/>
        </w:rPr>
      </w:pPr>
      <w:r>
        <w:rPr>
          <w:rFonts w:ascii="Times New Roman" w:cs="Times New Roman" w:eastAsia="Times New Roman" w:hAnsi="Times New Roman"/>
          <w:sz w:val="17"/>
          <w:szCs w:val="17"/>
          <w:color w:val="auto"/>
        </w:rPr>
        <w:t>If a competitor announces a successful clinical study involving a product that may be competitive with one of our product candidates or the grant of marketing approval by a regulatory agency for a competitive product, the announcement may have an adverse effect on our operations or future prospects or on the market price of our common stock.</w:t>
      </w:r>
    </w:p>
    <w:p>
      <w:pPr>
        <w:spacing w:after="0" w:line="3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0" w:name="page11"/>
    <w:bookmarkEnd w:id="1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firstLine="398"/>
        <w:spacing w:after="0" w:line="269" w:lineRule="auto"/>
        <w:rPr>
          <w:sz w:val="20"/>
          <w:szCs w:val="20"/>
          <w:color w:val="auto"/>
        </w:rPr>
      </w:pPr>
      <w:r>
        <w:rPr>
          <w:rFonts w:ascii="Times New Roman" w:cs="Times New Roman" w:eastAsia="Times New Roman" w:hAnsi="Times New Roman"/>
          <w:sz w:val="16"/>
          <w:szCs w:val="16"/>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that they have developed. Products developed in this manner may compete directly with products we develop. We also compete with others in acquiring technology from these institutions, agencies, and organizations.</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Patents, Trademarks, and Trade Secrets</w:t>
      </w:r>
    </w:p>
    <w:p>
      <w:pPr>
        <w:spacing w:after="0" w:line="119" w:lineRule="exact"/>
        <w:rPr>
          <w:sz w:val="20"/>
          <w:szCs w:val="20"/>
          <w:color w:val="auto"/>
        </w:rPr>
      </w:pPr>
    </w:p>
    <w:p>
      <w:pPr>
        <w:ind w:left="680" w:right="40" w:firstLine="398"/>
        <w:spacing w:after="0" w:line="264" w:lineRule="auto"/>
        <w:rPr>
          <w:sz w:val="20"/>
          <w:szCs w:val="20"/>
          <w:color w:val="auto"/>
        </w:rPr>
      </w:pPr>
      <w:r>
        <w:rPr>
          <w:rFonts w:ascii="Times New Roman" w:cs="Times New Roman" w:eastAsia="Times New Roman" w:hAnsi="Times New Roman"/>
          <w:sz w:val="16"/>
          <w:szCs w:val="16"/>
          <w:color w:val="auto"/>
        </w:rPr>
        <w:t xml:space="preserve">Our success depends, in part, on our ability to obtain patents, maintain trade secret protection, and operate without infringing on the proprietary rights of third parties (see “Risk Factors — </w:t>
      </w:r>
      <w:r>
        <w:rPr>
          <w:rFonts w:ascii="Times New Roman" w:cs="Times New Roman" w:eastAsia="Times New Roman" w:hAnsi="Times New Roman"/>
          <w:sz w:val="16"/>
          <w:szCs w:val="16"/>
          <w:i w:val="1"/>
          <w:iCs w:val="1"/>
          <w:color w:val="auto"/>
        </w:rPr>
        <w:t>We may be restricted in our development and/or commercialization activities by, and could be subject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damage awards if we are found to have infringed, third party patents or other proprietary rights.”). </w:t>
      </w:r>
      <w:r>
        <w:rPr>
          <w:rFonts w:ascii="Times New Roman" w:cs="Times New Roman" w:eastAsia="Times New Roman" w:hAnsi="Times New Roman"/>
          <w:sz w:val="16"/>
          <w:szCs w:val="16"/>
          <w:color w:val="auto"/>
        </w:rPr>
        <w:t>Our policy is to file patent applications to protect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technology, inventions, and improvements that we consider important to our business and operations. We are the nonexclusive licensee of a number of additional U.S. patents and patent applications. We also rely upon trade secrets, know-how, and continuing technological innovation in an effort to develop and maintain our competitive position. We or our licensors or collaborators have filed patent applications on various products and processes relating to our product candidates as well as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79" w:lineRule="exact"/>
        <w:rPr>
          <w:sz w:val="20"/>
          <w:szCs w:val="20"/>
          <w:color w:val="auto"/>
        </w:rPr>
      </w:pPr>
    </w:p>
    <w:p>
      <w:pPr>
        <w:ind w:left="680" w:right="120" w:firstLine="398"/>
        <w:spacing w:after="0" w:line="250" w:lineRule="auto"/>
        <w:rPr>
          <w:sz w:val="20"/>
          <w:szCs w:val="20"/>
          <w:color w:val="auto"/>
        </w:rPr>
      </w:pPr>
      <w:r>
        <w:rPr>
          <w:rFonts w:ascii="Times New Roman" w:cs="Times New Roman" w:eastAsia="Times New Roman" w:hAnsi="Times New Roman"/>
          <w:sz w:val="17"/>
          <w:szCs w:val="17"/>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88" w:lineRule="exact"/>
        <w:rPr>
          <w:sz w:val="20"/>
          <w:szCs w:val="20"/>
          <w:color w:val="auto"/>
        </w:rPr>
      </w:pPr>
    </w:p>
    <w:p>
      <w:pPr>
        <w:ind w:left="680" w:right="140" w:firstLine="398"/>
        <w:spacing w:after="0" w:line="252" w:lineRule="auto"/>
        <w:rPr>
          <w:sz w:val="20"/>
          <w:szCs w:val="20"/>
          <w:color w:val="auto"/>
        </w:rPr>
      </w:pPr>
      <w:r>
        <w:rPr>
          <w:rFonts w:ascii="Times New Roman" w:cs="Times New Roman" w:eastAsia="Times New Roman" w:hAnsi="Times New Roman"/>
          <w:sz w:val="17"/>
          <w:szCs w:val="17"/>
          <w:color w:val="auto"/>
        </w:rPr>
        <w:t>Defense and enforcement of our intellectual property rights can be expensive and time consuming, even if the outcome is favorable to us. It is possible that patents issued to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9" w:lineRule="exact"/>
        <w:rPr>
          <w:sz w:val="20"/>
          <w:szCs w:val="20"/>
          <w:color w:val="auto"/>
        </w:rPr>
      </w:pPr>
    </w:p>
    <w:p>
      <w:pPr>
        <w:ind w:left="680" w:right="80" w:firstLine="398"/>
        <w:spacing w:after="0" w:line="248" w:lineRule="auto"/>
        <w:rPr>
          <w:sz w:val="20"/>
          <w:szCs w:val="20"/>
          <w:color w:val="auto"/>
        </w:rPr>
      </w:pPr>
      <w:r>
        <w:rPr>
          <w:rFonts w:ascii="Times New Roman" w:cs="Times New Roman" w:eastAsia="Times New Roman" w:hAnsi="Times New Roman"/>
          <w:sz w:val="17"/>
          <w:szCs w:val="17"/>
          <w:color w:val="auto"/>
        </w:rPr>
        <w:t xml:space="preserve">Regulation by government authorities in the United States and foreign countries is a significant factor in the research, development, manufacture, and marketing of our product candidates (see “Risk Factors — </w:t>
      </w:r>
      <w:r>
        <w:rPr>
          <w:rFonts w:ascii="Times New Roman" w:cs="Times New Roman" w:eastAsia="Times New Roman" w:hAnsi="Times New Roman"/>
          <w:sz w:val="17"/>
          <w:szCs w:val="17"/>
          <w:i w:val="1"/>
          <w:iCs w:val="1"/>
          <w:color w:val="auto"/>
        </w:rPr>
        <w:t>If we do not obtain regulatory approval for our product candidates,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will not be able to market or sell them.”). </w:t>
      </w:r>
      <w:r>
        <w:rPr>
          <w:rFonts w:ascii="Times New Roman" w:cs="Times New Roman" w:eastAsia="Times New Roman" w:hAnsi="Times New Roman"/>
          <w:sz w:val="17"/>
          <w:szCs w:val="17"/>
          <w:color w:val="auto"/>
        </w:rPr>
        <w:t>All of our product candidates will require regulatory approval before they can be commercialized.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89" w:lineRule="exact"/>
        <w:rPr>
          <w:sz w:val="20"/>
          <w:szCs w:val="20"/>
          <w:color w:val="auto"/>
        </w:rPr>
      </w:pPr>
    </w:p>
    <w:p>
      <w:pPr>
        <w:ind w:left="680" w:right="20" w:firstLine="398"/>
        <w:spacing w:after="0" w:line="248" w:lineRule="auto"/>
        <w:rPr>
          <w:sz w:val="20"/>
          <w:szCs w:val="20"/>
          <w:color w:val="auto"/>
        </w:rPr>
      </w:pPr>
      <w:r>
        <w:rPr>
          <w:rFonts w:ascii="Times New Roman" w:cs="Times New Roman" w:eastAsia="Times New Roman" w:hAnsi="Times New Roman"/>
          <w:sz w:val="17"/>
          <w:szCs w:val="17"/>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w:t>
      </w:r>
    </w:p>
    <w:p>
      <w:pPr>
        <w:spacing w:after="0" w:line="3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1" w:name="page12"/>
    <w:bookmarkEnd w:id="1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20"/>
        <w:spacing w:after="0" w:line="250" w:lineRule="auto"/>
        <w:rPr>
          <w:sz w:val="20"/>
          <w:szCs w:val="20"/>
          <w:color w:val="auto"/>
        </w:rPr>
      </w:pPr>
      <w:r>
        <w:rPr>
          <w:rFonts w:ascii="Times New Roman" w:cs="Times New Roman" w:eastAsia="Times New Roman" w:hAnsi="Times New Roman"/>
          <w:sz w:val="17"/>
          <w:szCs w:val="17"/>
          <w:color w:val="auto"/>
        </w:rPr>
        <w:t>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88"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88" w:lineRule="exact"/>
        <w:rPr>
          <w:sz w:val="20"/>
          <w:szCs w:val="20"/>
          <w:color w:val="auto"/>
        </w:rPr>
      </w:pPr>
    </w:p>
    <w:p>
      <w:pPr>
        <w:ind w:left="680" w:right="20" w:firstLine="398"/>
        <w:spacing w:after="0" w:line="256" w:lineRule="auto"/>
        <w:rPr>
          <w:sz w:val="20"/>
          <w:szCs w:val="20"/>
          <w:color w:val="auto"/>
        </w:rPr>
      </w:pPr>
      <w:r>
        <w:rPr>
          <w:rFonts w:ascii="Times New Roman" w:cs="Times New Roman" w:eastAsia="Times New Roman" w:hAnsi="Times New Roman"/>
          <w:sz w:val="17"/>
          <w:szCs w:val="17"/>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83" w:lineRule="exact"/>
        <w:rPr>
          <w:sz w:val="20"/>
          <w:szCs w:val="20"/>
          <w:color w:val="auto"/>
        </w:rPr>
      </w:pPr>
    </w:p>
    <w:p>
      <w:pPr>
        <w:ind w:left="680" w:right="160" w:firstLine="398"/>
        <w:spacing w:after="0" w:line="250" w:lineRule="auto"/>
        <w:rPr>
          <w:sz w:val="20"/>
          <w:szCs w:val="20"/>
          <w:color w:val="auto"/>
        </w:rPr>
      </w:pPr>
      <w:r>
        <w:rPr>
          <w:rFonts w:ascii="Times New Roman" w:cs="Times New Roman" w:eastAsia="Times New Roman" w:hAnsi="Times New Roman"/>
          <w:sz w:val="17"/>
          <w:szCs w:val="17"/>
          <w:color w:val="auto"/>
        </w:rPr>
        <w:t>Various federal, state, and foreign statutes and regulations also govern or influence the research, manufacture, safety, labeling, storage, record keeping, marketing, transport, or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88" w:lineRule="exact"/>
        <w:rPr>
          <w:sz w:val="20"/>
          <w:szCs w:val="20"/>
          <w:color w:val="auto"/>
        </w:rPr>
      </w:pPr>
    </w:p>
    <w:p>
      <w:pPr>
        <w:ind w:left="680" w:right="20" w:firstLine="398"/>
        <w:spacing w:after="0" w:line="252" w:lineRule="auto"/>
        <w:rPr>
          <w:sz w:val="20"/>
          <w:szCs w:val="20"/>
          <w:color w:val="auto"/>
        </w:rPr>
      </w:pPr>
      <w:r>
        <w:rPr>
          <w:rFonts w:ascii="Times New Roman" w:cs="Times New Roman" w:eastAsia="Times New Roman" w:hAnsi="Times New Roman"/>
          <w:sz w:val="17"/>
          <w:szCs w:val="17"/>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ind w:left="680" w:right="120" w:firstLine="398"/>
        <w:spacing w:after="0" w:line="247" w:lineRule="auto"/>
        <w:rPr>
          <w:sz w:val="20"/>
          <w:szCs w:val="20"/>
          <w:color w:val="auto"/>
        </w:rPr>
      </w:pPr>
      <w:r>
        <w:rPr>
          <w:rFonts w:ascii="Times New Roman" w:cs="Times New Roman" w:eastAsia="Times New Roman" w:hAnsi="Times New Roman"/>
          <w:sz w:val="17"/>
          <w:szCs w:val="17"/>
          <w:color w:val="auto"/>
        </w:rPr>
        <w:t>Our operations are managed in two business segments: research and development, and contract manufacturing. The research and development segment includes all activities related to the discovery of pharmaceutical products for the treatment of serious medical conditions, and the development and commercialization of these discoveries. It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The contract manufacturing segment includes all revenues and expenses related to the commercial production of products under contract manufacturing arrangements. During 2005, 2004, and 2003, the Company produced an intermediate under the Merck Agreement, as described under “Manufacturing” above. For financial information about these segments, see Note 19, “Segment Information”, beginning on page F-33 in our Financial Statements.</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19" w:lineRule="exact"/>
        <w:rPr>
          <w:sz w:val="20"/>
          <w:szCs w:val="20"/>
          <w:color w:val="auto"/>
        </w:rPr>
      </w:pPr>
    </w:p>
    <w:p>
      <w:pPr>
        <w:ind w:left="680" w:right="140" w:firstLine="398"/>
        <w:spacing w:after="0" w:line="279" w:lineRule="auto"/>
        <w:rPr>
          <w:sz w:val="20"/>
          <w:szCs w:val="20"/>
          <w:color w:val="auto"/>
        </w:rPr>
      </w:pPr>
      <w:r>
        <w:rPr>
          <w:rFonts w:ascii="Times New Roman" w:cs="Times New Roman" w:eastAsia="Times New Roman" w:hAnsi="Times New Roman"/>
          <w:sz w:val="16"/>
          <w:szCs w:val="16"/>
          <w:color w:val="auto"/>
        </w:rPr>
        <w:t>As of December 31, 2005, we had 588 full-time employees, of whom 87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3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2" w:name="page13"/>
    <w:bookmarkEnd w:id="1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9" w:lineRule="exact"/>
        <w:rPr>
          <w:sz w:val="20"/>
          <w:szCs w:val="20"/>
          <w:color w:val="auto"/>
        </w:rPr>
      </w:pPr>
    </w:p>
    <w:p>
      <w:pPr>
        <w:ind w:left="680" w:right="20" w:firstLine="398"/>
        <w:spacing w:after="0" w:line="248"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Times New Roman" w:cs="Times New Roman" w:eastAsia="Times New Roman" w:hAnsi="Times New Roman"/>
          <w:sz w:val="17"/>
          <w:szCs w:val="17"/>
          <w:i w:val="1"/>
          <w:iCs w:val="1"/>
          <w:color w:val="auto"/>
        </w:rPr>
        <w:t>http://www.sec.gov.</w:t>
      </w:r>
    </w:p>
    <w:p>
      <w:pPr>
        <w:spacing w:after="0" w:line="92" w:lineRule="exact"/>
        <w:rPr>
          <w:sz w:val="20"/>
          <w:szCs w:val="20"/>
          <w:color w:val="auto"/>
        </w:rPr>
      </w:pPr>
    </w:p>
    <w:p>
      <w:pPr>
        <w:jc w:val="both"/>
        <w:ind w:left="680" w:right="100" w:firstLine="398"/>
        <w:spacing w:after="0" w:line="279" w:lineRule="auto"/>
        <w:rPr>
          <w:sz w:val="20"/>
          <w:szCs w:val="20"/>
          <w:color w:val="auto"/>
        </w:rPr>
      </w:pPr>
      <w:r>
        <w:rPr>
          <w:rFonts w:ascii="Times New Roman" w:cs="Times New Roman" w:eastAsia="Times New Roman" w:hAnsi="Times New Roman"/>
          <w:sz w:val="16"/>
          <w:szCs w:val="16"/>
          <w:color w:val="auto"/>
        </w:rPr>
        <w:t>We also make available free of charge on or through our Internet website (</w:t>
      </w:r>
      <w:r>
        <w:rPr>
          <w:rFonts w:ascii="Times New Roman" w:cs="Times New Roman" w:eastAsia="Times New Roman" w:hAnsi="Times New Roman"/>
          <w:sz w:val="16"/>
          <w:szCs w:val="16"/>
          <w:u w:val="single" w:color="auto"/>
          <w:color w:val="auto"/>
        </w:rPr>
        <w:t>http://www.regn.com</w:t>
      </w:r>
      <w:r>
        <w:rPr>
          <w:rFonts w:ascii="Times New Roman" w:cs="Times New Roman" w:eastAsia="Times New Roman" w:hAnsi="Times New Roman"/>
          <w:sz w:val="16"/>
          <w:szCs w:val="16"/>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162" w:lineRule="exact"/>
        <w:rPr>
          <w:sz w:val="20"/>
          <w:szCs w:val="20"/>
          <w:color w:val="auto"/>
        </w:rPr>
      </w:pPr>
    </w:p>
    <w:p>
      <w:pPr>
        <w:ind w:left="680"/>
        <w:spacing w:after="0"/>
        <w:tabs>
          <w:tab w:leader="none" w:pos="156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119" w:lineRule="exact"/>
        <w:rPr>
          <w:sz w:val="20"/>
          <w:szCs w:val="20"/>
          <w:color w:val="auto"/>
        </w:rPr>
      </w:pPr>
    </w:p>
    <w:p>
      <w:pPr>
        <w:ind w:left="680" w:firstLine="398"/>
        <w:spacing w:after="0" w:line="269" w:lineRule="auto"/>
        <w:rPr>
          <w:sz w:val="20"/>
          <w:szCs w:val="20"/>
          <w:color w:val="auto"/>
        </w:rPr>
      </w:pPr>
      <w:r>
        <w:rPr>
          <w:rFonts w:ascii="Times New Roman" w:cs="Times New Roman" w:eastAsia="Times New Roman" w:hAnsi="Times New Roman"/>
          <w:sz w:val="16"/>
          <w:szCs w:val="16"/>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Risks Related to Our Financial Results and Need for Additional Financing</w:t>
      </w:r>
    </w:p>
    <w:p>
      <w:pPr>
        <w:spacing w:after="0" w:line="115" w:lineRule="exact"/>
        <w:rPr>
          <w:sz w:val="20"/>
          <w:szCs w:val="20"/>
          <w:color w:val="auto"/>
        </w:rPr>
      </w:pPr>
    </w:p>
    <w:p>
      <w:pPr>
        <w:ind w:left="8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had a history of operating losses and we may never achieve profitability. If we continue to incur operating losses, we may be unable to continue our operations.</w:t>
      </w:r>
    </w:p>
    <w:p>
      <w:pPr>
        <w:spacing w:after="0" w:line="69" w:lineRule="exact"/>
        <w:rPr>
          <w:sz w:val="20"/>
          <w:szCs w:val="20"/>
          <w:color w:val="auto"/>
        </w:rPr>
      </w:pPr>
    </w:p>
    <w:p>
      <w:pPr>
        <w:ind w:left="680" w:right="120" w:firstLine="398"/>
        <w:spacing w:after="0" w:line="266" w:lineRule="auto"/>
        <w:rPr>
          <w:sz w:val="20"/>
          <w:szCs w:val="20"/>
          <w:color w:val="auto"/>
        </w:rPr>
      </w:pPr>
      <w:r>
        <w:rPr>
          <w:rFonts w:ascii="Times New Roman" w:cs="Times New Roman" w:eastAsia="Times New Roman" w:hAnsi="Times New Roman"/>
          <w:sz w:val="16"/>
          <w:szCs w:val="16"/>
          <w:color w:val="auto"/>
        </w:rPr>
        <w:t>From inception on January 8, 1988 through December 31, 2005, we had a cumulative loss of $585.3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 We currently receive contract manufacturing revenue from our agreement with Merck and, until June 30, 2005, we received contract research and development revenue from our agreement with The Procter &amp; Gamble Company. Our agreement with Procter &amp; Gamble expired in June 2005 and our agreement with Merck will expire before the end of 2006. The expiration of these agreements results in a significant loss of revenue to the Company.</w:t>
      </w:r>
    </w:p>
    <w:p>
      <w:pPr>
        <w:spacing w:after="0" w:line="171" w:lineRule="exact"/>
        <w:rPr>
          <w:sz w:val="20"/>
          <w:szCs w:val="20"/>
          <w:color w:val="auto"/>
        </w:rPr>
      </w:pPr>
    </w:p>
    <w:p>
      <w:pPr>
        <w:ind w:left="880" w:right="4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will need additional funding in the future, which may not be available to us, and which may force us to delay, reduce or eliminate our product development programs or commercialization efforts.</w:t>
      </w:r>
    </w:p>
    <w:p>
      <w:pPr>
        <w:spacing w:after="0" w:line="69" w:lineRule="exact"/>
        <w:rPr>
          <w:sz w:val="20"/>
          <w:szCs w:val="20"/>
          <w:color w:val="auto"/>
        </w:rPr>
      </w:pPr>
    </w:p>
    <w:p>
      <w:pPr>
        <w:ind w:left="680" w:right="20" w:firstLine="398"/>
        <w:spacing w:after="0" w:line="247" w:lineRule="auto"/>
        <w:rPr>
          <w:sz w:val="20"/>
          <w:szCs w:val="20"/>
          <w:color w:val="auto"/>
        </w:rPr>
      </w:pPr>
      <w:r>
        <w:rPr>
          <w:rFonts w:ascii="Times New Roman" w:cs="Times New Roman" w:eastAsia="Times New Roman" w:hAnsi="Times New Roman"/>
          <w:sz w:val="17"/>
          <w:szCs w:val="17"/>
          <w:color w:val="auto"/>
        </w:rPr>
        <w:t>We will need to expend substantial resources for research and development, including costs associated with clinical testing of our product candidates. We believe our existing capital resources will enable us to meet operating needs through at least mid-2008; however, our projected revenue may decrease or our expenses may increase and that would lead to our capital being consumed significantly before such time. We will likely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3" w:name="page14"/>
    <w:bookmarkEnd w:id="1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880"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a significant amount of debt and may have insufficient cash to satisfy our debt service and repayment obligations. In addition, the amount of our debt could impede our operations and flexibility.</w:t>
      </w:r>
    </w:p>
    <w:p>
      <w:pPr>
        <w:spacing w:after="0" w:line="69"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We have a significant amount of convertible debt and semi-annual interest payment obligations. This debt, unless converted to shares of our common stock, will mature in October 2008. We may be unable to generate sufficient cash flow or otherwise obtain funds necessary to make required payments on our debt. Even if we are able to meet our debt service obligations, the amount of debt we already have could hurt our ability to obtain any necessary financing in the future for working capital, capital expenditures, debt service requirements or other purposes. In addition, our debt obligations could require us to use a substantial portion of cash to pay principal and interest on our debt, instead of applying those funds to other purposes, such as research and development, working capital, and capital expenditures.</w:t>
      </w:r>
    </w:p>
    <w:p>
      <w:pPr>
        <w:spacing w:after="0" w:line="188" w:lineRule="exact"/>
        <w:rPr>
          <w:sz w:val="20"/>
          <w:szCs w:val="20"/>
          <w:color w:val="auto"/>
        </w:rPr>
      </w:pPr>
    </w:p>
    <w:p>
      <w:pPr>
        <w:ind w:left="880" w:right="20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have adopted, effective January 1, 2005, the fair market value based method of accounting for stock-based employee compensation. This will materially increase operating expenses in our Statement of Operations, primarily due to non-cash compensation costs related to stock options.</w:t>
      </w:r>
    </w:p>
    <w:p>
      <w:pPr>
        <w:spacing w:after="0" w:line="82" w:lineRule="exact"/>
        <w:rPr>
          <w:sz w:val="20"/>
          <w:szCs w:val="20"/>
          <w:color w:val="auto"/>
        </w:rPr>
      </w:pPr>
    </w:p>
    <w:p>
      <w:pPr>
        <w:ind w:left="680" w:right="80" w:firstLine="398"/>
        <w:spacing w:after="0" w:line="262" w:lineRule="auto"/>
        <w:rPr>
          <w:sz w:val="20"/>
          <w:szCs w:val="20"/>
          <w:color w:val="auto"/>
        </w:rPr>
      </w:pPr>
      <w:r>
        <w:rPr>
          <w:rFonts w:ascii="Times New Roman" w:cs="Times New Roman" w:eastAsia="Times New Roman" w:hAnsi="Times New Roman"/>
          <w:sz w:val="16"/>
          <w:szCs w:val="16"/>
          <w:color w:val="auto"/>
        </w:rPr>
        <w:t xml:space="preserve">We have adopted, effective January 1, 2005, the fair value based method of accounting for stock-based employee compensation under the provisions of Statement of Financial Accounting Standards No. (SFAS) 123, </w:t>
      </w:r>
      <w:r>
        <w:rPr>
          <w:rFonts w:ascii="Times New Roman" w:cs="Times New Roman" w:eastAsia="Times New Roman" w:hAnsi="Times New Roman"/>
          <w:sz w:val="16"/>
          <w:szCs w:val="16"/>
          <w:i w:val="1"/>
          <w:iCs w:val="1"/>
          <w:color w:val="auto"/>
        </w:rPr>
        <w:t>Accounting for Stock Based Compensation</w:t>
      </w:r>
      <w:r>
        <w:rPr>
          <w:rFonts w:ascii="Times New Roman" w:cs="Times New Roman" w:eastAsia="Times New Roman" w:hAnsi="Times New Roman"/>
          <w:sz w:val="16"/>
          <w:szCs w:val="16"/>
          <w:color w:val="auto"/>
        </w:rPr>
        <w:t xml:space="preserve">, using the modified prospective method as described in SFAS 148, </w:t>
      </w:r>
      <w:r>
        <w:rPr>
          <w:rFonts w:ascii="Times New Roman" w:cs="Times New Roman" w:eastAsia="Times New Roman" w:hAnsi="Times New Roman"/>
          <w:sz w:val="16"/>
          <w:szCs w:val="16"/>
          <w:i w:val="1"/>
          <w:iCs w:val="1"/>
          <w:color w:val="auto"/>
        </w:rPr>
        <w:t>Accounting for Stock Based Compensation — Transition and Disclosure.</w:t>
      </w:r>
      <w:r>
        <w:rPr>
          <w:rFonts w:ascii="Times New Roman" w:cs="Times New Roman" w:eastAsia="Times New Roman" w:hAnsi="Times New Roman"/>
          <w:sz w:val="16"/>
          <w:szCs w:val="16"/>
          <w:color w:val="auto"/>
        </w:rPr>
        <w:t xml:space="preserve"> As a result, effective January 1, 2005, we have been recognizing expense in an amount equal to the fair value of share-based payments (including stock option awards) on their date of grant over the vesting period of the awards. In 2005, non-cash stock-based employee compensation expense of $19.9 million related to stock options awards was recognized in operating expenses in our Statement of Operations, which increased our basic and diluted net loss per share. Also, if we had adopted SFAS 123 effective January 1, 2004, our net income for the full year 2004 would have decreased by approximately</w:t>
      </w:r>
    </w:p>
    <w:p>
      <w:pPr>
        <w:spacing w:after="0" w:line="2" w:lineRule="exact"/>
        <w:rPr>
          <w:sz w:val="20"/>
          <w:szCs w:val="20"/>
          <w:color w:val="auto"/>
        </w:rPr>
      </w:pPr>
    </w:p>
    <w:p>
      <w:pPr>
        <w:ind w:left="680" w:right="640"/>
        <w:spacing w:after="0" w:line="248" w:lineRule="auto"/>
        <w:rPr>
          <w:sz w:val="20"/>
          <w:szCs w:val="20"/>
          <w:color w:val="auto"/>
        </w:rPr>
      </w:pPr>
      <w:r>
        <w:rPr>
          <w:rFonts w:ascii="Times New Roman" w:cs="Times New Roman" w:eastAsia="Times New Roman" w:hAnsi="Times New Roman"/>
          <w:sz w:val="17"/>
          <w:szCs w:val="17"/>
          <w:color w:val="auto"/>
        </w:rPr>
        <w:t>$33.6 million and our basic and diluted net income per share in 2004 would have been $0.15 per share instead of $0.75 per share (basic) and $0.74 per share (diluted).</w:t>
      </w:r>
    </w:p>
    <w:p>
      <w:pPr>
        <w:spacing w:after="0" w:line="87" w:lineRule="exact"/>
        <w:rPr>
          <w:sz w:val="20"/>
          <w:szCs w:val="20"/>
          <w:color w:val="auto"/>
        </w:rPr>
      </w:pPr>
    </w:p>
    <w:p>
      <w:pPr>
        <w:ind w:left="680" w:firstLine="398"/>
        <w:spacing w:after="0" w:line="273" w:lineRule="auto"/>
        <w:rPr>
          <w:sz w:val="20"/>
          <w:szCs w:val="20"/>
          <w:color w:val="auto"/>
        </w:rPr>
      </w:pPr>
      <w:r>
        <w:rPr>
          <w:rFonts w:ascii="Times New Roman" w:cs="Times New Roman" w:eastAsia="Times New Roman" w:hAnsi="Times New Roman"/>
          <w:sz w:val="16"/>
          <w:szCs w:val="16"/>
          <w:color w:val="auto"/>
        </w:rPr>
        <w:t xml:space="preserve">In addition, in December 2004, the Financial Accounting Standards Board issued SFAS 123R, </w:t>
      </w:r>
      <w:r>
        <w:rPr>
          <w:rFonts w:ascii="Times New Roman" w:cs="Times New Roman" w:eastAsia="Times New Roman" w:hAnsi="Times New Roman"/>
          <w:sz w:val="16"/>
          <w:szCs w:val="16"/>
          <w:i w:val="1"/>
          <w:iCs w:val="1"/>
          <w:color w:val="auto"/>
        </w:rPr>
        <w:t>Share-Based Payment</w:t>
      </w:r>
      <w:r>
        <w:rPr>
          <w:rFonts w:ascii="Times New Roman" w:cs="Times New Roman" w:eastAsia="Times New Roman" w:hAnsi="Times New Roman"/>
          <w:sz w:val="16"/>
          <w:szCs w:val="16"/>
          <w:color w:val="auto"/>
        </w:rPr>
        <w:t xml:space="preserve">, which is a revision of SFAS 123 and supersedes Accounting Principles Board No. 25, </w:t>
      </w:r>
      <w:r>
        <w:rPr>
          <w:rFonts w:ascii="Times New Roman" w:cs="Times New Roman" w:eastAsia="Times New Roman" w:hAnsi="Times New Roman"/>
          <w:sz w:val="16"/>
          <w:szCs w:val="16"/>
          <w:i w:val="1"/>
          <w:iCs w:val="1"/>
          <w:color w:val="auto"/>
        </w:rPr>
        <w:t>Accounting for Stock Issued to Employees.</w:t>
      </w:r>
      <w:r>
        <w:rPr>
          <w:rFonts w:ascii="Times New Roman" w:cs="Times New Roman" w:eastAsia="Times New Roman" w:hAnsi="Times New Roman"/>
          <w:sz w:val="16"/>
          <w:szCs w:val="16"/>
          <w:color w:val="auto"/>
        </w:rPr>
        <w:t xml:space="preserve"> SFAS 123R requires the recognition of compensation expense in an amount equal to the fair value of share-based payments (including stock options) issued to employees. We are required to adopt SFAS 123R effective for the fiscal year beginning January 1, 2006. The impact of adopting SFAS 123R has not yet been quantified.</w:t>
      </w:r>
    </w:p>
    <w:p>
      <w:pPr>
        <w:spacing w:after="0" w:line="72" w:lineRule="exact"/>
        <w:rPr>
          <w:sz w:val="20"/>
          <w:szCs w:val="20"/>
          <w:color w:val="auto"/>
        </w:rPr>
      </w:pPr>
    </w:p>
    <w:p>
      <w:pPr>
        <w:ind w:left="680" w:right="440" w:firstLine="398"/>
        <w:spacing w:after="0" w:line="268" w:lineRule="auto"/>
        <w:rPr>
          <w:sz w:val="20"/>
          <w:szCs w:val="20"/>
          <w:color w:val="auto"/>
        </w:rPr>
      </w:pPr>
      <w:r>
        <w:rPr>
          <w:rFonts w:ascii="Times New Roman" w:cs="Times New Roman" w:eastAsia="Times New Roman" w:hAnsi="Times New Roman"/>
          <w:sz w:val="17"/>
          <w:szCs w:val="17"/>
          <w:color w:val="auto"/>
        </w:rPr>
        <w:t>The negative impact on our income (loss) as a result of adopting SFAS 123 as of January 1, 2005, and subsequently adopting SFAS 123R commencing January 1, 2006, may negatively affect our stock price.</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Risks Related to Development of Our Product Candidates</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Successful development of any of our product candidates is highly uncertain.</w:t>
      </w:r>
    </w:p>
    <w:p>
      <w:pPr>
        <w:spacing w:after="0" w:line="119" w:lineRule="exact"/>
        <w:rPr>
          <w:sz w:val="20"/>
          <w:szCs w:val="20"/>
          <w:color w:val="auto"/>
        </w:rPr>
      </w:pPr>
    </w:p>
    <w:p>
      <w:pPr>
        <w:ind w:left="680" w:right="100" w:firstLine="398"/>
        <w:spacing w:after="0" w:line="247" w:lineRule="auto"/>
        <w:rPr>
          <w:sz w:val="20"/>
          <w:szCs w:val="20"/>
          <w:color w:val="auto"/>
        </w:rPr>
      </w:pPr>
      <w:r>
        <w:rPr>
          <w:rFonts w:ascii="Times New Roman" w:cs="Times New Roman" w:eastAsia="Times New Roman" w:hAnsi="Times New Roman"/>
          <w:sz w:val="17"/>
          <w:szCs w:val="17"/>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92" w:lineRule="exact"/>
        <w:rPr>
          <w:sz w:val="20"/>
          <w:szCs w:val="20"/>
          <w:color w:val="auto"/>
        </w:rPr>
      </w:pPr>
    </w:p>
    <w:p>
      <w:pPr>
        <w:jc w:val="both"/>
        <w:ind w:left="680" w:right="80" w:firstLine="398"/>
        <w:spacing w:after="0" w:line="256" w:lineRule="auto"/>
        <w:rPr>
          <w:sz w:val="20"/>
          <w:szCs w:val="20"/>
          <w:color w:val="auto"/>
        </w:rPr>
      </w:pPr>
      <w:r>
        <w:rPr>
          <w:rFonts w:ascii="Times New Roman" w:cs="Times New Roman" w:eastAsia="Times New Roman" w:hAnsi="Times New Roman"/>
          <w:sz w:val="17"/>
          <w:szCs w:val="17"/>
          <w:color w:val="auto"/>
        </w:rPr>
        <w:t>We intend to study our lead product candidates, the VEGF Trap, VEGF Trap-Eye, and IL-1 Trap, in a wide variety of indications. We intend to study the VEGF Trap in a variety of cancer settings, the VEGF Trap-Eye in different eye diseases and ophthalmologic indications, and the IL-1 Trap in a variety of systemic inflammatory</w:t>
      </w:r>
    </w:p>
    <w:p>
      <w:pPr>
        <w:spacing w:after="0" w:line="3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140"/>
        <w:spacing w:after="0" w:line="252" w:lineRule="auto"/>
        <w:rPr>
          <w:sz w:val="20"/>
          <w:szCs w:val="20"/>
          <w:color w:val="auto"/>
        </w:rPr>
      </w:pPr>
      <w:r>
        <w:rPr>
          <w:rFonts w:ascii="Times New Roman" w:cs="Times New Roman" w:eastAsia="Times New Roman" w:hAnsi="Times New Roman"/>
          <w:sz w:val="17"/>
          <w:szCs w:val="17"/>
          <w:color w:val="auto"/>
        </w:rPr>
        <w:t>disorders. Most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to be studied. In fact, our product candidates may not demonstrate the requisite efficacy and safety profile to support the continued development for any of the indications or uses.</w:t>
      </w:r>
    </w:p>
    <w:p>
      <w:pPr>
        <w:spacing w:after="0" w:line="181" w:lineRule="exact"/>
        <w:rPr>
          <w:sz w:val="20"/>
          <w:szCs w:val="20"/>
          <w:color w:val="auto"/>
        </w:rPr>
      </w:pPr>
    </w:p>
    <w:p>
      <w:pPr>
        <w:jc w:val="both"/>
        <w:ind w:left="880" w:right="2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82" w:lineRule="exact"/>
        <w:rPr>
          <w:sz w:val="20"/>
          <w:szCs w:val="20"/>
          <w:color w:val="auto"/>
        </w:rPr>
      </w:pPr>
    </w:p>
    <w:p>
      <w:pPr>
        <w:ind w:left="680" w:firstLine="398"/>
        <w:spacing w:after="0" w:line="263" w:lineRule="auto"/>
        <w:rPr>
          <w:sz w:val="20"/>
          <w:szCs w:val="20"/>
          <w:color w:val="auto"/>
        </w:rPr>
      </w:pPr>
      <w:r>
        <w:rPr>
          <w:rFonts w:ascii="Times New Roman" w:cs="Times New Roman" w:eastAsia="Times New Roman" w:hAnsi="Times New Roman"/>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the IL-1 Trap in different diseases after a phase 2 trial using lower doses of the IL-1 Trap in subjects with rheumatoid arthritis failed to achieve its primary endpoint.</w:t>
      </w:r>
    </w:p>
    <w:p>
      <w:pPr>
        <w:spacing w:after="0" w:line="83" w:lineRule="exact"/>
        <w:rPr>
          <w:sz w:val="20"/>
          <w:szCs w:val="20"/>
          <w:color w:val="auto"/>
        </w:rPr>
      </w:pPr>
    </w:p>
    <w:p>
      <w:pPr>
        <w:ind w:left="680" w:right="180" w:firstLine="398"/>
        <w:spacing w:after="0" w:line="248" w:lineRule="auto"/>
        <w:rPr>
          <w:sz w:val="20"/>
          <w:szCs w:val="20"/>
          <w:color w:val="auto"/>
        </w:rPr>
      </w:pPr>
      <w:r>
        <w:rPr>
          <w:rFonts w:ascii="Times New Roman" w:cs="Times New Roman" w:eastAsia="Times New Roman" w:hAnsi="Times New Roman"/>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88" w:lineRule="exact"/>
        <w:rPr>
          <w:sz w:val="20"/>
          <w:szCs w:val="20"/>
          <w:color w:val="auto"/>
        </w:rPr>
      </w:pPr>
    </w:p>
    <w:p>
      <w:pPr>
        <w:ind w:left="880" w:right="5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development of serious or life-threatening side effects with any of our product candidates would lead to delay or discontinuation of development, which could severely harm our business.</w:t>
      </w:r>
    </w:p>
    <w:p>
      <w:pPr>
        <w:spacing w:after="0" w:line="69" w:lineRule="exact"/>
        <w:rPr>
          <w:sz w:val="20"/>
          <w:szCs w:val="20"/>
          <w:color w:val="auto"/>
        </w:rPr>
      </w:pPr>
    </w:p>
    <w:p>
      <w:pPr>
        <w:ind w:left="680" w:right="120" w:firstLine="398"/>
        <w:spacing w:after="0" w:line="247" w:lineRule="auto"/>
        <w:rPr>
          <w:sz w:val="20"/>
          <w:szCs w:val="20"/>
          <w:color w:val="auto"/>
        </w:rPr>
      </w:pPr>
      <w:r>
        <w:rPr>
          <w:rFonts w:ascii="Times New Roman" w:cs="Times New Roman" w:eastAsia="Times New Roman" w:hAnsi="Times New Roman"/>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Although our current drug candidates appeared to be generally well tolerated in clinical trials conducted to date, it is possible as we test any of them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90" w:lineRule="exact"/>
        <w:rPr>
          <w:sz w:val="20"/>
          <w:szCs w:val="20"/>
          <w:color w:val="auto"/>
        </w:rPr>
      </w:pPr>
    </w:p>
    <w:p>
      <w:pPr>
        <w:ind w:left="680" w:right="40" w:firstLine="398"/>
        <w:spacing w:after="0" w:line="248" w:lineRule="auto"/>
        <w:rPr>
          <w:sz w:val="20"/>
          <w:szCs w:val="20"/>
          <w:color w:val="auto"/>
        </w:rPr>
      </w:pPr>
      <w:r>
        <w:rPr>
          <w:rFonts w:ascii="Times New Roman" w:cs="Times New Roman" w:eastAsia="Times New Roman" w:hAnsi="Times New Roman"/>
          <w:sz w:val="17"/>
          <w:szCs w:val="17"/>
          <w:color w:val="auto"/>
        </w:rPr>
        <w:t>Our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risks, based on the clinical and preclinical experience of systemically delivered VEGF inhibitors, including the systemic delivery of the VEGF Trap, include bleeding,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referred to as infusion reactions. These and other complications or side effects</w:t>
      </w:r>
    </w:p>
    <w:p>
      <w:pPr>
        <w:spacing w:after="0" w:line="3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could harm the development of the VEGF Trap for the treatment of cancer or the VEGF Trap-Eye for the treatment of diseases of the eye.</w:t>
      </w:r>
    </w:p>
    <w:p>
      <w:pPr>
        <w:spacing w:after="0" w:line="115" w:lineRule="exact"/>
        <w:rPr>
          <w:sz w:val="20"/>
          <w:szCs w:val="20"/>
          <w:color w:val="auto"/>
        </w:rPr>
      </w:pPr>
    </w:p>
    <w:p>
      <w:pPr>
        <w:ind w:left="680" w:right="100" w:firstLine="398"/>
        <w:spacing w:after="0" w:line="248" w:lineRule="auto"/>
        <w:rPr>
          <w:sz w:val="20"/>
          <w:szCs w:val="20"/>
          <w:color w:val="auto"/>
        </w:rPr>
      </w:pPr>
      <w:r>
        <w:rPr>
          <w:rFonts w:ascii="Times New Roman" w:cs="Times New Roman" w:eastAsia="Times New Roman" w:hAnsi="Times New Roman"/>
          <w:sz w:val="17"/>
          <w:szCs w:val="17"/>
          <w:color w:val="auto"/>
        </w:rPr>
        <w:t>Although the IL-1 Trap was generally well tolerated and was not associated with any drug-related serious adverse events in the phase 2 rheumatoid arthritis study completed in 2003, safety or tolerability concerns may arise as we test higher doses of the IL-1 Trap in patients with other inflammatory diseases and disorders. Like TNF-antagonists such as Enbrel</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(Amgen) and Remicade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(Centocor), the IL-1 Trap affects the immune defense system of the body by blocking some of its functions. Therefore, there may be an increased risk for infections to develop in patients treated with the IL-1 Trap. In addition, patients given infusions of the IL-1 Trap have developed hypersensitivity reactions, referred to as infusion reactions. These and other complications or side effects could harm the development of the IL-1 Trap.</w:t>
      </w:r>
    </w:p>
    <w:p>
      <w:pPr>
        <w:spacing w:after="0" w:line="188" w:lineRule="exact"/>
        <w:rPr>
          <w:sz w:val="20"/>
          <w:szCs w:val="20"/>
          <w:color w:val="auto"/>
        </w:rPr>
      </w:pPr>
    </w:p>
    <w:p>
      <w:pPr>
        <w:ind w:left="880"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69" w:lineRule="exact"/>
        <w:rPr>
          <w:sz w:val="20"/>
          <w:szCs w:val="20"/>
          <w:color w:val="auto"/>
        </w:rPr>
      </w:pPr>
    </w:p>
    <w:p>
      <w:pPr>
        <w:ind w:left="680" w:right="20" w:firstLine="398"/>
        <w:spacing w:after="0" w:line="265" w:lineRule="auto"/>
        <w:rPr>
          <w:sz w:val="20"/>
          <w:szCs w:val="20"/>
          <w:color w:val="auto"/>
        </w:rPr>
      </w:pPr>
      <w:r>
        <w:rPr>
          <w:rFonts w:ascii="Times New Roman" w:cs="Times New Roman" w:eastAsia="Times New Roman" w:hAnsi="Times New Roman"/>
          <w:sz w:val="16"/>
          <w:szCs w:val="16"/>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appearance is often delayed, so that there can be no assurance that neutralizing antibodies will not be created at a later date — in some cases even after pivotal clinical trials have been completed. Subjects who received the IL-1 Trap in clinical trials have developed antibodies. It is possible that as we test the VEGF Trap with more sensitive assays in different patient populations and larger clinical trials, we will find that subjects given the VEGF Trap develop antibodies to the product candidate.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formulate or manufacture our product candidates in a way that is suitable for clinical or commercial use.</w:t>
      </w:r>
    </w:p>
    <w:p>
      <w:pPr>
        <w:spacing w:after="0" w:line="119" w:lineRule="exact"/>
        <w:rPr>
          <w:sz w:val="20"/>
          <w:szCs w:val="20"/>
          <w:color w:val="auto"/>
        </w:rPr>
      </w:pPr>
    </w:p>
    <w:p>
      <w:pPr>
        <w:ind w:left="680" w:right="60" w:firstLine="398"/>
        <w:spacing w:after="0" w:line="248" w:lineRule="auto"/>
        <w:rPr>
          <w:sz w:val="20"/>
          <w:szCs w:val="20"/>
          <w:color w:val="auto"/>
        </w:rPr>
      </w:pPr>
      <w:r>
        <w:rPr>
          <w:rFonts w:ascii="Times New Roman" w:cs="Times New Roman" w:eastAsia="Times New Roman" w:hAnsi="Times New Roman"/>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the VEGF Trap, VEGF Trap-Eye, IL-1 Trap, and IL-4/13 Trap,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115" w:lineRule="exact"/>
        <w:rPr>
          <w:sz w:val="20"/>
          <w:szCs w:val="20"/>
          <w:color w:val="auto"/>
        </w:rPr>
      </w:pPr>
    </w:p>
    <w:p>
      <w:pPr>
        <w:ind w:left="880" w:right="2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9" w:lineRule="exact"/>
        <w:rPr>
          <w:sz w:val="20"/>
          <w:szCs w:val="20"/>
          <w:color w:val="auto"/>
        </w:rPr>
      </w:pPr>
    </w:p>
    <w:p>
      <w:pPr>
        <w:ind w:left="680" w:firstLine="398"/>
        <w:spacing w:after="0" w:line="247" w:lineRule="auto"/>
        <w:rPr>
          <w:sz w:val="20"/>
          <w:szCs w:val="20"/>
          <w:color w:val="auto"/>
        </w:rPr>
      </w:pPr>
      <w:r>
        <w:rPr>
          <w:rFonts w:ascii="Times New Roman" w:cs="Times New Roman" w:eastAsia="Times New Roman" w:hAnsi="Times New Roman"/>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w:t>
      </w: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6" w:name="page17"/>
    <w:bookmarkEnd w:id="1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160"/>
        <w:spacing w:after="0" w:line="268" w:lineRule="auto"/>
        <w:rPr>
          <w:sz w:val="20"/>
          <w:szCs w:val="20"/>
          <w:color w:val="auto"/>
        </w:rPr>
      </w:pPr>
      <w:r>
        <w:rPr>
          <w:rFonts w:ascii="Times New Roman" w:cs="Times New Roman" w:eastAsia="Times New Roman" w:hAnsi="Times New Roman"/>
          <w:sz w:val="17"/>
          <w:szCs w:val="17"/>
          <w:color w:val="auto"/>
        </w:rPr>
        <w:t>competitive advantages against competitors. Furthermore, even if the outcome is favorable to us, the enforcement of our intellectual property rights can be extremely expensive and time consuming.</w:t>
      </w:r>
    </w:p>
    <w:p>
      <w:pPr>
        <w:spacing w:after="0" w:line="168" w:lineRule="exact"/>
        <w:rPr>
          <w:sz w:val="20"/>
          <w:szCs w:val="20"/>
          <w:color w:val="auto"/>
        </w:rPr>
      </w:pPr>
    </w:p>
    <w:p>
      <w:pPr>
        <w:ind w:left="880" w:right="3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9" w:lineRule="exact"/>
        <w:rPr>
          <w:sz w:val="20"/>
          <w:szCs w:val="20"/>
          <w:color w:val="auto"/>
        </w:rPr>
      </w:pPr>
    </w:p>
    <w:p>
      <w:pPr>
        <w:ind w:left="680" w:firstLine="398"/>
        <w:spacing w:after="0" w:line="256" w:lineRule="auto"/>
        <w:rPr>
          <w:sz w:val="20"/>
          <w:szCs w:val="20"/>
          <w:color w:val="auto"/>
        </w:rPr>
      </w:pPr>
      <w:r>
        <w:rPr>
          <w:rFonts w:ascii="Times New Roman" w:cs="Times New Roman" w:eastAsia="Times New Roman" w:hAnsi="Times New Roman"/>
          <w:sz w:val="17"/>
          <w:szCs w:val="17"/>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w:t>
      </w:r>
    </w:p>
    <w:p>
      <w:pPr>
        <w:spacing w:after="0" w:line="83" w:lineRule="exact"/>
        <w:rPr>
          <w:sz w:val="20"/>
          <w:szCs w:val="20"/>
          <w:color w:val="auto"/>
        </w:rPr>
      </w:pPr>
    </w:p>
    <w:p>
      <w:pPr>
        <w:ind w:left="680" w:right="80" w:firstLine="398"/>
        <w:spacing w:after="0" w:line="248" w:lineRule="auto"/>
        <w:rPr>
          <w:sz w:val="20"/>
          <w:szCs w:val="20"/>
          <w:color w:val="auto"/>
        </w:rPr>
      </w:pPr>
      <w:r>
        <w:rPr>
          <w:rFonts w:ascii="Times New Roman" w:cs="Times New Roman" w:eastAsia="Times New Roman" w:hAnsi="Times New Roman"/>
          <w:sz w:val="17"/>
          <w:szCs w:val="17"/>
          <w:color w:val="auto"/>
        </w:rPr>
        <w:t>We are aware of patents and pending applications owned by Genentech that claim certain chimeric VEGF receptor compositions. Although we do not believe that the VEGF Trap or VEGF Trap-Eye infringes any valid claim in these patents or patent applications, Genentech could initiate a lawsuit for patent infringement and assert its patents are valid and cover the VEGF Trap or VEGF Trap-Eye. Genentech may be motivated to initiate such a lawsuit at some point in an effort to impair our ability to develop and sell the VEGF Trap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the VEGF Trap or VEGF Trap-Eye or in a damage award.</w:t>
      </w:r>
    </w:p>
    <w:p>
      <w:pPr>
        <w:spacing w:after="0" w:line="89" w:lineRule="exact"/>
        <w:rPr>
          <w:sz w:val="20"/>
          <w:szCs w:val="20"/>
          <w:color w:val="auto"/>
        </w:rPr>
      </w:pPr>
    </w:p>
    <w:p>
      <w:pPr>
        <w:ind w:left="680" w:right="60" w:firstLine="398"/>
        <w:spacing w:after="0" w:line="250" w:lineRule="auto"/>
        <w:rPr>
          <w:sz w:val="20"/>
          <w:szCs w:val="20"/>
          <w:color w:val="auto"/>
        </w:rPr>
      </w:pPr>
      <w:r>
        <w:rPr>
          <w:rFonts w:ascii="Times New Roman" w:cs="Times New Roman" w:eastAsia="Times New Roman" w:hAnsi="Times New Roman"/>
          <w:sz w:val="17"/>
          <w:szCs w:val="17"/>
          <w:color w:val="auto"/>
        </w:rPr>
        <w:t>We are aware of certain United States and foreign patents relating to particular IL-4 and IL-13 receptors. Our IL-4/13 Trap includes portions of the IL-4 and IL-13 receptors. In addition, we are aware of a broad patent held by Genentech relating to proteins fused to certain immunoglobulin domains. Our Trap product candidates include proteins fused to immunoglobulin domains. Although we do not believe that we are infringing valid and enforceable third party patents, the holders of these patents may sue us for infringement and a court may find that we are infringing one or more validly issued patents, which may materially harm our business.</w:t>
      </w:r>
    </w:p>
    <w:p>
      <w:pPr>
        <w:spacing w:after="0" w:line="88"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8" w:lineRule="exact"/>
        <w:rPr>
          <w:sz w:val="20"/>
          <w:szCs w:val="20"/>
          <w:color w:val="auto"/>
        </w:rPr>
      </w:pPr>
    </w:p>
    <w:p>
      <w:pPr>
        <w:jc w:val="both"/>
        <w:ind w:left="680" w:firstLine="398"/>
        <w:spacing w:after="0" w:line="256" w:lineRule="auto"/>
        <w:rPr>
          <w:sz w:val="20"/>
          <w:szCs w:val="20"/>
          <w:color w:val="auto"/>
        </w:rPr>
      </w:pPr>
      <w:r>
        <w:rPr>
          <w:rFonts w:ascii="Times New Roman" w:cs="Times New Roman" w:eastAsia="Times New Roman" w:hAnsi="Times New Roman"/>
          <w:sz w:val="17"/>
          <w:szCs w:val="17"/>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Regulatory and Litigation Risks</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regulatory approval for our product candidates, we will not be able to market or sell them.</w:t>
      </w:r>
    </w:p>
    <w:p>
      <w:pPr>
        <w:spacing w:after="0" w:line="119" w:lineRule="exact"/>
        <w:rPr>
          <w:sz w:val="20"/>
          <w:szCs w:val="20"/>
          <w:color w:val="auto"/>
        </w:rPr>
      </w:pPr>
    </w:p>
    <w:p>
      <w:pPr>
        <w:ind w:left="680" w:right="20" w:firstLine="398"/>
        <w:spacing w:after="0" w:line="267" w:lineRule="auto"/>
        <w:rPr>
          <w:sz w:val="20"/>
          <w:szCs w:val="20"/>
          <w:color w:val="auto"/>
        </w:rPr>
      </w:pPr>
      <w:r>
        <w:rPr>
          <w:rFonts w:ascii="Times New Roman" w:cs="Times New Roman" w:eastAsia="Times New Roman" w:hAnsi="Times New Roman"/>
          <w:sz w:val="16"/>
          <w:szCs w:val="16"/>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3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17" w:name="page18"/>
    <w:bookmarkEnd w:id="1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880" w:right="3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If the testing or use of our products harms people, we could be subject to costly and damaging product liability claims. We could also face costly and damaging claims arising from employment law, securities law, environmental law, or other applicable laws governing our operations.</w:t>
      </w:r>
    </w:p>
    <w:p>
      <w:pPr>
        <w:spacing w:after="0" w:line="82" w:lineRule="exact"/>
        <w:rPr>
          <w:sz w:val="20"/>
          <w:szCs w:val="20"/>
          <w:color w:val="auto"/>
        </w:rPr>
      </w:pPr>
    </w:p>
    <w:p>
      <w:pPr>
        <w:ind w:left="680" w:right="20" w:firstLine="398"/>
        <w:spacing w:after="0" w:line="252" w:lineRule="auto"/>
        <w:rPr>
          <w:sz w:val="20"/>
          <w:szCs w:val="20"/>
          <w:color w:val="auto"/>
        </w:rPr>
      </w:pPr>
      <w:r>
        <w:rPr>
          <w:rFonts w:ascii="Times New Roman" w:cs="Times New Roman" w:eastAsia="Times New Roman" w:hAnsi="Times New Roman"/>
          <w:sz w:val="17"/>
          <w:szCs w:val="17"/>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81" w:lineRule="exact"/>
        <w:rPr>
          <w:sz w:val="20"/>
          <w:szCs w:val="20"/>
          <w:color w:val="auto"/>
        </w:rPr>
      </w:pPr>
    </w:p>
    <w:p>
      <w:pPr>
        <w:ind w:left="880" w:right="3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9"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Changes in the securities laws and regulations have increased, and are likely to continue to increase, our costs.</w:t>
      </w:r>
    </w:p>
    <w:p>
      <w:pPr>
        <w:spacing w:after="0" w:line="119" w:lineRule="exact"/>
        <w:rPr>
          <w:sz w:val="20"/>
          <w:szCs w:val="20"/>
          <w:color w:val="auto"/>
        </w:rPr>
      </w:pPr>
    </w:p>
    <w:p>
      <w:pPr>
        <w:ind w:left="680" w:right="20" w:firstLine="398"/>
        <w:spacing w:after="0" w:line="267" w:lineRule="auto"/>
        <w:rPr>
          <w:sz w:val="20"/>
          <w:szCs w:val="20"/>
          <w:color w:val="auto"/>
        </w:rPr>
      </w:pPr>
      <w:r>
        <w:rPr>
          <w:rFonts w:ascii="Times New Roman" w:cs="Times New Roman" w:eastAsia="Times New Roman" w:hAnsi="Times New Roman"/>
          <w:sz w:val="16"/>
          <w:szCs w:val="16"/>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new rules and listing standards covering a variety of subjects. Compliance with these new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72" w:lineRule="exact"/>
        <w:rPr>
          <w:sz w:val="20"/>
          <w:szCs w:val="20"/>
          <w:color w:val="auto"/>
        </w:rPr>
      </w:pPr>
    </w:p>
    <w:p>
      <w:pPr>
        <w:ind w:left="880"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In future years, if we or our independent registered public accounting firm are unable to conclude that our internal control over financial reporting is effective, the market value of our common stock could be adversely affected.</w:t>
      </w:r>
    </w:p>
    <w:p>
      <w:pPr>
        <w:spacing w:after="0" w:line="69" w:lineRule="exact"/>
        <w:rPr>
          <w:sz w:val="20"/>
          <w:szCs w:val="20"/>
          <w:color w:val="auto"/>
        </w:rPr>
      </w:pPr>
    </w:p>
    <w:p>
      <w:pPr>
        <w:ind w:left="680" w:firstLine="398"/>
        <w:spacing w:after="0" w:line="247" w:lineRule="auto"/>
        <w:rPr>
          <w:sz w:val="20"/>
          <w:szCs w:val="20"/>
          <w:color w:val="auto"/>
        </w:rPr>
      </w:pPr>
      <w:r>
        <w:rPr>
          <w:rFonts w:ascii="Times New Roman" w:cs="Times New Roman" w:eastAsia="Times New Roman" w:hAnsi="Times New Roman"/>
          <w:sz w:val="17"/>
          <w:szCs w:val="17"/>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management’s assessment and on the effectiveness of our internal control over financial reporting. Our independent registered public accounting firm provided us with an unqualified report as to our assessment and the effectiveness of our internal control over financial reporting as of December 31, 2005, which report is included in this Annual Report on Form 10-K for the year ended December 31, 2005. However, we cannot assure you that management or our independent registered public accounting firm will be able to provide such an assessment or unqualified report as of future year-ends. In this event, investors could lose confidence in the reliability of our financial statements, which could result in a decrease in the market value of our common stock.</w:t>
      </w: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560"/>
          </w:cols>
          <w:pgMar w:left="240" w:top="393" w:right="1099" w:bottom="1440" w:gutter="0" w:footer="0" w:header="0"/>
        </w:sectPr>
      </w:pPr>
    </w:p>
    <w:bookmarkStart w:id="18" w:name="page19"/>
    <w:bookmarkEnd w:id="1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115" w:lineRule="exact"/>
        <w:rPr>
          <w:sz w:val="20"/>
          <w:szCs w:val="20"/>
          <w:color w:val="auto"/>
        </w:rPr>
      </w:pPr>
    </w:p>
    <w:p>
      <w:pPr>
        <w:ind w:left="880" w:right="2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collaboration with sanofi-aventis for the VEGF Trap is terminated, our business operations and our ability to develop, manufacture, and commercialize the VEGF Trap in the time expected, or at all, would be harmed.</w:t>
      </w:r>
    </w:p>
    <w:p>
      <w:pPr>
        <w:spacing w:after="0" w:line="69" w:lineRule="exact"/>
        <w:rPr>
          <w:sz w:val="20"/>
          <w:szCs w:val="20"/>
          <w:color w:val="auto"/>
        </w:rPr>
      </w:pPr>
    </w:p>
    <w:p>
      <w:pPr>
        <w:ind w:left="680" w:right="40" w:firstLine="398"/>
        <w:spacing w:after="0" w:line="263" w:lineRule="auto"/>
        <w:rPr>
          <w:sz w:val="20"/>
          <w:szCs w:val="20"/>
          <w:color w:val="auto"/>
        </w:rPr>
      </w:pPr>
      <w:r>
        <w:rPr>
          <w:rFonts w:ascii="Times New Roman" w:cs="Times New Roman" w:eastAsia="Times New Roman" w:hAnsi="Times New Roman"/>
          <w:sz w:val="16"/>
          <w:szCs w:val="16"/>
          <w:color w:val="auto"/>
        </w:rPr>
        <w:t>We rely heavily on sanofi-aventis to assist with the development of the VEGF Trap oncology program. Sanofi-aventis funds all of the development expenses incurred by both companies in connection with the VEGF Trap oncology program. If the VEGF Trap oncology program continues, we will rely on sanofi-aventis to assist with funding the VEGF Trap program, provide commercial manufacturing capacity, enroll and monitor clinical trials, obtain regulatory approval, particularly outside the United States, and provide sales and marketing support. While we cannot assure you that the VEGF Trap will ever be successfully developed and commercialized, if sanofi-aventis does not perform its obligations in a timely manner, or at all, our ability to develop, manufacture, and commercialize the VEGF Trap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cause significant delays in the development and/or manufacture of the VEGF Trap and result in substantial additional costs to us. We have no sales, marketing, or distribution capabilities and would have to develop or outsource these capabilities. Termination of the sanofi-aventis collaboration agreement would create substantial new and additional risks to the successful development of the VEGF Trap oncology program.</w:t>
      </w:r>
    </w:p>
    <w:p>
      <w:pPr>
        <w:spacing w:after="0" w:line="176" w:lineRule="exact"/>
        <w:rPr>
          <w:sz w:val="20"/>
          <w:szCs w:val="20"/>
          <w:color w:val="auto"/>
        </w:rPr>
      </w:pPr>
    </w:p>
    <w:p>
      <w:pPr>
        <w:ind w:left="880" w:right="6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collaborators and service providers may fail to perform adequately in their efforts to support the development, manufacture, and commercialization of our drug candidates.</w:t>
      </w:r>
    </w:p>
    <w:p>
      <w:pPr>
        <w:spacing w:after="0" w:line="69"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We depend upon third-party collaborators, including sanofi-aventis and service providers such as clinical research organizations, outside testing laboratories, clinical investigator sites, and third-party manufacturers and product packagers and labelers, to assist us in the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development or ultimate commercialization of our product candidates.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Risks Related to the Manufacture of Our Product Candidates</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We have limited manufacturing capacity, which could inhibit our ability to successfully develop or commercialize our drugs.</w:t>
      </w:r>
    </w:p>
    <w:p>
      <w:pPr>
        <w:spacing w:after="0" w:line="119" w:lineRule="exact"/>
        <w:rPr>
          <w:sz w:val="20"/>
          <w:szCs w:val="20"/>
          <w:color w:val="auto"/>
        </w:rPr>
      </w:pPr>
    </w:p>
    <w:p>
      <w:pPr>
        <w:ind w:left="680" w:right="180" w:firstLine="398"/>
        <w:spacing w:after="0" w:line="248" w:lineRule="auto"/>
        <w:rPr>
          <w:sz w:val="20"/>
          <w:szCs w:val="20"/>
          <w:color w:val="auto"/>
        </w:rPr>
      </w:pPr>
      <w:r>
        <w:rPr>
          <w:rFonts w:ascii="Times New Roman" w:cs="Times New Roman" w:eastAsia="Times New Roman" w:hAnsi="Times New Roman"/>
          <w:sz w:val="17"/>
          <w:szCs w:val="17"/>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9" w:lineRule="exact"/>
        <w:rPr>
          <w:sz w:val="20"/>
          <w:szCs w:val="20"/>
          <w:color w:val="auto"/>
        </w:rPr>
      </w:pPr>
    </w:p>
    <w:p>
      <w:pPr>
        <w:ind w:left="680" w:right="180" w:firstLine="398"/>
        <w:spacing w:after="0" w:line="248" w:lineRule="auto"/>
        <w:rPr>
          <w:sz w:val="20"/>
          <w:szCs w:val="20"/>
          <w:color w:val="auto"/>
        </w:rPr>
      </w:pPr>
      <w:r>
        <w:rPr>
          <w:rFonts w:ascii="Times New Roman" w:cs="Times New Roman" w:eastAsia="Times New Roman" w:hAnsi="Times New Roman"/>
          <w:sz w:val="17"/>
          <w:szCs w:val="17"/>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19" w:name="page20"/>
    <w:bookmarkEnd w:id="1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We may expand our own manufacturing capacity to support commercial production of active pharmaceutical ingredients, or API, for our product candidates. This will require substantial additional funds,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In addition, we may be unable to secure adequate filling and finishing services to support our products. As a result, our business, financial condition, and results of operations may be materially harmed.</w:t>
      </w:r>
    </w:p>
    <w:p>
      <w:pPr>
        <w:spacing w:after="0" w:line="92" w:lineRule="exact"/>
        <w:rPr>
          <w:sz w:val="20"/>
          <w:szCs w:val="20"/>
          <w:color w:val="auto"/>
        </w:rPr>
      </w:pPr>
    </w:p>
    <w:p>
      <w:pPr>
        <w:ind w:left="680" w:right="60" w:firstLine="398"/>
        <w:spacing w:after="0" w:line="279" w:lineRule="auto"/>
        <w:rPr>
          <w:sz w:val="20"/>
          <w:szCs w:val="20"/>
          <w:color w:val="auto"/>
        </w:rPr>
      </w:pPr>
      <w:r>
        <w:rPr>
          <w:rFonts w:ascii="Times New Roman" w:cs="Times New Roman" w:eastAsia="Times New Roman" w:hAnsi="Times New Roman"/>
          <w:sz w:val="16"/>
          <w:szCs w:val="16"/>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If any of our clinical programs are discontinued, we may face costs related to the unused capacity at our manufacturing facilities.</w:t>
      </w:r>
    </w:p>
    <w:p>
      <w:pPr>
        <w:spacing w:after="0" w:line="119" w:lineRule="exact"/>
        <w:rPr>
          <w:sz w:val="20"/>
          <w:szCs w:val="20"/>
          <w:color w:val="auto"/>
        </w:rPr>
      </w:pPr>
    </w:p>
    <w:p>
      <w:pPr>
        <w:ind w:left="680" w:right="80" w:firstLine="398"/>
        <w:spacing w:after="0" w:line="252" w:lineRule="auto"/>
        <w:rPr>
          <w:sz w:val="20"/>
          <w:szCs w:val="20"/>
          <w:color w:val="auto"/>
        </w:rPr>
      </w:pPr>
      <w:r>
        <w:rPr>
          <w:rFonts w:ascii="Times New Roman" w:cs="Times New Roman" w:eastAsia="Times New Roman" w:hAnsi="Times New Roman"/>
          <w:sz w:val="17"/>
          <w:szCs w:val="17"/>
          <w:color w:val="auto"/>
        </w:rPr>
        <w:t>We have large-scale manufacturing operations in Rensselaer, New York. Under a long-term manufacturing agreement with Merck, which expires in October 2006, we produce an intermediate for a Merck pediatric vaccine at our facility in Rensselaer, New York. We also use our facilities to produce API for our own clinical and preclinical candidates. When we no longer use our facilities to manufacture the Merck intermediate or if clinical candidates are discontinued, we will have to absorb overhead costs and inefficiencies.</w:t>
      </w:r>
    </w:p>
    <w:p>
      <w:pPr>
        <w:spacing w:after="0" w:line="181" w:lineRule="exact"/>
        <w:rPr>
          <w:sz w:val="20"/>
          <w:szCs w:val="20"/>
          <w:color w:val="auto"/>
        </w:rPr>
      </w:pPr>
    </w:p>
    <w:p>
      <w:pPr>
        <w:ind w:left="880"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Certain of our raw materials are single-sourced from third parties; third-party supply failures could adversely affect our ability to supply our products.</w:t>
      </w:r>
    </w:p>
    <w:p>
      <w:pPr>
        <w:spacing w:after="0" w:line="69" w:lineRule="exact"/>
        <w:rPr>
          <w:sz w:val="20"/>
          <w:szCs w:val="20"/>
          <w:color w:val="auto"/>
        </w:rPr>
      </w:pPr>
    </w:p>
    <w:p>
      <w:pPr>
        <w:ind w:left="680" w:right="20" w:firstLine="398"/>
        <w:spacing w:after="0" w:line="248" w:lineRule="auto"/>
        <w:rPr>
          <w:sz w:val="20"/>
          <w:szCs w:val="20"/>
          <w:color w:val="auto"/>
        </w:rPr>
      </w:pPr>
      <w:r>
        <w:rPr>
          <w:rFonts w:ascii="Times New Roman" w:cs="Times New Roman" w:eastAsia="Times New Roman" w:hAnsi="Times New Roman"/>
          <w:sz w:val="17"/>
          <w:szCs w:val="17"/>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 This, in turn, could materially and adversely affect our ability to manufacture our product candidates for use in clinical trials, which could materially and adversely affect our business and future prospects.</w:t>
      </w:r>
    </w:p>
    <w:p>
      <w:pPr>
        <w:spacing w:after="0" w:line="92" w:lineRule="exact"/>
        <w:rPr>
          <w:sz w:val="20"/>
          <w:szCs w:val="20"/>
          <w:color w:val="auto"/>
        </w:rPr>
      </w:pPr>
    </w:p>
    <w:p>
      <w:pPr>
        <w:ind w:left="680" w:right="140" w:firstLine="398"/>
        <w:spacing w:after="0" w:line="252" w:lineRule="auto"/>
        <w:rPr>
          <w:sz w:val="20"/>
          <w:szCs w:val="20"/>
          <w:color w:val="auto"/>
        </w:rPr>
      </w:pPr>
      <w:r>
        <w:rPr>
          <w:rFonts w:ascii="Times New Roman" w:cs="Times New Roman" w:eastAsia="Times New Roman" w:hAnsi="Times New Roman"/>
          <w:sz w:val="17"/>
          <w:szCs w:val="17"/>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8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Risks Related to Commercialization of Products</w:t>
      </w:r>
    </w:p>
    <w:p>
      <w:pPr>
        <w:spacing w:after="0" w:line="115" w:lineRule="exact"/>
        <w:rPr>
          <w:sz w:val="20"/>
          <w:szCs w:val="20"/>
          <w:color w:val="auto"/>
        </w:rPr>
      </w:pPr>
    </w:p>
    <w:p>
      <w:pPr>
        <w:ind w:left="880" w:right="3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9" w:lineRule="exact"/>
        <w:rPr>
          <w:sz w:val="20"/>
          <w:szCs w:val="20"/>
          <w:color w:val="auto"/>
        </w:rPr>
      </w:pPr>
    </w:p>
    <w:p>
      <w:pPr>
        <w:ind w:left="680" w:right="100" w:firstLine="398"/>
        <w:spacing w:after="0" w:line="264" w:lineRule="auto"/>
        <w:rPr>
          <w:sz w:val="20"/>
          <w:szCs w:val="20"/>
          <w:color w:val="auto"/>
        </w:rPr>
      </w:pPr>
      <w:r>
        <w:rPr>
          <w:rFonts w:ascii="Times New Roman" w:cs="Times New Roman" w:eastAsia="Times New Roman" w:hAnsi="Times New Roman"/>
          <w:sz w:val="16"/>
          <w:szCs w:val="16"/>
          <w:color w:val="auto"/>
        </w:rPr>
        <w:t>We have no sales or distribution personnel or capabilities and have only a small staff with marketing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the VEGF Trap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and we may be unsuccessful in developing our own sales, marketing, and distribution organization.</w:t>
      </w: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880" w:right="16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are approved for marketing, their commercial success is highly uncertain because our competitors may get to the marketplace before we do with better or lower cost drugs or the market for our product candidates may be too small to support commercialization or sufficient profitability.</w:t>
      </w:r>
    </w:p>
    <w:p>
      <w:pPr>
        <w:spacing w:after="0" w:line="82"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92" w:lineRule="exact"/>
        <w:rPr>
          <w:sz w:val="20"/>
          <w:szCs w:val="20"/>
          <w:color w:val="auto"/>
        </w:rPr>
      </w:pPr>
    </w:p>
    <w:p>
      <w:pPr>
        <w:ind w:left="680" w:right="20" w:firstLine="398"/>
        <w:spacing w:after="0" w:line="263" w:lineRule="auto"/>
        <w:rPr>
          <w:sz w:val="20"/>
          <w:szCs w:val="20"/>
          <w:color w:val="auto"/>
        </w:rPr>
      </w:pPr>
      <w:r>
        <w:rPr>
          <w:rFonts w:ascii="Times New Roman" w:cs="Times New Roman" w:eastAsia="Times New Roman" w:hAnsi="Times New Roman"/>
          <w:sz w:val="16"/>
          <w:szCs w:val="16"/>
          <w:color w:val="auto"/>
        </w:rPr>
        <w:t>Genentech has an approved VEGF antagonist, Avastin</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(Genentech), on the market for treating certain cancers and many different pharmaceutical and biotechnology companies are working to develop competing VEGF antagonists, including Novartis, Eyetech Pharmaceuticals, and Pfizer. Many of these molecules are farther along in development than the VEGF Trap and may offer competitive advantages over our molecule. Novartis has an ongoing phase 3 clinical development program evaluating an orally delivered VEGF tyrosine kinase inhibitor in different cancer settings. Onyx Pharmaceuticals and Bayer have received approval from the FDA to market and sell the first oral medication that targets tumor cell growth and new vasculature formation that fuels the growth of tumors. The marketing approvals for Genentech’s VEGF antagonist, Avastin, and their extensive, ongoing clinical development plan for Avastin in other cancer indications, may make it more difficult for us to enroll patients in clinical trials to support the VEGF Trap and to obtain regulatory approval of the VEGF Trap in these cancer settings. This may delay or impair our ability to successfully develop and commercialize the VEGF Trap. In addition, even if the VEGF Trap is ever approved for sale for the treatment of certain cancers, it will be difficult for our drug to compete against Avastin and the Onyx/Bayer kinase inhibitor,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78" w:lineRule="exact"/>
        <w:rPr>
          <w:sz w:val="20"/>
          <w:szCs w:val="20"/>
          <w:color w:val="auto"/>
        </w:rPr>
      </w:pPr>
    </w:p>
    <w:p>
      <w:pPr>
        <w:ind w:left="680" w:right="140" w:firstLine="398"/>
        <w:spacing w:after="0" w:line="246" w:lineRule="auto"/>
        <w:rPr>
          <w:sz w:val="20"/>
          <w:szCs w:val="20"/>
          <w:color w:val="auto"/>
        </w:rPr>
      </w:pPr>
      <w:r>
        <w:rPr>
          <w:rFonts w:ascii="Times New Roman" w:cs="Times New Roman" w:eastAsia="Times New Roman" w:hAnsi="Times New Roman"/>
          <w:sz w:val="17"/>
          <w:szCs w:val="17"/>
          <w:color w:val="auto"/>
        </w:rPr>
        <w:t>The market for eye diseases is also very competitive. Eyetech Pharmaceuticals and Pfizer are marketing an approved VEGF inhibitor for age-related macular degeneration (wet AMD). Novartis and Genentech are collaborating on the development of a VEGF antibody fragment for the treatment of wet AMD that is in phase 3 development. In December 2005, Genentech announced that it filed an application with the FDA to market and sell this VEGF inhibitor in patients with wet AMD. In addition, it has been reported that ophthalmologists are using a third-party reformulated version of Genentech’s approved VEGF antagonist, Avastin with success for the treatment of wet AMD. The marketing approval of the Eyetech/Pfizer VEGF inhibitor and the potential off-label use of Avastin and approval of the Novartis/Genentech VEGF antibody fragment make it more difficult for us to successfully develop the VEGF Trap-Eye. Even if the VEGF Trap-Eye is ever approved for sale for the treatment of eye diseases, it will be difficult for our drug to compete against the Eyetech/Pfizer drug and, if approved by the FDA, the Novartis/Genentech VEGF inhibitor, because doctors and patients will have significant experience using these medicines. Moreover, the relatively low cost of therapy with Avastin in patients with wet AMD presents a further competitive challenge in this indication.</w:t>
      </w:r>
    </w:p>
    <w:p>
      <w:pPr>
        <w:spacing w:after="0" w:line="95" w:lineRule="exact"/>
        <w:rPr>
          <w:sz w:val="20"/>
          <w:szCs w:val="20"/>
          <w:color w:val="auto"/>
        </w:rPr>
      </w:pPr>
    </w:p>
    <w:p>
      <w:pPr>
        <w:ind w:left="680" w:right="20" w:firstLine="398"/>
        <w:spacing w:after="0" w:line="267" w:lineRule="auto"/>
        <w:rPr>
          <w:sz w:val="20"/>
          <w:szCs w:val="20"/>
          <w:color w:val="auto"/>
        </w:rPr>
      </w:pPr>
      <w:r>
        <w:rPr>
          <w:rFonts w:ascii="Times New Roman" w:cs="Times New Roman" w:eastAsia="Times New Roman" w:hAnsi="Times New Roman"/>
          <w:sz w:val="16"/>
          <w:szCs w:val="16"/>
          <w:color w:val="auto"/>
        </w:rPr>
        <w:t>The availability of highly effective FDA approved TNF-antagonists such as Enbrel</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(Amgen), Remicade</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(Centocor), and Humira</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(Abbott Laboratories), and the IL-1 receptor antagonist Kineret</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(Amgen), and other marketed therapies makes it more difficult to successfully develop and commercialize the IL-1 Trap. This is one of the reasons we discontinued the development of the IL-1 Trap in adult rheumatoid arthritis. In addition, even if the IL-1 Trap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the IL-1 Trap, such as requiring fewer injections.</w:t>
      </w:r>
    </w:p>
    <w:p>
      <w:pPr>
        <w:spacing w:after="0" w:line="77" w:lineRule="exact"/>
        <w:rPr>
          <w:sz w:val="20"/>
          <w:szCs w:val="20"/>
          <w:color w:val="auto"/>
        </w:rPr>
      </w:pPr>
    </w:p>
    <w:p>
      <w:pPr>
        <w:ind w:left="680" w:right="180" w:firstLine="398"/>
        <w:spacing w:after="0" w:line="256" w:lineRule="auto"/>
        <w:rPr>
          <w:sz w:val="20"/>
          <w:szCs w:val="20"/>
          <w:color w:val="auto"/>
        </w:rPr>
      </w:pPr>
      <w:r>
        <w:rPr>
          <w:rFonts w:ascii="Times New Roman" w:cs="Times New Roman" w:eastAsia="Times New Roman" w:hAnsi="Times New Roman"/>
          <w:sz w:val="17"/>
          <w:szCs w:val="17"/>
          <w:color w:val="auto"/>
        </w:rPr>
        <w:t>There are both small molecules and antibodies in development by third parties that are designed to block the synthesis of interleukin-1 or inhibit the signaling of interleukin-1. For example, Novartis is developing an antibody to interleukin-1 and Amgen is developing an antibody to the interleukin-1 receptor. These drug candidates could</w:t>
      </w:r>
    </w:p>
    <w:p>
      <w:pPr>
        <w:spacing w:after="0" w:line="3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21" w:name="page22"/>
    <w:bookmarkEnd w:id="2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7"/>
          <w:szCs w:val="17"/>
          <w:color w:val="auto"/>
        </w:rPr>
        <w:t>offer competitive advantages over the IL-1 Trap. The successful development of these competing molecules could delay or impair our ability to successfully develop and commercialize the IL-1 Trap. For example, we may find it difficult to enroll patients in clinical trials for the IL-1 Trap if the companies developing these competing interleukin-1 inhibitors commence clinical trials in the same indications.</w:t>
      </w:r>
    </w:p>
    <w:p>
      <w:pPr>
        <w:spacing w:after="0" w:line="81" w:lineRule="exact"/>
        <w:rPr>
          <w:sz w:val="20"/>
          <w:szCs w:val="20"/>
          <w:color w:val="auto"/>
        </w:rPr>
      </w:pPr>
    </w:p>
    <w:p>
      <w:pPr>
        <w:ind w:left="460" w:right="340" w:firstLine="312"/>
        <w:spacing w:after="0" w:line="257" w:lineRule="auto"/>
        <w:rPr>
          <w:sz w:val="20"/>
          <w:szCs w:val="20"/>
          <w:color w:val="auto"/>
        </w:rPr>
      </w:pPr>
      <w:r>
        <w:rPr>
          <w:rFonts w:ascii="Times New Roman" w:cs="Times New Roman" w:eastAsia="Times New Roman" w:hAnsi="Times New Roman"/>
          <w:sz w:val="17"/>
          <w:szCs w:val="17"/>
          <w:color w:val="auto"/>
        </w:rPr>
        <w:t xml:space="preserve">We are developing the IL-1 Trap for the treatment of a spectrum of rare diseases associated with mutations in the </w:t>
      </w:r>
      <w:r>
        <w:rPr>
          <w:rFonts w:ascii="Times New Roman" w:cs="Times New Roman" w:eastAsia="Times New Roman" w:hAnsi="Times New Roman"/>
          <w:sz w:val="17"/>
          <w:szCs w:val="17"/>
          <w:i w:val="1"/>
          <w:iCs w:val="1"/>
          <w:color w:val="auto"/>
        </w:rPr>
        <w:t>CIAS</w:t>
      </w:r>
      <w:r>
        <w:rPr>
          <w:rFonts w:ascii="Times New Roman" w:cs="Times New Roman" w:eastAsia="Times New Roman" w:hAnsi="Times New Roman"/>
          <w:sz w:val="17"/>
          <w:szCs w:val="17"/>
          <w:color w:val="auto"/>
        </w:rPr>
        <w:t>1 gene. These rare genetic disorders affect a small group of people, estimated to be between several hundred and a few thousand. There may be too few patients with these genetic disorders to profitably commercialize the IL-1 Trap in this indication.</w:t>
      </w:r>
    </w:p>
    <w:p>
      <w:pPr>
        <w:spacing w:after="0" w:line="178" w:lineRule="exact"/>
        <w:rPr>
          <w:sz w:val="20"/>
          <w:szCs w:val="20"/>
          <w:color w:val="auto"/>
        </w:rPr>
      </w:pPr>
    </w:p>
    <w:p>
      <w:pPr>
        <w:ind w:left="560" w:right="3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will depend on obtaining coverage and reimbursement for use of these products from third-party payers.</w:t>
      </w:r>
    </w:p>
    <w:p>
      <w:pPr>
        <w:spacing w:after="0" w:line="69" w:lineRule="exact"/>
        <w:rPr>
          <w:sz w:val="20"/>
          <w:szCs w:val="20"/>
          <w:color w:val="auto"/>
        </w:rPr>
      </w:pPr>
    </w:p>
    <w:p>
      <w:pPr>
        <w:ind w:left="460" w:firstLine="312"/>
        <w:spacing w:after="0" w:line="250" w:lineRule="auto"/>
        <w:rPr>
          <w:sz w:val="20"/>
          <w:szCs w:val="20"/>
          <w:color w:val="auto"/>
        </w:rPr>
      </w:pPr>
      <w:r>
        <w:rPr>
          <w:rFonts w:ascii="Times New Roman" w:cs="Times New Roman" w:eastAsia="Times New Roman" w:hAnsi="Times New Roman"/>
          <w:sz w:val="17"/>
          <w:szCs w:val="17"/>
          <w:color w:val="auto"/>
        </w:rPr>
        <w:t>Sales of biopharmaceutical products largely depend on the reimbursement of patients’ medical expenses by government health care programs and private health insurers. Without the financial support of the governments or third-party payers, the market for any biopharmaceutical product will be limited. These third-party payers increasingly challenge the price and examine the cost-effectiveness of products and services. Significant uncertainty exists as to the reimbursement status of any new therapeutic, particularly if there exist lower-cost standards of care. Third-party payers may not reimburse sales of our products, which would harm our business.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 Related to Employees</w:t>
      </w:r>
    </w:p>
    <w:p>
      <w:pPr>
        <w:spacing w:after="0" w:line="115" w:lineRule="exact"/>
        <w:rPr>
          <w:sz w:val="20"/>
          <w:szCs w:val="20"/>
          <w:color w:val="auto"/>
        </w:rPr>
      </w:pPr>
    </w:p>
    <w:p>
      <w:pPr>
        <w:ind w:left="560" w:right="3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9" w:lineRule="exact"/>
        <w:rPr>
          <w:sz w:val="20"/>
          <w:szCs w:val="20"/>
          <w:color w:val="auto"/>
        </w:rPr>
      </w:pPr>
    </w:p>
    <w:p>
      <w:pPr>
        <w:ind w:left="460" w:right="80" w:firstLine="312"/>
        <w:spacing w:after="0" w:line="247" w:lineRule="auto"/>
        <w:rPr>
          <w:sz w:val="20"/>
          <w:szCs w:val="20"/>
          <w:color w:val="auto"/>
        </w:rPr>
      </w:pPr>
      <w:r>
        <w:rPr>
          <w:rFonts w:ascii="Times New Roman" w:cs="Times New Roman" w:eastAsia="Times New Roman" w:hAnsi="Times New Roman"/>
          <w:sz w:val="17"/>
          <w:szCs w:val="17"/>
          <w:color w:val="auto"/>
        </w:rPr>
        <w:t>We are highly dependent on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Murray A. Goldberg, our Senior Vice President, Finance &amp; Administration, Chief Financial Officer, Treasurer, and Assistant Secretary, Neil Stahl, Ph.D., our Senior Vice President, Preclinical Development and Biomolecular Science, and Randall G. Rupp, Ph.D., our Senior Vice President, Manufacturing Operations.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88" w:lineRule="exact"/>
        <w:rPr>
          <w:sz w:val="20"/>
          <w:szCs w:val="20"/>
          <w:color w:val="auto"/>
        </w:rPr>
      </w:pPr>
    </w:p>
    <w:p>
      <w:pPr>
        <w:jc w:val="right"/>
        <w:ind w:right="7760"/>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15" w:lineRule="exact"/>
        <w:rPr>
          <w:sz w:val="20"/>
          <w:szCs w:val="20"/>
          <w:color w:val="auto"/>
        </w:rPr>
      </w:pPr>
    </w:p>
    <w:p>
      <w:pPr>
        <w:jc w:val="right"/>
        <w:ind w:right="780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is extremely volatile.</w:t>
      </w:r>
    </w:p>
    <w:p>
      <w:pPr>
        <w:spacing w:after="0" w:line="119" w:lineRule="exact"/>
        <w:rPr>
          <w:sz w:val="20"/>
          <w:szCs w:val="20"/>
          <w:color w:val="auto"/>
        </w:rPr>
      </w:pPr>
    </w:p>
    <w:p>
      <w:pPr>
        <w:ind w:left="460" w:right="220" w:firstLine="312"/>
        <w:spacing w:after="0" w:line="268" w:lineRule="auto"/>
        <w:rPr>
          <w:sz w:val="20"/>
          <w:szCs w:val="20"/>
          <w:color w:val="auto"/>
        </w:rPr>
      </w:pPr>
      <w:r>
        <w:rPr>
          <w:rFonts w:ascii="Times New Roman" w:cs="Times New Roman" w:eastAsia="Times New Roman" w:hAnsi="Times New Roman"/>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73" w:lineRule="exact"/>
        <w:rPr>
          <w:sz w:val="20"/>
          <w:szCs w:val="20"/>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progress, delays, or adverse results in clinical trials;</w:t>
      </w:r>
    </w:p>
    <w:p>
      <w:pPr>
        <w:spacing w:after="0" w:line="102"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of technological innovations or product candidates by us or competitors;</w:t>
      </w:r>
    </w:p>
    <w:p>
      <w:pPr>
        <w:spacing w:after="0" w:line="102"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operating results;</w:t>
      </w:r>
    </w:p>
    <w:p>
      <w:pPr>
        <w:spacing w:after="0" w:line="102"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as to the safety or effectiveness of our product candidates;</w:t>
      </w:r>
    </w:p>
    <w:p>
      <w:pPr>
        <w:spacing w:after="0" w:line="102"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our relationship with collaborative partners;</w:t>
      </w:r>
    </w:p>
    <w:p>
      <w:pPr>
        <w:spacing w:after="0" w:line="102"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the biotechnology industry or in government regulation of healthcare;</w:t>
      </w:r>
    </w:p>
    <w:p>
      <w:pPr>
        <w:spacing w:after="0" w:line="102"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 sales of our common stock by our executive officers, directors, or significant shareholders;</w:t>
      </w:r>
    </w:p>
    <w:p>
      <w:pPr>
        <w:spacing w:after="0" w:line="37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40"/>
          </w:cols>
          <w:pgMar w:left="240" w:top="393" w:right="819" w:bottom="1440" w:gutter="0" w:footer="0" w:header="0"/>
        </w:sectPr>
      </w:pPr>
    </w:p>
    <w:bookmarkStart w:id="22" w:name="page23"/>
    <w:bookmarkEnd w:id="2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04" w:lineRule="exact"/>
        <w:rPr>
          <w:sz w:val="20"/>
          <w:szCs w:val="20"/>
          <w:color w:val="auto"/>
        </w:rPr>
      </w:pPr>
    </w:p>
    <w:p>
      <w:pPr>
        <w:ind w:left="1180" w:hanging="97"/>
        <w:spacing w:after="0"/>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arrivals and departures of key personnel; and</w:t>
      </w:r>
    </w:p>
    <w:p>
      <w:pPr>
        <w:spacing w:after="0" w:line="102" w:lineRule="exact"/>
        <w:rPr>
          <w:rFonts w:ascii="Times New Roman" w:cs="Times New Roman" w:eastAsia="Times New Roman" w:hAnsi="Times New Roman"/>
          <w:sz w:val="17"/>
          <w:szCs w:val="17"/>
          <w:color w:val="auto"/>
        </w:rPr>
      </w:pPr>
    </w:p>
    <w:p>
      <w:pPr>
        <w:ind w:left="1180" w:hanging="97"/>
        <w:spacing w:after="0"/>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w:t>
      </w:r>
    </w:p>
    <w:p>
      <w:pPr>
        <w:spacing w:after="0" w:line="115" w:lineRule="exact"/>
        <w:rPr>
          <w:sz w:val="20"/>
          <w:szCs w:val="20"/>
          <w:color w:val="auto"/>
        </w:rPr>
      </w:pPr>
    </w:p>
    <w:p>
      <w:pPr>
        <w:jc w:val="both"/>
        <w:ind w:left="680" w:right="180" w:firstLine="398"/>
        <w:spacing w:after="0" w:line="256" w:lineRule="auto"/>
        <w:rPr>
          <w:sz w:val="20"/>
          <w:szCs w:val="20"/>
          <w:color w:val="auto"/>
        </w:rPr>
      </w:pPr>
      <w:r>
        <w:rPr>
          <w:rFonts w:ascii="Times New Roman" w:cs="Times New Roman" w:eastAsia="Times New Roman" w:hAnsi="Times New Roman"/>
          <w:sz w:val="17"/>
          <w:szCs w:val="17"/>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78" w:lineRule="exact"/>
        <w:rPr>
          <w:sz w:val="20"/>
          <w:szCs w:val="20"/>
          <w:color w:val="auto"/>
        </w:rPr>
      </w:pPr>
    </w:p>
    <w:p>
      <w:pPr>
        <w:ind w:left="880"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by our significant shareholders or us may depress our stock price and impair our ability to raise funds in new share offerings.</w:t>
      </w:r>
    </w:p>
    <w:p>
      <w:pPr>
        <w:spacing w:after="0" w:line="69" w:lineRule="exact"/>
        <w:rPr>
          <w:sz w:val="20"/>
          <w:szCs w:val="20"/>
          <w:color w:val="auto"/>
        </w:rPr>
      </w:pPr>
    </w:p>
    <w:p>
      <w:pPr>
        <w:ind w:left="680" w:firstLine="398"/>
        <w:spacing w:after="0" w:line="263" w:lineRule="auto"/>
        <w:rPr>
          <w:sz w:val="20"/>
          <w:szCs w:val="20"/>
          <w:color w:val="auto"/>
        </w:rPr>
      </w:pPr>
      <w:r>
        <w:rPr>
          <w:rFonts w:ascii="Times New Roman" w:cs="Times New Roman" w:eastAsia="Times New Roman" w:hAnsi="Times New Roman"/>
          <w:sz w:val="16"/>
          <w:szCs w:val="16"/>
          <w:color w:val="auto"/>
        </w:rPr>
        <w:t>A small number of our shareholders beneficially own a substantial amount of our common stock. As of December 31, 2005, our seven largest shareholders, including sanofi-aventis, beneficially owned 47.0%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December 31, 2005. As of that date, sanofi-aventis owned 2,799,552 shares of Common Stock, representing approximately 5.2% of the shares of Common Stock then outstanding. Under our stock purchase agreement with sanofi-aventis, through September 5, 2006, sanofi-aventis may sell no more than 250,000 of these shares in any calendar quarter. After September 5, 2006, sanofi-aventis may sell no more than 500,000 of these shares in any calendar quarter.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Our existing shareholders may be able to exert significant influence over matters requiring shareholder approval.</w:t>
      </w:r>
    </w:p>
    <w:p>
      <w:pPr>
        <w:spacing w:after="0" w:line="119" w:lineRule="exact"/>
        <w:rPr>
          <w:sz w:val="20"/>
          <w:szCs w:val="20"/>
          <w:color w:val="auto"/>
        </w:rPr>
      </w:pPr>
    </w:p>
    <w:p>
      <w:pPr>
        <w:ind w:left="680" w:right="140" w:firstLine="398"/>
        <w:spacing w:after="0" w:line="270" w:lineRule="auto"/>
        <w:rPr>
          <w:sz w:val="20"/>
          <w:szCs w:val="20"/>
          <w:color w:val="auto"/>
        </w:rPr>
      </w:pPr>
      <w:r>
        <w:rPr>
          <w:rFonts w:ascii="Times New Roman" w:cs="Times New Roman" w:eastAsia="Times New Roman" w:hAnsi="Times New Roman"/>
          <w:sz w:val="16"/>
          <w:szCs w:val="16"/>
          <w:color w:val="auto"/>
        </w:rPr>
        <w:t>Holders of Class A Stock, who are generally the shareholders who purchased their stock from us before our initial public offering, are entitled to ten votes per share, while holders of Common Stock are entitled to one vote per share. As of December 31, 2005, holders of Class A Stock held</w:t>
      </w:r>
    </w:p>
    <w:p>
      <w:pPr>
        <w:ind w:left="680" w:right="60"/>
        <w:spacing w:after="0" w:line="245" w:lineRule="auto"/>
        <w:rPr>
          <w:sz w:val="20"/>
          <w:szCs w:val="20"/>
          <w:color w:val="auto"/>
        </w:rPr>
      </w:pPr>
      <w:r>
        <w:rPr>
          <w:rFonts w:ascii="Times New Roman" w:cs="Times New Roman" w:eastAsia="Times New Roman" w:hAnsi="Times New Roman"/>
          <w:sz w:val="17"/>
          <w:szCs w:val="17"/>
          <w:color w:val="auto"/>
        </w:rPr>
        <w:t>4.2% of all shares of Common Stock and Class A Stock then outstanding, and had 30.3%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December 31, 2005:</w:t>
      </w:r>
    </w:p>
    <w:p>
      <w:pPr>
        <w:spacing w:after="0" w:line="91" w:lineRule="exact"/>
        <w:rPr>
          <w:sz w:val="20"/>
          <w:szCs w:val="20"/>
          <w:color w:val="auto"/>
        </w:rPr>
      </w:pPr>
    </w:p>
    <w:p>
      <w:pPr>
        <w:ind w:left="1180" w:hanging="97"/>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officers and directors beneficially owned 14.8% of our outstanding shares of Common Stock, assuming conversion of their</w:t>
      </w:r>
    </w:p>
    <w:p>
      <w:pPr>
        <w:spacing w:after="0" w:line="20" w:lineRule="exact"/>
        <w:rPr>
          <w:rFonts w:ascii="Times New Roman" w:cs="Times New Roman" w:eastAsia="Times New Roman" w:hAnsi="Times New Roman"/>
          <w:sz w:val="17"/>
          <w:szCs w:val="17"/>
          <w:color w:val="auto"/>
        </w:rPr>
      </w:pPr>
    </w:p>
    <w:p>
      <w:pPr>
        <w:ind w:left="1180" w:right="4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Stock into Common Stock and the exercise of all options held by such persons which are exercisable within 60 days of December 31, 2005, and 33.6% of the combined voting power of our outstanding shares of Common Stock and Class A Stock, assuming the exercise of all options held by such persons which are exercisable within 60 days of December 31, 2005; and</w:t>
      </w:r>
    </w:p>
    <w:p>
      <w:pPr>
        <w:spacing w:after="0" w:line="77" w:lineRule="exact"/>
        <w:rPr>
          <w:rFonts w:ascii="Times New Roman" w:cs="Times New Roman" w:eastAsia="Times New Roman" w:hAnsi="Times New Roman"/>
          <w:sz w:val="17"/>
          <w:szCs w:val="17"/>
          <w:color w:val="auto"/>
        </w:rPr>
      </w:pPr>
    </w:p>
    <w:p>
      <w:pPr>
        <w:ind w:left="1180" w:right="180" w:hanging="97"/>
        <w:spacing w:after="0" w:line="269" w:lineRule="auto"/>
        <w:tabs>
          <w:tab w:leader="none" w:pos="11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seven largest shareholders beneficially owned 47.0%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December 31, 2005. In addition, these seven shareholders held 53.4% of the combined voting power of our outstanding shares of Common Stock and Class A Stock, assuming the exercise of all options held by our Chief Executive Officer and our Chairman which are exercisable within 60 days of December 31, 2005.</w:t>
      </w: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23" w:name="page24"/>
    <w:bookmarkEnd w:id="2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00" w:lineRule="exact"/>
        <w:rPr>
          <w:sz w:val="20"/>
          <w:szCs w:val="20"/>
          <w:color w:val="auto"/>
        </w:rPr>
      </w:pPr>
    </w:p>
    <w:p>
      <w:pPr>
        <w:ind w:left="560" w:right="1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anti-takeover effects of provisions of our charter, by-laws, and rights agreement, and of New York corporate law, could deter, delay, or prevent an acquisition or other “change in control” of us and could adversely affect the price of our common stock.</w:t>
      </w:r>
    </w:p>
    <w:p>
      <w:pPr>
        <w:spacing w:after="0" w:line="69" w:lineRule="exact"/>
        <w:rPr>
          <w:sz w:val="20"/>
          <w:szCs w:val="20"/>
          <w:color w:val="auto"/>
        </w:rPr>
      </w:pPr>
    </w:p>
    <w:p>
      <w:pPr>
        <w:ind w:left="460" w:firstLine="312"/>
        <w:spacing w:after="0" w:line="250" w:lineRule="auto"/>
        <w:rPr>
          <w:sz w:val="20"/>
          <w:szCs w:val="20"/>
          <w:color w:val="auto"/>
        </w:rPr>
      </w:pPr>
      <w:r>
        <w:rPr>
          <w:rFonts w:ascii="Times New Roman" w:cs="Times New Roman" w:eastAsia="Times New Roman" w:hAnsi="Times New Roman"/>
          <w:sz w:val="17"/>
          <w:szCs w:val="17"/>
          <w:color w:val="auto"/>
        </w:rPr>
        <w:t>Our amended and restated certificate of incorporation, our by-laws, our rights agreement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88" w:lineRule="exact"/>
        <w:rPr>
          <w:sz w:val="20"/>
          <w:szCs w:val="20"/>
          <w:color w:val="auto"/>
        </w:rPr>
      </w:pPr>
    </w:p>
    <w:p>
      <w:pPr>
        <w:ind w:left="880" w:right="280" w:hanging="100"/>
        <w:spacing w:after="0" w:line="268"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60" w:lineRule="exact"/>
        <w:rPr>
          <w:rFonts w:ascii="Times New Roman" w:cs="Times New Roman" w:eastAsia="Times New Roman" w:hAnsi="Times New Roman"/>
          <w:sz w:val="17"/>
          <w:szCs w:val="17"/>
          <w:color w:val="auto"/>
        </w:rPr>
      </w:pPr>
    </w:p>
    <w:p>
      <w:pPr>
        <w:ind w:left="880" w:hanging="100"/>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staggered board of directors, so that it would take three successive annual meetings to replace all of our directors;</w:t>
      </w:r>
    </w:p>
    <w:p>
      <w:pPr>
        <w:spacing w:after="0" w:line="102" w:lineRule="exact"/>
        <w:rPr>
          <w:rFonts w:ascii="Times New Roman" w:cs="Times New Roman" w:eastAsia="Times New Roman" w:hAnsi="Times New Roman"/>
          <w:sz w:val="17"/>
          <w:szCs w:val="17"/>
          <w:color w:val="auto"/>
        </w:rPr>
      </w:pPr>
    </w:p>
    <w:p>
      <w:pPr>
        <w:ind w:left="880" w:right="440" w:hanging="100"/>
        <w:spacing w:after="0" w:line="256"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70" w:lineRule="exact"/>
        <w:rPr>
          <w:rFonts w:ascii="Times New Roman" w:cs="Times New Roman" w:eastAsia="Times New Roman" w:hAnsi="Times New Roman"/>
          <w:sz w:val="17"/>
          <w:szCs w:val="17"/>
          <w:color w:val="auto"/>
        </w:rPr>
      </w:pPr>
    </w:p>
    <w:p>
      <w:pPr>
        <w:ind w:left="880" w:right="280" w:hanging="100"/>
        <w:spacing w:after="0" w:line="268"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60" w:lineRule="exact"/>
        <w:rPr>
          <w:rFonts w:ascii="Times New Roman" w:cs="Times New Roman" w:eastAsia="Times New Roman" w:hAnsi="Times New Roman"/>
          <w:sz w:val="17"/>
          <w:szCs w:val="17"/>
          <w:color w:val="auto"/>
        </w:rPr>
      </w:pPr>
    </w:p>
    <w:p>
      <w:pPr>
        <w:ind w:left="880" w:right="200" w:hanging="100"/>
        <w:spacing w:after="0" w:line="268"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shareholder seeking to bring business before an annual meeting of shareholders must provide timely notice of this intention in writing and meet various other requirements; and</w:t>
      </w:r>
    </w:p>
    <w:p>
      <w:pPr>
        <w:spacing w:after="0" w:line="60" w:lineRule="exact"/>
        <w:rPr>
          <w:rFonts w:ascii="Times New Roman" w:cs="Times New Roman" w:eastAsia="Times New Roman" w:hAnsi="Times New Roman"/>
          <w:sz w:val="17"/>
          <w:szCs w:val="17"/>
          <w:color w:val="auto"/>
        </w:rPr>
      </w:pPr>
    </w:p>
    <w:p>
      <w:pPr>
        <w:ind w:left="880" w:right="100" w:hanging="100"/>
        <w:spacing w:after="0" w:line="256" w:lineRule="auto"/>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under the New York Business Corporation Law, a plan of merger or consolidation of the Company must be approved by two-thirds of the votes of all outstanding shares entitled to vote thereon. See the risk factor immediately above captioned </w:t>
      </w:r>
      <w:r>
        <w:rPr>
          <w:rFonts w:ascii="Times New Roman" w:cs="Times New Roman" w:eastAsia="Times New Roman" w:hAnsi="Times New Roman"/>
          <w:sz w:val="17"/>
          <w:szCs w:val="17"/>
          <w:i w:val="1"/>
          <w:iCs w:val="1"/>
          <w:color w:val="auto"/>
        </w:rPr>
        <w:t>“Our existing shareholders may be able to exert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influence over matters requiring shareholder approval.”</w:t>
      </w:r>
    </w:p>
    <w:p>
      <w:pPr>
        <w:spacing w:after="0" w:line="83" w:lineRule="exact"/>
        <w:rPr>
          <w:sz w:val="20"/>
          <w:szCs w:val="20"/>
          <w:color w:val="auto"/>
        </w:rPr>
      </w:pPr>
    </w:p>
    <w:p>
      <w:pPr>
        <w:ind w:left="460" w:right="60" w:firstLine="312"/>
        <w:spacing w:after="0" w:line="256" w:lineRule="auto"/>
        <w:rPr>
          <w:sz w:val="20"/>
          <w:szCs w:val="20"/>
          <w:color w:val="auto"/>
        </w:rPr>
      </w:pPr>
      <w:r>
        <w:rPr>
          <w:rFonts w:ascii="Times New Roman" w:cs="Times New Roman" w:eastAsia="Times New Roman" w:hAnsi="Times New Roman"/>
          <w:sz w:val="17"/>
          <w:szCs w:val="17"/>
          <w:color w:val="auto"/>
        </w:rPr>
        <w:t>We have a shareholder rights plan which could make it more difficult for a third party to acquire us without the support of our board of directors and principal shareholders. In addition, many of our stock options issued under our 2000 Long-Term Incentive Plan may become fully vested in connection with a “change in control” of the Company, as defined in the plan.</w:t>
      </w:r>
    </w:p>
    <w:p>
      <w:pPr>
        <w:spacing w:after="0" w:line="178"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i w:val="1"/>
          <w:iCs w:val="1"/>
          <w:color w:val="auto"/>
        </w:rPr>
        <w:t>Unresolved Staff Comments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None.</w:t>
      </w:r>
    </w:p>
    <w:p>
      <w:pPr>
        <w:spacing w:after="0" w:line="210"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Properties</w:t>
      </w:r>
    </w:p>
    <w:p>
      <w:pPr>
        <w:spacing w:after="0" w:line="119" w:lineRule="exact"/>
        <w:rPr>
          <w:sz w:val="20"/>
          <w:szCs w:val="20"/>
          <w:color w:val="auto"/>
        </w:rPr>
      </w:pPr>
    </w:p>
    <w:p>
      <w:pPr>
        <w:ind w:left="460" w:right="280" w:firstLine="312"/>
        <w:spacing w:after="0" w:line="252" w:lineRule="auto"/>
        <w:rPr>
          <w:sz w:val="20"/>
          <w:szCs w:val="20"/>
          <w:color w:val="auto"/>
        </w:rPr>
      </w:pPr>
      <w:r>
        <w:rPr>
          <w:rFonts w:ascii="Times New Roman" w:cs="Times New Roman" w:eastAsia="Times New Roman" w:hAnsi="Times New Roman"/>
          <w:sz w:val="17"/>
          <w:szCs w:val="17"/>
          <w:color w:val="auto"/>
        </w:rPr>
        <w:t>We conduct our research, development, manufacturing, and administrative activities at our owned and leased facilities. We currently lease approximately 236,000 square feet of laboratory and office space in Tarrytown, New York. We own a facility in Rensselaer, New York, consisting of two buildings totaling approximately 123,500 square feet of research, manufacturing, office, and warehouse space. We also lease an additional 75,000 square feet of manufacturing, office, and warehouse space in Rensselaer.</w:t>
      </w:r>
    </w:p>
    <w:p>
      <w:pPr>
        <w:spacing w:after="0" w:line="34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24" w:name="page25"/>
    <w:bookmarkEnd w:id="2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following table summarizes the information regarding our current property leases: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40" w:type="dxa"/>
            <w:vAlign w:val="bottom"/>
            <w:vMerge w:val="restart"/>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Square</w:t>
            </w:r>
          </w:p>
        </w:tc>
        <w:tc>
          <w:tcPr>
            <w:tcW w:w="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Current Monthly</w:t>
            </w:r>
          </w:p>
        </w:tc>
        <w:tc>
          <w:tcPr>
            <w:tcW w:w="32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Renewal Option</w:t>
            </w:r>
          </w:p>
        </w:tc>
        <w:tc>
          <w:tcPr>
            <w:tcW w:w="0" w:type="dxa"/>
            <w:vAlign w:val="bottom"/>
          </w:tcPr>
          <w:p>
            <w:pPr>
              <w:spacing w:after="0"/>
              <w:rPr>
                <w:sz w:val="1"/>
                <w:szCs w:val="1"/>
                <w:color w:val="auto"/>
              </w:rPr>
            </w:pPr>
          </w:p>
        </w:tc>
      </w:tr>
      <w:tr>
        <w:trPr>
          <w:trHeight w:val="149"/>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Base Rental</w:t>
            </w:r>
          </w:p>
        </w:tc>
        <w:tc>
          <w:tcPr>
            <w:tcW w:w="3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20" w:type="dxa"/>
            <w:vAlign w:val="bottom"/>
            <w:gridSpan w:val="3"/>
            <w:vMerge w:val="continue"/>
          </w:tcPr>
          <w:p>
            <w:pPr>
              <w:spacing w:after="0"/>
              <w:rPr>
                <w:sz w:val="13"/>
                <w:szCs w:val="13"/>
                <w:color w:val="auto"/>
              </w:rPr>
            </w:pPr>
          </w:p>
        </w:tc>
        <w:tc>
          <w:tcPr>
            <w:tcW w:w="6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Footage</w:t>
            </w:r>
          </w:p>
        </w:tc>
        <w:tc>
          <w:tcPr>
            <w:tcW w:w="320" w:type="dxa"/>
            <w:vAlign w:val="bottom"/>
          </w:tcPr>
          <w:p>
            <w:pPr>
              <w:spacing w:after="0"/>
              <w:rPr>
                <w:sz w:val="13"/>
                <w:szCs w:val="13"/>
                <w:color w:val="auto"/>
              </w:rPr>
            </w:pPr>
          </w:p>
        </w:tc>
        <w:tc>
          <w:tcPr>
            <w:tcW w:w="2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rPr>
              <w:t>Charges(1)</w:t>
            </w:r>
          </w:p>
        </w:tc>
        <w:tc>
          <w:tcPr>
            <w:tcW w:w="320" w:type="dxa"/>
            <w:vAlign w:val="bottom"/>
          </w:tcPr>
          <w:p>
            <w:pPr>
              <w:spacing w:after="0"/>
              <w:rPr>
                <w:sz w:val="13"/>
                <w:szCs w:val="13"/>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Tarrytown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162,000</w:t>
            </w:r>
          </w:p>
        </w:tc>
        <w:tc>
          <w:tcPr>
            <w:tcW w:w="320" w:type="dxa"/>
            <w:vAlign w:val="bottom"/>
            <w:shd w:val="clear" w:color="auto" w:fill="CCEEFF"/>
          </w:tcPr>
          <w:p>
            <w:pPr>
              <w:spacing w:after="0"/>
              <w:rPr>
                <w:sz w:val="17"/>
                <w:szCs w:val="17"/>
                <w:color w:val="auto"/>
              </w:rPr>
            </w:pPr>
          </w:p>
        </w:tc>
        <w:tc>
          <w:tcPr>
            <w:tcW w:w="2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December 31, 2007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207,000</w:t>
            </w:r>
          </w:p>
        </w:tc>
        <w:tc>
          <w:tcPr>
            <w:tcW w:w="320" w:type="dxa"/>
            <w:vAlign w:val="bottom"/>
            <w:shd w:val="clear" w:color="auto" w:fill="CCEEFF"/>
          </w:tcPr>
          <w:p>
            <w:pPr>
              <w:spacing w:after="0"/>
              <w:rPr>
                <w:sz w:val="17"/>
                <w:szCs w:val="17"/>
                <w:color w:val="auto"/>
              </w:rPr>
            </w:pPr>
          </w:p>
        </w:tc>
        <w:tc>
          <w:tcPr>
            <w:tcW w:w="2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None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Tarrytown</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74,000</w:t>
            </w:r>
          </w:p>
        </w:tc>
        <w:tc>
          <w:tcPr>
            <w:tcW w:w="320" w:type="dxa"/>
            <w:vAlign w:val="bottom"/>
          </w:tcPr>
          <w:p>
            <w:pPr>
              <w:spacing w:after="0"/>
              <w:rPr>
                <w:sz w:val="17"/>
                <w:szCs w:val="17"/>
                <w:color w:val="auto"/>
              </w:rPr>
            </w:pPr>
          </w:p>
        </w:tc>
        <w:tc>
          <w:tcPr>
            <w:tcW w:w="24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December 31, 2009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146,000</w:t>
            </w:r>
          </w:p>
        </w:tc>
        <w:tc>
          <w:tcPr>
            <w:tcW w:w="320" w:type="dxa"/>
            <w:vAlign w:val="bottom"/>
          </w:tcPr>
          <w:p>
            <w:pPr>
              <w:spacing w:after="0"/>
              <w:rPr>
                <w:sz w:val="17"/>
                <w:szCs w:val="17"/>
                <w:color w:val="auto"/>
              </w:rPr>
            </w:pPr>
          </w:p>
        </w:tc>
        <w:tc>
          <w:tcPr>
            <w:tcW w:w="2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One 5-year term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Rensselaer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20" w:type="dxa"/>
            <w:vAlign w:val="bottom"/>
            <w:shd w:val="clear" w:color="auto" w:fill="CCEEFF"/>
          </w:tcPr>
          <w:p>
            <w:pPr>
              <w:spacing w:after="0"/>
              <w:rPr>
                <w:sz w:val="17"/>
                <w:szCs w:val="17"/>
                <w:color w:val="auto"/>
              </w:rPr>
            </w:pPr>
          </w:p>
        </w:tc>
        <w:tc>
          <w:tcPr>
            <w:tcW w:w="2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July 11, 2007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320" w:type="dxa"/>
            <w:vAlign w:val="bottom"/>
            <w:shd w:val="clear" w:color="auto" w:fill="CCEEFF"/>
          </w:tcPr>
          <w:p>
            <w:pPr>
              <w:spacing w:after="0"/>
              <w:rPr>
                <w:sz w:val="17"/>
                <w:szCs w:val="17"/>
                <w:color w:val="auto"/>
              </w:rPr>
            </w:pPr>
          </w:p>
        </w:tc>
        <w:tc>
          <w:tcPr>
            <w:tcW w:w="2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Two 5-year terms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-504190</wp:posOffset>
            </wp:positionV>
            <wp:extent cx="158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75" cy="7620"/>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  Excludes additional rental charges for utilities, taxes, and operating expenses, as defined.</w:t>
      </w:r>
    </w:p>
    <w:p>
      <w:pPr>
        <w:spacing w:after="0" w:line="115" w:lineRule="exact"/>
        <w:rPr>
          <w:sz w:val="20"/>
          <w:szCs w:val="20"/>
          <w:color w:val="auto"/>
        </w:rPr>
      </w:pPr>
    </w:p>
    <w:p>
      <w:pPr>
        <w:ind w:left="460" w:right="560" w:firstLine="312"/>
        <w:spacing w:after="0" w:line="268" w:lineRule="auto"/>
        <w:rPr>
          <w:sz w:val="20"/>
          <w:szCs w:val="20"/>
          <w:color w:val="auto"/>
        </w:rPr>
      </w:pPr>
      <w:r>
        <w:rPr>
          <w:rFonts w:ascii="Times New Roman" w:cs="Times New Roman" w:eastAsia="Times New Roman" w:hAnsi="Times New Roman"/>
          <w:sz w:val="17"/>
          <w:szCs w:val="17"/>
          <w:color w:val="auto"/>
        </w:rPr>
        <w:t>We believe that our existing owned and leased facilities are adequate for our ongoing research, development, manufacturing, and administrative activities.</w:t>
      </w:r>
    </w:p>
    <w:p>
      <w:pPr>
        <w:spacing w:after="0" w:line="73" w:lineRule="exact"/>
        <w:rPr>
          <w:sz w:val="20"/>
          <w:szCs w:val="20"/>
          <w:color w:val="auto"/>
        </w:rPr>
      </w:pPr>
    </w:p>
    <w:p>
      <w:pPr>
        <w:ind w:left="460" w:right="840" w:firstLine="312"/>
        <w:spacing w:after="0" w:line="268" w:lineRule="auto"/>
        <w:rPr>
          <w:sz w:val="20"/>
          <w:szCs w:val="20"/>
          <w:color w:val="auto"/>
        </w:rPr>
      </w:pPr>
      <w:r>
        <w:rPr>
          <w:rFonts w:ascii="Times New Roman" w:cs="Times New Roman" w:eastAsia="Times New Roman" w:hAnsi="Times New Roman"/>
          <w:sz w:val="17"/>
          <w:szCs w:val="17"/>
          <w:color w:val="auto"/>
        </w:rPr>
        <w:t>In the future, we may lease, operate, or purchase additional facilities in which to conduct expanded research and development activities and manufacturing and commercial operations.</w:t>
      </w:r>
    </w:p>
    <w:p>
      <w:pPr>
        <w:spacing w:after="0" w:line="168"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119" w:lineRule="exact"/>
        <w:rPr>
          <w:sz w:val="20"/>
          <w:szCs w:val="20"/>
          <w:color w:val="auto"/>
        </w:rPr>
      </w:pPr>
    </w:p>
    <w:p>
      <w:pPr>
        <w:ind w:left="460" w:right="120" w:firstLine="312"/>
        <w:spacing w:after="0" w:line="250" w:lineRule="auto"/>
        <w:rPr>
          <w:sz w:val="20"/>
          <w:szCs w:val="20"/>
          <w:color w:val="auto"/>
        </w:rPr>
      </w:pPr>
      <w:r>
        <w:rPr>
          <w:rFonts w:ascii="Times New Roman" w:cs="Times New Roman" w:eastAsia="Times New Roman" w:hAnsi="Times New Roman"/>
          <w:sz w:val="17"/>
          <w:szCs w:val="17"/>
          <w:color w:val="auto"/>
        </w:rPr>
        <w:t>In May 2003, securities class action lawsuits were commenced against Regeneron and certain of our officers and directors in the United States District Court for the Southern District of New York. A consolidated amended class action complaint was filed in October 2003. The complaint, which was purported to be brought on behalf of a class consisting of investors in our publicly traded securities between March 28, 2000 and March 30, 2003, alleged that the defendants misstated or omitted material information concerning the safety and efficacy of AXOKINE, in violation of Sections 10(b) and 20(a) of the Securities and Exchange Act of 1934 and Rule 10b-5 promulgated thereunder.</w:t>
      </w:r>
    </w:p>
    <w:p>
      <w:pPr>
        <w:spacing w:after="0" w:line="88" w:lineRule="exact"/>
        <w:rPr>
          <w:sz w:val="20"/>
          <w:szCs w:val="20"/>
          <w:color w:val="auto"/>
        </w:rPr>
      </w:pPr>
    </w:p>
    <w:p>
      <w:pPr>
        <w:ind w:left="460" w:firstLine="312"/>
        <w:spacing w:after="0" w:line="250" w:lineRule="auto"/>
        <w:rPr>
          <w:sz w:val="20"/>
          <w:szCs w:val="20"/>
          <w:color w:val="auto"/>
        </w:rPr>
      </w:pPr>
      <w:r>
        <w:rPr>
          <w:rFonts w:ascii="Times New Roman" w:cs="Times New Roman" w:eastAsia="Times New Roman" w:hAnsi="Times New Roman"/>
          <w:sz w:val="17"/>
          <w:szCs w:val="17"/>
          <w:color w:val="auto"/>
        </w:rPr>
        <w:t>On November 14, 2005, the United States District Court for the Southern District of New York approved the terms of a settlement between plaintiffs and Regeneron settling all claims against us in this lawsuit. The settlement requires no payment by us or any of the individual defendants named in the lawsuit. Our primary insurance carrier agreed to make the required payment under the settlement, the amount of which is immaterial to us. The settlement includes no admission of wrongdoing by Regeneron or any of the individual defendants. Separately, the plaintiffs and the individual defendants named in the lawsuit entered into a Stipulation of Voluntary Dismissal, which dismissed all claims against the individuals with prejudice.</w:t>
      </w:r>
    </w:p>
    <w:p>
      <w:pPr>
        <w:spacing w:after="0" w:line="88" w:lineRule="exact"/>
        <w:rPr>
          <w:sz w:val="20"/>
          <w:szCs w:val="20"/>
          <w:color w:val="auto"/>
        </w:rPr>
      </w:pPr>
    </w:p>
    <w:p>
      <w:pPr>
        <w:ind w:left="460" w:right="60" w:firstLine="312"/>
        <w:spacing w:after="0" w:line="268" w:lineRule="auto"/>
        <w:rPr>
          <w:sz w:val="20"/>
          <w:szCs w:val="20"/>
          <w:color w:val="auto"/>
        </w:rPr>
      </w:pPr>
      <w:r>
        <w:rPr>
          <w:rFonts w:ascii="Times New Roman" w:cs="Times New Roman" w:eastAsia="Times New Roman" w:hAnsi="Times New Roman"/>
          <w:sz w:val="17"/>
          <w:szCs w:val="17"/>
          <w:color w:val="auto"/>
        </w:rPr>
        <w:t>From time to time, we are a party to other legal proceedings in the course of our business. We do not expect any such other current legal proceedings to have a material adverse effect on our business or financial condition.</w:t>
      </w:r>
    </w:p>
    <w:p>
      <w:pPr>
        <w:spacing w:after="0" w:line="168"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Submission of Matters to a Vote of Security Holders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 matters were submitted to a vote of our security holders during the last quarter of the fiscal year ended December 31, 2005.</w:t>
      </w:r>
    </w:p>
    <w:p>
      <w:pPr>
        <w:spacing w:after="0" w:line="3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4"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Market for Registrant’s Common Equity, Related Stockholder Matters and Issuer Purchases of Equity Securities</w:t>
      </w:r>
    </w:p>
    <w:p>
      <w:pPr>
        <w:spacing w:after="0" w:line="119" w:lineRule="exact"/>
        <w:rPr>
          <w:sz w:val="20"/>
          <w:szCs w:val="20"/>
          <w:color w:val="auto"/>
        </w:rPr>
      </w:pPr>
    </w:p>
    <w:p>
      <w:pPr>
        <w:ind w:left="460" w:right="20" w:firstLine="312"/>
        <w:spacing w:after="0" w:line="268" w:lineRule="auto"/>
        <w:rPr>
          <w:sz w:val="20"/>
          <w:szCs w:val="20"/>
          <w:color w:val="auto"/>
        </w:rPr>
      </w:pPr>
      <w:r>
        <w:rPr>
          <w:rFonts w:ascii="Times New Roman" w:cs="Times New Roman" w:eastAsia="Times New Roman" w:hAnsi="Times New Roman"/>
          <w:sz w:val="17"/>
          <w:szCs w:val="17"/>
          <w:color w:val="auto"/>
        </w:rPr>
        <w:t>Our Common Stock is quoted on The NASDAQ Stock Market under the symbol “REGN.” Our Class A Stock, par value $.001 per share, is not publicly quoted or traded.</w:t>
      </w:r>
    </w:p>
    <w:p>
      <w:pPr>
        <w:spacing w:after="0" w:line="32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25" w:name="page26"/>
    <w:bookmarkEnd w:id="2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460" w:firstLine="398"/>
        <w:spacing w:after="0" w:line="268" w:lineRule="auto"/>
        <w:rPr>
          <w:sz w:val="20"/>
          <w:szCs w:val="20"/>
          <w:color w:val="auto"/>
        </w:rPr>
      </w:pPr>
      <w:r>
        <w:rPr>
          <w:rFonts w:ascii="Times New Roman" w:cs="Times New Roman" w:eastAsia="Times New Roman" w:hAnsi="Times New Roman"/>
          <w:sz w:val="17"/>
          <w:szCs w:val="17"/>
          <w:color w:val="auto"/>
        </w:rPr>
        <w:t>The following table sets forth, for the periods indicated, the range of high and low sales prices for the Common Stock as reported by The NASDAQ Stock Market:</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8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120" w:type="dxa"/>
            <w:vAlign w:val="bottom"/>
          </w:tcPr>
          <w:p>
            <w:pPr>
              <w:spacing w:after="0"/>
              <w:rPr>
                <w:sz w:val="13"/>
                <w:szCs w:val="1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Low</w:t>
            </w:r>
          </w:p>
        </w:tc>
      </w:tr>
      <w:tr>
        <w:trPr>
          <w:trHeight w:val="42"/>
        </w:trPr>
        <w:tc>
          <w:tcPr>
            <w:tcW w:w="84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First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9"/>
              </w:rPr>
              <w:t>17.00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12.80</w:t>
            </w:r>
          </w:p>
        </w:tc>
      </w:tr>
      <w:tr>
        <w:trPr>
          <w:trHeight w:val="19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Second Quarter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9"/>
              </w:rPr>
              <w:t>15.85</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8.53</w:t>
            </w:r>
          </w:p>
        </w:tc>
      </w:tr>
      <w:tr>
        <w:trPr>
          <w:trHeight w:val="199"/>
        </w:trPr>
        <w:tc>
          <w:tcPr>
            <w:tcW w:w="8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Third Quarter</w:t>
            </w:r>
          </w:p>
        </w:tc>
        <w:tc>
          <w:tcPr>
            <w:tcW w:w="10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9"/>
              </w:rPr>
              <w:t>10.80</w:t>
            </w:r>
          </w:p>
        </w:tc>
        <w:tc>
          <w:tcPr>
            <w:tcW w:w="12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6.76</w:t>
            </w:r>
          </w:p>
        </w:tc>
      </w:tr>
      <w:tr>
        <w:trPr>
          <w:trHeight w:val="19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Fourth Quarter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9.49</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6.75</w:t>
            </w:r>
          </w:p>
        </w:tc>
      </w:tr>
      <w:tr>
        <w:trPr>
          <w:trHeight w:val="199"/>
        </w:trPr>
        <w:tc>
          <w:tcPr>
            <w:tcW w:w="8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First Quarter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4.75</w:t>
            </w:r>
          </w:p>
        </w:tc>
      </w:tr>
      <w:tr>
        <w:trPr>
          <w:trHeight w:val="199"/>
        </w:trPr>
        <w:tc>
          <w:tcPr>
            <w:tcW w:w="8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Second Quarter</w:t>
            </w:r>
          </w:p>
        </w:tc>
        <w:tc>
          <w:tcPr>
            <w:tcW w:w="10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8.84</w:t>
            </w:r>
          </w:p>
        </w:tc>
        <w:tc>
          <w:tcPr>
            <w:tcW w:w="12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4.61</w:t>
            </w:r>
          </w:p>
        </w:tc>
      </w:tr>
      <w:tr>
        <w:trPr>
          <w:trHeight w:val="19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Third Quarter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9"/>
              </w:rPr>
              <w:t>10.67</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7.36</w:t>
            </w:r>
          </w:p>
        </w:tc>
      </w:tr>
      <w:tr>
        <w:trPr>
          <w:trHeight w:val="216"/>
        </w:trPr>
        <w:tc>
          <w:tcPr>
            <w:tcW w:w="8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Fourth Quarter</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9"/>
              </w:rPr>
              <w:t>17.37</w:t>
            </w: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8.55</w:t>
            </w:r>
          </w:p>
        </w:tc>
      </w:tr>
    </w:tbl>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As of February 15, 2006, there were 586 shareholders of record of our Common Stock and 53 shareholders of record of our Class A Stock.</w:t>
      </w:r>
    </w:p>
    <w:p>
      <w:pPr>
        <w:spacing w:after="0" w:line="1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We have never paid cash dividends and do not anticipate paying any in the foreseeable future.</w:t>
      </w:r>
    </w:p>
    <w:p>
      <w:pPr>
        <w:spacing w:after="0" w:line="115" w:lineRule="exact"/>
        <w:rPr>
          <w:sz w:val="20"/>
          <w:szCs w:val="20"/>
          <w:color w:val="auto"/>
        </w:rPr>
      </w:pPr>
    </w:p>
    <w:p>
      <w:pPr>
        <w:ind w:left="680" w:right="40" w:firstLine="398"/>
        <w:spacing w:after="0" w:line="268" w:lineRule="auto"/>
        <w:rPr>
          <w:sz w:val="20"/>
          <w:szCs w:val="20"/>
          <w:color w:val="auto"/>
        </w:rPr>
      </w:pPr>
      <w:r>
        <w:rPr>
          <w:rFonts w:ascii="Times New Roman" w:cs="Times New Roman" w:eastAsia="Times New Roman" w:hAnsi="Times New Roman"/>
          <w:sz w:val="17"/>
          <w:szCs w:val="17"/>
          <w:color w:val="auto"/>
        </w:rPr>
        <w:t>The information under the heading “Equity Compensation Plan Information” in our definitive proxy statement with respect to our 2006 Annual Meeting of Shareholders to be filed with the SEC is incorporated by reference into Item 12 of this Report on Form 10-K.</w:t>
      </w: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26" w:name="page27"/>
    <w:bookmarkEnd w:id="2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00"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Selected Financial Data</w:t>
      </w:r>
    </w:p>
    <w:p>
      <w:pPr>
        <w:spacing w:after="0" w:line="119" w:lineRule="exact"/>
        <w:rPr>
          <w:sz w:val="20"/>
          <w:szCs w:val="20"/>
          <w:color w:val="auto"/>
        </w:rPr>
      </w:pPr>
    </w:p>
    <w:p>
      <w:pPr>
        <w:ind w:left="460" w:right="580" w:firstLine="312"/>
        <w:spacing w:after="0" w:line="252" w:lineRule="auto"/>
        <w:rPr>
          <w:sz w:val="20"/>
          <w:szCs w:val="20"/>
          <w:color w:val="auto"/>
        </w:rPr>
      </w:pPr>
      <w:r>
        <w:rPr>
          <w:rFonts w:ascii="Times New Roman" w:cs="Times New Roman" w:eastAsia="Times New Roman" w:hAnsi="Times New Roman"/>
          <w:sz w:val="17"/>
          <w:szCs w:val="17"/>
          <w:color w:val="auto"/>
        </w:rPr>
        <w:t>The selected financial data set forth below for the years ended December 31, 2005, 2004, and 2003 and at December 31, 2005 and 2004 are derived from and should be read in conjunction with our audited financial statements, including the notes thereto, included elsewhere in this report. The selected financial data for the years ended December 31, 2002 and 2001 and at December 31, 2003, 2002, and 2001 are derived from our audited financial statements not included in this report.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2005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i w:val="1"/>
                <w:iCs w:val="1"/>
                <w:color w:val="auto"/>
                <w:w w:val="74"/>
              </w:rPr>
              <w:t>thousands,</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3"/>
                <w:szCs w:val="13"/>
                <w:b w:val="1"/>
                <w:bCs w:val="1"/>
                <w:color w:val="auto"/>
              </w:rPr>
              <w:t>2003</w:t>
            </w:r>
          </w:p>
        </w:tc>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share</w:t>
            </w: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2002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3"/>
                <w:szCs w:val="13"/>
                <w:b w:val="1"/>
                <w:bCs w:val="1"/>
                <w:color w:val="auto"/>
              </w:rPr>
              <w:t>2001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420" w:type="dxa"/>
            <w:vAlign w:val="bottom"/>
            <w:gridSpan w:val="2"/>
            <w:vMerge w:val="continue"/>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except per</w:t>
            </w:r>
          </w:p>
        </w:tc>
        <w:tc>
          <w:tcPr>
            <w:tcW w:w="400" w:type="dxa"/>
            <w:vAlign w:val="bottom"/>
            <w:gridSpan w:val="2"/>
            <w:vMerge w:val="continue"/>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data)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Contract research and development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52,447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113,157</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47,366</w:t>
            </w:r>
          </w:p>
        </w:tc>
        <w:tc>
          <w:tcPr>
            <w:tcW w:w="3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10,924</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progress payments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42,770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Contract manufacturing</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10,131</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57,497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155,581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136,095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136,024</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124,953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92,542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Contract manufacturing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6,509</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25,476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14,785</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168,371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157,485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143,968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108,658</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(124,421)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(99,988)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7"/>
              </w:rPr>
              <w:t>(121,980)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(86,685)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contract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13,162</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(12,046)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(12,175)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6"/>
              <w:spacing w:after="0"/>
              <w:rPr>
                <w:sz w:val="20"/>
                <w:szCs w:val="20"/>
                <w:color w:val="auto"/>
              </w:rPr>
            </w:pPr>
            <w:r>
              <w:rPr>
                <w:rFonts w:ascii="Times New Roman" w:cs="Times New Roman" w:eastAsia="Times New Roman" w:hAnsi="Times New Roman"/>
                <w:sz w:val="17"/>
                <w:szCs w:val="17"/>
                <w:color w:val="auto"/>
              </w:rPr>
              <w:t>(11,932)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(11,859)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7"/>
                <w:szCs w:val="17"/>
                <w:color w:val="auto"/>
              </w:rPr>
              <w:t>(7,470)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(2,397)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10,505</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(95,446</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41,699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4"/>
              </w:rPr>
              <w:t>$ (107,458</w:t>
            </w: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5"/>
              </w:rPr>
              <w:t>(124,377</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0" w:type="dxa"/>
            <w:vAlign w:val="bottom"/>
          </w:tcPr>
          <w:p>
            <w:pPr>
              <w:spacing w:after="0"/>
              <w:rPr>
                <w:sz w:val="16"/>
                <w:szCs w:val="16"/>
                <w:color w:val="auto"/>
              </w:rPr>
            </w:pPr>
          </w:p>
        </w:tc>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income (loss) per share, basic</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59"/>
              <w:spacing w:after="0" w:line="189" w:lineRule="exact"/>
              <w:rPr>
                <w:sz w:val="20"/>
                <w:szCs w:val="20"/>
                <w:color w:val="auto"/>
              </w:rPr>
            </w:pPr>
            <w:r>
              <w:rPr>
                <w:rFonts w:ascii="Times New Roman" w:cs="Times New Roman" w:eastAsia="Times New Roman" w:hAnsi="Times New Roman"/>
                <w:sz w:val="17"/>
                <w:szCs w:val="17"/>
                <w:color w:val="auto"/>
              </w:rPr>
              <w:t>(1.71)</w:t>
            </w:r>
          </w:p>
        </w:tc>
        <w:tc>
          <w:tcPr>
            <w:tcW w:w="3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0.75</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46"/>
              <w:spacing w:after="0" w:line="189" w:lineRule="exact"/>
              <w:rPr>
                <w:sz w:val="20"/>
                <w:szCs w:val="20"/>
                <w:color w:val="auto"/>
              </w:rPr>
            </w:pPr>
            <w:r>
              <w:rPr>
                <w:rFonts w:ascii="Times New Roman" w:cs="Times New Roman" w:eastAsia="Times New Roman" w:hAnsi="Times New Roman"/>
                <w:sz w:val="17"/>
                <w:szCs w:val="17"/>
                <w:color w:val="auto"/>
              </w:rPr>
              <w:t>(2.13)</w:t>
            </w:r>
          </w:p>
        </w:tc>
        <w:tc>
          <w:tcPr>
            <w:tcW w:w="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2"/>
              <w:spacing w:after="0" w:line="189" w:lineRule="exact"/>
              <w:rPr>
                <w:sz w:val="20"/>
                <w:szCs w:val="20"/>
                <w:color w:val="auto"/>
              </w:rPr>
            </w:pPr>
            <w:r>
              <w:rPr>
                <w:rFonts w:ascii="Times New Roman" w:cs="Times New Roman" w:eastAsia="Times New Roman" w:hAnsi="Times New Roman"/>
                <w:sz w:val="17"/>
                <w:szCs w:val="17"/>
                <w:color w:val="auto"/>
              </w:rPr>
              <w:t>(2.83)</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(1.81)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auto"/>
              </w:rPr>
              <w:t>Net income (loss) per share, diluted</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(1.71)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0.74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(2.13</w:t>
            </w: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(2.83</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At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3"/>
                <w:szCs w:val="13"/>
                <w:b w:val="1"/>
                <w:bCs w:val="1"/>
                <w:color w:val="auto"/>
              </w:rPr>
              <w:t>2005</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3"/>
                <w:szCs w:val="13"/>
                <w:b w:val="1"/>
                <w:bCs w:val="1"/>
                <w:color w:val="auto"/>
              </w:rPr>
              <w:t>2003</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9"/>
              <w:spacing w:after="0" w:line="129" w:lineRule="exact"/>
              <w:rPr>
                <w:sz w:val="20"/>
                <w:szCs w:val="20"/>
                <w:color w:val="auto"/>
              </w:rPr>
            </w:pPr>
            <w:r>
              <w:rPr>
                <w:rFonts w:ascii="Times New Roman" w:cs="Times New Roman" w:eastAsia="Times New Roman" w:hAnsi="Times New Roman"/>
                <w:sz w:val="13"/>
                <w:szCs w:val="13"/>
                <w:b w:val="1"/>
                <w:bCs w:val="1"/>
                <w:color w:val="auto"/>
              </w:rPr>
              <w:t>2002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3"/>
                <w:szCs w:val="13"/>
                <w:b w:val="1"/>
                <w:bCs w:val="1"/>
                <w:color w:val="auto"/>
              </w:rPr>
              <w:t>2001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104"/>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48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w w:val="99"/>
              </w:rPr>
              <w:t>Cash, cash equivalents, marketable securities, and restricted marketable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 (current and non-current)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316,654</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348,912</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366,566</w:t>
            </w:r>
          </w:p>
        </w:tc>
        <w:tc>
          <w:tcPr>
            <w:tcW w:w="3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295,246</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473,108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479,555</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495,397</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Capital lease obligations and notes payable, long-term portion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182,543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137,643</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266,355</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4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99"/>
              <w:spacing w:after="0"/>
              <w:rPr>
                <w:sz w:val="20"/>
                <w:szCs w:val="20"/>
                <w:color w:val="auto"/>
              </w:rPr>
            </w:pPr>
            <w:r>
              <w:rPr>
                <w:rFonts w:ascii="Times New Roman" w:cs="Times New Roman" w:eastAsia="Times New Roman" w:hAnsi="Times New Roman"/>
                <w:sz w:val="17"/>
                <w:szCs w:val="17"/>
                <w:color w:val="auto"/>
                <w:w w:val="93"/>
              </w:rPr>
              <w:t>24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0" w:type="dxa"/>
            <w:vAlign w:val="bottom"/>
            <w:tcBorders>
              <w:bottom w:val="single" w:sz="8" w:color="808080"/>
            </w:tcBorders>
          </w:tcPr>
          <w:p>
            <w:pPr>
              <w:spacing w:after="0"/>
              <w:rPr>
                <w:sz w:val="18"/>
                <w:szCs w:val="18"/>
                <w:color w:val="auto"/>
              </w:rPr>
            </w:pPr>
          </w:p>
        </w:tc>
        <w:tc>
          <w:tcPr>
            <w:tcW w:w="48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27" w:name="page28"/>
    <w:bookmarkEnd w:id="2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00" w:lineRule="exact"/>
        <w:rPr>
          <w:sz w:val="20"/>
          <w:szCs w:val="20"/>
          <w:color w:val="auto"/>
        </w:rPr>
      </w:pPr>
    </w:p>
    <w:p>
      <w:pPr>
        <w:ind w:left="460" w:right="3520"/>
        <w:spacing w:after="0" w:line="383" w:lineRule="auto"/>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r>
        <w:rPr>
          <w:rFonts w:ascii="Times New Roman" w:cs="Times New Roman" w:eastAsia="Times New Roman" w:hAnsi="Times New Roman"/>
          <w:sz w:val="17"/>
          <w:szCs w:val="17"/>
          <w:b w:val="1"/>
          <w:bCs w:val="1"/>
          <w:color w:val="auto"/>
        </w:rPr>
        <w:t xml:space="preserve"> Overview</w:t>
      </w:r>
    </w:p>
    <w:p>
      <w:pPr>
        <w:spacing w:after="0" w:line="1" w:lineRule="exact"/>
        <w:rPr>
          <w:sz w:val="20"/>
          <w:szCs w:val="20"/>
          <w:color w:val="auto"/>
        </w:rPr>
      </w:pPr>
    </w:p>
    <w:p>
      <w:pPr>
        <w:ind w:left="460" w:right="40" w:firstLine="312"/>
        <w:spacing w:after="0" w:line="248" w:lineRule="auto"/>
        <w:rPr>
          <w:sz w:val="20"/>
          <w:szCs w:val="20"/>
          <w:color w:val="auto"/>
        </w:rPr>
      </w:pPr>
      <w:r>
        <w:rPr>
          <w:rFonts w:ascii="Times New Roman" w:cs="Times New Roman" w:eastAsia="Times New Roman" w:hAnsi="Times New Roman"/>
          <w:sz w:val="17"/>
          <w:szCs w:val="17"/>
          <w:color w:val="auto"/>
        </w:rPr>
        <w:t>We are a biopharmaceutical company that discovers, develops, and intends to commercialize pharmaceutical products for the treatment of serious medical conditions. We are currently focused on three clinical development programs: VEGF Trap in oncology, VEGF Trap-Eye in eye diseases using intraocular delivery, and IL-1 Trap in certain systemic inflammatory indications. The VEGF Trap oncology development program is being developed jointly with the sanofi-aventis Group under a September 2003 collaboration agreement.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Traps and Human Monoclonal Antibodies.</w:t>
      </w:r>
    </w:p>
    <w:p>
      <w:pPr>
        <w:spacing w:after="0" w:line="89" w:lineRule="exact"/>
        <w:rPr>
          <w:sz w:val="20"/>
          <w:szCs w:val="20"/>
          <w:color w:val="auto"/>
        </w:rPr>
      </w:pPr>
    </w:p>
    <w:p>
      <w:pPr>
        <w:jc w:val="both"/>
        <w:ind w:left="460" w:right="120" w:firstLine="312"/>
        <w:spacing w:after="0" w:line="269" w:lineRule="auto"/>
        <w:rPr>
          <w:sz w:val="20"/>
          <w:szCs w:val="20"/>
          <w:color w:val="auto"/>
        </w:rPr>
      </w:pPr>
      <w:r>
        <w:rPr>
          <w:rFonts w:ascii="Times New Roman" w:cs="Times New Roman" w:eastAsia="Times New Roman" w:hAnsi="Times New Roman"/>
          <w:sz w:val="16"/>
          <w:szCs w:val="16"/>
          <w:color w:val="auto"/>
        </w:rPr>
        <w:t>Developing and commercializing new medicines entails significant risk and expense. Since inception we have not generated any sales or profits from the commercialization of any of our product candidates and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75" w:lineRule="exact"/>
        <w:rPr>
          <w:sz w:val="20"/>
          <w:szCs w:val="20"/>
          <w:color w:val="auto"/>
        </w:rPr>
      </w:pPr>
    </w:p>
    <w:p>
      <w:pPr>
        <w:ind w:left="460" w:right="100" w:firstLine="312"/>
        <w:spacing w:after="0" w:line="247" w:lineRule="auto"/>
        <w:rPr>
          <w:sz w:val="20"/>
          <w:szCs w:val="20"/>
          <w:color w:val="auto"/>
        </w:rPr>
      </w:pPr>
      <w:r>
        <w:rPr>
          <w:rFonts w:ascii="Times New Roman" w:cs="Times New Roman" w:eastAsia="Times New Roman" w:hAnsi="Times New Roman"/>
          <w:sz w:val="17"/>
          <w:szCs w:val="17"/>
          <w:color w:val="auto"/>
        </w:rPr>
        <w:t>From inception on January 8, 1988 through December 31, 2005, we had a cumulative loss of $585.3 million. In the absence of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the VEGF Trap-Eye and IL-1 Trap; advance new product candidates into clinical development from our existing research programs;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among other factors, on the progress of our research and development efforts, the timing of certain expenses, and the amount and timing of payments that we receive from collaborators.</w:t>
      </w:r>
    </w:p>
    <w:p>
      <w:pPr>
        <w:spacing w:after="0" w:line="92" w:lineRule="exact"/>
        <w:rPr>
          <w:sz w:val="20"/>
          <w:szCs w:val="20"/>
          <w:color w:val="auto"/>
        </w:rPr>
      </w:pPr>
    </w:p>
    <w:p>
      <w:pPr>
        <w:ind w:left="460" w:firstLine="312"/>
        <w:spacing w:after="0" w:line="267" w:lineRule="auto"/>
        <w:rPr>
          <w:sz w:val="20"/>
          <w:szCs w:val="20"/>
          <w:color w:val="auto"/>
        </w:rPr>
      </w:pPr>
      <w:r>
        <w:rPr>
          <w:rFonts w:ascii="Times New Roman" w:cs="Times New Roman" w:eastAsia="Times New Roman" w:hAnsi="Times New Roman"/>
          <w:sz w:val="16"/>
          <w:szCs w:val="16"/>
          <w:color w:val="auto"/>
        </w:rPr>
        <w:t>As a company that does not expect to generate product revenues or profits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In 2005, our research and development expenses totaled $155.6 million. We expect these expenses to increase 5-10% in 2006, depending on the progress of our clinical programs. The principal sources of cash to-date have been sales of common equity and convertible debt and funding from our collaborators in the form of up-front payments, research progress payments, payments for our research and development activities, and purchases of our common stock. We also receive payments for contract manufacturing.</w:t>
      </w:r>
    </w:p>
    <w:p>
      <w:pPr>
        <w:spacing w:after="0" w:line="76" w:lineRule="exact"/>
        <w:rPr>
          <w:sz w:val="20"/>
          <w:szCs w:val="20"/>
          <w:color w:val="auto"/>
        </w:rPr>
      </w:pPr>
    </w:p>
    <w:p>
      <w:pPr>
        <w:ind w:left="460" w:right="40" w:firstLine="312"/>
        <w:spacing w:after="0" w:line="250" w:lineRule="auto"/>
        <w:rPr>
          <w:sz w:val="20"/>
          <w:szCs w:val="20"/>
          <w:color w:val="auto"/>
        </w:rPr>
      </w:pPr>
      <w:r>
        <w:rPr>
          <w:rFonts w:ascii="Times New Roman" w:cs="Times New Roman" w:eastAsia="Times New Roman" w:hAnsi="Times New Roman"/>
          <w:sz w:val="17"/>
          <w:szCs w:val="17"/>
          <w:color w:val="auto"/>
        </w:rPr>
        <w:t>A primary driver of our expenses is our number of full-time employees. Our annual average headcount in 2005 was 696 compared to 721 in 2004 and 675 in 2003. In 2006, we expect our annual average headcount to decrease to approximately 600, primarily as a result of reductions made in the fourth quarter of 2005 and planned for mid-2006. The workforce reductions, which we announced in September 2005, are associated with narrowing the focus of our research and development efforts, substantial improvements in manufacturing productivity, the June 2005 expiration of our collaboration with Procter &amp; Gamble, and the expected completion of contract manufacturing for Merck in late 2006.</w:t>
      </w:r>
    </w:p>
    <w:p>
      <w:pPr>
        <w:spacing w:after="0" w:line="3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28" w:name="page29"/>
    <w:bookmarkEnd w:id="2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right="840" w:firstLine="312"/>
        <w:spacing w:after="0" w:line="268" w:lineRule="auto"/>
        <w:rPr>
          <w:sz w:val="20"/>
          <w:szCs w:val="20"/>
          <w:color w:val="auto"/>
        </w:rPr>
      </w:pPr>
      <w:r>
        <w:rPr>
          <w:rFonts w:ascii="Times New Roman" w:cs="Times New Roman" w:eastAsia="Times New Roman" w:hAnsi="Times New Roman"/>
          <w:sz w:val="17"/>
          <w:szCs w:val="17"/>
          <w:color w:val="auto"/>
        </w:rPr>
        <w:t>The planning, execution, and results of our clinical programs are significant factors that can affect our operating and financial results. In our clinical programs, key events in 2005 and plans for 2006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00" w:type="dxa"/>
            <w:vAlign w:val="bottom"/>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Product candidate</w:t>
            </w: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7"/>
                <w:szCs w:val="17"/>
                <w:b w:val="1"/>
                <w:bCs w:val="1"/>
                <w:color w:val="auto"/>
              </w:rPr>
              <w:t>2005 Events</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2006 Events/Plans</w:t>
            </w:r>
          </w:p>
        </w:tc>
        <w:tc>
          <w:tcPr>
            <w:tcW w:w="560" w:type="dxa"/>
            <w:vAlign w:val="bottom"/>
          </w:tcPr>
          <w:p>
            <w:pPr>
              <w:spacing w:after="0"/>
              <w:rPr>
                <w:sz w:val="20"/>
                <w:szCs w:val="20"/>
                <w:color w:val="auto"/>
              </w:rPr>
            </w:pPr>
          </w:p>
        </w:tc>
      </w:tr>
      <w:tr>
        <w:trPr>
          <w:trHeight w:val="224"/>
        </w:trPr>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w w:val="99"/>
              </w:rPr>
              <w:t>VEGF Trap</w:t>
            </w:r>
          </w:p>
        </w:tc>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Oncology</w:t>
            </w: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Sanofi-aventis reaffirmed their commitment to</w:t>
            </w:r>
          </w:p>
        </w:tc>
        <w:tc>
          <w:tcPr>
            <w:tcW w:w="32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7"/>
              </w:rPr>
              <w:t>Initiate two additional safety and tolerability</w:t>
            </w:r>
          </w:p>
        </w:tc>
        <w:tc>
          <w:tcPr>
            <w:tcW w:w="560" w:type="dxa"/>
            <w:vAlign w:val="bottom"/>
          </w:tcPr>
          <w:p>
            <w:pPr>
              <w:spacing w:after="0"/>
              <w:rPr>
                <w:sz w:val="19"/>
                <w:szCs w:val="19"/>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7"/>
              </w:rPr>
              <w:t>the collaborative development of the VEGF Trap</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studies of the VEGF Trap in combination</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 oncology</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with standard chemotherapy regimens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Reported positive preliminary results of phase 1</w:t>
            </w: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Initiated phase 2 study of the VEGF Trap as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trial utilizing intravenous injections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 single agent in non-small cell lung</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Initiated three phase 1 studies of the VEGF Trap</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adenocarcinoma</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 combination with standard chemotherapy</w:t>
            </w: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Initiate two efficacy/safety studies of the</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regimens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VEGF Trap as a single agent in advanced</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ovarian cancer and symptomatic malignant</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ascites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Initiate two efficacy/safety studies of the</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VEGF Trap in combination with standard</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chemotherapy regimens in patients with</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different cancer types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Finalize plans with the NCI to sponsor up to</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ten exploratory efficacy/safety studies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evaluating the VEGF Trap in a variety of</w:t>
            </w:r>
          </w:p>
        </w:tc>
        <w:tc>
          <w:tcPr>
            <w:tcW w:w="560" w:type="dxa"/>
            <w:vAlign w:val="bottom"/>
          </w:tcPr>
          <w:p>
            <w:pPr>
              <w:spacing w:after="0"/>
              <w:rPr>
                <w:sz w:val="17"/>
                <w:szCs w:val="17"/>
                <w:color w:val="auto"/>
              </w:rPr>
            </w:pPr>
          </w:p>
        </w:tc>
      </w:tr>
      <w:tr>
        <w:trPr>
          <w:trHeight w:val="215"/>
        </w:trPr>
        <w:tc>
          <w:tcPr>
            <w:tcW w:w="4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cancer types</w:t>
            </w:r>
          </w:p>
        </w:tc>
        <w:tc>
          <w:tcPr>
            <w:tcW w:w="560" w:type="dxa"/>
            <w:vAlign w:val="bottom"/>
          </w:tcPr>
          <w:p>
            <w:pPr>
              <w:spacing w:after="0"/>
              <w:rPr>
                <w:sz w:val="18"/>
                <w:szCs w:val="18"/>
                <w:color w:val="auto"/>
              </w:rPr>
            </w:pPr>
          </w:p>
        </w:tc>
      </w:tr>
      <w:tr>
        <w:trPr>
          <w:trHeight w:val="175"/>
        </w:trPr>
        <w:tc>
          <w:tcPr>
            <w:tcW w:w="460" w:type="dxa"/>
            <w:vAlign w:val="bottom"/>
          </w:tcPr>
          <w:p>
            <w:pPr>
              <w:spacing w:after="0"/>
              <w:rPr>
                <w:sz w:val="15"/>
                <w:szCs w:val="15"/>
                <w:color w:val="auto"/>
              </w:rPr>
            </w:pPr>
          </w:p>
        </w:tc>
        <w:tc>
          <w:tcPr>
            <w:tcW w:w="8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w w:val="99"/>
              </w:rPr>
              <w:t>VEGF Trap</w:t>
            </w:r>
          </w:p>
        </w:tc>
        <w:tc>
          <w:tcPr>
            <w:tcW w:w="24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color w:val="auto"/>
              </w:rPr>
              <w:t>—</w:t>
            </w:r>
          </w:p>
        </w:tc>
        <w:tc>
          <w:tcPr>
            <w:tcW w:w="228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color w:val="auto"/>
              </w:rPr>
              <w:t>Eye</w:t>
            </w:r>
          </w:p>
        </w:tc>
        <w:tc>
          <w:tcPr>
            <w:tcW w:w="180" w:type="dxa"/>
            <w:vAlign w:val="bottom"/>
          </w:tcPr>
          <w:p>
            <w:pPr>
              <w:ind w:left="80"/>
              <w:spacing w:after="0" w:line="175" w:lineRule="exact"/>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color w:val="auto"/>
              </w:rPr>
              <w:t>Reported positive results from phase 1 trial in</w:t>
            </w:r>
          </w:p>
        </w:tc>
        <w:tc>
          <w:tcPr>
            <w:tcW w:w="320" w:type="dxa"/>
            <w:vAlign w:val="bottom"/>
          </w:tcPr>
          <w:p>
            <w:pPr>
              <w:spacing w:after="0"/>
              <w:rPr>
                <w:sz w:val="15"/>
                <w:szCs w:val="15"/>
                <w:color w:val="auto"/>
              </w:rPr>
            </w:pPr>
          </w:p>
        </w:tc>
        <w:tc>
          <w:tcPr>
            <w:tcW w:w="20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color w:val="auto"/>
              </w:rPr>
              <w:t>Reported positive preliminary results from</w:t>
            </w:r>
          </w:p>
        </w:tc>
        <w:tc>
          <w:tcPr>
            <w:tcW w:w="560" w:type="dxa"/>
            <w:vAlign w:val="bottom"/>
          </w:tcPr>
          <w:p>
            <w:pPr>
              <w:spacing w:after="0"/>
              <w:rPr>
                <w:sz w:val="15"/>
                <w:szCs w:val="15"/>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7"/>
              </w:rPr>
              <w:t>patients with the neovascular form of age-related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phase 1 study in patients with wet AMD</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macular degeneration (wet AMD) utilizing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utilizing local delivery by intravitreal</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intravenous infusions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injections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Initiated phase 1 study in patients with wet</w:t>
            </w: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Initiate a phase 1, part B study in patients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AMD utilizing local delivery by intravitreal</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with wet AMD, comparing safety,</w:t>
            </w:r>
          </w:p>
        </w:tc>
        <w:tc>
          <w:tcPr>
            <w:tcW w:w="560" w:type="dxa"/>
            <w:vAlign w:val="bottom"/>
          </w:tcPr>
          <w:p>
            <w:pPr>
              <w:spacing w:after="0"/>
              <w:rPr>
                <w:sz w:val="17"/>
                <w:szCs w:val="17"/>
                <w:color w:val="auto"/>
              </w:rPr>
            </w:pPr>
          </w:p>
        </w:tc>
      </w:tr>
      <w:tr>
        <w:trPr>
          <w:trHeight w:val="198"/>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injections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tolerability, and biological activity of the</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VEGF Trap-Eye to Macugen</w:t>
            </w: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Initiate phase 2 clinical trial in wet AMD</w:t>
            </w:r>
          </w:p>
        </w:tc>
        <w:tc>
          <w:tcPr>
            <w:tcW w:w="560" w:type="dxa"/>
            <w:vAlign w:val="bottom"/>
          </w:tcPr>
          <w:p>
            <w:pPr>
              <w:spacing w:after="0"/>
              <w:rPr>
                <w:sz w:val="17"/>
                <w:szCs w:val="17"/>
                <w:color w:val="auto"/>
              </w:rPr>
            </w:pPr>
          </w:p>
        </w:tc>
      </w:tr>
      <w:tr>
        <w:trPr>
          <w:trHeight w:val="215"/>
        </w:trPr>
        <w:tc>
          <w:tcPr>
            <w:tcW w:w="4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utilizing intravitreal injections</w:t>
            </w:r>
          </w:p>
        </w:tc>
        <w:tc>
          <w:tcPr>
            <w:tcW w:w="560" w:type="dxa"/>
            <w:vAlign w:val="bottom"/>
          </w:tcPr>
          <w:p>
            <w:pPr>
              <w:spacing w:after="0"/>
              <w:rPr>
                <w:sz w:val="18"/>
                <w:szCs w:val="18"/>
                <w:color w:val="auto"/>
              </w:rPr>
            </w:pPr>
          </w:p>
        </w:tc>
      </w:tr>
      <w:tr>
        <w:trPr>
          <w:trHeight w:val="175"/>
        </w:trPr>
        <w:tc>
          <w:tcPr>
            <w:tcW w:w="460" w:type="dxa"/>
            <w:vAlign w:val="bottom"/>
          </w:tcPr>
          <w:p>
            <w:pPr>
              <w:spacing w:after="0"/>
              <w:rPr>
                <w:sz w:val="15"/>
                <w:szCs w:val="15"/>
                <w:color w:val="auto"/>
              </w:rPr>
            </w:pPr>
          </w:p>
        </w:tc>
        <w:tc>
          <w:tcPr>
            <w:tcW w:w="8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IL-1 Trap</w:t>
            </w: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line="175" w:lineRule="exact"/>
              <w:rPr>
                <w:sz w:val="20"/>
                <w:szCs w:val="20"/>
                <w:color w:val="auto"/>
              </w:rPr>
            </w:pPr>
            <w:r>
              <w:rPr>
                <w:rFonts w:ascii="Times New Roman" w:cs="Times New Roman" w:eastAsia="Times New Roman" w:hAnsi="Times New Roman"/>
                <w:sz w:val="17"/>
                <w:szCs w:val="17"/>
                <w:color w:val="auto"/>
                <w:w w:val="98"/>
              </w:rPr>
              <w:t>Completed safety and tolerability studies of IL-1</w:t>
            </w:r>
          </w:p>
        </w:tc>
        <w:tc>
          <w:tcPr>
            <w:tcW w:w="320" w:type="dxa"/>
            <w:vAlign w:val="bottom"/>
          </w:tcPr>
          <w:p>
            <w:pPr>
              <w:spacing w:after="0"/>
              <w:rPr>
                <w:sz w:val="15"/>
                <w:szCs w:val="15"/>
                <w:color w:val="auto"/>
              </w:rPr>
            </w:pPr>
          </w:p>
        </w:tc>
        <w:tc>
          <w:tcPr>
            <w:tcW w:w="200" w:type="dxa"/>
            <w:vAlign w:val="bottom"/>
          </w:tcPr>
          <w:p>
            <w:pPr>
              <w:ind w:left="100"/>
              <w:spacing w:after="0" w:line="175" w:lineRule="exact"/>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line="175" w:lineRule="exact"/>
              <w:rPr>
                <w:sz w:val="20"/>
                <w:szCs w:val="20"/>
                <w:color w:val="auto"/>
              </w:rPr>
            </w:pPr>
            <w:r>
              <w:rPr>
                <w:rFonts w:ascii="Times New Roman" w:cs="Times New Roman" w:eastAsia="Times New Roman" w:hAnsi="Times New Roman"/>
                <w:sz w:val="17"/>
                <w:szCs w:val="17"/>
                <w:color w:val="auto"/>
              </w:rPr>
              <w:t>Complete efficacy portion of pivotal study</w:t>
            </w:r>
          </w:p>
        </w:tc>
        <w:tc>
          <w:tcPr>
            <w:tcW w:w="560" w:type="dxa"/>
            <w:vAlign w:val="bottom"/>
          </w:tcPr>
          <w:p>
            <w:pPr>
              <w:spacing w:after="0"/>
              <w:rPr>
                <w:sz w:val="15"/>
                <w:szCs w:val="15"/>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Trap at higher doses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 CAPS</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Initiated exploratory proof-of-concept trial in</w:t>
            </w:r>
          </w:p>
        </w:tc>
        <w:tc>
          <w:tcPr>
            <w:tcW w:w="32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0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Evaluate other indications for the IL-1 Trap</w:t>
            </w: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polymyalgia rheumatica (PMR)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9"/>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Initiated exploratory proof-of-concept trial in</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Systemic Juvenile Idiopathic Arthritis (SJIA)</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571"/>
        </w:trPr>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7"/>
        </w:trPr>
        <w:tc>
          <w:tcPr>
            <w:tcW w:w="46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0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-4853305</wp:posOffset>
            </wp:positionV>
            <wp:extent cx="1587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875" cy="7620"/>
                    </a:xfrm>
                    <a:prstGeom prst="rect">
                      <a:avLst/>
                    </a:prstGeom>
                    <a:noFill/>
                  </pic:spPr>
                </pic:pic>
              </a:graphicData>
            </a:graphic>
          </wp:anchor>
        </w:drawing>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1240" w:type="dxa"/>
            <w:vAlign w:val="bottom"/>
            <w:tcBorders>
              <w:bottom w:val="single" w:sz="8" w:color="0000EE"/>
            </w:tcBorders>
          </w:tcPr>
          <w:p>
            <w:pPr>
              <w:spacing w:after="0"/>
              <w:rPr>
                <w:rFonts w:ascii="Times New Roman" w:cs="Times New Roman" w:eastAsia="Times New Roman" w:hAnsi="Times New Roman"/>
                <w:sz w:val="16"/>
                <w:szCs w:val="16"/>
                <w:b w:val="1"/>
                <w:bCs w:val="1"/>
                <w:color w:val="0000EE"/>
              </w:rPr>
            </w:pPr>
            <w:hyperlink w:anchor="page2">
              <w:r>
                <w:rPr>
                  <w:rFonts w:ascii="Times New Roman" w:cs="Times New Roman" w:eastAsia="Times New Roman" w:hAnsi="Times New Roman"/>
                  <w:sz w:val="16"/>
                  <w:szCs w:val="16"/>
                  <w:b w:val="1"/>
                  <w:bCs w:val="1"/>
                  <w:color w:val="0000EE"/>
                </w:rPr>
                <w:t>Table of Contents</w:t>
              </w:r>
            </w:hyperlink>
          </w:p>
        </w:tc>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514"/>
        </w:trPr>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Product candidate</w:t>
            </w: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7"/>
                <w:szCs w:val="17"/>
                <w:b w:val="1"/>
                <w:bCs w:val="1"/>
                <w:color w:val="auto"/>
              </w:rPr>
              <w:t>2005 Events</w:t>
            </w:r>
          </w:p>
        </w:tc>
        <w:tc>
          <w:tcPr>
            <w:tcW w:w="320" w:type="dxa"/>
            <w:vAlign w:val="bottom"/>
          </w:tcPr>
          <w:p>
            <w:pPr>
              <w:spacing w:after="0"/>
              <w:rPr>
                <w:sz w:val="24"/>
                <w:szCs w:val="24"/>
                <w:color w:val="auto"/>
              </w:rPr>
            </w:pPr>
          </w:p>
        </w:tc>
        <w:tc>
          <w:tcPr>
            <w:tcW w:w="3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2006 Events/Plans</w:t>
            </w:r>
          </w:p>
        </w:tc>
      </w:tr>
      <w:tr>
        <w:trPr>
          <w:trHeight w:val="222"/>
        </w:trPr>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IL-1 Trap (continued)</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7"/>
              </w:rPr>
              <w:t>Successfully completed initial treatment phase of</w:t>
            </w:r>
          </w:p>
        </w:tc>
        <w:tc>
          <w:tcPr>
            <w:tcW w:w="32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01"/>
        </w:trPr>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xml:space="preserve">proof-of-concept study in </w:t>
            </w:r>
            <w:r>
              <w:rPr>
                <w:rFonts w:ascii="Times New Roman" w:cs="Times New Roman" w:eastAsia="Times New Roman" w:hAnsi="Times New Roman"/>
                <w:sz w:val="17"/>
                <w:szCs w:val="17"/>
                <w:i w:val="1"/>
                <w:iCs w:val="1"/>
                <w:color w:val="auto"/>
              </w:rPr>
              <w:t>CIAS</w:t>
            </w:r>
            <w:r>
              <w:rPr>
                <w:rFonts w:ascii="Times New Roman" w:cs="Times New Roman" w:eastAsia="Times New Roman" w:hAnsi="Times New Roman"/>
                <w:sz w:val="17"/>
                <w:szCs w:val="17"/>
                <w:color w:val="auto"/>
              </w:rPr>
              <w:t>1-Associated</w:t>
            </w: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99"/>
        </w:trPr>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Periodic Syndrome (CAPS)</w:t>
            </w: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99"/>
        </w:trPr>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Initiated pivotal study in CAPS</w:t>
            </w: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99"/>
        </w:trPr>
        <w:tc>
          <w:tcPr>
            <w:tcW w:w="12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3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Discontinued development of IL-1 Trap in adult</w:t>
            </w:r>
          </w:p>
        </w:tc>
        <w:tc>
          <w:tcPr>
            <w:tcW w:w="3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16"/>
        </w:trPr>
        <w:tc>
          <w:tcPr>
            <w:tcW w:w="1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rheumatoid arthritis and osteoarthritis</w:t>
            </w:r>
          </w:p>
        </w:tc>
        <w:tc>
          <w:tcPr>
            <w:tcW w:w="32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-796290</wp:posOffset>
            </wp:positionV>
            <wp:extent cx="1587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75" cy="762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Collaborations</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Our major collaboration agreements with sanofi-aventis, Novartis Pharma AG, and The Procter &amp; Gamble Company are summarized below.</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The sanofi-aventis Group</w:t>
      </w:r>
    </w:p>
    <w:p>
      <w:pPr>
        <w:spacing w:after="0" w:line="69" w:lineRule="exact"/>
        <w:rPr>
          <w:sz w:val="20"/>
          <w:szCs w:val="20"/>
          <w:color w:val="auto"/>
        </w:rPr>
      </w:pPr>
    </w:p>
    <w:p>
      <w:pPr>
        <w:ind w:left="460" w:right="80" w:firstLine="312"/>
        <w:spacing w:after="0" w:line="252" w:lineRule="auto"/>
        <w:rPr>
          <w:sz w:val="20"/>
          <w:szCs w:val="20"/>
          <w:color w:val="auto"/>
        </w:rPr>
      </w:pPr>
      <w:r>
        <w:rPr>
          <w:rFonts w:ascii="Times New Roman" w:cs="Times New Roman" w:eastAsia="Times New Roman" w:hAnsi="Times New Roman"/>
          <w:sz w:val="17"/>
          <w:szCs w:val="17"/>
          <w:color w:val="auto"/>
        </w:rPr>
        <w:t>In September 2003, we entered into a collaboration agreement with Aventis Pharmaceuticals Inc. (now a member of the sanofi-aventis Group) to collaborate on the development and commercialization of the VEGF Trap in all countries other than Japan, where we retained the exclusive right to develop and commercialize the VEGF Trap. Sanofi-aventis made a non-refundable up-front payment of $80.0 million and purchased 2,799,552 newly issued unregistered shares of our Common Stock for $45.0 million.</w:t>
      </w:r>
    </w:p>
    <w:p>
      <w:pPr>
        <w:spacing w:after="0" w:line="36" w:lineRule="exact"/>
        <w:rPr>
          <w:sz w:val="20"/>
          <w:szCs w:val="20"/>
          <w:color w:val="auto"/>
        </w:rPr>
      </w:pPr>
    </w:p>
    <w:p>
      <w:pPr>
        <w:ind w:left="460" w:right="480" w:firstLine="312"/>
        <w:spacing w:after="0" w:line="268" w:lineRule="auto"/>
        <w:rPr>
          <w:sz w:val="20"/>
          <w:szCs w:val="20"/>
          <w:color w:val="auto"/>
        </w:rPr>
      </w:pPr>
      <w:r>
        <w:rPr>
          <w:rFonts w:ascii="Times New Roman" w:cs="Times New Roman" w:eastAsia="Times New Roman" w:hAnsi="Times New Roman"/>
          <w:sz w:val="17"/>
          <w:szCs w:val="17"/>
          <w:color w:val="auto"/>
        </w:rPr>
        <w:t>In January 2005, we and sanofi-aventis amended our collaboration agreement to exclude rights to develop and commercialize the VEGF Trap for intraocular delivery to the eye. In connection with this amendment, sanofi-aventis made a $25.0 million non-refundable payment to us.</w:t>
      </w:r>
    </w:p>
    <w:p>
      <w:pPr>
        <w:spacing w:after="0" w:line="23" w:lineRule="exact"/>
        <w:rPr>
          <w:sz w:val="20"/>
          <w:szCs w:val="20"/>
          <w:color w:val="auto"/>
        </w:rPr>
      </w:pPr>
    </w:p>
    <w:p>
      <w:pPr>
        <w:ind w:left="460" w:right="60" w:firstLine="312"/>
        <w:spacing w:after="0" w:line="248" w:lineRule="auto"/>
        <w:rPr>
          <w:sz w:val="20"/>
          <w:szCs w:val="20"/>
          <w:color w:val="auto"/>
        </w:rPr>
      </w:pPr>
      <w:r>
        <w:rPr>
          <w:rFonts w:ascii="Times New Roman" w:cs="Times New Roman" w:eastAsia="Times New Roman" w:hAnsi="Times New Roman"/>
          <w:sz w:val="17"/>
          <w:szCs w:val="17"/>
          <w:color w:val="auto"/>
        </w:rPr>
        <w:t>In December 2005, we and sanofi-aventis amended our collaboration agreement to expand the territory in which the companies are collaborating on the development of the VEGF Trap to include Japan. As a result, the collaboration now includes joint development of the VEGF Trap throughout the world in all indications, except for intraocular delivery to the eye. In connection with this amendment, sanofi-aventis agreed to make a $25.0 million non-refundable up-front payment to us, which was received in January 2006. We may also receive up to $40.0 million in milestone payments upon receipt of specified marketing approvals for up to five VEGF Trap indications in Japan and a royalty of approximately 35% on annual sales of the VEGF Trap in Japan, subject to certain potential adjustments.</w:t>
      </w:r>
    </w:p>
    <w:p>
      <w:pPr>
        <w:spacing w:after="0" w:line="43" w:lineRule="exact"/>
        <w:rPr>
          <w:sz w:val="20"/>
          <w:szCs w:val="20"/>
          <w:color w:val="auto"/>
        </w:rPr>
      </w:pPr>
    </w:p>
    <w:p>
      <w:pPr>
        <w:ind w:left="460" w:firstLine="312"/>
        <w:spacing w:after="0" w:line="250" w:lineRule="auto"/>
        <w:rPr>
          <w:sz w:val="20"/>
          <w:szCs w:val="20"/>
          <w:color w:val="auto"/>
        </w:rPr>
      </w:pPr>
      <w:r>
        <w:rPr>
          <w:rFonts w:ascii="Times New Roman" w:cs="Times New Roman" w:eastAsia="Times New Roman" w:hAnsi="Times New Roman"/>
          <w:sz w:val="17"/>
          <w:szCs w:val="17"/>
          <w:color w:val="auto"/>
        </w:rPr>
        <w:t>Under the collaboration agreement, as amended, we and sanofi-aventis will share co-promotion rights and profits on sales, if any, of the VEGF Trap outside of Japan, for disease indications included in our collaboration. We may also receive up to $400.0 million in additional milestone payments upon receipt of specified marketing approvals, including up to $360.0 million in milestone payments for up to eight VEGF Trap indications in the United States or the European Union. In December 2004, we earned a $25.0 million payment from sanofi-aventis, which was received in January 2005, upon the achievement of an early-stage clinical milestone.</w:t>
      </w:r>
    </w:p>
    <w:p>
      <w:pPr>
        <w:spacing w:after="0" w:line="38" w:lineRule="exact"/>
        <w:rPr>
          <w:sz w:val="20"/>
          <w:szCs w:val="20"/>
          <w:color w:val="auto"/>
        </w:rPr>
      </w:pPr>
    </w:p>
    <w:p>
      <w:pPr>
        <w:ind w:left="460" w:right="20" w:firstLine="312"/>
        <w:spacing w:after="0" w:line="268" w:lineRule="auto"/>
        <w:rPr>
          <w:sz w:val="20"/>
          <w:szCs w:val="20"/>
          <w:color w:val="auto"/>
        </w:rPr>
      </w:pPr>
      <w:r>
        <w:rPr>
          <w:rFonts w:ascii="Times New Roman" w:cs="Times New Roman" w:eastAsia="Times New Roman" w:hAnsi="Times New Roman"/>
          <w:sz w:val="17"/>
          <w:szCs w:val="17"/>
          <w:color w:val="auto"/>
        </w:rPr>
        <w:t>Regeneron has agreed to continue to manufacture clinical supplies of the VEGF Trap at our plant in Rensselaer, New York. Sanofi-aventis has agreed to be responsible for providing commercial scale manufacturing capacity for the VEGF Trap.</w:t>
      </w:r>
    </w:p>
    <w:p>
      <w:pPr>
        <w:spacing w:after="0" w:line="23" w:lineRule="exact"/>
        <w:rPr>
          <w:sz w:val="20"/>
          <w:szCs w:val="20"/>
          <w:color w:val="auto"/>
        </w:rPr>
      </w:pPr>
    </w:p>
    <w:p>
      <w:pPr>
        <w:ind w:left="460" w:right="20" w:firstLine="312"/>
        <w:spacing w:after="0" w:line="248" w:lineRule="auto"/>
        <w:rPr>
          <w:sz w:val="20"/>
          <w:szCs w:val="20"/>
          <w:color w:val="auto"/>
        </w:rPr>
      </w:pPr>
      <w:r>
        <w:rPr>
          <w:rFonts w:ascii="Times New Roman" w:cs="Times New Roman" w:eastAsia="Times New Roman" w:hAnsi="Times New Roman"/>
          <w:sz w:val="17"/>
          <w:szCs w:val="17"/>
          <w:color w:val="auto"/>
        </w:rPr>
        <w:t>Under the collaboration agreement, as amended, agreed upon worldwide development expenses incurred by both companies during the term of the agreement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Since inception of the collaboration through December 31, 2005, we and sanofi-aventis have incurred $130.5 million in agreed upon development expenses related to the VEGF Trap program. In addition, if the first commercial sale of a VEGF Trap product for intraocular delivery to the eye predates the first commercial sale of a VEGF Trap product under the collaboration by</w:t>
      </w:r>
    </w:p>
    <w:p>
      <w:pPr>
        <w:spacing w:after="0" w:line="15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0" w:right="799" w:bottom="1440" w:gutter="0" w:footer="0" w:header="0"/>
        </w:sectPr>
      </w:pPr>
    </w:p>
    <w:bookmarkStart w:id="30" w:name="page31"/>
    <w:bookmarkEnd w:id="3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180"/>
        <w:spacing w:after="0" w:line="268" w:lineRule="auto"/>
        <w:rPr>
          <w:sz w:val="20"/>
          <w:szCs w:val="20"/>
          <w:color w:val="auto"/>
        </w:rPr>
      </w:pPr>
      <w:r>
        <w:rPr>
          <w:rFonts w:ascii="Times New Roman" w:cs="Times New Roman" w:eastAsia="Times New Roman" w:hAnsi="Times New Roman"/>
          <w:sz w:val="17"/>
          <w:szCs w:val="17"/>
          <w:color w:val="auto"/>
        </w:rPr>
        <w:t>two years, we will begin reimbursing sanofi-aventis for up to $7.5 million of VEGF Trap development expenses in accordance with a formula until the first commercial VEGF Trap sale under the collaboration occurs.</w:t>
      </w:r>
    </w:p>
    <w:p>
      <w:pPr>
        <w:spacing w:after="0" w:line="73" w:lineRule="exact"/>
        <w:rPr>
          <w:sz w:val="20"/>
          <w:szCs w:val="20"/>
          <w:color w:val="auto"/>
        </w:rPr>
      </w:pPr>
    </w:p>
    <w:p>
      <w:pPr>
        <w:ind w:left="680" w:right="60" w:firstLine="398"/>
        <w:spacing w:after="0" w:line="256" w:lineRule="auto"/>
        <w:rPr>
          <w:sz w:val="20"/>
          <w:szCs w:val="20"/>
          <w:color w:val="auto"/>
        </w:rPr>
      </w:pPr>
      <w:r>
        <w:rPr>
          <w:rFonts w:ascii="Times New Roman" w:cs="Times New Roman" w:eastAsia="Times New Roman" w:hAnsi="Times New Roman"/>
          <w:sz w:val="17"/>
          <w:szCs w:val="17"/>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Novartis Pharma AG</w:t>
      </w:r>
    </w:p>
    <w:p>
      <w:pPr>
        <w:spacing w:after="0" w:line="69" w:lineRule="exact"/>
        <w:rPr>
          <w:sz w:val="20"/>
          <w:szCs w:val="20"/>
          <w:color w:val="auto"/>
        </w:rPr>
      </w:pPr>
    </w:p>
    <w:p>
      <w:pPr>
        <w:ind w:left="680" w:right="140" w:firstLine="398"/>
        <w:spacing w:after="0" w:line="299" w:lineRule="auto"/>
        <w:rPr>
          <w:sz w:val="20"/>
          <w:szCs w:val="20"/>
          <w:color w:val="auto"/>
        </w:rPr>
      </w:pPr>
      <w:r>
        <w:rPr>
          <w:rFonts w:ascii="Times New Roman" w:cs="Times New Roman" w:eastAsia="Times New Roman" w:hAnsi="Times New Roman"/>
          <w:sz w:val="16"/>
          <w:szCs w:val="16"/>
          <w:color w:val="auto"/>
        </w:rPr>
        <w:t>In March 2003, we entered into a collaboration agreement with Novartis to jointly develop and commercialize the IL-1 Trap. Novartis made a non-refundable payment of $27.0 million and purchased 7,527,050 newly issued unregistered shares of our Common Stock for $48.0 million.</w:t>
      </w:r>
    </w:p>
    <w:p>
      <w:pPr>
        <w:spacing w:after="0" w:line="1" w:lineRule="exact"/>
        <w:rPr>
          <w:sz w:val="20"/>
          <w:szCs w:val="20"/>
          <w:color w:val="auto"/>
        </w:rPr>
      </w:pPr>
    </w:p>
    <w:p>
      <w:pPr>
        <w:jc w:val="both"/>
        <w:ind w:left="680" w:right="80" w:firstLine="398"/>
        <w:spacing w:after="0" w:line="279" w:lineRule="auto"/>
        <w:rPr>
          <w:sz w:val="20"/>
          <w:szCs w:val="20"/>
          <w:color w:val="auto"/>
        </w:rPr>
      </w:pPr>
      <w:r>
        <w:rPr>
          <w:rFonts w:ascii="Times New Roman" w:cs="Times New Roman" w:eastAsia="Times New Roman" w:hAnsi="Times New Roman"/>
          <w:sz w:val="16"/>
          <w:szCs w:val="16"/>
          <w:color w:val="auto"/>
        </w:rPr>
        <w:t>IL-1 Trap development expenses incurred in 2003 were shared equally by Regeneron and Novartis. We funded our share of 2003 development expenses through loans from Novartis. In March 2004, Novartis forgave its outstanding loans to us totaling $17.8 million, including accrued interest, based on Regeneron’s achieving a pre-defined development milestone, which was recognized as a research progress payment.</w:t>
      </w:r>
    </w:p>
    <w:p>
      <w:pPr>
        <w:spacing w:after="0" w:line="17" w:lineRule="exact"/>
        <w:rPr>
          <w:sz w:val="20"/>
          <w:szCs w:val="20"/>
          <w:color w:val="auto"/>
        </w:rPr>
      </w:pPr>
    </w:p>
    <w:p>
      <w:pPr>
        <w:ind w:left="680" w:firstLine="398"/>
        <w:spacing w:after="0" w:line="266" w:lineRule="auto"/>
        <w:rPr>
          <w:sz w:val="20"/>
          <w:szCs w:val="20"/>
          <w:color w:val="auto"/>
        </w:rPr>
      </w:pPr>
      <w:r>
        <w:rPr>
          <w:rFonts w:ascii="Times New Roman" w:cs="Times New Roman" w:eastAsia="Times New Roman" w:hAnsi="Times New Roman"/>
          <w:sz w:val="16"/>
          <w:szCs w:val="16"/>
          <w:color w:val="auto"/>
        </w:rPr>
        <w:t>In February 2004, Novartis provided notice of its intention not to proceed with the joint development of the IL-1 Trap, and subsequently paid us $42.75 million to satisfy its obligation to fund development costs for the nine month period following its notification and for the two months prior to that notice. All rights to the IL-1 Trap have reverted to Regeneron. In addition, we recognized contract research and development revenue of</w:t>
      </w:r>
    </w:p>
    <w:p>
      <w:pPr>
        <w:spacing w:after="0" w:line="1" w:lineRule="exact"/>
        <w:rPr>
          <w:sz w:val="20"/>
          <w:szCs w:val="20"/>
          <w:color w:val="auto"/>
        </w:rPr>
      </w:pPr>
    </w:p>
    <w:p>
      <w:pPr>
        <w:ind w:left="680" w:right="120"/>
        <w:spacing w:after="0" w:line="245" w:lineRule="auto"/>
        <w:rPr>
          <w:sz w:val="20"/>
          <w:szCs w:val="20"/>
          <w:color w:val="auto"/>
        </w:rPr>
      </w:pPr>
      <w:r>
        <w:rPr>
          <w:rFonts w:ascii="Times New Roman" w:cs="Times New Roman" w:eastAsia="Times New Roman" w:hAnsi="Times New Roman"/>
          <w:sz w:val="17"/>
          <w:szCs w:val="17"/>
          <w:color w:val="auto"/>
        </w:rPr>
        <w:t>$22.1 million, which represents the remaining amount of the March 2003 up-front payment from Novartis that had previously been deferred. Under the collaboration agreement, we retain the right to elect to collaborate in the future development and commercialization of a Novartis IL-1 antibody, which is in clinical development, and Novartis has the right to elect to collaborate in the development and commercialization of our second generation IL-1 Trap, should we decide to develop this product candidate.</w:t>
      </w:r>
    </w:p>
    <w:p>
      <w:pPr>
        <w:spacing w:after="0" w:line="13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The Procter &amp; Gamble Company</w:t>
      </w:r>
    </w:p>
    <w:p>
      <w:pPr>
        <w:spacing w:after="0" w:line="69" w:lineRule="exact"/>
        <w:rPr>
          <w:sz w:val="20"/>
          <w:szCs w:val="20"/>
          <w:color w:val="auto"/>
        </w:rPr>
      </w:pPr>
    </w:p>
    <w:p>
      <w:pPr>
        <w:ind w:left="680" w:right="80" w:firstLine="398"/>
        <w:spacing w:after="0" w:line="266" w:lineRule="auto"/>
        <w:rPr>
          <w:sz w:val="20"/>
          <w:szCs w:val="20"/>
          <w:color w:val="auto"/>
        </w:rPr>
      </w:pPr>
      <w:r>
        <w:rPr>
          <w:rFonts w:ascii="Times New Roman" w:cs="Times New Roman" w:eastAsia="Times New Roman" w:hAnsi="Times New Roman"/>
          <w:sz w:val="16"/>
          <w:szCs w:val="16"/>
          <w:color w:val="auto"/>
        </w:rPr>
        <w:t>In May 1997, we entered into a long-term collaboration agreement with Procter &amp; Gamble to discover, develop, and commercialize pharmaceutical products. In connection with the collaboration, Procter &amp; Gamble agreed to provide funding in support of our research efforts related to the collaboration. Effective December 31, 2000, we and Procter &amp; Gamble entered into a new long-term collaboration agreement, replacing the companies’ 1997 agreement. The new agreement extended Procter &amp; Gamble’s obligation to fund our research under the new collaboration agreement through December 2005, with no further research obligations by either party thereafter. We and Procter &amp; Gamble divided rights to the programs from the 1997 collaboration agreement that were no longer part of the companies’ collaboration. Under the December 2000 agreement, research support from Procter &amp; Gamble was $2.5 million per quarter, plus annual adjustments for inflation, through December 2005.</w:t>
      </w:r>
    </w:p>
    <w:p>
      <w:pPr>
        <w:spacing w:after="0" w:line="26" w:lineRule="exact"/>
        <w:rPr>
          <w:sz w:val="20"/>
          <w:szCs w:val="20"/>
          <w:color w:val="auto"/>
        </w:rPr>
      </w:pPr>
    </w:p>
    <w:p>
      <w:pPr>
        <w:ind w:left="680" w:firstLine="398"/>
        <w:spacing w:after="0" w:line="264" w:lineRule="auto"/>
        <w:rPr>
          <w:sz w:val="20"/>
          <w:szCs w:val="20"/>
          <w:color w:val="auto"/>
        </w:rPr>
      </w:pPr>
      <w:r>
        <w:rPr>
          <w:rFonts w:ascii="Times New Roman" w:cs="Times New Roman" w:eastAsia="Times New Roman" w:hAnsi="Times New Roman"/>
          <w:sz w:val="16"/>
          <w:szCs w:val="16"/>
          <w:color w:val="auto"/>
        </w:rPr>
        <w:t>In June 2005, we and Procter &amp; Gamble amended our December 2000 collaboration agreement. Under the terms of the modified agreement, the two companies agreed that the research activities being pursued under the collaboration agreement were completed on June 30, 2005, six months prior to the December 31, 2005 expiration date in the collaboration agreement. Procter &amp; Gamble agreed to make a one-time $5.6 million payment to Regeneron, which was received in July 2005, and to fund our research under the agreement through the second quarter of 2005. We agreed to pay Procter &amp; Gamble approximately $1.0 million to acquire certain capital equipment owned by Procter &amp; Gamble and located at our facilities. We and Procter &amp; Gamble divided rights to research programs and preclinical product candidates that were developed during the research term of the collaboration. Neither party has the right to participate in the development or commercialization of the other party’s product candidates. We are entitled to receive royalties based on any future product sales of a Procter &amp; Gamble preclinical candidate arising from the collaboration. Neither party is entitled to receive either royalties or other payments based on any other products arising from the December 2000 collaboration agreement.</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Accounting for Stock-based Employee Compensation</w:t>
      </w:r>
    </w:p>
    <w:p>
      <w:pPr>
        <w:spacing w:after="0" w:line="69" w:lineRule="exact"/>
        <w:rPr>
          <w:sz w:val="20"/>
          <w:szCs w:val="20"/>
          <w:color w:val="auto"/>
        </w:rPr>
      </w:pPr>
    </w:p>
    <w:p>
      <w:pPr>
        <w:ind w:left="680" w:right="40" w:firstLine="398"/>
        <w:spacing w:after="0" w:line="252" w:lineRule="auto"/>
        <w:rPr>
          <w:sz w:val="20"/>
          <w:szCs w:val="20"/>
          <w:color w:val="auto"/>
        </w:rPr>
      </w:pPr>
      <w:r>
        <w:rPr>
          <w:rFonts w:ascii="Times New Roman" w:cs="Times New Roman" w:eastAsia="Times New Roman" w:hAnsi="Times New Roman"/>
          <w:sz w:val="17"/>
          <w:szCs w:val="17"/>
          <w:color w:val="auto"/>
        </w:rPr>
        <w:t xml:space="preserve">Effective January 1, 2005, we adopted the fair value based method of accounting for stock-based employee compensation under the provisions of Statement of Financial Accounting Standards No. (SFAS) 123, </w:t>
      </w:r>
      <w:r>
        <w:rPr>
          <w:rFonts w:ascii="Times New Roman" w:cs="Times New Roman" w:eastAsia="Times New Roman" w:hAnsi="Times New Roman"/>
          <w:sz w:val="17"/>
          <w:szCs w:val="17"/>
          <w:i w:val="1"/>
          <w:iCs w:val="1"/>
          <w:color w:val="auto"/>
        </w:rPr>
        <w:t>Accounting for Stock-Based Compensation</w:t>
      </w:r>
      <w:r>
        <w:rPr>
          <w:rFonts w:ascii="Times New Roman" w:cs="Times New Roman" w:eastAsia="Times New Roman" w:hAnsi="Times New Roman"/>
          <w:sz w:val="17"/>
          <w:szCs w:val="17"/>
          <w:color w:val="auto"/>
        </w:rPr>
        <w:t xml:space="preserve">, using the modified prospective method as described in SFAS 148, </w:t>
      </w:r>
      <w:r>
        <w:rPr>
          <w:rFonts w:ascii="Times New Roman" w:cs="Times New Roman" w:eastAsia="Times New Roman" w:hAnsi="Times New Roman"/>
          <w:sz w:val="17"/>
          <w:szCs w:val="17"/>
          <w:i w:val="1"/>
          <w:iCs w:val="1"/>
          <w:color w:val="auto"/>
        </w:rPr>
        <w:t>Accounting for Stock-Based Compensation — Transition and Disclosure.</w:t>
      </w:r>
      <w:r>
        <w:rPr>
          <w:rFonts w:ascii="Times New Roman" w:cs="Times New Roman" w:eastAsia="Times New Roman" w:hAnsi="Times New Roman"/>
          <w:sz w:val="17"/>
          <w:szCs w:val="17"/>
          <w:color w:val="auto"/>
        </w:rPr>
        <w:t xml:space="preserve"> As a result, effective January 1, 2005, we have been</w:t>
      </w:r>
    </w:p>
    <w:p>
      <w:pPr>
        <w:spacing w:after="0" w:line="3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31" w:name="page32"/>
    <w:bookmarkEnd w:id="3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160"/>
        <w:spacing w:after="0" w:line="266" w:lineRule="auto"/>
        <w:rPr>
          <w:sz w:val="20"/>
          <w:szCs w:val="20"/>
          <w:color w:val="auto"/>
        </w:rPr>
      </w:pPr>
      <w:r>
        <w:rPr>
          <w:rFonts w:ascii="Times New Roman" w:cs="Times New Roman" w:eastAsia="Times New Roman" w:hAnsi="Times New Roman"/>
          <w:sz w:val="16"/>
          <w:szCs w:val="16"/>
          <w:color w:val="auto"/>
        </w:rPr>
        <w:t>recognizing expense, in an amount equal to the fair value of share-based payments (including stock option awards) on their date of grant, over the vesting period of the awards. Under the modified prospective method, we recognize compensation expense for (a) all share based payments granted on or after January 1, 2005, (including replacement options granted under our stock option exchange program which concluded on January 5,</w:t>
      </w:r>
    </w:p>
    <w:p>
      <w:pPr>
        <w:spacing w:after="0" w:line="1" w:lineRule="exact"/>
        <w:rPr>
          <w:sz w:val="20"/>
          <w:szCs w:val="20"/>
          <w:color w:val="auto"/>
        </w:rPr>
      </w:pPr>
    </w:p>
    <w:p>
      <w:pPr>
        <w:ind w:left="680" w:right="20"/>
        <w:spacing w:after="0" w:line="263" w:lineRule="auto"/>
        <w:rPr>
          <w:sz w:val="20"/>
          <w:szCs w:val="20"/>
          <w:color w:val="auto"/>
        </w:rPr>
      </w:pPr>
      <w:r>
        <w:rPr>
          <w:rFonts w:ascii="Times New Roman" w:cs="Times New Roman" w:eastAsia="Times New Roman" w:hAnsi="Times New Roman"/>
          <w:sz w:val="16"/>
          <w:szCs w:val="16"/>
          <w:color w:val="auto"/>
        </w:rPr>
        <w:t xml:space="preserve">2005) and (b) all awards granted to employees prior to January 1, 2005 that were unvested on that date. Prior to the adoption of the fair value method, we accounted for stock-based compensation to employees under the intrinsic value method of accounting set forth in Accounting Principles Board Opinion No. (APB) 25, </w:t>
      </w:r>
      <w:r>
        <w:rPr>
          <w:rFonts w:ascii="Times New Roman" w:cs="Times New Roman" w:eastAsia="Times New Roman" w:hAnsi="Times New Roman"/>
          <w:sz w:val="16"/>
          <w:szCs w:val="16"/>
          <w:i w:val="1"/>
          <w:iCs w:val="1"/>
          <w:color w:val="auto"/>
        </w:rPr>
        <w:t>Accounting for Stock Issued to Employees</w:t>
      </w:r>
      <w:r>
        <w:rPr>
          <w:rFonts w:ascii="Times New Roman" w:cs="Times New Roman" w:eastAsia="Times New Roman" w:hAnsi="Times New Roman"/>
          <w:sz w:val="16"/>
          <w:szCs w:val="16"/>
          <w:color w:val="auto"/>
        </w:rPr>
        <w:t>, and related interpretations. Therefore, compensation expense related to employee stock options was not reflected in operating expenses in any period prior to the first quarter of 2005 and prior period operating results have not been restated. For the year ended December 31, 2005, non-cash stock-based employee compensation expense related to stock options awards (Stock Option Expense) totaled $20.0 million, of which $19.9 million was recognized in operating expenses and $0.1 million was capitalized in inventory.</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Assumptions</w:t>
      </w:r>
    </w:p>
    <w:p>
      <w:pPr>
        <w:spacing w:after="0" w:line="119" w:lineRule="exact"/>
        <w:rPr>
          <w:sz w:val="20"/>
          <w:szCs w:val="20"/>
          <w:color w:val="auto"/>
        </w:rPr>
      </w:pPr>
    </w:p>
    <w:p>
      <w:pPr>
        <w:ind w:left="680" w:right="100" w:firstLine="398"/>
        <w:spacing w:after="0" w:line="270" w:lineRule="auto"/>
        <w:rPr>
          <w:sz w:val="20"/>
          <w:szCs w:val="20"/>
          <w:color w:val="auto"/>
        </w:rPr>
      </w:pPr>
      <w:r>
        <w:rPr>
          <w:rFonts w:ascii="Times New Roman" w:cs="Times New Roman" w:eastAsia="Times New Roman" w:hAnsi="Times New Roman"/>
          <w:sz w:val="16"/>
          <w:szCs w:val="16"/>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w:t>
      </w:r>
    </w:p>
    <w:p>
      <w:pPr>
        <w:ind w:left="680" w:right="100" w:firstLine="5"/>
        <w:spacing w:after="0" w:line="244" w:lineRule="auto"/>
        <w:tabs>
          <w:tab w:leader="none" w:pos="9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which is re-evaluated at least quarterly,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 values of the assumptions we used in computing the fair value of option grants during 2005, 2004 and 2003:</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920" w:type="dxa"/>
            <w:vAlign w:val="bottom"/>
          </w:tcPr>
          <w:p>
            <w:pPr>
              <w:spacing w:after="0"/>
              <w:rPr>
                <w:sz w:val="13"/>
                <w:szCs w:val="13"/>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2005</w:t>
            </w:r>
          </w:p>
        </w:tc>
        <w:tc>
          <w:tcPr>
            <w:tcW w:w="380" w:type="dxa"/>
            <w:vAlign w:val="bottom"/>
          </w:tcPr>
          <w:p>
            <w:pPr>
              <w:spacing w:after="0"/>
              <w:rPr>
                <w:sz w:val="13"/>
                <w:szCs w:val="13"/>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r>
      <w:tr>
        <w:trPr>
          <w:trHeight w:val="42"/>
        </w:trPr>
        <w:tc>
          <w:tcPr>
            <w:tcW w:w="6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71%</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w:t>
            </w:r>
          </w:p>
        </w:tc>
      </w:tr>
      <w:tr>
        <w:trPr>
          <w:trHeight w:val="199"/>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Expected lives from grant date</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5.9 years</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7.5 years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 years</w:t>
            </w:r>
          </w:p>
        </w:tc>
      </w:tr>
      <w:tr>
        <w:trPr>
          <w:trHeight w:val="19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0%</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4.16%</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4.03%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w:t>
            </w:r>
          </w:p>
        </w:tc>
      </w:tr>
    </w:tbl>
    <w:p>
      <w:pPr>
        <w:spacing w:after="0" w:line="79" w:lineRule="exact"/>
        <w:rPr>
          <w:sz w:val="20"/>
          <w:szCs w:val="20"/>
          <w:color w:val="auto"/>
        </w:rPr>
      </w:pPr>
    </w:p>
    <w:p>
      <w:pPr>
        <w:ind w:left="680" w:right="660"/>
        <w:spacing w:after="0" w:line="268" w:lineRule="auto"/>
        <w:rPr>
          <w:sz w:val="20"/>
          <w:szCs w:val="20"/>
          <w:color w:val="auto"/>
        </w:rPr>
      </w:pPr>
      <w:r>
        <w:rPr>
          <w:rFonts w:ascii="Times New Roman" w:cs="Times New Roman" w:eastAsia="Times New Roman" w:hAnsi="Times New Roman"/>
          <w:sz w:val="17"/>
          <w:szCs w:val="17"/>
          <w:color w:val="auto"/>
        </w:rPr>
        <w:t>Changes in any of these estimates may materially affect the fair value of stock options granted and the amount of stock-based compensation recognized in any period.</w:t>
      </w:r>
    </w:p>
    <w:p>
      <w:pPr>
        <w:spacing w:after="0" w:line="1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19" w:lineRule="exact"/>
        <w:rPr>
          <w:sz w:val="20"/>
          <w:szCs w:val="20"/>
          <w:color w:val="auto"/>
        </w:rPr>
      </w:pPr>
    </w:p>
    <w:p>
      <w:pPr>
        <w:jc w:val="both"/>
        <w:ind w:left="680" w:right="200" w:firstLine="398"/>
        <w:spacing w:after="0" w:line="256" w:lineRule="auto"/>
        <w:rPr>
          <w:sz w:val="20"/>
          <w:szCs w:val="20"/>
          <w:color w:val="auto"/>
        </w:rPr>
      </w:pPr>
      <w:r>
        <w:rPr>
          <w:rFonts w:ascii="Times New Roman" w:cs="Times New Roman" w:eastAsia="Times New Roman" w:hAnsi="Times New Roman"/>
          <w:sz w:val="17"/>
          <w:szCs w:val="17"/>
          <w:color w:val="auto"/>
        </w:rPr>
        <w:t>As described above, effective January 1, 2005, Regeneron began recognizing Stock Option Expense in accordance with SFAS 123 in each of the categories of expense in our Statement of Operations. Prior to the adoption of SFAS 123, Stock Option Expense was not reflected in operating expenses and prior period operating results have not been restated.</w:t>
      </w:r>
    </w:p>
    <w:p>
      <w:pPr>
        <w:spacing w:after="0" w:line="83" w:lineRule="exact"/>
        <w:rPr>
          <w:sz w:val="20"/>
          <w:szCs w:val="20"/>
          <w:color w:val="auto"/>
        </w:rPr>
      </w:pPr>
    </w:p>
    <w:p>
      <w:pPr>
        <w:ind w:left="680" w:right="260" w:firstLine="398"/>
        <w:spacing w:after="0" w:line="266" w:lineRule="auto"/>
        <w:rPr>
          <w:sz w:val="20"/>
          <w:szCs w:val="20"/>
          <w:color w:val="auto"/>
        </w:rPr>
      </w:pPr>
      <w:r>
        <w:rPr>
          <w:rFonts w:ascii="Times New Roman" w:cs="Times New Roman" w:eastAsia="Times New Roman" w:hAnsi="Times New Roman"/>
          <w:sz w:val="16"/>
          <w:szCs w:val="16"/>
          <w:color w:val="auto"/>
        </w:rPr>
        <w:t>The discussion of our results of operations for the years ended December 31, 2005 and 2004 includes certain financial measures that are calculated in a manner different from generally accepted accounting principles (GAAP) and are considered non-GAAP financial measures under United States Securities and Exchange Commission (SEC) rules. These non-GAAP financial measures for the year ended December 31, 2005 are:</w:t>
      </w:r>
    </w:p>
    <w:p>
      <w:pPr>
        <w:spacing w:after="0" w:line="1" w:lineRule="exact"/>
        <w:rPr>
          <w:sz w:val="20"/>
          <w:szCs w:val="20"/>
          <w:color w:val="auto"/>
        </w:rPr>
      </w:pPr>
    </w:p>
    <w:p>
      <w:pPr>
        <w:ind w:left="680" w:right="120" w:firstLine="5"/>
        <w:spacing w:after="0" w:line="245" w:lineRule="auto"/>
        <w:tabs>
          <w:tab w:leader="none" w:pos="9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net loss and pro forma net loss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32" w:name="page33"/>
    <w:bookmarkEnd w:id="3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right="280" w:firstLine="312"/>
        <w:spacing w:after="0" w:line="248" w:lineRule="auto"/>
        <w:rPr>
          <w:sz w:val="20"/>
          <w:szCs w:val="20"/>
          <w:color w:val="auto"/>
        </w:rPr>
      </w:pPr>
      <w:r>
        <w:rPr>
          <w:rFonts w:ascii="Times New Roman" w:cs="Times New Roman" w:eastAsia="Times New Roman" w:hAnsi="Times New Roman"/>
          <w:sz w:val="17"/>
          <w:szCs w:val="17"/>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(loss) and a more useful basis for comparing our operating results for the years ended December 31, 2005 and 2004. In addition, Regeneron’s management uses non-GAAP financial measures which exclude Stock Option Expense internally for operating, budgeting, and financial planning purposes. In our discussion below we have included tables which provide a reconciliation of the differences between these non-GAAP financial measures and the most directly comparable financial measures calculated and presented in accordance with GAAP.</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Years Ended December 31, 2005 and 2004</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Net Income (Loss):</w:t>
      </w:r>
    </w:p>
    <w:p>
      <w:pPr>
        <w:spacing w:after="0" w:line="117"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7"/>
          <w:szCs w:val="17"/>
          <w:color w:val="auto"/>
        </w:rPr>
        <w:t>Regeneron reported a net loss of $95.4 million, or $1.71 per share (basic and diluted), for the year ended December 31, 2005, compared with net income of $41.7 million, or $0.75 per basic share and $0.74 per diluted share, for 2004. Excluding Stock Option Expense, Regeneron had a pro forma net loss of $75.5 million, or $1.35 per share (basic and diluted), in 2005 as follows:</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7"/>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Net Loss per Share —</w:t>
            </w:r>
          </w:p>
        </w:tc>
        <w:tc>
          <w:tcPr>
            <w:tcW w:w="0" w:type="dxa"/>
            <w:vAlign w:val="bottom"/>
          </w:tcPr>
          <w:p>
            <w:pPr>
              <w:spacing w:after="0"/>
              <w:rPr>
                <w:sz w:val="1"/>
                <w:szCs w:val="1"/>
                <w:color w:val="auto"/>
              </w:rPr>
            </w:pPr>
          </w:p>
        </w:tc>
      </w:tr>
      <w:tr>
        <w:trPr>
          <w:trHeight w:val="159"/>
        </w:trPr>
        <w:tc>
          <w:tcPr>
            <w:tcW w:w="6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the year ended December 31, 2005</w:t>
            </w:r>
          </w:p>
        </w:tc>
        <w:tc>
          <w:tcPr>
            <w:tcW w:w="800" w:type="dxa"/>
            <w:vAlign w:val="bottom"/>
          </w:tcPr>
          <w:p>
            <w:pPr>
              <w:spacing w:after="0"/>
              <w:rPr>
                <w:sz w:val="13"/>
                <w:szCs w:val="13"/>
                <w:color w:val="auto"/>
              </w:rPr>
            </w:pPr>
          </w:p>
        </w:tc>
        <w:tc>
          <w:tcPr>
            <w:tcW w:w="860" w:type="dxa"/>
            <w:vAlign w:val="bottom"/>
            <w:gridSpan w:val="3"/>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80" w:type="dxa"/>
            <w:vAlign w:val="bottom"/>
          </w:tcPr>
          <w:p>
            <w:pPr>
              <w:spacing w:after="0"/>
              <w:rPr>
                <w:sz w:val="13"/>
                <w:szCs w:val="13"/>
                <w:color w:val="auto"/>
              </w:rPr>
            </w:pPr>
          </w:p>
        </w:tc>
        <w:tc>
          <w:tcPr>
            <w:tcW w:w="1860" w:type="dxa"/>
            <w:vAlign w:val="bottom"/>
            <w:gridSpan w:val="7"/>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Basic and Diluted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w w:val="81"/>
              </w:rPr>
              <w:t>millions,</w:t>
            </w:r>
          </w:p>
        </w:tc>
        <w:tc>
          <w:tcPr>
            <w:tcW w:w="13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except per share data)</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as reported</w:t>
            </w:r>
          </w:p>
        </w:tc>
        <w:tc>
          <w:tcPr>
            <w:tcW w:w="9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(95.4)</w:t>
            </w:r>
          </w:p>
        </w:tc>
        <w:tc>
          <w:tcPr>
            <w:tcW w:w="60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Add: Stock Option Expense</w:t>
            </w:r>
          </w:p>
        </w:tc>
        <w:tc>
          <w:tcPr>
            <w:tcW w:w="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 forma net loss, exclusive of Stock Option Expense</w:t>
            </w:r>
          </w:p>
        </w:tc>
        <w:tc>
          <w:tcPr>
            <w:tcW w:w="9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(75.5)</w:t>
            </w:r>
          </w:p>
        </w:tc>
        <w:tc>
          <w:tcPr>
            <w:tcW w:w="60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Revenues:</w:t>
            </w: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6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Revenues for the years ended December 31, 2005 and 2004 consist of the following:</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gridSpan w:val="3"/>
          </w:tcPr>
          <w:p>
            <w:pPr>
              <w:spacing w:after="0"/>
              <w:rPr>
                <w:sz w:val="22"/>
                <w:szCs w:val="22"/>
                <w:color w:val="auto"/>
              </w:rPr>
            </w:pPr>
          </w:p>
        </w:tc>
        <w:tc>
          <w:tcPr>
            <w:tcW w:w="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2005</w:t>
            </w:r>
          </w:p>
        </w:tc>
        <w:tc>
          <w:tcPr>
            <w:tcW w:w="4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research &amp; development revenue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Sanofi-aventis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$ 43.4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Novartis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Procter &amp; Gamble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contract research &amp; development revenue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progress payments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Sanofi-aventis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Novartis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research progress payments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manufacturing revenue</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revenue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$ 66.2</w:t>
            </w:r>
          </w:p>
        </w:tc>
        <w:tc>
          <w:tcPr>
            <w:tcW w:w="4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right="80" w:firstLine="312"/>
        <w:spacing w:after="0" w:line="248" w:lineRule="auto"/>
        <w:rPr>
          <w:sz w:val="20"/>
          <w:szCs w:val="20"/>
          <w:color w:val="auto"/>
        </w:rPr>
      </w:pPr>
      <w:r>
        <w:rPr>
          <w:rFonts w:ascii="Times New Roman" w:cs="Times New Roman" w:eastAsia="Times New Roman" w:hAnsi="Times New Roman"/>
          <w:sz w:val="17"/>
          <w:szCs w:val="17"/>
          <w:color w:val="auto"/>
        </w:rPr>
        <w:t>Our total revenue decreased to $66.2 million in 2005 from $174.0 million in 2004, due primarily to lower revenues related to our collaboration with sanofi-aventis on the VEGF Trap and the absence in the 2005 period of revenues related to our collaboration with Novartis on the IL-1 Trap which ended in 2004. Collaboration revenue earned from sanofi-aventis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w:t>
      </w:r>
    </w:p>
    <w:p>
      <w:pPr>
        <w:spacing w:after="0" w:line="35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33" w:name="page34"/>
    <w:bookmarkEnd w:id="3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0" w:lineRule="exact"/>
        <w:rPr>
          <w:sz w:val="20"/>
          <w:szCs w:val="20"/>
          <w:color w:val="auto"/>
        </w:rPr>
      </w:pPr>
    </w:p>
    <w:p>
      <w:pPr>
        <w:ind w:left="680" w:right="160"/>
        <w:spacing w:after="0" w:line="271" w:lineRule="auto"/>
        <w:rPr>
          <w:sz w:val="20"/>
          <w:szCs w:val="20"/>
          <w:color w:val="auto"/>
        </w:rPr>
      </w:pPr>
      <w:r>
        <w:rPr>
          <w:rFonts w:ascii="Times New Roman" w:cs="Times New Roman" w:eastAsia="Times New Roman" w:hAnsi="Times New Roman"/>
          <w:sz w:val="17"/>
          <w:szCs w:val="17"/>
          <w:color w:val="auto"/>
        </w:rPr>
        <w:t xml:space="preserve">the period over which we are obligated to perform services in accordance with Staff Accounting Bulletin No. 104,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(SAB 104) (see Critical Accounting Policies and Significant Judgments and Estimates).</w:t>
      </w:r>
    </w:p>
    <w:p>
      <w:pPr>
        <w:spacing w:after="0" w:line="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Contract research &amp; development revenues earned from sanofi-aventis and Novartis for 2005 and 2004 were as follows:</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2005 Regeneron</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80" w:type="dxa"/>
            <w:vAlign w:val="bottom"/>
            <w:gridSpan w:val="7"/>
          </w:tcPr>
          <w:p>
            <w:pPr>
              <w:ind w:left="180"/>
              <w:spacing w:after="0"/>
              <w:rPr>
                <w:sz w:val="20"/>
                <w:szCs w:val="20"/>
                <w:color w:val="auto"/>
              </w:rPr>
            </w:pPr>
            <w:r>
              <w:rPr>
                <w:rFonts w:ascii="Times New Roman" w:cs="Times New Roman" w:eastAsia="Times New Roman" w:hAnsi="Times New Roman"/>
                <w:sz w:val="13"/>
                <w:szCs w:val="13"/>
                <w:b w:val="1"/>
                <w:bCs w:val="1"/>
                <w:color w:val="auto"/>
              </w:rPr>
              <w:t>Up-front Payments to Regeneron</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0" w:type="dxa"/>
            <w:vAlign w:val="bottom"/>
          </w:tcPr>
          <w:p>
            <w:pPr>
              <w:spacing w:after="0"/>
              <w:rPr>
                <w:sz w:val="1"/>
                <w:szCs w:val="1"/>
                <w:color w:val="auto"/>
              </w:rPr>
            </w:pPr>
          </w:p>
        </w:tc>
      </w:tr>
      <w:tr>
        <w:trPr>
          <w:trHeight w:val="107"/>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center"/>
              <w:ind w:right="520"/>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jc w:val="center"/>
              <w:ind w:right="88"/>
              <w:spacing w:after="0" w:line="107" w:lineRule="exact"/>
              <w:rPr>
                <w:sz w:val="20"/>
                <w:szCs w:val="20"/>
                <w:color w:val="auto"/>
              </w:rPr>
            </w:pPr>
            <w:r>
              <w:rPr>
                <w:rFonts w:ascii="Times New Roman" w:cs="Times New Roman" w:eastAsia="Times New Roman" w:hAnsi="Times New Roman"/>
                <w:sz w:val="12"/>
                <w:szCs w:val="12"/>
                <w:b w:val="1"/>
                <w:bCs w:val="1"/>
                <w:color w:val="auto"/>
              </w:rPr>
              <w:t>Deferred Revenue at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520"/>
              <w:spacing w:after="0" w:line="137" w:lineRule="exact"/>
              <w:rPr>
                <w:sz w:val="20"/>
                <w:szCs w:val="20"/>
                <w:color w:val="auto"/>
              </w:rPr>
            </w:pPr>
            <w:r>
              <w:rPr>
                <w:rFonts w:ascii="Times New Roman" w:cs="Times New Roman" w:eastAsia="Times New Roman" w:hAnsi="Times New Roman"/>
                <w:sz w:val="13"/>
                <w:szCs w:val="13"/>
                <w:b w:val="1"/>
                <w:bCs w:val="1"/>
                <w:color w:val="auto"/>
              </w:rPr>
              <w:t>Expense</w:t>
            </w: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ind w:right="38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60" w:type="dxa"/>
            <w:vAlign w:val="bottom"/>
          </w:tcPr>
          <w:p>
            <w:pPr>
              <w:spacing w:after="0"/>
              <w:rPr>
                <w:sz w:val="11"/>
                <w:szCs w:val="11"/>
                <w:color w:val="auto"/>
              </w:rPr>
            </w:pPr>
          </w:p>
        </w:tc>
        <w:tc>
          <w:tcPr>
            <w:tcW w:w="1820" w:type="dxa"/>
            <w:vAlign w:val="bottom"/>
            <w:gridSpan w:val="2"/>
          </w:tcPr>
          <w:p>
            <w:pPr>
              <w:jc w:val="center"/>
              <w:ind w:right="54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Reimbursement</w:t>
            </w:r>
          </w:p>
        </w:tc>
        <w:tc>
          <w:tcPr>
            <w:tcW w:w="40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in 2005</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2005</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in 2005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Sanofi-aventis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9.5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81.3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360"/>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2004 Regeneron</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7"/>
          </w:tcPr>
          <w:p>
            <w:pPr>
              <w:ind w:left="180"/>
              <w:spacing w:after="0"/>
              <w:rPr>
                <w:sz w:val="20"/>
                <w:szCs w:val="20"/>
                <w:color w:val="auto"/>
              </w:rPr>
            </w:pPr>
            <w:r>
              <w:rPr>
                <w:rFonts w:ascii="Times New Roman" w:cs="Times New Roman" w:eastAsia="Times New Roman" w:hAnsi="Times New Roman"/>
                <w:sz w:val="13"/>
                <w:szCs w:val="13"/>
                <w:b w:val="1"/>
                <w:bCs w:val="1"/>
                <w:color w:val="auto"/>
              </w:rPr>
              <w:t>Up-front Payments to Regeneron</w:t>
            </w:r>
          </w:p>
        </w:tc>
        <w:tc>
          <w:tcPr>
            <w:tcW w:w="100" w:type="dxa"/>
            <w:vAlign w:val="bottom"/>
          </w:tcPr>
          <w:p>
            <w:pPr>
              <w:spacing w:after="0"/>
              <w:rPr>
                <w:sz w:val="24"/>
                <w:szCs w:val="24"/>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0" w:type="dxa"/>
            <w:vAlign w:val="bottom"/>
          </w:tcPr>
          <w:p>
            <w:pPr>
              <w:spacing w:after="0"/>
              <w:rPr>
                <w:sz w:val="1"/>
                <w:szCs w:val="1"/>
                <w:color w:val="auto"/>
              </w:rPr>
            </w:pPr>
          </w:p>
        </w:tc>
      </w:tr>
      <w:tr>
        <w:trPr>
          <w:trHeight w:val="107"/>
        </w:trPr>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center"/>
              <w:ind w:right="520"/>
              <w:spacing w:after="0" w:line="107" w:lineRule="exact"/>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jc w:val="center"/>
              <w:ind w:right="88"/>
              <w:spacing w:after="0" w:line="107" w:lineRule="exact"/>
              <w:rPr>
                <w:sz w:val="20"/>
                <w:szCs w:val="20"/>
                <w:color w:val="auto"/>
              </w:rPr>
            </w:pPr>
            <w:r>
              <w:rPr>
                <w:rFonts w:ascii="Times New Roman" w:cs="Times New Roman" w:eastAsia="Times New Roman" w:hAnsi="Times New Roman"/>
                <w:sz w:val="12"/>
                <w:szCs w:val="12"/>
                <w:b w:val="1"/>
                <w:bCs w:val="1"/>
                <w:color w:val="auto"/>
              </w:rPr>
              <w:t>Deferred Revenue at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520"/>
              <w:spacing w:after="0" w:line="137" w:lineRule="exact"/>
              <w:rPr>
                <w:sz w:val="20"/>
                <w:szCs w:val="20"/>
                <w:color w:val="auto"/>
              </w:rPr>
            </w:pPr>
            <w:r>
              <w:rPr>
                <w:rFonts w:ascii="Times New Roman" w:cs="Times New Roman" w:eastAsia="Times New Roman" w:hAnsi="Times New Roman"/>
                <w:sz w:val="13"/>
                <w:szCs w:val="13"/>
                <w:b w:val="1"/>
                <w:bCs w:val="1"/>
                <w:color w:val="auto"/>
              </w:rPr>
              <w:t>Expense</w:t>
            </w:r>
          </w:p>
        </w:tc>
        <w:tc>
          <w:tcPr>
            <w:tcW w:w="1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ind w:right="38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60" w:type="dxa"/>
            <w:vAlign w:val="bottom"/>
          </w:tcPr>
          <w:p>
            <w:pPr>
              <w:spacing w:after="0"/>
              <w:rPr>
                <w:sz w:val="11"/>
                <w:szCs w:val="11"/>
                <w:color w:val="auto"/>
              </w:rPr>
            </w:pPr>
          </w:p>
        </w:tc>
        <w:tc>
          <w:tcPr>
            <w:tcW w:w="1820" w:type="dxa"/>
            <w:vAlign w:val="bottom"/>
            <w:gridSpan w:val="2"/>
          </w:tcPr>
          <w:p>
            <w:pPr>
              <w:jc w:val="center"/>
              <w:ind w:right="54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Reimbursement</w:t>
            </w:r>
          </w:p>
        </w:tc>
        <w:tc>
          <w:tcPr>
            <w:tcW w:w="40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in 2004</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2004</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in 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Sanofi-aventis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Novartis</w:t>
            </w:r>
          </w:p>
        </w:tc>
        <w:tc>
          <w:tcPr>
            <w:tcW w:w="120" w:type="dxa"/>
            <w:vAlign w:val="bottom"/>
          </w:tcPr>
          <w:p>
            <w:pPr>
              <w:spacing w:after="0"/>
              <w:rPr>
                <w:sz w:val="17"/>
                <w:szCs w:val="17"/>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22.1</w:t>
            </w:r>
          </w:p>
        </w:tc>
        <w:tc>
          <w:tcPr>
            <w:tcW w:w="160" w:type="dxa"/>
            <w:vAlign w:val="bottom"/>
          </w:tcPr>
          <w:p>
            <w:pPr>
              <w:spacing w:after="0"/>
              <w:rPr>
                <w:sz w:val="17"/>
                <w:szCs w:val="17"/>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107.0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40" w:firstLine="398"/>
        <w:spacing w:after="0" w:line="248" w:lineRule="auto"/>
        <w:rPr>
          <w:sz w:val="20"/>
          <w:szCs w:val="20"/>
          <w:color w:val="auto"/>
        </w:rPr>
      </w:pPr>
      <w:r>
        <w:rPr>
          <w:rFonts w:ascii="Times New Roman" w:cs="Times New Roman" w:eastAsia="Times New Roman" w:hAnsi="Times New Roman"/>
          <w:sz w:val="17"/>
          <w:szCs w:val="17"/>
          <w:color w:val="auto"/>
        </w:rPr>
        <w:t>Sanofi-aventis’ reimbursement of Regeneron VEGF Trap expenses decreased in 2005 compared to 2004, primarily due to lower clinical supply manufacturing costs in 2005. We manufactured clinical supplies of the VEGF Trap throughout 2004, but only manufactured VEGF Trap clinical supplies during the fourth quarter of 2005. In the first quarter of 2004, Novartis provided notice of its intention not to proceed with the joint development of the IL-1 Trap and the remaining balance of the $27.0 million up-front payment received from Novartis in March 2003 was recognized as contract research and development revenue. Since the first quarter of 2004, we have not received, and do not expect to receive, any further contract research and development revenue from Novartis.</w:t>
      </w:r>
    </w:p>
    <w:p>
      <w:pPr>
        <w:spacing w:after="0" w:line="92"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Contract research and development revenue earned from Procter &amp; Gamble also decreased in 2005 compared to 2004, resulting from the June 2005 amendment to our December 2000 collaboration agreement with Procter &amp; Gamble, as described above under “Collaborations — The Procter &amp; Gamble Company.” Under the terms of the modified agreement, Procter &amp; Gamble funded Regeneron’s research for the first two quarters of 2005, compared with a full year of collaborative research funding in 2004. We do not expect to receive any further contract research and development revenue from Procter &amp; Gamble.</w:t>
      </w:r>
    </w:p>
    <w:p>
      <w:pPr>
        <w:spacing w:after="0" w:line="88" w:lineRule="exact"/>
        <w:rPr>
          <w:sz w:val="20"/>
          <w:szCs w:val="20"/>
          <w:color w:val="auto"/>
        </w:rPr>
      </w:pPr>
    </w:p>
    <w:p>
      <w:pPr>
        <w:ind w:left="680" w:right="40" w:firstLine="398"/>
        <w:spacing w:after="0" w:line="252" w:lineRule="auto"/>
        <w:rPr>
          <w:sz w:val="20"/>
          <w:szCs w:val="20"/>
          <w:color w:val="auto"/>
        </w:rPr>
      </w:pPr>
      <w:r>
        <w:rPr>
          <w:rFonts w:ascii="Times New Roman" w:cs="Times New Roman" w:eastAsia="Times New Roman" w:hAnsi="Times New Roman"/>
          <w:sz w:val="17"/>
          <w:szCs w:val="17"/>
          <w:color w:val="auto"/>
        </w:rPr>
        <w:t>In December 2004, we earned a $25.0 million research progress payment from sanofi-aventis, which was received in January 2005, upon achievement of an early-stage VEGF Trap clinical milestone. In March 2004, Novartis forgave all of its outstanding loans, including accrued interest, to Regeneron totaling $17.8 million, based upon Regeneron’s achieving a pre-defined IL-1 Trap development milestone. These amounts were recognized as research progress payments in 2004.</w:t>
      </w:r>
    </w:p>
    <w:p>
      <w:pPr>
        <w:spacing w:after="0" w:line="86" w:lineRule="exact"/>
        <w:rPr>
          <w:sz w:val="20"/>
          <w:szCs w:val="20"/>
          <w:color w:val="auto"/>
        </w:rPr>
      </w:pPr>
    </w:p>
    <w:p>
      <w:pPr>
        <w:ind w:left="680" w:right="120" w:firstLine="398"/>
        <w:spacing w:after="0" w:line="264" w:lineRule="auto"/>
        <w:rPr>
          <w:sz w:val="20"/>
          <w:szCs w:val="20"/>
          <w:color w:val="auto"/>
        </w:rPr>
      </w:pPr>
      <w:r>
        <w:rPr>
          <w:rFonts w:ascii="Times New Roman" w:cs="Times New Roman" w:eastAsia="Times New Roman" w:hAnsi="Times New Roman"/>
          <w:sz w:val="16"/>
          <w:szCs w:val="16"/>
          <w:color w:val="auto"/>
        </w:rPr>
        <w:t>Contract manufacturing revenue relates to our long-term agreement with Merck, which expires in October 2006, to manufacture a vaccine intermediate at our Rensselaer, New York facility. Contract manufacturing revenue decreased to $13.7 million in 2005 from $18.1 million in 2004, principally due to a decrease in product shipments to Merck in 2005 compared to 2004. Revenue and the related manufacturing expense are recognized as product is shipped, after acceptance by Merck. Included in contract manufacturing revenue in 2005 and 2004 are $1.4 million and $3.6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term of the agreement. In February 2005, we agreed to extend the manufacturing agreement by one year through October 2006. As a result, in 2005 we began recognizing the remaining deferred balance of Merck’s capital improvement reimbursements as of December 31, 2004, which totaled $2.7 million, as revenue as product is shipped to Merck, based upon Merck’s order quantities through October 2006.</w:t>
      </w: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34" w:name="page35"/>
    <w:bookmarkEnd w:id="3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Expenses:</w:t>
      </w:r>
    </w:p>
    <w:p>
      <w:pPr>
        <w:spacing w:after="0" w:line="117" w:lineRule="exact"/>
        <w:rPr>
          <w:sz w:val="20"/>
          <w:szCs w:val="20"/>
          <w:color w:val="auto"/>
        </w:rPr>
      </w:pPr>
    </w:p>
    <w:p>
      <w:pPr>
        <w:ind w:left="680" w:right="500" w:firstLine="398"/>
        <w:spacing w:after="0" w:line="268" w:lineRule="auto"/>
        <w:rPr>
          <w:sz w:val="20"/>
          <w:szCs w:val="20"/>
          <w:color w:val="auto"/>
        </w:rPr>
      </w:pPr>
      <w:r>
        <w:rPr>
          <w:rFonts w:ascii="Times New Roman" w:cs="Times New Roman" w:eastAsia="Times New Roman" w:hAnsi="Times New Roman"/>
          <w:sz w:val="17"/>
          <w:szCs w:val="17"/>
          <w:color w:val="auto"/>
        </w:rPr>
        <w:t>Total operating expenses increased to $190.6 million in 2005 from $168.4 million in 2004. Operating expenses in 2005 include a total of $19.9 million of Stock Option Expense, as follows:</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2005</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23"/>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E</w:t>
            </w:r>
            <w:r>
              <w:rPr>
                <w:rFonts w:ascii="Times New Roman" w:cs="Times New Roman" w:eastAsia="Times New Roman" w:hAnsi="Times New Roman"/>
                <w:sz w:val="13"/>
                <w:szCs w:val="13"/>
                <w:b w:val="1"/>
                <w:bCs w:val="1"/>
                <w:color w:val="auto"/>
              </w:rPr>
              <w:t>xpenses</w:t>
            </w:r>
          </w:p>
        </w:tc>
        <w:tc>
          <w:tcPr>
            <w:tcW w:w="1180" w:type="dxa"/>
            <w:vAlign w:val="bottom"/>
            <w:gridSpan w:val="4"/>
          </w:tcPr>
          <w:p>
            <w:pPr>
              <w:jc w:val="center"/>
              <w:ind w:right="380"/>
              <w:spacing w:after="0" w:line="119" w:lineRule="exact"/>
              <w:rPr>
                <w:sz w:val="20"/>
                <w:szCs w:val="20"/>
                <w:color w:val="auto"/>
              </w:rPr>
            </w:pPr>
            <w:r>
              <w:rPr>
                <w:rFonts w:ascii="Times New Roman" w:cs="Times New Roman" w:eastAsia="Times New Roman" w:hAnsi="Times New Roman"/>
                <w:sz w:val="13"/>
                <w:szCs w:val="13"/>
                <w:b w:val="1"/>
                <w:bCs w:val="1"/>
                <w:color w:val="auto"/>
              </w:rPr>
              <w:t>Expenses as</w:t>
            </w:r>
          </w:p>
        </w:tc>
        <w:tc>
          <w:tcPr>
            <w:tcW w:w="1100" w:type="dxa"/>
            <w:vAlign w:val="bottom"/>
            <w:gridSpan w:val="3"/>
          </w:tcPr>
          <w:p>
            <w:pPr>
              <w:jc w:val="right"/>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Stock Option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jc w:val="right"/>
              <w:ind w:right="143"/>
              <w:spacing w:after="0" w:line="119" w:lineRule="exact"/>
              <w:rPr>
                <w:sz w:val="20"/>
                <w:szCs w:val="20"/>
                <w:color w:val="auto"/>
              </w:rPr>
            </w:pPr>
            <w:r>
              <w:rPr>
                <w:rFonts w:ascii="Times New Roman" w:cs="Times New Roman" w:eastAsia="Times New Roman" w:hAnsi="Times New Roman"/>
                <w:sz w:val="13"/>
                <w:szCs w:val="13"/>
                <w:b w:val="1"/>
                <w:bCs w:val="1"/>
                <w:color w:val="auto"/>
              </w:rPr>
              <w:t>Expenses Exclusive of</w:t>
            </w:r>
          </w:p>
        </w:tc>
        <w:tc>
          <w:tcPr>
            <w:tcW w:w="40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9"/>
              </w:rPr>
              <w:t>Expenses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i w:val="1"/>
                <w:iCs w:val="1"/>
                <w:color w:val="auto"/>
                <w:w w:val="71"/>
              </w:rPr>
              <w:t>(In</w:t>
            </w:r>
          </w:p>
        </w:tc>
        <w:tc>
          <w:tcPr>
            <w:tcW w:w="160" w:type="dxa"/>
            <w:vAlign w:val="bottom"/>
          </w:tcPr>
          <w:p>
            <w:pPr>
              <w:spacing w:after="0"/>
              <w:rPr>
                <w:sz w:val="13"/>
                <w:szCs w:val="13"/>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Stock Option Expense</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680" w:type="dxa"/>
            <w:vAlign w:val="bottom"/>
            <w:tcBorders>
              <w:top w:val="single" w:sz="8" w:color="auto"/>
            </w:tcBorders>
            <w:gridSpan w:val="2"/>
          </w:tcPr>
          <w:p>
            <w:pPr>
              <w:jc w:val="right"/>
              <w:ind w:right="1063"/>
              <w:spacing w:after="0"/>
              <w:rPr>
                <w:sz w:val="20"/>
                <w:szCs w:val="20"/>
                <w:color w:val="auto"/>
              </w:rPr>
            </w:pPr>
            <w:r>
              <w:rPr>
                <w:rFonts w:ascii="Times New Roman" w:cs="Times New Roman" w:eastAsia="Times New Roman" w:hAnsi="Times New Roman"/>
                <w:sz w:val="13"/>
                <w:szCs w:val="13"/>
                <w:b w:val="1"/>
                <w:bCs w:val="1"/>
                <w:i w:val="1"/>
                <w:iCs w:val="1"/>
                <w:color w:val="auto"/>
              </w:rPr>
              <w:t>millions)</w:t>
            </w: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155.6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11.9</w:t>
            </w:r>
          </w:p>
        </w:tc>
        <w:tc>
          <w:tcPr>
            <w:tcW w:w="3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143.7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136.1</w:t>
            </w:r>
          </w:p>
        </w:tc>
        <w:tc>
          <w:tcPr>
            <w:tcW w:w="0" w:type="dxa"/>
            <w:vAlign w:val="bottom"/>
          </w:tcPr>
          <w:p>
            <w:pPr>
              <w:spacing w:after="0"/>
              <w:rPr>
                <w:sz w:val="1"/>
                <w:szCs w:val="1"/>
                <w:color w:val="auto"/>
              </w:rPr>
            </w:pPr>
          </w:p>
        </w:tc>
      </w:tr>
      <w:tr>
        <w:trPr>
          <w:trHeight w:val="199"/>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Contract manufacturing</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9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25.4</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r>
        <w:trPr>
          <w:trHeight w:val="204"/>
        </w:trPr>
        <w:tc>
          <w:tcPr>
            <w:tcW w:w="4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20"/>
        <w:spacing w:after="0" w:line="264" w:lineRule="auto"/>
        <w:rPr>
          <w:sz w:val="20"/>
          <w:szCs w:val="20"/>
          <w:color w:val="auto"/>
        </w:rPr>
      </w:pPr>
      <w:r>
        <w:rPr>
          <w:rFonts w:ascii="Times New Roman" w:cs="Times New Roman" w:eastAsia="Times New Roman" w:hAnsi="Times New Roman"/>
          <w:sz w:val="16"/>
          <w:szCs w:val="16"/>
          <w:color w:val="auto"/>
        </w:rPr>
        <w:t>In addition, $0.1 million of Stock Option Expense was capitalized into inventory, for a total of $20.0 million of Stock Option Expense recognized during the year ended December 31, 2005. Stock Option Expense was not included in operating expenses in 2004, as reported in our Statement of Operations. In 2004, had we adopted the fair value based method of accounting for stock-based employee compensation under the provisions of SFAS 123, Stock Option Expense would have totaled $33.6 million. The decrease in total Stock Option Expense of $13.6 million in 2005 was partly due to lower exercise prices of annual employee option grants made by us in December 2004 in comparison to the exercise prices of annual grants in recent prior years. Exercise prices of these option grants were generally equal to the fair market value of our Common Stock on the date of grant. The decrease in Stock Option Expense in 2005 was also due, in part, to the exchange of options by eligible employees in connection with our stock option exchange program in January 2005, as the unamortized fair value of the surrendered options on the date of the exchange is being recognized as Stock Option Expense over a longer time period (the vesting period of the replacement options) in accordance with SFAS 123.</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7" w:lineRule="exact"/>
        <w:rPr>
          <w:sz w:val="20"/>
          <w:szCs w:val="20"/>
          <w:color w:val="auto"/>
        </w:rPr>
      </w:pPr>
    </w:p>
    <w:p>
      <w:pPr>
        <w:ind w:left="680" w:right="260"/>
        <w:spacing w:after="0" w:line="256" w:lineRule="auto"/>
        <w:rPr>
          <w:sz w:val="20"/>
          <w:szCs w:val="20"/>
          <w:color w:val="auto"/>
        </w:rPr>
      </w:pPr>
      <w:r>
        <w:rPr>
          <w:rFonts w:ascii="Times New Roman" w:cs="Times New Roman" w:eastAsia="Times New Roman" w:hAnsi="Times New Roman"/>
          <w:sz w:val="17"/>
          <w:szCs w:val="17"/>
          <w:color w:val="auto"/>
        </w:rPr>
        <w:t>Research and development expenses, exclusive of Stock Option Expense, increased to $143.7 million for the year ended December 31, 2005 from $136.1 million for 2004. The following table summarizes the major categories of our research and development expenses for the years ended December 31, 2005 and 2004:</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13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2005</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Research and development expenses</w:t>
            </w:r>
          </w:p>
        </w:tc>
        <w:tc>
          <w:tcPr>
            <w:tcW w:w="1180" w:type="dxa"/>
            <w:vAlign w:val="bottom"/>
            <w:gridSpan w:val="4"/>
          </w:tcPr>
          <w:p>
            <w:pPr>
              <w:jc w:val="center"/>
              <w:ind w:right="380"/>
              <w:spacing w:after="0" w:line="119" w:lineRule="exact"/>
              <w:rPr>
                <w:sz w:val="20"/>
                <w:szCs w:val="20"/>
                <w:color w:val="auto"/>
              </w:rPr>
            </w:pPr>
            <w:r>
              <w:rPr>
                <w:rFonts w:ascii="Times New Roman" w:cs="Times New Roman" w:eastAsia="Times New Roman" w:hAnsi="Times New Roman"/>
                <w:sz w:val="13"/>
                <w:szCs w:val="13"/>
                <w:b w:val="1"/>
                <w:bCs w:val="1"/>
                <w:color w:val="auto"/>
              </w:rPr>
              <w:t>Expenses as</w:t>
            </w:r>
          </w:p>
        </w:tc>
        <w:tc>
          <w:tcPr>
            <w:tcW w:w="1100" w:type="dxa"/>
            <w:vAlign w:val="bottom"/>
            <w:gridSpan w:val="3"/>
          </w:tcPr>
          <w:p>
            <w:pPr>
              <w:jc w:val="right"/>
              <w:ind w:right="260"/>
              <w:spacing w:after="0" w:line="119" w:lineRule="exact"/>
              <w:rPr>
                <w:sz w:val="20"/>
                <w:szCs w:val="20"/>
                <w:color w:val="auto"/>
              </w:rPr>
            </w:pPr>
            <w:r>
              <w:rPr>
                <w:rFonts w:ascii="Times New Roman" w:cs="Times New Roman" w:eastAsia="Times New Roman" w:hAnsi="Times New Roman"/>
                <w:sz w:val="13"/>
                <w:szCs w:val="13"/>
                <w:b w:val="1"/>
                <w:bCs w:val="1"/>
                <w:color w:val="auto"/>
              </w:rPr>
              <w:t>Stock Option</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jc w:val="right"/>
              <w:ind w:right="141"/>
              <w:spacing w:after="0" w:line="119" w:lineRule="exact"/>
              <w:rPr>
                <w:sz w:val="20"/>
                <w:szCs w:val="20"/>
                <w:color w:val="auto"/>
              </w:rPr>
            </w:pPr>
            <w:r>
              <w:rPr>
                <w:rFonts w:ascii="Times New Roman" w:cs="Times New Roman" w:eastAsia="Times New Roman" w:hAnsi="Times New Roman"/>
                <w:sz w:val="13"/>
                <w:szCs w:val="13"/>
                <w:b w:val="1"/>
                <w:bCs w:val="1"/>
                <w:color w:val="auto"/>
              </w:rPr>
              <w:t>Expenses Exclusive of</w:t>
            </w:r>
          </w:p>
        </w:tc>
        <w:tc>
          <w:tcPr>
            <w:tcW w:w="400" w:type="dxa"/>
            <w:vAlign w:val="bottom"/>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Expenses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i w:val="1"/>
                <w:iCs w:val="1"/>
                <w:color w:val="auto"/>
                <w:w w:val="71"/>
              </w:rPr>
              <w:t>(In</w:t>
            </w:r>
          </w:p>
        </w:tc>
        <w:tc>
          <w:tcPr>
            <w:tcW w:w="160" w:type="dxa"/>
            <w:vAlign w:val="bottom"/>
          </w:tcPr>
          <w:p>
            <w:pPr>
              <w:spacing w:after="0"/>
              <w:rPr>
                <w:sz w:val="13"/>
                <w:szCs w:val="13"/>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Stock Option Expense</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Reported(2)</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680" w:type="dxa"/>
            <w:vAlign w:val="bottom"/>
            <w:tcBorders>
              <w:top w:val="single" w:sz="8" w:color="auto"/>
            </w:tcBorders>
            <w:gridSpan w:val="2"/>
          </w:tcPr>
          <w:p>
            <w:pPr>
              <w:jc w:val="right"/>
              <w:ind w:right="1061"/>
              <w:spacing w:after="0"/>
              <w:rPr>
                <w:sz w:val="20"/>
                <w:szCs w:val="20"/>
                <w:color w:val="auto"/>
              </w:rPr>
            </w:pPr>
            <w:r>
              <w:rPr>
                <w:rFonts w:ascii="Times New Roman" w:cs="Times New Roman" w:eastAsia="Times New Roman" w:hAnsi="Times New Roman"/>
                <w:sz w:val="13"/>
                <w:szCs w:val="13"/>
                <w:b w:val="1"/>
                <w:bCs w:val="1"/>
                <w:i w:val="1"/>
                <w:iCs w:val="1"/>
                <w:color w:val="auto"/>
              </w:rPr>
              <w:t>millions)</w:t>
            </w:r>
          </w:p>
        </w:tc>
        <w:tc>
          <w:tcPr>
            <w:tcW w:w="4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Payroll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59.2</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10.9</w:t>
            </w:r>
          </w:p>
        </w:tc>
        <w:tc>
          <w:tcPr>
            <w:tcW w:w="3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48.3</w:t>
            </w: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r>
        <w:trPr>
          <w:trHeight w:val="199"/>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Clinical trial expenses</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199"/>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manufacturing costs (1)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32.6</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199"/>
        </w:trPr>
        <w:tc>
          <w:tcPr>
            <w:tcW w:w="4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Research and preclinical development costs</w:t>
            </w: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20.7</w:t>
            </w:r>
          </w:p>
        </w:tc>
        <w:tc>
          <w:tcPr>
            <w:tcW w:w="1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199"/>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and other operating costs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23.9</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23.9</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04"/>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4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30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-1017270</wp:posOffset>
            </wp:positionV>
            <wp:extent cx="317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7620"/>
                    </a:xfrm>
                    <a:prstGeom prst="rect">
                      <a:avLst/>
                    </a:prstGeom>
                    <a:noFill/>
                  </pic:spPr>
                </pic:pic>
              </a:graphicData>
            </a:graphic>
          </wp:anchor>
        </w:drawing>
      </w:r>
    </w:p>
    <w:p>
      <w:pPr>
        <w:spacing w:after="0" w:line="26" w:lineRule="exact"/>
        <w:rPr>
          <w:sz w:val="20"/>
          <w:szCs w:val="20"/>
          <w:color w:val="auto"/>
        </w:rPr>
      </w:pPr>
    </w:p>
    <w:p>
      <w:pPr>
        <w:ind w:left="1080" w:right="300" w:hanging="290"/>
        <w:spacing w:after="0" w:line="268"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10" w:lineRule="exact"/>
        <w:rPr>
          <w:rFonts w:ascii="Times New Roman" w:cs="Times New Roman" w:eastAsia="Times New Roman" w:hAnsi="Times New Roman"/>
          <w:sz w:val="17"/>
          <w:szCs w:val="17"/>
          <w:color w:val="auto"/>
        </w:rPr>
      </w:pPr>
    </w:p>
    <w:p>
      <w:pPr>
        <w:ind w:left="1080" w:hanging="290"/>
        <w:spacing w:after="0"/>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2004, research and development expenses as reported in our Statement of Operations did not include Stock Option Expense.</w:t>
      </w:r>
    </w:p>
    <w:p>
      <w:pPr>
        <w:spacing w:after="0" w:line="3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firstLine="398"/>
        <w:spacing w:after="0" w:line="264" w:lineRule="auto"/>
        <w:rPr>
          <w:sz w:val="20"/>
          <w:szCs w:val="20"/>
          <w:color w:val="auto"/>
        </w:rPr>
      </w:pPr>
      <w:r>
        <w:rPr>
          <w:rFonts w:ascii="Times New Roman" w:cs="Times New Roman" w:eastAsia="Times New Roman" w:hAnsi="Times New Roman"/>
          <w:sz w:val="16"/>
          <w:szCs w:val="16"/>
          <w:color w:val="auto"/>
        </w:rPr>
        <w:t>Payroll and benefits, exclusive of Stock Option Expense, increased $4.7 million in 2005 from 2004 due primarily to 2005 wage and salary increases, higher employee benefit costs, and severance costs (totaling $2.2 million in 2005) associated with our workforce reduction plan that we initiated in October 2005. Clinical trial expenses increased $7.9 million in 2005 from 2004 due primarily to higher IL-1 Trap costs associated with commencing clinical studies in new indications and discontinuing the Phase 2b study in adult rheumatoid arthritis. Clinical manufacturing costs, exclusive of Stock Option Expense, decreased $3.8 million in 2005 from 2004, as lower costs in 2005 related to manufacturing clinical supplies of the VEGF Trap and the IL-4/13 Trap were partly offset by higher costs related to manufacturing clinical supplies of the IL-1 Trap. Research and preclinical development costs decreased $2.4 million in 2005 from 2004, due primarily to lower VEGF Trap preclinical development costs and lower costs for general research supplies in 2005. Occupancy and other operating costs increased by $1.2 million in 2005 from 2004, due primarily to higher costs for utilities, taxes, and operating expenses associated with our leased research facilities in Tarrytown, New York.</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Contract Manufacturing Expenses:</w:t>
      </w:r>
    </w:p>
    <w:p>
      <w:pPr>
        <w:spacing w:after="0" w:line="117" w:lineRule="exact"/>
        <w:rPr>
          <w:sz w:val="20"/>
          <w:szCs w:val="20"/>
          <w:color w:val="auto"/>
        </w:rPr>
      </w:pPr>
    </w:p>
    <w:p>
      <w:pPr>
        <w:jc w:val="both"/>
        <w:ind w:left="680" w:right="120" w:firstLine="398"/>
        <w:spacing w:after="0" w:line="256" w:lineRule="auto"/>
        <w:rPr>
          <w:sz w:val="20"/>
          <w:szCs w:val="20"/>
          <w:color w:val="auto"/>
        </w:rPr>
      </w:pPr>
      <w:r>
        <w:rPr>
          <w:rFonts w:ascii="Times New Roman" w:cs="Times New Roman" w:eastAsia="Times New Roman" w:hAnsi="Times New Roman"/>
          <w:sz w:val="17"/>
          <w:szCs w:val="17"/>
          <w:color w:val="auto"/>
        </w:rPr>
        <w:t>Contract manufacturing expenses, exclusive of Stock Option Expense, decreased to $9.2 million in 2005, compared to $15.2 million in 2004, primarily because we shipped less product to Merck in 2005 and we incurred unfavorable manufacturing costs in 2004, which were expensed in the period incurred.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7" w:lineRule="exact"/>
        <w:rPr>
          <w:sz w:val="20"/>
          <w:szCs w:val="20"/>
          <w:color w:val="auto"/>
        </w:rPr>
      </w:pPr>
    </w:p>
    <w:p>
      <w:pPr>
        <w:ind w:left="680" w:right="40" w:firstLine="398"/>
        <w:spacing w:after="0" w:line="273" w:lineRule="auto"/>
        <w:rPr>
          <w:sz w:val="20"/>
          <w:szCs w:val="20"/>
          <w:color w:val="auto"/>
        </w:rPr>
      </w:pPr>
      <w:r>
        <w:rPr>
          <w:rFonts w:ascii="Times New Roman" w:cs="Times New Roman" w:eastAsia="Times New Roman" w:hAnsi="Times New Roman"/>
          <w:sz w:val="16"/>
          <w:szCs w:val="16"/>
          <w:color w:val="auto"/>
        </w:rPr>
        <w:t>General and administrative expenses, exclusive of Stock Option Expense, increased to $17.8 million in 2005 from $17.1 million in 2004, as 2005 administrative wage and salary increases, higher employee benefits costs and higher administrative facility costs were partly offset by (i) lower legal expenses related to Company litigation and general corporate matters and (ii) lower professional fees, principally associated with accounting and other services related to our first year of compliance in 2004 with the requirements of Section 404 of the Sarbanes-Oxley Act of 2002.</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Other Income and Expense:</w:t>
      </w:r>
    </w:p>
    <w:p>
      <w:pPr>
        <w:spacing w:after="0" w:line="117" w:lineRule="exact"/>
        <w:rPr>
          <w:sz w:val="20"/>
          <w:szCs w:val="20"/>
          <w:color w:val="auto"/>
        </w:rPr>
      </w:pPr>
    </w:p>
    <w:p>
      <w:pPr>
        <w:ind w:left="680" w:right="60" w:firstLine="398"/>
        <w:spacing w:after="0" w:line="247" w:lineRule="auto"/>
        <w:rPr>
          <w:sz w:val="20"/>
          <w:szCs w:val="20"/>
          <w:color w:val="auto"/>
        </w:rPr>
      </w:pPr>
      <w:r>
        <w:rPr>
          <w:rFonts w:ascii="Times New Roman" w:cs="Times New Roman" w:eastAsia="Times New Roman" w:hAnsi="Times New Roman"/>
          <w:sz w:val="17"/>
          <w:szCs w:val="17"/>
          <w:color w:val="auto"/>
        </w:rPr>
        <w:t>In June 2005, we and Procter &amp; Gamble amended our collaboration agreement and agreed that the research activities of both companies under the collaboration agreement were completed. In connection with the amendment, Procter &amp; Gamble made a one-time $5.6 million payment to us, which we recognized as other contract income in 2005. In January 2005, we and sanofi-aventis amended our collaboration agreement to exclude rights to develop and commercialize the VEGF Trap for intraocular delivery to the eye. In connection with the amendment, sanofi-aventis made a one-time $25.0 million payment to us, which we recognized as other contract income in 2005. In the first quarter of 2004, Novartis notified us of its decision to forgo its right under the collaboration to jointly develop the IL-1 Trap and subsequently paid us $42.75 million to satisfy its obligation to fund development costs for the IL-1 Trap for the nine-month period following its notification and for the two months prior to that notice. The $42.75 million was included in other contract income in 2004.</w:t>
      </w:r>
    </w:p>
    <w:p>
      <w:pPr>
        <w:spacing w:after="0" w:line="92" w:lineRule="exact"/>
        <w:rPr>
          <w:sz w:val="20"/>
          <w:szCs w:val="20"/>
          <w:color w:val="auto"/>
        </w:rPr>
      </w:pPr>
    </w:p>
    <w:p>
      <w:pPr>
        <w:jc w:val="both"/>
        <w:ind w:left="680" w:right="80" w:firstLine="398"/>
        <w:spacing w:after="0" w:line="256" w:lineRule="auto"/>
        <w:rPr>
          <w:sz w:val="20"/>
          <w:szCs w:val="20"/>
          <w:color w:val="auto"/>
        </w:rPr>
      </w:pPr>
      <w:r>
        <w:rPr>
          <w:rFonts w:ascii="Times New Roman" w:cs="Times New Roman" w:eastAsia="Times New Roman" w:hAnsi="Times New Roman"/>
          <w:sz w:val="17"/>
          <w:szCs w:val="17"/>
          <w:color w:val="auto"/>
        </w:rPr>
        <w:t>Investment income increased to $10.4 million in 2005 from $5.5 million in 2004, due primarily to higher effective interest rates on investment securities in 2005. Interest expense decreased slightly to $12.0 million in 2005 from $12.2 million in 2004. Interest expense is attributable primarily to $200.0 million of convertible notes issued in October 2001, which mature in 2008 and bear interest at 5.5% per annum.</w:t>
      </w:r>
    </w:p>
    <w:p>
      <w:pPr>
        <w:spacing w:after="0" w:line="3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580"/>
          </w:cols>
          <w:pgMar w:left="240" w:top="393" w:right="1079" w:bottom="1440" w:gutter="0" w:footer="0" w:header="0"/>
        </w:sectPr>
      </w:pPr>
    </w:p>
    <w:bookmarkStart w:id="36" w:name="page37"/>
    <w:bookmarkEnd w:id="3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Years Ended December 31, 2004 and 2003</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Revenues for the years ended December 31, 2004 and 2003 consist of the following:</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8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20" w:type="dxa"/>
            <w:vAlign w:val="bottom"/>
          </w:tcPr>
          <w:p>
            <w:pPr>
              <w:spacing w:after="0"/>
              <w:rPr>
                <w:sz w:val="13"/>
                <w:szCs w:val="13"/>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w w:val="75"/>
              </w:rPr>
              <w:t>millions)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research &amp; development revenue</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Sanofi-aventis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3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89"/>
              </w:rPr>
              <w:t>$ 14.3</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Novartis</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199"/>
        </w:trPr>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Procter &amp; Gamble</w:t>
            </w:r>
          </w:p>
        </w:tc>
        <w:tc>
          <w:tcPr>
            <w:tcW w:w="1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38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8"/>
        </w:trPr>
        <w:tc>
          <w:tcPr>
            <w:tcW w:w="8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contract research &amp; development revenue</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113.1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progress payments</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Sanofi-aventis</w:t>
            </w:r>
          </w:p>
        </w:tc>
        <w:tc>
          <w:tcPr>
            <w:tcW w:w="1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Novartis</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research progress payments</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manufacturing revenue</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4"/>
        </w:trPr>
        <w:tc>
          <w:tcPr>
            <w:tcW w:w="8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174.0</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$ 57.5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60" w:firstLine="398"/>
        <w:spacing w:after="0" w:line="247" w:lineRule="auto"/>
        <w:rPr>
          <w:sz w:val="20"/>
          <w:szCs w:val="20"/>
          <w:color w:val="auto"/>
        </w:rPr>
      </w:pPr>
      <w:r>
        <w:rPr>
          <w:rFonts w:ascii="Times New Roman" w:cs="Times New Roman" w:eastAsia="Times New Roman" w:hAnsi="Times New Roman"/>
          <w:sz w:val="17"/>
          <w:szCs w:val="17"/>
          <w:color w:val="auto"/>
        </w:rPr>
        <w:t>Our total revenue increased to $174.0 million in 2004 from $57.5 million in 2003, due primarily to higher revenues related to our collaboration with sanofi-aventis on the VEGF Trap and our prior collaboration with Novartis on the IL-1 Trap. Collaboration revenue earned from sanofi-aventis and Novartis is comprised of contract research and development revenue and research progress payments. Contract research and development revenue, as detailed below, consists partly of reimbursement for research and development expenses and partly of the recognition of revenue related to non-refundable, up-front payments. Non-refundable up-front payments are recorded as deferred revenue and recognized ratably over the period over which we are obligated to perform services in accordance with SAB 104 (see Critical Accounting Policies and Significant Judgments and Estimates). In the first quarter of 2004, Novartis provided notice of its intention not to proceed with the joint development of the IL-1 Trap and the $22.1 million remaining balance of the $27.0 million up-front payment received from Novartis in March 2003 was recognized as contract research and development revenue.</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Sanofi-aventis and Novartis contract research &amp; development revenues for 2004 and 2003 were as follows:</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2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Up-front Payments to Regeneron</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500"/>
              <w:spacing w:after="0" w:line="107" w:lineRule="exact"/>
              <w:rPr>
                <w:sz w:val="20"/>
                <w:szCs w:val="20"/>
                <w:color w:val="auto"/>
              </w:rPr>
            </w:pPr>
            <w:r>
              <w:rPr>
                <w:rFonts w:ascii="Times New Roman" w:cs="Times New Roman" w:eastAsia="Times New Roman" w:hAnsi="Times New Roman"/>
                <w:sz w:val="12"/>
                <w:szCs w:val="12"/>
                <w:b w:val="1"/>
                <w:bCs w:val="1"/>
                <w:color w:val="auto"/>
              </w:rPr>
              <w:t>2004 Regeneron</w:t>
            </w:r>
          </w:p>
        </w:tc>
        <w:tc>
          <w:tcPr>
            <w:tcW w:w="10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9"/>
                <w:szCs w:val="9"/>
                <w:color w:val="auto"/>
              </w:rPr>
            </w:pPr>
          </w:p>
        </w:tc>
        <w:tc>
          <w:tcPr>
            <w:tcW w:w="16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Amount Recognized</w:t>
            </w:r>
          </w:p>
        </w:tc>
        <w:tc>
          <w:tcPr>
            <w:tcW w:w="120" w:type="dxa"/>
            <w:vAlign w:val="bottom"/>
          </w:tcPr>
          <w:p>
            <w:pPr>
              <w:spacing w:after="0"/>
              <w:rPr>
                <w:sz w:val="9"/>
                <w:szCs w:val="9"/>
                <w:color w:val="auto"/>
              </w:rPr>
            </w:pPr>
          </w:p>
        </w:tc>
        <w:tc>
          <w:tcPr>
            <w:tcW w:w="1760" w:type="dxa"/>
            <w:vAlign w:val="bottom"/>
            <w:gridSpan w:val="2"/>
          </w:tcPr>
          <w:p>
            <w:pPr>
              <w:jc w:val="center"/>
              <w:ind w:right="500"/>
              <w:spacing w:after="0" w:line="107" w:lineRule="exact"/>
              <w:rPr>
                <w:sz w:val="20"/>
                <w:szCs w:val="20"/>
                <w:color w:val="auto"/>
              </w:rPr>
            </w:pPr>
            <w:r>
              <w:rPr>
                <w:rFonts w:ascii="Times New Roman" w:cs="Times New Roman" w:eastAsia="Times New Roman" w:hAnsi="Times New Roman"/>
                <w:sz w:val="12"/>
                <w:szCs w:val="12"/>
                <w:b w:val="1"/>
                <w:bCs w:val="1"/>
                <w:color w:val="auto"/>
              </w:rPr>
              <w:t>Deferred Revenue at</w:t>
            </w:r>
          </w:p>
        </w:tc>
        <w:tc>
          <w:tcPr>
            <w:tcW w:w="100" w:type="dxa"/>
            <w:vAlign w:val="bottom"/>
          </w:tcPr>
          <w:p>
            <w:pPr>
              <w:spacing w:after="0"/>
              <w:rPr>
                <w:sz w:val="9"/>
                <w:szCs w:val="9"/>
                <w:color w:val="auto"/>
              </w:rPr>
            </w:pPr>
          </w:p>
        </w:tc>
        <w:tc>
          <w:tcPr>
            <w:tcW w:w="900" w:type="dxa"/>
            <w:vAlign w:val="bottom"/>
          </w:tcPr>
          <w:p>
            <w:pPr>
              <w:jc w:val="center"/>
              <w:ind w:right="6"/>
              <w:spacing w:after="0" w:line="107" w:lineRule="exact"/>
              <w:rPr>
                <w:sz w:val="20"/>
                <w:szCs w:val="20"/>
                <w:color w:val="auto"/>
              </w:rPr>
            </w:pPr>
            <w:r>
              <w:rPr>
                <w:rFonts w:ascii="Times New Roman" w:cs="Times New Roman" w:eastAsia="Times New Roman" w:hAnsi="Times New Roman"/>
                <w:sz w:val="12"/>
                <w:szCs w:val="12"/>
                <w:b w:val="1"/>
                <w:bCs w:val="1"/>
                <w:color w:val="auto"/>
              </w:rPr>
              <w:t>Total Revenue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480"/>
              <w:spacing w:after="0" w:line="137" w:lineRule="exact"/>
              <w:rPr>
                <w:sz w:val="20"/>
                <w:szCs w:val="20"/>
                <w:color w:val="auto"/>
              </w:rPr>
            </w:pPr>
            <w:r>
              <w:rPr>
                <w:rFonts w:ascii="Times New Roman" w:cs="Times New Roman" w:eastAsia="Times New Roman" w:hAnsi="Times New Roman"/>
                <w:sz w:val="13"/>
                <w:szCs w:val="13"/>
                <w:b w:val="1"/>
                <w:bCs w:val="1"/>
                <w:color w:val="auto"/>
              </w:rPr>
              <w:t>Expense</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Reimbursement</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100" w:type="dxa"/>
            <w:vAlign w:val="bottom"/>
          </w:tcPr>
          <w:p>
            <w:pPr>
              <w:spacing w:after="0"/>
              <w:rPr>
                <w:sz w:val="13"/>
                <w:szCs w:val="13"/>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in 2004</w:t>
            </w:r>
          </w:p>
        </w:tc>
        <w:tc>
          <w:tcPr>
            <w:tcW w:w="120" w:type="dxa"/>
            <w:vAlign w:val="bottom"/>
          </w:tcPr>
          <w:p>
            <w:pPr>
              <w:spacing w:after="0"/>
              <w:rPr>
                <w:sz w:val="13"/>
                <w:szCs w:val="13"/>
                <w:color w:val="auto"/>
              </w:rPr>
            </w:pPr>
          </w:p>
        </w:tc>
        <w:tc>
          <w:tcPr>
            <w:tcW w:w="13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 2004</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i w:val="1"/>
                <w:iCs w:val="1"/>
                <w:color w:val="auto"/>
                <w:w w:val="82"/>
              </w:rPr>
              <w:t>(In millions)</w:t>
            </w: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Sanofi-aventis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199"/>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Novartis</w:t>
            </w:r>
          </w:p>
        </w:tc>
        <w:tc>
          <w:tcPr>
            <w:tcW w:w="10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7"/>
                <w:szCs w:val="17"/>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Pr>
          <w:p>
            <w:pPr>
              <w:spacing w:after="0"/>
              <w:rPr>
                <w:sz w:val="17"/>
                <w:szCs w:val="17"/>
                <w:color w:val="auto"/>
              </w:rPr>
            </w:pP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67.8</w:t>
            </w: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4"/>
              </w:rPr>
              <w:t>$ 107.0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Up-front Payments to Regeneron</w:t>
            </w: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500"/>
              <w:spacing w:after="0" w:line="107" w:lineRule="exact"/>
              <w:rPr>
                <w:sz w:val="20"/>
                <w:szCs w:val="20"/>
                <w:color w:val="auto"/>
              </w:rPr>
            </w:pPr>
            <w:r>
              <w:rPr>
                <w:rFonts w:ascii="Times New Roman" w:cs="Times New Roman" w:eastAsia="Times New Roman" w:hAnsi="Times New Roman"/>
                <w:sz w:val="12"/>
                <w:szCs w:val="12"/>
                <w:b w:val="1"/>
                <w:bCs w:val="1"/>
                <w:color w:val="auto"/>
              </w:rPr>
              <w:t>2003 Regeneron</w:t>
            </w:r>
          </w:p>
        </w:tc>
        <w:tc>
          <w:tcPr>
            <w:tcW w:w="100" w:type="dxa"/>
            <w:vAlign w:val="bottom"/>
          </w:tcPr>
          <w:p>
            <w:pPr>
              <w:spacing w:after="0"/>
              <w:rPr>
                <w:sz w:val="9"/>
                <w:szCs w:val="9"/>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9"/>
                <w:szCs w:val="9"/>
                <w:color w:val="auto"/>
              </w:rPr>
            </w:pPr>
          </w:p>
        </w:tc>
        <w:tc>
          <w:tcPr>
            <w:tcW w:w="16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Amount Recognized</w:t>
            </w:r>
          </w:p>
        </w:tc>
        <w:tc>
          <w:tcPr>
            <w:tcW w:w="120" w:type="dxa"/>
            <w:vAlign w:val="bottom"/>
          </w:tcPr>
          <w:p>
            <w:pPr>
              <w:spacing w:after="0"/>
              <w:rPr>
                <w:sz w:val="9"/>
                <w:szCs w:val="9"/>
                <w:color w:val="auto"/>
              </w:rPr>
            </w:pPr>
          </w:p>
        </w:tc>
        <w:tc>
          <w:tcPr>
            <w:tcW w:w="1760" w:type="dxa"/>
            <w:vAlign w:val="bottom"/>
            <w:gridSpan w:val="2"/>
          </w:tcPr>
          <w:p>
            <w:pPr>
              <w:jc w:val="center"/>
              <w:ind w:right="500"/>
              <w:spacing w:after="0" w:line="107" w:lineRule="exact"/>
              <w:rPr>
                <w:sz w:val="20"/>
                <w:szCs w:val="20"/>
                <w:color w:val="auto"/>
              </w:rPr>
            </w:pPr>
            <w:r>
              <w:rPr>
                <w:rFonts w:ascii="Times New Roman" w:cs="Times New Roman" w:eastAsia="Times New Roman" w:hAnsi="Times New Roman"/>
                <w:sz w:val="12"/>
                <w:szCs w:val="12"/>
                <w:b w:val="1"/>
                <w:bCs w:val="1"/>
                <w:color w:val="auto"/>
              </w:rPr>
              <w:t>Deferred Revenue at</w:t>
            </w:r>
          </w:p>
        </w:tc>
        <w:tc>
          <w:tcPr>
            <w:tcW w:w="100" w:type="dxa"/>
            <w:vAlign w:val="bottom"/>
          </w:tcPr>
          <w:p>
            <w:pPr>
              <w:spacing w:after="0"/>
              <w:rPr>
                <w:sz w:val="9"/>
                <w:szCs w:val="9"/>
                <w:color w:val="auto"/>
              </w:rPr>
            </w:pPr>
          </w:p>
        </w:tc>
        <w:tc>
          <w:tcPr>
            <w:tcW w:w="900" w:type="dxa"/>
            <w:vAlign w:val="bottom"/>
          </w:tcPr>
          <w:p>
            <w:pPr>
              <w:jc w:val="center"/>
              <w:ind w:right="6"/>
              <w:spacing w:after="0" w:line="107" w:lineRule="exact"/>
              <w:rPr>
                <w:sz w:val="20"/>
                <w:szCs w:val="20"/>
                <w:color w:val="auto"/>
              </w:rPr>
            </w:pPr>
            <w:r>
              <w:rPr>
                <w:rFonts w:ascii="Times New Roman" w:cs="Times New Roman" w:eastAsia="Times New Roman" w:hAnsi="Times New Roman"/>
                <w:sz w:val="12"/>
                <w:szCs w:val="12"/>
                <w:b w:val="1"/>
                <w:bCs w:val="1"/>
                <w:color w:val="auto"/>
              </w:rPr>
              <w:t>Total Revenue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480"/>
              <w:spacing w:after="0" w:line="137" w:lineRule="exact"/>
              <w:rPr>
                <w:sz w:val="20"/>
                <w:szCs w:val="20"/>
                <w:color w:val="auto"/>
              </w:rPr>
            </w:pPr>
            <w:r>
              <w:rPr>
                <w:rFonts w:ascii="Times New Roman" w:cs="Times New Roman" w:eastAsia="Times New Roman" w:hAnsi="Times New Roman"/>
                <w:sz w:val="13"/>
                <w:szCs w:val="13"/>
                <w:b w:val="1"/>
                <w:bCs w:val="1"/>
                <w:color w:val="auto"/>
              </w:rPr>
              <w:t>Expense</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Reimbursement</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100" w:type="dxa"/>
            <w:vAlign w:val="bottom"/>
          </w:tcPr>
          <w:p>
            <w:pPr>
              <w:spacing w:after="0"/>
              <w:rPr>
                <w:sz w:val="13"/>
                <w:szCs w:val="13"/>
                <w:color w:val="auto"/>
              </w:rPr>
            </w:pPr>
          </w:p>
        </w:tc>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in 2003</w:t>
            </w:r>
          </w:p>
        </w:tc>
        <w:tc>
          <w:tcPr>
            <w:tcW w:w="120" w:type="dxa"/>
            <w:vAlign w:val="bottom"/>
          </w:tcPr>
          <w:p>
            <w:pPr>
              <w:spacing w:after="0"/>
              <w:rPr>
                <w:sz w:val="13"/>
                <w:szCs w:val="13"/>
                <w:color w:val="auto"/>
              </w:rPr>
            </w:pPr>
          </w:p>
        </w:tc>
        <w:tc>
          <w:tcPr>
            <w:tcW w:w="138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2003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 2003</w:t>
            </w:r>
          </w:p>
        </w:tc>
        <w:tc>
          <w:tcPr>
            <w:tcW w:w="0" w:type="dxa"/>
            <w:vAlign w:val="bottom"/>
          </w:tcPr>
          <w:p>
            <w:pPr>
              <w:spacing w:after="0"/>
              <w:rPr>
                <w:sz w:val="1"/>
                <w:szCs w:val="1"/>
                <w:color w:val="auto"/>
              </w:rPr>
            </w:pPr>
          </w:p>
        </w:tc>
      </w:tr>
      <w:tr>
        <w:trPr>
          <w:trHeight w:val="174"/>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i w:val="1"/>
                <w:iCs w:val="1"/>
                <w:color w:val="auto"/>
                <w:w w:val="82"/>
              </w:rPr>
              <w:t>(In millions)</w:t>
            </w: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Sanofi-aventis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199"/>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Novartis</w:t>
            </w:r>
          </w:p>
        </w:tc>
        <w:tc>
          <w:tcPr>
            <w:tcW w:w="100" w:type="dxa"/>
            <w:vAlign w:val="bottom"/>
          </w:tcPr>
          <w:p>
            <w:pPr>
              <w:spacing w:after="0"/>
              <w:rPr>
                <w:sz w:val="17"/>
                <w:szCs w:val="17"/>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7"/>
                <w:szCs w:val="17"/>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7"/>
                <w:szCs w:val="17"/>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7"/>
                <w:szCs w:val="17"/>
                <w:color w:val="auto"/>
              </w:rPr>
            </w:pP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27.2</w:t>
            </w:r>
          </w:p>
        </w:tc>
        <w:tc>
          <w:tcPr>
            <w:tcW w:w="9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4"/>
              </w:rPr>
              <w:t>$ 107.0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37" w:name="page38"/>
    <w:bookmarkEnd w:id="3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right="80" w:firstLine="312"/>
        <w:spacing w:after="0" w:line="252" w:lineRule="auto"/>
        <w:rPr>
          <w:sz w:val="20"/>
          <w:szCs w:val="20"/>
          <w:color w:val="auto"/>
        </w:rPr>
      </w:pPr>
      <w:r>
        <w:rPr>
          <w:rFonts w:ascii="Times New Roman" w:cs="Times New Roman" w:eastAsia="Times New Roman" w:hAnsi="Times New Roman"/>
          <w:sz w:val="17"/>
          <w:szCs w:val="17"/>
          <w:color w:val="auto"/>
        </w:rPr>
        <w:t>In December 2004, we earned a $25.0 million research progress payment from sanofi-aventis, which was received in January 2005, upon achievement of an early-stage VEGF Trap clinical milestone. In March 2004, Novartis forgave all its outstanding loans, including accrued interest, to Regeneron totaling $17.8 million, based upon Regeneron’s achieving a pre-defined IL-1 Trap development milestone. These amounts were recognized as research progress payments in 2004.</w:t>
      </w:r>
    </w:p>
    <w:p>
      <w:pPr>
        <w:spacing w:after="0" w:line="86" w:lineRule="exact"/>
        <w:rPr>
          <w:sz w:val="20"/>
          <w:szCs w:val="20"/>
          <w:color w:val="auto"/>
        </w:rPr>
      </w:pPr>
    </w:p>
    <w:p>
      <w:pPr>
        <w:ind w:left="460" w:right="120" w:firstLine="312"/>
        <w:spacing w:after="0" w:line="248" w:lineRule="auto"/>
        <w:rPr>
          <w:sz w:val="20"/>
          <w:szCs w:val="20"/>
          <w:color w:val="auto"/>
        </w:rPr>
      </w:pPr>
      <w:r>
        <w:rPr>
          <w:rFonts w:ascii="Times New Roman" w:cs="Times New Roman" w:eastAsia="Times New Roman" w:hAnsi="Times New Roman"/>
          <w:sz w:val="17"/>
          <w:szCs w:val="17"/>
          <w:color w:val="auto"/>
        </w:rPr>
        <w:t>Contract manufacturing revenue relates to our long-term agreement with Merck, which expires in October 2006. Contract manufacturing revenue increased to $18.1 million in 2004 from $10.1 million in 2003, principally due to an increase in product shipments to Merck in 2004 compared to 2003. Revenue and the related manufacturing expense are recognized as product is shipped, after acceptance by Merck. Included in contract manufacturing revenue in 2004 and 2003 are $3.6 million and $1.7 million, respectively, of deferred revenue associated with capital improvement reimbursements paid by Merck prior to commencement of production. This deferred revenue is being recognized as product is shipped to Merck based on the total amount of product expected to be shipped over the life of the manufacturing agreement. In February 2005, we agreed to extend the manufacturing agreement by one year through October 2006.</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7" w:lineRule="exact"/>
        <w:rPr>
          <w:sz w:val="20"/>
          <w:szCs w:val="20"/>
          <w:color w:val="auto"/>
        </w:rPr>
      </w:pPr>
    </w:p>
    <w:p>
      <w:pPr>
        <w:ind w:left="460" w:right="340" w:firstLine="312"/>
        <w:spacing w:after="0" w:line="268" w:lineRule="auto"/>
        <w:rPr>
          <w:sz w:val="20"/>
          <w:szCs w:val="20"/>
          <w:color w:val="auto"/>
        </w:rPr>
      </w:pPr>
      <w:r>
        <w:rPr>
          <w:rFonts w:ascii="Times New Roman" w:cs="Times New Roman" w:eastAsia="Times New Roman" w:hAnsi="Times New Roman"/>
          <w:sz w:val="17"/>
          <w:szCs w:val="17"/>
          <w:color w:val="auto"/>
        </w:rPr>
        <w:t>Research and development expenses increased slightly to $136.1 million in 2004 from $136.0 million in 2003. The following table summarizes the major categories of our research and development expenses for the years ended December 31, 2004 and 2003:</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i w:val="1"/>
                <w:iCs w:val="1"/>
                <w:color w:val="auto"/>
              </w:rPr>
              <w:t>millions)</w:t>
            </w:r>
          </w:p>
        </w:tc>
        <w:tc>
          <w:tcPr>
            <w:tcW w:w="10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Payroll and benefits</w:t>
            </w:r>
          </w:p>
        </w:tc>
        <w:tc>
          <w:tcPr>
            <w:tcW w:w="3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Clinical trial expenses</w:t>
            </w: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Clinical manufacturing costs (1)</w:t>
            </w: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preclinical development costs</w:t>
            </w: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Occupancy and other operating costs</w:t>
            </w:r>
          </w:p>
        </w:tc>
        <w:tc>
          <w:tcPr>
            <w:tcW w:w="2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3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6" w:lineRule="exact"/>
        <w:rPr>
          <w:sz w:val="20"/>
          <w:szCs w:val="20"/>
          <w:color w:val="auto"/>
        </w:rPr>
      </w:pPr>
    </w:p>
    <w:p>
      <w:pPr>
        <w:ind w:left="780" w:right="240" w:hanging="305"/>
        <w:spacing w:after="0" w:line="268" w:lineRule="auto"/>
        <w:tabs>
          <w:tab w:leader="none" w:pos="7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full cost of manufacturing drug for use in research, preclinical development, and clinical trials, including related payroll and benefits, manufacturing materials and supplies, depreciation, and occupancy costs of our Rensselaer manufacturing facility.</w:t>
      </w:r>
    </w:p>
    <w:p>
      <w:pPr>
        <w:spacing w:after="0" w:line="73" w:lineRule="exact"/>
        <w:rPr>
          <w:sz w:val="20"/>
          <w:szCs w:val="20"/>
          <w:color w:val="auto"/>
        </w:rPr>
      </w:pPr>
    </w:p>
    <w:p>
      <w:pPr>
        <w:ind w:left="460" w:right="20" w:firstLine="312"/>
        <w:spacing w:after="0" w:line="247" w:lineRule="auto"/>
        <w:rPr>
          <w:sz w:val="20"/>
          <w:szCs w:val="20"/>
          <w:color w:val="auto"/>
        </w:rPr>
      </w:pPr>
      <w:r>
        <w:rPr>
          <w:rFonts w:ascii="Times New Roman" w:cs="Times New Roman" w:eastAsia="Times New Roman" w:hAnsi="Times New Roman"/>
          <w:sz w:val="17"/>
          <w:szCs w:val="17"/>
          <w:color w:val="auto"/>
        </w:rPr>
        <w:t>Payroll and benefits increased $5.1 million in 2004 from 2003 as we added research and development personnel to support our clinical and research programs, especially for the VEGF Trap and IL-1 Trap. Clinical trial expenses decreased $14.7 million in 2004 from 2003 due primarily to the completion of the double-blind treatment portion of our AXOKINE phase 3 clinical trial for the treatment of obesity in 2003, the completion of other AXOKINE trials in 2004, and the completion of our IL-4/13 Trap phase 1 trial in 2004. These decreases were partly offset by higher clinical trial expenses related to our VEGF Trap and IL-1 Trap clinical programs. Clinical manufacturing costs increased $6.6 million in 2004 from 2003, as we manufactured supplies of our clinical product candidates in our expanded Rensselaer manufacturing facility for the full year of 2004. Research and preclinical development costs increased $3.5 million due primarily to higher preclinical development costs related to our VEGF Trap program and higher research-related costs for outside services in 2004 than in 2003. Occupancy and other operating costs decreased slightly by $0.4 million in 2004 from 2003 resulting primarily from lower depreciation costs due to extending the lease on our Tarrytown, New York facilities in early 2004.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Contract Manufacturing Expenses:</w:t>
      </w:r>
    </w:p>
    <w:p>
      <w:pPr>
        <w:spacing w:after="0" w:line="117" w:lineRule="exact"/>
        <w:rPr>
          <w:sz w:val="20"/>
          <w:szCs w:val="20"/>
          <w:color w:val="auto"/>
        </w:rPr>
      </w:pPr>
    </w:p>
    <w:p>
      <w:pPr>
        <w:ind w:left="460" w:right="40" w:firstLine="312"/>
        <w:spacing w:after="0" w:line="300" w:lineRule="auto"/>
        <w:rPr>
          <w:sz w:val="20"/>
          <w:szCs w:val="20"/>
          <w:color w:val="auto"/>
        </w:rPr>
      </w:pPr>
      <w:r>
        <w:rPr>
          <w:rFonts w:ascii="Times New Roman" w:cs="Times New Roman" w:eastAsia="Times New Roman" w:hAnsi="Times New Roman"/>
          <w:sz w:val="16"/>
          <w:szCs w:val="16"/>
          <w:color w:val="auto"/>
        </w:rPr>
        <w:t>Contract manufacturing expenses increased to $15.2 million in 2004, compared to $6.7 million in 2003, primarily because more product was shipped to Merck in 2004 and the Company incurred unfavorable manufacturing costs, which were expensed in the period incurred, in 2004 compared to 2003.</w:t>
      </w:r>
    </w:p>
    <w:p>
      <w:pPr>
        <w:spacing w:after="0" w:line="29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38" w:name="page39"/>
    <w:bookmarkEnd w:id="3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7" w:lineRule="exact"/>
        <w:rPr>
          <w:sz w:val="20"/>
          <w:szCs w:val="20"/>
          <w:color w:val="auto"/>
        </w:rPr>
      </w:pPr>
    </w:p>
    <w:p>
      <w:pPr>
        <w:ind w:left="680" w:right="60" w:firstLine="398"/>
        <w:spacing w:after="0" w:line="252" w:lineRule="auto"/>
        <w:rPr>
          <w:sz w:val="20"/>
          <w:szCs w:val="20"/>
          <w:color w:val="auto"/>
        </w:rPr>
      </w:pPr>
      <w:r>
        <w:rPr>
          <w:rFonts w:ascii="Times New Roman" w:cs="Times New Roman" w:eastAsia="Times New Roman" w:hAnsi="Times New Roman"/>
          <w:sz w:val="17"/>
          <w:szCs w:val="17"/>
          <w:color w:val="auto"/>
        </w:rPr>
        <w:t>General and administrative expenses increased to $17.1 million in 2004 from $14.8 million in 2003, due primarily to a $1.4 million increase in professional fees, principally associated with accounting and other services related to our efforts to comply with the requirements of Section 404 of the Sarbanes-Oxley Act of 2002. The remainder of the 2004 increase was principally due to increases in payroll and related costs associated, in part, with higher administrative headcount in 2004 to support the Company’s operations.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Other Income and Expense:</w:t>
      </w:r>
    </w:p>
    <w:p>
      <w:pPr>
        <w:spacing w:after="0" w:line="117" w:lineRule="exact"/>
        <w:rPr>
          <w:sz w:val="20"/>
          <w:szCs w:val="20"/>
          <w:color w:val="auto"/>
        </w:rPr>
      </w:pPr>
    </w:p>
    <w:p>
      <w:pPr>
        <w:ind w:left="680" w:right="180" w:firstLine="398"/>
        <w:spacing w:after="0" w:line="256" w:lineRule="auto"/>
        <w:rPr>
          <w:sz w:val="20"/>
          <w:szCs w:val="20"/>
          <w:color w:val="auto"/>
        </w:rPr>
      </w:pPr>
      <w:r>
        <w:rPr>
          <w:rFonts w:ascii="Times New Roman" w:cs="Times New Roman" w:eastAsia="Times New Roman" w:hAnsi="Times New Roman"/>
          <w:sz w:val="17"/>
          <w:szCs w:val="17"/>
          <w:color w:val="auto"/>
        </w:rPr>
        <w:t>In the first quarter of 2004, Novartis notified us of its decision to forego its right under our collaboration to jointly develop the IL-1 Trap and subsequently paid us $42.75 million to satisfy its obligation to fund development costs for the IL-1 Trap for the nine-month period following its notification and for the two months prior to that notice. The $42.75 million was included in other contract income in 2004.</w:t>
      </w:r>
    </w:p>
    <w:p>
      <w:pPr>
        <w:spacing w:after="0" w:line="83" w:lineRule="exact"/>
        <w:rPr>
          <w:sz w:val="20"/>
          <w:szCs w:val="20"/>
          <w:color w:val="auto"/>
        </w:rPr>
      </w:pPr>
    </w:p>
    <w:p>
      <w:pPr>
        <w:ind w:left="680" w:right="220" w:firstLine="398"/>
        <w:spacing w:after="0" w:line="256" w:lineRule="auto"/>
        <w:rPr>
          <w:sz w:val="20"/>
          <w:szCs w:val="20"/>
          <w:color w:val="auto"/>
        </w:rPr>
      </w:pPr>
      <w:r>
        <w:rPr>
          <w:rFonts w:ascii="Times New Roman" w:cs="Times New Roman" w:eastAsia="Times New Roman" w:hAnsi="Times New Roman"/>
          <w:sz w:val="17"/>
          <w:szCs w:val="17"/>
          <w:color w:val="auto"/>
        </w:rPr>
        <w:t>Investment income increased to $5.5 million in 2004 from $4.5 million in 2003 due primarily to higher effective interest rates on investment securities. Interest expense increased slightly to $12.2 million in 2004 from $11.9 million in 2003. Interest expense is attributable primarily to $200.0 million of convertible notes issued in October 2001, which mature in 2008 and bear interest at 5.5% per annum.</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ind w:left="680" w:right="480" w:firstLine="398"/>
        <w:spacing w:after="0" w:line="256" w:lineRule="auto"/>
        <w:rPr>
          <w:sz w:val="20"/>
          <w:szCs w:val="20"/>
          <w:color w:val="auto"/>
        </w:rPr>
      </w:pPr>
      <w:r>
        <w:rPr>
          <w:rFonts w:ascii="Times New Roman" w:cs="Times New Roman" w:eastAsia="Times New Roman" w:hAnsi="Times New Roman"/>
          <w:sz w:val="17"/>
          <w:szCs w:val="17"/>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Novartis, Procter &amp; Gamble, and Merck, and investment income.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Change in Classification</w:t>
      </w:r>
    </w:p>
    <w:p>
      <w:pPr>
        <w:spacing w:after="0" w:line="119" w:lineRule="exact"/>
        <w:rPr>
          <w:sz w:val="20"/>
          <w:szCs w:val="20"/>
          <w:color w:val="auto"/>
        </w:rPr>
      </w:pPr>
    </w:p>
    <w:p>
      <w:pPr>
        <w:ind w:left="680" w:firstLine="398"/>
        <w:spacing w:after="0" w:line="247" w:lineRule="auto"/>
        <w:rPr>
          <w:sz w:val="20"/>
          <w:szCs w:val="20"/>
          <w:color w:val="auto"/>
        </w:rPr>
      </w:pPr>
      <w:r>
        <w:rPr>
          <w:rFonts w:ascii="Times New Roman" w:cs="Times New Roman" w:eastAsia="Times New Roman" w:hAnsi="Times New Roman"/>
          <w:sz w:val="17"/>
          <w:szCs w:val="17"/>
          <w:color w:val="auto"/>
        </w:rPr>
        <w:t>We have revised in our previously issued financial statements included in this Report on Form 10-K the classification of our investments in auction rate securities from cash and cash equivalents to short-term investments.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a decrease in cash and cash equivalents and corresponding increase in short-term marketable securities at each balance sheet date. In addition, we revised our statements of cash flows included in this Report on Form 10-K to reflect the purchases and sales of these securities as investing activities rather than as a component of cash and cash equivalents. This change in classification had no impact on our previously reported current assets, net income (loss), or cash flows from operations. We held no auction rate securities at December 31, 2005.</w:t>
      </w:r>
    </w:p>
    <w:p>
      <w:pPr>
        <w:spacing w:after="0" w:line="92" w:lineRule="exact"/>
        <w:rPr>
          <w:sz w:val="20"/>
          <w:szCs w:val="20"/>
          <w:color w:val="auto"/>
        </w:rPr>
      </w:pPr>
    </w:p>
    <w:p>
      <w:pPr>
        <w:jc w:val="both"/>
        <w:ind w:left="680" w:right="180" w:firstLine="398"/>
        <w:spacing w:after="0" w:line="256" w:lineRule="auto"/>
        <w:rPr>
          <w:sz w:val="20"/>
          <w:szCs w:val="20"/>
          <w:color w:val="auto"/>
        </w:rPr>
      </w:pPr>
      <w:r>
        <w:rPr>
          <w:rFonts w:ascii="Times New Roman" w:cs="Times New Roman" w:eastAsia="Times New Roman" w:hAnsi="Times New Roman"/>
          <w:sz w:val="17"/>
          <w:szCs w:val="17"/>
          <w:color w:val="auto"/>
        </w:rPr>
        <w:t>The impact of the revision to the classification of our investments in auction rate securities on previously reported amounts for cash and cash equivalents and short-term marketable securities at December 31, 2004 and 2003, and cash flows provided by (used in) investing activities for the three month, six month, and nine month</w:t>
      </w:r>
    </w:p>
    <w:p>
      <w:pPr>
        <w:spacing w:after="0" w:line="3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39" w:name="page40"/>
    <w:bookmarkEnd w:id="3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periods ended March 31, 2004, June 30, 2004, and September 30, 2004, respectively, and the years ended December 31, 2004 and 2003, is as follows: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8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Sheet Impact at December 31, 2004 and 2003</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r>
      <w:tr>
        <w:trPr>
          <w:trHeight w:val="168"/>
        </w:trPr>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i w:val="1"/>
                <w:iCs w:val="1"/>
                <w:color w:val="auto"/>
              </w:rPr>
              <w:t>millions)</w:t>
            </w:r>
          </w:p>
        </w:tc>
        <w:tc>
          <w:tcPr>
            <w:tcW w:w="100" w:type="dxa"/>
            <w:vAlign w:val="bottom"/>
          </w:tcPr>
          <w:p>
            <w:pPr>
              <w:spacing w:after="0"/>
              <w:rPr>
                <w:sz w:val="14"/>
                <w:szCs w:val="14"/>
                <w:color w:val="auto"/>
              </w:rPr>
            </w:pPr>
          </w:p>
        </w:tc>
      </w:tr>
      <w:tr>
        <w:trPr>
          <w:trHeight w:val="20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originally reported: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8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Pr>
          <w:p>
            <w:pPr>
              <w:spacing w:after="0"/>
              <w:rPr>
                <w:sz w:val="17"/>
                <w:szCs w:val="17"/>
                <w:color w:val="auto"/>
              </w:rPr>
            </w:pPr>
          </w:p>
        </w:tc>
      </w:tr>
      <w:tr>
        <w:trPr>
          <w:trHeight w:val="199"/>
        </w:trPr>
        <w:tc>
          <w:tcPr>
            <w:tcW w:w="8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marketable securities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100" w:type="dxa"/>
            <w:vAlign w:val="bottom"/>
            <w:shd w:val="clear" w:color="auto" w:fill="CCEEFF"/>
          </w:tcPr>
          <w:p>
            <w:pPr>
              <w:spacing w:after="0"/>
              <w:rPr>
                <w:sz w:val="17"/>
                <w:szCs w:val="17"/>
                <w:color w:val="auto"/>
              </w:rPr>
            </w:pPr>
          </w:p>
        </w:tc>
      </w:tr>
      <w:tr>
        <w:trPr>
          <w:trHeight w:val="204"/>
        </w:trPr>
        <w:tc>
          <w:tcPr>
            <w:tcW w:w="8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296.0</w:t>
            </w:r>
          </w:p>
        </w:tc>
        <w:tc>
          <w:tcPr>
            <w:tcW w:w="4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100" w:type="dxa"/>
            <w:vAlign w:val="bottom"/>
          </w:tcPr>
          <w:p>
            <w:pPr>
              <w:spacing w:after="0"/>
              <w:rPr>
                <w:sz w:val="17"/>
                <w:szCs w:val="17"/>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8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Revised to reflect auction rate securities as short-term investments: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8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7"/>
                <w:szCs w:val="17"/>
                <w:color w:val="auto"/>
              </w:rPr>
            </w:pPr>
          </w:p>
        </w:tc>
      </w:tr>
      <w:tr>
        <w:trPr>
          <w:trHeight w:val="199"/>
        </w:trPr>
        <w:tc>
          <w:tcPr>
            <w:tcW w:w="8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marketable securities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100" w:type="dxa"/>
            <w:vAlign w:val="bottom"/>
            <w:shd w:val="clear" w:color="auto" w:fill="CCEEFF"/>
          </w:tcPr>
          <w:p>
            <w:pPr>
              <w:spacing w:after="0"/>
              <w:rPr>
                <w:sz w:val="17"/>
                <w:szCs w:val="17"/>
                <w:color w:val="auto"/>
              </w:rPr>
            </w:pPr>
          </w:p>
        </w:tc>
      </w:tr>
      <w:tr>
        <w:trPr>
          <w:trHeight w:val="204"/>
        </w:trPr>
        <w:tc>
          <w:tcPr>
            <w:tcW w:w="88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296.0</w:t>
            </w:r>
          </w:p>
        </w:tc>
        <w:tc>
          <w:tcPr>
            <w:tcW w:w="4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100" w:type="dxa"/>
            <w:vAlign w:val="bottom"/>
          </w:tcPr>
          <w:p>
            <w:pPr>
              <w:spacing w:after="0"/>
              <w:rPr>
                <w:sz w:val="17"/>
                <w:szCs w:val="17"/>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ind w:left="460" w:right="600"/>
        <w:spacing w:after="0" w:line="258" w:lineRule="auto"/>
        <w:rPr>
          <w:sz w:val="20"/>
          <w:szCs w:val="20"/>
          <w:color w:val="auto"/>
        </w:rPr>
      </w:pPr>
      <w:r>
        <w:rPr>
          <w:rFonts w:ascii="Times New Roman" w:cs="Times New Roman" w:eastAsia="Times New Roman" w:hAnsi="Times New Roman"/>
          <w:sz w:val="13"/>
          <w:szCs w:val="13"/>
          <w:b w:val="1"/>
          <w:bCs w:val="1"/>
          <w:color w:val="auto"/>
        </w:rPr>
        <w:t>Statement of Cash Flows Impact for the three month, six month, and nine month periods ended March 31, June 30, and September 30, 2004, respectively, and the years ended December 31, 2004 and 2003</w:t>
      </w:r>
    </w:p>
    <w:p>
      <w:pPr>
        <w:spacing w:after="0" w:line="76"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4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44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29"/>
        </w:trPr>
        <w:tc>
          <w:tcPr>
            <w:tcW w:w="4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65"/>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2004</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05"/>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14"/>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43"/>
              <w:spacing w:after="0" w:line="129" w:lineRule="exact"/>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1"/>
                <w:szCs w:val="11"/>
                <w:color w:val="auto"/>
              </w:rPr>
            </w:pPr>
          </w:p>
        </w:tc>
      </w:tr>
      <w:tr>
        <w:trPr>
          <w:trHeight w:val="168"/>
        </w:trPr>
        <w:tc>
          <w:tcPr>
            <w:tcW w:w="4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originally reported: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9"/>
        </w:trPr>
        <w:tc>
          <w:tcPr>
            <w:tcW w:w="4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flows provided by (used in) investing activities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(12.1)</w:t>
            </w: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 (4.6)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(63.8)</w:t>
            </w:r>
          </w:p>
        </w:tc>
      </w:tr>
      <w:tr>
        <w:trPr>
          <w:trHeight w:val="19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Revised to reflect auction rate securities as short-term investments: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flows provided by (used in) investing activities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w w:val="94"/>
              </w:rPr>
              <w:t>$ 10.2</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(49.6)</w:t>
            </w:r>
          </w:p>
        </w:tc>
      </w:tr>
    </w:tbl>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revised amounts, as applicable, are reflected in this Annual Report on Form 10-K for the year ended December 31, 2005.</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Years Ended December 31, 2005 and 2004</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Cash Used in Operations:</w:t>
      </w:r>
    </w:p>
    <w:p>
      <w:pPr>
        <w:spacing w:after="0" w:line="117" w:lineRule="exact"/>
        <w:rPr>
          <w:sz w:val="20"/>
          <w:szCs w:val="20"/>
          <w:color w:val="auto"/>
        </w:rPr>
      </w:pPr>
    </w:p>
    <w:p>
      <w:pPr>
        <w:ind w:left="460" w:firstLine="312"/>
        <w:spacing w:after="0" w:line="250" w:lineRule="auto"/>
        <w:rPr>
          <w:sz w:val="20"/>
          <w:szCs w:val="20"/>
          <w:color w:val="auto"/>
        </w:rPr>
      </w:pPr>
      <w:r>
        <w:rPr>
          <w:rFonts w:ascii="Times New Roman" w:cs="Times New Roman" w:eastAsia="Times New Roman" w:hAnsi="Times New Roman"/>
          <w:sz w:val="17"/>
          <w:szCs w:val="17"/>
          <w:color w:val="auto"/>
        </w:rPr>
        <w:t>At December 31, 2005, we had $316.7 million in cash, cash equivalents, and marketable securities compared with $348.9 million at December 31, 2004. In January 2006, we received a $25.0 million up-front payment from sanofi-aventis, which was receivable at December 31, 2005, in connection with an amendment to our collaboration agreement to include Japan. In January 2005, we received two $25.0 million payments from sanofi-aventis. One payment was related to a VEGF Trap clinical milestone that was earned in 2004. The second payment related to changes to our collaboration agreement with sanofi-aventis that were made in January 2005.</w:t>
      </w:r>
    </w:p>
    <w:p>
      <w:pPr>
        <w:spacing w:after="0" w:line="88" w:lineRule="exact"/>
        <w:rPr>
          <w:sz w:val="20"/>
          <w:szCs w:val="20"/>
          <w:color w:val="auto"/>
        </w:rPr>
      </w:pPr>
    </w:p>
    <w:p>
      <w:pPr>
        <w:ind w:left="460" w:right="20" w:firstLine="312"/>
        <w:spacing w:after="0" w:line="264" w:lineRule="auto"/>
        <w:rPr>
          <w:sz w:val="20"/>
          <w:szCs w:val="20"/>
          <w:color w:val="auto"/>
        </w:rPr>
      </w:pPr>
      <w:r>
        <w:rPr>
          <w:rFonts w:ascii="Times New Roman" w:cs="Times New Roman" w:eastAsia="Times New Roman" w:hAnsi="Times New Roman"/>
          <w:sz w:val="16"/>
          <w:szCs w:val="16"/>
          <w:color w:val="auto"/>
        </w:rPr>
        <w:t>Net cash used in operations was $30.3 million in 2005 compared to $16.9 million in 2004. In 2005, our net loss of $95.4 million included $21.9 million of non-cash stock-based employee compensation costs, of which $19.9 million represents Stock Option Expense resulting from our adoption of SFAS 123 in January 2005. Our deferred revenue balances increased by $14.5 million in 2005 compared to 2004, due primarily to the January 2006 $25.0 million up-front payment from sanofi-aventis (as described above), which was receivable at December 31, 2005, partly offset by 2005 revenue recognition of</w:t>
      </w:r>
    </w:p>
    <w:p>
      <w:pPr>
        <w:spacing w:after="0" w:line="2" w:lineRule="exact"/>
        <w:rPr>
          <w:sz w:val="20"/>
          <w:szCs w:val="20"/>
          <w:color w:val="auto"/>
        </w:rPr>
      </w:pPr>
    </w:p>
    <w:p>
      <w:pPr>
        <w:ind w:left="460" w:right="60"/>
        <w:spacing w:after="0" w:line="244" w:lineRule="auto"/>
        <w:rPr>
          <w:sz w:val="20"/>
          <w:szCs w:val="20"/>
          <w:color w:val="auto"/>
        </w:rPr>
      </w:pPr>
      <w:r>
        <w:rPr>
          <w:rFonts w:ascii="Times New Roman" w:cs="Times New Roman" w:eastAsia="Times New Roman" w:hAnsi="Times New Roman"/>
          <w:sz w:val="17"/>
          <w:szCs w:val="17"/>
          <w:color w:val="auto"/>
        </w:rPr>
        <w:t>$9.5 million from deferred sanofi-aventis up-front payments. In addition, end-of-year accounts receivable balances decreased by $6.6 million in 2005 compared to 2004, due to lower amounts due from sanofi-aventis for reimbursement of VEGF Trap development expenses and the June 2005 completion of funding for Regeneron research activities under our collaboration with Procter &amp; Gamble. In 2004, our net income of $41.7 million included (i) the March 2004 forgiveness of all outstanding loans from Novartis in an amount, including accrued interest, of $17.8 million, which we recognized as a research progress payment and (ii) revenue recognition of (a) $10.5 million from the deferred $80.0 million up-front payment received from sanofi-aventis in September 2003 and (b) $22.1 million which represents the remaining deferred balance of the $27.0 million up-front payment received from Novartis in March 2003. In addition, end-of-year accounts receivable</w:t>
      </w:r>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40" w:name="page41"/>
    <w:bookmarkEnd w:id="4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jc w:val="both"/>
        <w:ind w:left="680" w:right="80"/>
        <w:spacing w:after="0" w:line="256" w:lineRule="auto"/>
        <w:rPr>
          <w:sz w:val="20"/>
          <w:szCs w:val="20"/>
          <w:color w:val="auto"/>
        </w:rPr>
      </w:pPr>
      <w:r>
        <w:rPr>
          <w:rFonts w:ascii="Times New Roman" w:cs="Times New Roman" w:eastAsia="Times New Roman" w:hAnsi="Times New Roman"/>
          <w:sz w:val="17"/>
          <w:szCs w:val="17"/>
          <w:color w:val="auto"/>
        </w:rPr>
        <w:t>balances increased by $27.6 million in 2004 due primarily to the $25.0 million milestone payment from sanofi- aventis that was earned in 2004 and paid in January 2005. The majority of cash used in operations in both 2005 and 2004 was to fund research and development, primarily related to our clinical programs.</w:t>
      </w:r>
    </w:p>
    <w:p>
      <w:pPr>
        <w:spacing w:after="0" w:line="83" w:lineRule="exact"/>
        <w:rPr>
          <w:sz w:val="20"/>
          <w:szCs w:val="20"/>
          <w:color w:val="auto"/>
        </w:rPr>
      </w:pPr>
    </w:p>
    <w:p>
      <w:pPr>
        <w:ind w:left="680" w:firstLine="398"/>
        <w:spacing w:after="0" w:line="262" w:lineRule="auto"/>
        <w:rPr>
          <w:sz w:val="20"/>
          <w:szCs w:val="20"/>
          <w:color w:val="auto"/>
        </w:rPr>
      </w:pPr>
      <w:r>
        <w:rPr>
          <w:rFonts w:ascii="Times New Roman" w:cs="Times New Roman" w:eastAsia="Times New Roman" w:hAnsi="Times New Roman"/>
          <w:sz w:val="16"/>
          <w:szCs w:val="16"/>
          <w:color w:val="auto"/>
        </w:rPr>
        <w:t>In connection with our collaboration agreement with sanofi-aventis to jointly develop and commercialize the VEGF Trap, we have received up-front payments of $80.0 million in September 2003 and $25.0 million in January 2006 (which was receivable at December 31, 2005). Both up-front payments were recorded to deferred revenue and are being recognized as contract research and development revenue ratably over the period during which we expect to perform services. In 2005 and 2004, we recognized $9.5 million and $10.5 million of revenue, respectively, related to these up-front payments and we anticipate, based on current VEGF Trap product development plans, that we will recognize approximately $12.2 million of revenue over each of the next 6 years and approximately $2.8 million for the subsequent 3 years. Under the collaboration agreement, agreed upon worldwide development expenses incurred by both companies under the agreement will be funded by sanofi-aventis. Sanofi-aventis funded</w:t>
      </w:r>
    </w:p>
    <w:p>
      <w:pPr>
        <w:spacing w:after="0" w:line="2" w:lineRule="exact"/>
        <w:rPr>
          <w:sz w:val="20"/>
          <w:szCs w:val="20"/>
          <w:color w:val="auto"/>
        </w:rPr>
      </w:pPr>
    </w:p>
    <w:p>
      <w:pPr>
        <w:ind w:left="680" w:right="60"/>
        <w:spacing w:after="0" w:line="248" w:lineRule="auto"/>
        <w:rPr>
          <w:sz w:val="20"/>
          <w:szCs w:val="20"/>
          <w:color w:val="auto"/>
        </w:rPr>
      </w:pPr>
      <w:r>
        <w:rPr>
          <w:rFonts w:ascii="Times New Roman" w:cs="Times New Roman" w:eastAsia="Times New Roman" w:hAnsi="Times New Roman"/>
          <w:sz w:val="17"/>
          <w:szCs w:val="17"/>
          <w:color w:val="auto"/>
        </w:rPr>
        <w:t>$43.4 million, $67.8 million, and $10.7 million, respectively, of our VEGF Trap development costs in 2005, 2004, and 2003, of which $10.5 million, $13.9 million, and $8.9 million, respectively, were included in accounts receivable as of December 31, 2005, 2004, and 2003.</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 both 2005 and 2004, we made two semi-annual interest payments totaling $11.0 million per year on our convertible senior subordinated</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notes.</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Cash Provided by Investing Activities:</w:t>
      </w:r>
    </w:p>
    <w:p>
      <w:pPr>
        <w:spacing w:after="0" w:line="117" w:lineRule="exact"/>
        <w:rPr>
          <w:sz w:val="20"/>
          <w:szCs w:val="20"/>
          <w:color w:val="auto"/>
        </w:rPr>
      </w:pPr>
    </w:p>
    <w:p>
      <w:pPr>
        <w:jc w:val="both"/>
        <w:ind w:left="680" w:right="120" w:firstLine="398"/>
        <w:spacing w:after="0" w:line="256" w:lineRule="auto"/>
        <w:rPr>
          <w:sz w:val="20"/>
          <w:szCs w:val="20"/>
          <w:color w:val="auto"/>
        </w:rPr>
      </w:pPr>
      <w:r>
        <w:rPr>
          <w:rFonts w:ascii="Times New Roman" w:cs="Times New Roman" w:eastAsia="Times New Roman" w:hAnsi="Times New Roman"/>
          <w:sz w:val="17"/>
          <w:szCs w:val="17"/>
          <w:color w:val="auto"/>
        </w:rPr>
        <w:t>Net cash provided by investing activities increased to $115.5 million in 2005 from $10.2 million in 2004, due primarily to an increase in sales or maturities of marketable securities, net of purchases. In 2005, sales or maturities of marketable securities exceeded purchases by $120.5 million, whereas in 2004, sales or maturities of marketable securities exceeded purchases by $16.4 million.</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i w:val="1"/>
          <w:iCs w:val="1"/>
          <w:color w:val="auto"/>
        </w:rPr>
        <w:t>Cash Provided by Financing Activities:</w:t>
      </w:r>
    </w:p>
    <w:p>
      <w:pPr>
        <w:spacing w:after="0" w:line="117" w:lineRule="exact"/>
        <w:rPr>
          <w:sz w:val="20"/>
          <w:szCs w:val="20"/>
          <w:color w:val="auto"/>
        </w:rPr>
      </w:pPr>
    </w:p>
    <w:p>
      <w:pPr>
        <w:ind w:left="680" w:right="20" w:firstLine="398"/>
        <w:spacing w:after="0" w:line="250" w:lineRule="auto"/>
        <w:rPr>
          <w:sz w:val="20"/>
          <w:szCs w:val="20"/>
          <w:color w:val="auto"/>
        </w:rPr>
      </w:pPr>
      <w:r>
        <w:rPr>
          <w:rFonts w:ascii="Times New Roman" w:cs="Times New Roman" w:eastAsia="Times New Roman" w:hAnsi="Times New Roman"/>
          <w:sz w:val="17"/>
          <w:szCs w:val="17"/>
          <w:color w:val="auto"/>
        </w:rPr>
        <w:t>Cash provided by financing activities decreased to $4.1 million in 2005 from $4.4 million in 2004. In 2005, cash provided by financing activities resulted from issuances of Common Stock in connection with exercises of employee stock options. In 2004, cash provided by financing activities related primarily to 2004 borrowings under a loan from Novartis. In accordance with our collaboration agreement with Novartis, we elected to fund our share of 2003 IL-1 Trap development expenses through a loan that was forgiven by Novartis in March 2004, as described above. In the first quarter of 2004, we drew $3.8 million, excluding interest, against this loan facility for expenses incurred during 2003.</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Collaboration with the sanofi-aventis Group:</w:t>
      </w:r>
    </w:p>
    <w:p>
      <w:pPr>
        <w:spacing w:after="0" w:line="119" w:lineRule="exact"/>
        <w:rPr>
          <w:sz w:val="20"/>
          <w:szCs w:val="20"/>
          <w:color w:val="auto"/>
        </w:rPr>
      </w:pPr>
    </w:p>
    <w:p>
      <w:pPr>
        <w:ind w:left="680" w:firstLine="398"/>
        <w:spacing w:after="0" w:line="246" w:lineRule="auto"/>
        <w:rPr>
          <w:sz w:val="20"/>
          <w:szCs w:val="20"/>
          <w:color w:val="auto"/>
        </w:rPr>
      </w:pPr>
      <w:r>
        <w:rPr>
          <w:rFonts w:ascii="Times New Roman" w:cs="Times New Roman" w:eastAsia="Times New Roman" w:hAnsi="Times New Roman"/>
          <w:sz w:val="17"/>
          <w:szCs w:val="17"/>
          <w:color w:val="auto"/>
        </w:rPr>
        <w:t>Under our collaboration agreement with sanofi-aventis, as described under “Collaborations” above, agreed upon worldwide VEGF Trap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 VEGF Trap product for intraocular delivery to the eye predates the first commercial sale of a VEGF Trap product under the collaboration by two years, we will begin reimbursing sanofi-aventis for up to $7.5 million of VEGF Trap development expenses in accordance with a formula until the first commercial VEGF Trap sale under the collaboration occurs. Since inception of the collaboration agreement through December 31, 2005, we and sanofi-aventis have incurred $130.5 million in agreed upon development expenses related to the VEGF Trap program. We and sanofi-aventis plan to initiate in 2006 multiple additional clinical studies to evaluate the VEGF Trap as both a single agent and in combination with other therapies in various cancer indications.</w:t>
      </w:r>
    </w:p>
    <w:p>
      <w:pPr>
        <w:spacing w:after="0" w:line="3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41" w:name="page42"/>
    <w:bookmarkEnd w:id="4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680" w:right="60" w:firstLine="398"/>
        <w:spacing w:after="0" w:line="256" w:lineRule="auto"/>
        <w:rPr>
          <w:sz w:val="20"/>
          <w:szCs w:val="20"/>
          <w:color w:val="auto"/>
        </w:rPr>
      </w:pPr>
      <w:r>
        <w:rPr>
          <w:rFonts w:ascii="Times New Roman" w:cs="Times New Roman" w:eastAsia="Times New Roman" w:hAnsi="Times New Roman"/>
          <w:sz w:val="17"/>
          <w:szCs w:val="17"/>
          <w:color w:val="auto"/>
        </w:rPr>
        <w:t>Sanofi-aventis has the right to terminate the agreement without cause with at least twelve months advance notice. Upon termination of the agreement for any reason, any remaining obligation to reimburse sanofi-aventis for 50% of the VEGF Trap development expenses will terminate and we will retain all rights to the VEGF Trap.</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Severance Costs:</w:t>
      </w:r>
    </w:p>
    <w:p>
      <w:pPr>
        <w:spacing w:after="0" w:line="119" w:lineRule="exact"/>
        <w:rPr>
          <w:sz w:val="20"/>
          <w:szCs w:val="20"/>
          <w:color w:val="auto"/>
        </w:rPr>
      </w:pPr>
    </w:p>
    <w:p>
      <w:pPr>
        <w:ind w:left="680" w:right="80" w:firstLine="398"/>
        <w:spacing w:after="0" w:line="273" w:lineRule="auto"/>
        <w:rPr>
          <w:sz w:val="20"/>
          <w:szCs w:val="20"/>
          <w:color w:val="auto"/>
        </w:rPr>
      </w:pPr>
      <w:r>
        <w:rPr>
          <w:rFonts w:ascii="Times New Roman" w:cs="Times New Roman" w:eastAsia="Times New Roman" w:hAnsi="Times New Roman"/>
          <w:sz w:val="16"/>
          <w:szCs w:val="16"/>
          <w:color w:val="auto"/>
        </w:rPr>
        <w:t>In September 2005, we announced plans to reduce our workforce by approximately 165 employees in connection with narrowing the focus of our research and development efforts, substantial improvements in manufacturing productivity, the June 2005 expiration of our collaboration with Procter &amp; Gamble, and the expected completion of contract manufacturing for Merck in late 2006. The majority of the headcount reduction occurred in the fourth quarter of 2005, with the remainder planned for 2006 following the completion of our contract manufacturing activities for Merck.</w:t>
      </w:r>
    </w:p>
    <w:p>
      <w:pPr>
        <w:spacing w:after="0" w:line="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Costs associated with the workforce reduction are comprised principally of severance payments and related payroll taxes, employee benefits,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and outplacement services. Termination costs related to 2005 workforce reductions were expensed in the fourth quarter of 2005, and included</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$0.2 million of non-cash expenses due to the accelerated vesting of certain stock options and restricted stock held by affected employees. Estimated</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termination costs associated with the planned workforce reduction in 2006 were measured in October 2005 and are being expensed ratably over the</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 xml:space="preserve">expected service period of the affected employees in accordance with SFAS 146, </w:t>
      </w:r>
      <w:r>
        <w:rPr>
          <w:rFonts w:ascii="Times New Roman" w:cs="Times New Roman" w:eastAsia="Times New Roman" w:hAnsi="Times New Roman"/>
          <w:sz w:val="16"/>
          <w:szCs w:val="16"/>
          <w:i w:val="1"/>
          <w:iCs w:val="1"/>
          <w:color w:val="auto"/>
        </w:rPr>
        <w:t>Accounting for Costs Associated with Exit or Disposal Activities.</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We estimate that total costs associated with the 2005 and planned 2006 workforce reductions will approximate $2.7 million, of which $2.2 million</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was charged to expense in 2005 and approximately $0.5 million will be recognized as expense in 2006. We anticipate cost savings of approximately</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$8 million in 2006 resulting from the implementation of our workforce reduction plans.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Convertible Debt:</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 2001, we issued $200.0 million aggregate principal amount of convertible senior subordinated notes in a private placement and received</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after deducting the initial purchasers’ discount and out-of pocket expenses, of $192.7 million. The notes bear interest at 5.5% per annum,</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payable semi-annually, and mature in 2008. The notes are convertible into shares of our Common Stock at a conversion price of approximately</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$30.25 per share, subject to adjustment in certain circumstances. We may redeem some or all of the notes if the closing price of our Common Stock</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has exceeded 140% of the conversion price then in effect for a specified period of time.</w:t>
      </w:r>
    </w:p>
    <w:p>
      <w:pPr>
        <w:spacing w:after="0" w:line="98" w:lineRule="exact"/>
        <w:rPr>
          <w:sz w:val="20"/>
          <w:szCs w:val="20"/>
          <w:color w:val="auto"/>
        </w:rPr>
      </w:pPr>
    </w:p>
    <w:p>
      <w:pPr>
        <w:ind w:left="680" w:right="40" w:firstLine="398"/>
        <w:spacing w:after="0" w:line="256" w:lineRule="auto"/>
        <w:rPr>
          <w:sz w:val="20"/>
          <w:szCs w:val="20"/>
          <w:color w:val="auto"/>
        </w:rPr>
      </w:pPr>
      <w:r>
        <w:rPr>
          <w:rFonts w:ascii="Times New Roman" w:cs="Times New Roman" w:eastAsia="Times New Roman" w:hAnsi="Times New Roman"/>
          <w:sz w:val="17"/>
          <w:szCs w:val="17"/>
          <w:color w:val="auto"/>
        </w:rPr>
        <w:t>As part of this transaction, we pledged $31.6 million of U.S. government securities which was sufficient upon receipt of scheduled principal and interest payments to provide for the payment in full of the first six scheduled interest payments on the notes when due, the last of which was paid in October 2004.</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9" w:lineRule="exact"/>
        <w:rPr>
          <w:sz w:val="20"/>
          <w:szCs w:val="20"/>
          <w:color w:val="auto"/>
        </w:rPr>
      </w:pPr>
    </w:p>
    <w:p>
      <w:pPr>
        <w:ind w:left="680" w:right="240" w:firstLine="398"/>
        <w:spacing w:after="0" w:line="256" w:lineRule="auto"/>
        <w:rPr>
          <w:sz w:val="20"/>
          <w:szCs w:val="20"/>
          <w:color w:val="auto"/>
        </w:rPr>
      </w:pPr>
      <w:r>
        <w:rPr>
          <w:rFonts w:ascii="Times New Roman" w:cs="Times New Roman" w:eastAsia="Times New Roman" w:hAnsi="Times New Roman"/>
          <w:sz w:val="17"/>
          <w:szCs w:val="17"/>
          <w:color w:val="auto"/>
        </w:rPr>
        <w:t>Our additions to property, plant, and equipment totaled $4.7 million in 2005, $6.0 million in 2004, and $16.9 million in 2003. In 2006, we expect to incur approximately $5 to $7 million in capital expenditures which primarily consists of equipment for our manufacturing, development, and research activities.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19" w:lineRule="exact"/>
        <w:rPr>
          <w:sz w:val="20"/>
          <w:szCs w:val="20"/>
          <w:color w:val="auto"/>
        </w:rPr>
      </w:pPr>
    </w:p>
    <w:p>
      <w:pPr>
        <w:ind w:left="680" w:firstLine="398"/>
        <w:spacing w:after="0" w:line="269" w:lineRule="auto"/>
        <w:rPr>
          <w:sz w:val="20"/>
          <w:szCs w:val="20"/>
          <w:color w:val="auto"/>
        </w:rPr>
      </w:pPr>
      <w:r>
        <w:rPr>
          <w:rFonts w:ascii="Times New Roman" w:cs="Times New Roman" w:eastAsia="Times New Roman" w:hAnsi="Times New Roman"/>
          <w:sz w:val="16"/>
          <w:szCs w:val="16"/>
          <w:color w:val="auto"/>
        </w:rPr>
        <w:t>Our total expenses for research and development from inception through December 31, 2005 have been approximately $1,013 million. We have entered into various agreements related to our activities to develop and commercialize product candidates and utilize our technology platforms, including collaboration agreements, such as those with sanofi-aventis, Novartis, and Procter &amp; Gamble, and agreements to use our Velocigene</w:t>
      </w:r>
      <w:r>
        <w:rPr>
          <w:rFonts w:ascii="Times New Roman" w:cs="Times New Roman" w:eastAsia="Times New Roman" w:hAnsi="Times New Roman"/>
          <w:sz w:val="9"/>
          <w:szCs w:val="9"/>
          <w:color w:val="auto"/>
        </w:rPr>
        <w:t>TM</w:t>
      </w:r>
      <w:r>
        <w:rPr>
          <w:rFonts w:ascii="Times New Roman" w:cs="Times New Roman" w:eastAsia="Times New Roman" w:hAnsi="Times New Roman"/>
          <w:sz w:val="16"/>
          <w:szCs w:val="16"/>
          <w:color w:val="auto"/>
        </w:rPr>
        <w:t xml:space="preserve"> technology platform, such as our agreement with Serono S.A. We incurred expenses associated with these agreements, which include an allocable portion of general and administrative costs, of $42.2 million, $75.3 million, and $56.0 million in 2005, 2004, and 2003, respectively.</w:t>
      </w:r>
    </w:p>
    <w:p>
      <w:pPr>
        <w:spacing w:after="0" w:line="75" w:lineRule="exact"/>
        <w:rPr>
          <w:sz w:val="20"/>
          <w:szCs w:val="20"/>
          <w:color w:val="auto"/>
        </w:rPr>
      </w:pPr>
    </w:p>
    <w:p>
      <w:pPr>
        <w:ind w:left="680" w:firstLine="398"/>
        <w:spacing w:after="0" w:line="256" w:lineRule="auto"/>
        <w:rPr>
          <w:sz w:val="20"/>
          <w:szCs w:val="20"/>
          <w:color w:val="auto"/>
        </w:rPr>
      </w:pPr>
      <w:r>
        <w:rPr>
          <w:rFonts w:ascii="Times New Roman" w:cs="Times New Roman" w:eastAsia="Times New Roman" w:hAnsi="Times New Roman"/>
          <w:sz w:val="17"/>
          <w:szCs w:val="17"/>
          <w:color w:val="auto"/>
        </w:rPr>
        <w:t>We expect to continue to incur substantial funding requirements primarily for research and development activities (including preclinical and clinical testing). We currently anticipate that approximately 55%-65% of our expenditures for 2006 will be directed toward the preclinical and clinical development of product candidates,</w:t>
      </w:r>
    </w:p>
    <w:p>
      <w:pPr>
        <w:spacing w:after="0" w:line="3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42" w:name="page43"/>
    <w:bookmarkEnd w:id="4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right="400"/>
        <w:spacing w:after="0" w:line="256" w:lineRule="auto"/>
        <w:rPr>
          <w:sz w:val="20"/>
          <w:szCs w:val="20"/>
          <w:color w:val="auto"/>
        </w:rPr>
      </w:pPr>
      <w:r>
        <w:rPr>
          <w:rFonts w:ascii="Times New Roman" w:cs="Times New Roman" w:eastAsia="Times New Roman" w:hAnsi="Times New Roman"/>
          <w:sz w:val="17"/>
          <w:szCs w:val="17"/>
          <w:color w:val="auto"/>
        </w:rPr>
        <w:t>including the VEGF Trap, VEGF Trap-Eye, and IL-1 Trap; approximately 20%-25% of our expenditures for 2006 will be applied to our basic research activities and the continued development of our novel technology platforms; and the remainder of our expenditures for 2006 will be used for capital expenditures and general corporate purposes.</w:t>
      </w:r>
    </w:p>
    <w:p>
      <w:pPr>
        <w:spacing w:after="0" w:line="83" w:lineRule="exact"/>
        <w:rPr>
          <w:sz w:val="20"/>
          <w:szCs w:val="20"/>
          <w:color w:val="auto"/>
        </w:rPr>
      </w:pPr>
    </w:p>
    <w:p>
      <w:pPr>
        <w:ind w:left="460" w:right="80" w:firstLine="312"/>
        <w:spacing w:after="0" w:line="268" w:lineRule="auto"/>
        <w:rPr>
          <w:sz w:val="20"/>
          <w:szCs w:val="20"/>
          <w:color w:val="auto"/>
        </w:rPr>
      </w:pPr>
      <w:r>
        <w:rPr>
          <w:rFonts w:ascii="Times New Roman" w:cs="Times New Roman" w:eastAsia="Times New Roman" w:hAnsi="Times New Roman"/>
          <w:sz w:val="17"/>
          <w:szCs w:val="17"/>
          <w:color w:val="auto"/>
        </w:rPr>
        <w:t>In connection with our funding requirements, the following table summarizes our contractual obligations as of December 31, 2005 for leases and long-term debt. None of these obligations extend beyond 3 years.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56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0" w:type="dxa"/>
            <w:vAlign w:val="bottom"/>
          </w:tcPr>
          <w:p>
            <w:pPr>
              <w:spacing w:after="0"/>
              <w:rPr>
                <w:sz w:val="1"/>
                <w:szCs w:val="1"/>
                <w:color w:val="auto"/>
              </w:rPr>
            </w:pPr>
          </w:p>
        </w:tc>
      </w:tr>
      <w:tr>
        <w:trPr>
          <w:trHeight w:val="107"/>
        </w:trPr>
        <w:tc>
          <w:tcPr>
            <w:tcW w:w="56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2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tcPr>
          <w:p>
            <w:pPr>
              <w:spacing w:after="0"/>
              <w:rPr>
                <w:sz w:val="9"/>
                <w:szCs w:val="9"/>
                <w:color w:val="auto"/>
              </w:rPr>
            </w:pPr>
          </w:p>
        </w:tc>
        <w:tc>
          <w:tcPr>
            <w:tcW w:w="62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400" w:type="dxa"/>
            <w:vAlign w:val="bottom"/>
          </w:tcPr>
          <w:p>
            <w:pPr>
              <w:spacing w:after="0"/>
              <w:rPr>
                <w:sz w:val="9"/>
                <w:szCs w:val="9"/>
                <w:color w:val="auto"/>
              </w:rPr>
            </w:pPr>
          </w:p>
        </w:tc>
        <w:tc>
          <w:tcPr>
            <w:tcW w:w="520" w:type="dxa"/>
            <w:vAlign w:val="bottom"/>
          </w:tcPr>
          <w:p>
            <w:pPr>
              <w:jc w:val="right"/>
              <w:ind w:right="37"/>
              <w:spacing w:after="0" w:line="107" w:lineRule="exact"/>
              <w:rPr>
                <w:sz w:val="20"/>
                <w:szCs w:val="20"/>
                <w:color w:val="auto"/>
              </w:rPr>
            </w:pPr>
            <w:r>
              <w:rPr>
                <w:rFonts w:ascii="Times New Roman" w:cs="Times New Roman" w:eastAsia="Times New Roman" w:hAnsi="Times New Roman"/>
                <w:sz w:val="12"/>
                <w:szCs w:val="12"/>
                <w:b w:val="1"/>
                <w:bCs w:val="1"/>
                <w:color w:val="auto"/>
              </w:rPr>
              <w:t>1 to 3</w:t>
            </w:r>
          </w:p>
        </w:tc>
        <w:tc>
          <w:tcPr>
            <w:tcW w:w="0" w:type="dxa"/>
            <w:vAlign w:val="bottom"/>
          </w:tcPr>
          <w:p>
            <w:pPr>
              <w:spacing w:after="0"/>
              <w:rPr>
                <w:sz w:val="1"/>
                <w:szCs w:val="1"/>
                <w:color w:val="auto"/>
              </w:rPr>
            </w:pPr>
          </w:p>
        </w:tc>
      </w:tr>
      <w:tr>
        <w:trPr>
          <w:trHeight w:val="159"/>
        </w:trPr>
        <w:tc>
          <w:tcPr>
            <w:tcW w:w="56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w w:val="75"/>
              </w:rPr>
              <w:t>millions)</w:t>
            </w: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years</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Convertible Senior Subordinated Notes Payable (1)</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$ 233.0</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$ 222.0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Leases (2)</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78740</wp:posOffset>
            </wp:positionV>
            <wp:extent cx="7258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 cy="7620"/>
                    </a:xfrm>
                    <a:prstGeom prst="rect">
                      <a:avLst/>
                    </a:prstGeom>
                    <a:noFill/>
                  </pic:spPr>
                </pic:pic>
              </a:graphicData>
            </a:graphic>
          </wp:anchor>
        </w:drawing>
      </w:r>
    </w:p>
    <w:p>
      <w:pPr>
        <w:spacing w:after="0" w:line="162" w:lineRule="exact"/>
        <w:rPr>
          <w:sz w:val="20"/>
          <w:szCs w:val="20"/>
          <w:color w:val="auto"/>
        </w:rPr>
      </w:pPr>
    </w:p>
    <w:p>
      <w:pPr>
        <w:ind w:left="780" w:hanging="305"/>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amounts representing interest.</w:t>
      </w:r>
    </w:p>
    <w:p>
      <w:pPr>
        <w:spacing w:after="0" w:line="52"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future contingent rental costs for utilities, real estate taxes, and operating expenses. In 2005, these costs were $9.5 million.</w:t>
      </w:r>
    </w:p>
    <w:p>
      <w:pPr>
        <w:spacing w:after="0" w:line="115" w:lineRule="exact"/>
        <w:rPr>
          <w:sz w:val="20"/>
          <w:szCs w:val="20"/>
          <w:color w:val="auto"/>
        </w:rPr>
      </w:pPr>
    </w:p>
    <w:p>
      <w:pPr>
        <w:ind w:left="460" w:right="160" w:firstLine="312"/>
        <w:spacing w:after="0" w:line="268" w:lineRule="auto"/>
        <w:rPr>
          <w:sz w:val="20"/>
          <w:szCs w:val="20"/>
          <w:color w:val="auto"/>
        </w:rPr>
      </w:pPr>
      <w:r>
        <w:rPr>
          <w:rFonts w:ascii="Times New Roman" w:cs="Times New Roman" w:eastAsia="Times New Roman" w:hAnsi="Times New Roman"/>
          <w:sz w:val="17"/>
          <w:szCs w:val="17"/>
          <w:color w:val="auto"/>
        </w:rPr>
        <w:t>In connection with certain clinical trial contracts with service providers, we may incur early termination penalties if the contracts are cancelled before agreed-upon services are completed.</w:t>
      </w:r>
    </w:p>
    <w:p>
      <w:pPr>
        <w:spacing w:after="0" w:line="73" w:lineRule="exact"/>
        <w:rPr>
          <w:sz w:val="20"/>
          <w:szCs w:val="20"/>
          <w:color w:val="auto"/>
        </w:rPr>
      </w:pPr>
    </w:p>
    <w:p>
      <w:pPr>
        <w:ind w:left="460" w:firstLine="312"/>
        <w:spacing w:after="0" w:line="264" w:lineRule="auto"/>
        <w:rPr>
          <w:sz w:val="20"/>
          <w:szCs w:val="20"/>
          <w:color w:val="auto"/>
        </w:rPr>
      </w:pPr>
      <w:r>
        <w:rPr>
          <w:rFonts w:ascii="Times New Roman" w:cs="Times New Roman" w:eastAsia="Times New Roman" w:hAnsi="Times New Roman"/>
          <w:sz w:val="16"/>
          <w:szCs w:val="16"/>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 with sanofi-aventis. Clinical trial costs are dependent, among other things, on the size and duration of trials, fees charged for services provided by clinical trial investigators and other third parties, the costs for manufacturing the product candidate for use in the trials, supplies, laboratory tests, and other expenses. The amount of funding that will be required for our clinical programs depends upon the results of our research and preclinical programs and early-stage clinical trials, regulatory requirements, the clinical trials underway plus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79" w:lineRule="exact"/>
        <w:rPr>
          <w:sz w:val="20"/>
          <w:szCs w:val="20"/>
          <w:color w:val="auto"/>
        </w:rPr>
      </w:pPr>
    </w:p>
    <w:p>
      <w:pPr>
        <w:ind w:left="460" w:right="100" w:firstLine="312"/>
        <w:spacing w:after="0" w:line="268" w:lineRule="auto"/>
        <w:rPr>
          <w:sz w:val="20"/>
          <w:szCs w:val="20"/>
          <w:color w:val="auto"/>
        </w:rPr>
      </w:pPr>
      <w:r>
        <w:rPr>
          <w:rFonts w:ascii="Times New Roman" w:cs="Times New Roman" w:eastAsia="Times New Roman" w:hAnsi="Times New Roman"/>
          <w:sz w:val="17"/>
          <w:szCs w:val="17"/>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73" w:lineRule="exact"/>
        <w:rPr>
          <w:sz w:val="20"/>
          <w:szCs w:val="20"/>
          <w:color w:val="auto"/>
        </w:rPr>
      </w:pPr>
    </w:p>
    <w:p>
      <w:pPr>
        <w:ind w:left="460" w:firstLine="312"/>
        <w:spacing w:after="0" w:line="246" w:lineRule="auto"/>
        <w:rPr>
          <w:sz w:val="20"/>
          <w:szCs w:val="20"/>
          <w:color w:val="auto"/>
        </w:rPr>
      </w:pPr>
      <w:r>
        <w:rPr>
          <w:rFonts w:ascii="Times New Roman" w:cs="Times New Roman" w:eastAsia="Times New Roman" w:hAnsi="Times New Roman"/>
          <w:sz w:val="17"/>
          <w:szCs w:val="17"/>
          <w:color w:val="auto"/>
        </w:rPr>
        <w:t>We believe that our existing capital resources will enable us to meet operating needs through at least mid-2008.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We have no off-balance sheet arrangements and do not guarantee the obligations of any other entity. As of December 31, 2005,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In January 2005, we filed a shelf registration statement on Form S-3 to sell, in one or more offerings, up to $200.0 million of equity or debt securities, together or separately, which registration statement was declared effective in February 2005. However, there is no assurance that we will be able to complete any such offerings of securities.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harm our business.</w:t>
      </w:r>
    </w:p>
    <w:p>
      <w:pPr>
        <w:spacing w:after="0" w:line="33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40"/>
          </w:cols>
          <w:pgMar w:left="240" w:top="393" w:right="819" w:bottom="1440" w:gutter="0" w:footer="0" w:header="0"/>
        </w:sectPr>
      </w:pPr>
    </w:p>
    <w:bookmarkStart w:id="43" w:name="page44"/>
    <w:bookmarkEnd w:id="4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9" w:lineRule="exact"/>
        <w:rPr>
          <w:sz w:val="20"/>
          <w:szCs w:val="20"/>
          <w:color w:val="auto"/>
        </w:rPr>
      </w:pPr>
    </w:p>
    <w:p>
      <w:pPr>
        <w:ind w:left="460" w:right="40" w:firstLine="312"/>
        <w:spacing w:after="0" w:line="245" w:lineRule="auto"/>
        <w:rPr>
          <w:sz w:val="20"/>
          <w:szCs w:val="20"/>
          <w:color w:val="auto"/>
        </w:rPr>
      </w:pPr>
      <w:r>
        <w:rPr>
          <w:rFonts w:ascii="Times New Roman" w:cs="Times New Roman" w:eastAsia="Times New Roman" w:hAnsi="Times New Roman"/>
          <w:sz w:val="17"/>
          <w:szCs w:val="17"/>
          <w:color w:val="auto"/>
        </w:rPr>
        <w:t xml:space="preserve">We recognize revenue from contract research and development and research progress payments in accordance with Staff Accounting Bulletin No. 104, </w:t>
      </w: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(SAB 104) and Emerging Issues Task Force 00-21,</w:t>
      </w:r>
      <w:r>
        <w:rPr>
          <w:rFonts w:ascii="Times New Roman" w:cs="Times New Roman" w:eastAsia="Times New Roman" w:hAnsi="Times New Roman"/>
          <w:sz w:val="17"/>
          <w:szCs w:val="17"/>
          <w:i w:val="1"/>
          <w:iCs w:val="1"/>
          <w:color w:val="auto"/>
        </w:rPr>
        <w:t xml:space="preserve"> Accounting for Revenue Arrangements with Multiple Deliverables </w:t>
      </w:r>
      <w:r>
        <w:rPr>
          <w:rFonts w:ascii="Times New Roman" w:cs="Times New Roman" w:eastAsia="Times New Roman" w:hAnsi="Times New Roman"/>
          <w:sz w:val="17"/>
          <w:szCs w:val="17"/>
          <w:color w:val="auto"/>
        </w:rPr>
        <w:t>(EITF 00-21).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third quarter of 2003, we elected to change the method we use to recognize revenue under SAB 104 related to non-refundable collaborator payments, including up-front licensing payments, payments for development activities, and research progress (milestone) payments, to the Substantive Milestone Method, adopted retroactively to January 1, 2003. Under this method, for non-refundable up-front license payments that are not tied to achieving a specific performance milestone or for which an estimated level of required effort is not available, we recognize revenue ratably over the estimated period of time during which we expect to perform services under the agreement based on research and development plans. These estimated time periods are updated based on the results and progress of our research and development activities and revisions to these estimates could result in changes to the amount of revenue recognized each year in the future. In addition, if a collaborator terminates the agreement in accordance with the terms of the contract, we would recognize the remainder of the up-front payment at the time of the termination. Payments for development activities are recognized as revenue as earned, over the period of effort.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a reasonable amount of time has passed between receipt of an up-front payment and achievement of the milestone, and the amount of the milestone payment is reasonable in relation to the effort, value, and risk associated with achieving the milestone. Previously, we had recognized revenue from non-refundable collaborator payments based on the percentage of costs incurred to date, estimated costs to complete, and total expected contract revenue. However, the revenue recognized was limited to the amount of non-refundable payments received. The change in accounting method was made because we believe that it better reflects the substance of our collaborative agreements and is more consistent with current practices in the biotechnology industry.</w:t>
      </w:r>
    </w:p>
    <w:p>
      <w:pPr>
        <w:spacing w:after="0" w:line="98" w:lineRule="exact"/>
        <w:rPr>
          <w:sz w:val="20"/>
          <w:szCs w:val="20"/>
          <w:color w:val="auto"/>
        </w:rPr>
      </w:pPr>
    </w:p>
    <w:p>
      <w:pPr>
        <w:ind w:left="460" w:right="80" w:firstLine="312"/>
        <w:spacing w:after="0" w:line="248" w:lineRule="auto"/>
        <w:rPr>
          <w:sz w:val="20"/>
          <w:szCs w:val="20"/>
          <w:color w:val="auto"/>
        </w:rPr>
      </w:pPr>
      <w:r>
        <w:rPr>
          <w:rFonts w:ascii="Times New Roman" w:cs="Times New Roman" w:eastAsia="Times New Roman" w:hAnsi="Times New Roman"/>
          <w:sz w:val="17"/>
          <w:szCs w:val="17"/>
          <w:color w:val="auto"/>
        </w:rPr>
        <w:t>In connection with our VEGF Trap collaboration agreement with sanofi-aventis, we received non-refundable up-front payments of $80.0 million in September 2003 at the collaboration’s inception and $25.0 million in January 2006 in connection with the December 2005 amendment to the collaboration agreement to include Japan. These up-front payments were recorded to deferred revenue and are being recognized as contract research and development revenue over the period over which we are obligated to perform services. Also, in connection with our collaboration agreement with Novartis, in the first quarter of 2004, Novartis provided notice of its intention not to proceed with the joint development of the IL-1 Trap. Accordingly, the remaining balance of the $27.0 million up-front payment, or $22.1 million, was recognized as contract research and development revenue.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Recognition of Deferred Revenue Related to Contract Manufacturing Agreement:</w:t>
      </w:r>
    </w:p>
    <w:p>
      <w:pPr>
        <w:spacing w:after="0" w:line="119" w:lineRule="exact"/>
        <w:rPr>
          <w:sz w:val="20"/>
          <w:szCs w:val="20"/>
          <w:color w:val="auto"/>
        </w:rPr>
      </w:pPr>
    </w:p>
    <w:p>
      <w:pPr>
        <w:ind w:left="460" w:firstLine="312"/>
        <w:spacing w:after="0" w:line="248" w:lineRule="auto"/>
        <w:rPr>
          <w:sz w:val="20"/>
          <w:szCs w:val="20"/>
          <w:color w:val="auto"/>
        </w:rPr>
      </w:pPr>
      <w:r>
        <w:rPr>
          <w:rFonts w:ascii="Times New Roman" w:cs="Times New Roman" w:eastAsia="Times New Roman" w:hAnsi="Times New Roman"/>
          <w:sz w:val="17"/>
          <w:szCs w:val="17"/>
          <w:color w:val="auto"/>
        </w:rPr>
        <w:t>We have entered into a contract manufacturing agreement with Merck under which we manufacture a vaccine intermediate at our Rensselaer, New York facility and perform services. We recognize contract manufacturing revenue from this agreement after the product is tested and approved by, and shipped (FOB Shipping Point) to, Merck, and as services are performed. In connection with the agreement, we agreed to modify portions of our Rensselaer facility to manufacture Merck’s vaccine intermediate and Merck agreed to reimburse us for the related capital costs. These capital cost payments were deferred and are recognized as revenue as product is shipped to Merck, based upon our estimate of Merck’s order quantities each year through the expected end of the agreement which, for 2004 and prior years, was October 2005. Since we commenced production of the vaccine intermediate in November 1999, our estimates of Merck’s order quantities each year have not been materially different from Merck’s actual orders.</w:t>
      </w:r>
    </w:p>
    <w:p>
      <w:pPr>
        <w:spacing w:after="0" w:line="89" w:lineRule="exact"/>
        <w:rPr>
          <w:sz w:val="20"/>
          <w:szCs w:val="20"/>
          <w:color w:val="auto"/>
        </w:rPr>
      </w:pPr>
    </w:p>
    <w:p>
      <w:pPr>
        <w:jc w:val="both"/>
        <w:ind w:left="460" w:right="100" w:firstLine="312"/>
        <w:spacing w:after="0" w:line="256" w:lineRule="auto"/>
        <w:rPr>
          <w:sz w:val="20"/>
          <w:szCs w:val="20"/>
          <w:color w:val="auto"/>
        </w:rPr>
      </w:pPr>
      <w:r>
        <w:rPr>
          <w:rFonts w:ascii="Times New Roman" w:cs="Times New Roman" w:eastAsia="Times New Roman" w:hAnsi="Times New Roman"/>
          <w:sz w:val="17"/>
          <w:szCs w:val="17"/>
          <w:color w:val="auto"/>
        </w:rPr>
        <w:t>In February 2005, we agreed to extend the manufacturing agreement by one year through October 2006. As a result, in 2005 we began recognizing the remaining deferred balance of Merck’s capital improvement reimbursements as of December 31, 2004, which totaled $2.7 million, as revenue as product is shipped to Merck, based upon Merck’s order quantities through October 2006.</w:t>
      </w:r>
    </w:p>
    <w:p>
      <w:pPr>
        <w:spacing w:after="0" w:line="34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40"/>
          </w:cols>
          <w:pgMar w:left="240" w:top="393" w:right="819" w:bottom="1440" w:gutter="0" w:footer="0" w:header="0"/>
        </w:sectPr>
      </w:pPr>
    </w:p>
    <w:bookmarkStart w:id="44" w:name="page45"/>
    <w:bookmarkEnd w:id="4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Clinical Trial Accrual Estimates:</w:t>
      </w:r>
    </w:p>
    <w:p>
      <w:pPr>
        <w:spacing w:after="0" w:line="119" w:lineRule="exact"/>
        <w:rPr>
          <w:sz w:val="20"/>
          <w:szCs w:val="20"/>
          <w:color w:val="auto"/>
        </w:rPr>
      </w:pPr>
    </w:p>
    <w:p>
      <w:pPr>
        <w:ind w:left="460" w:right="80" w:firstLine="312"/>
        <w:spacing w:after="0" w:line="250" w:lineRule="auto"/>
        <w:rPr>
          <w:sz w:val="20"/>
          <w:szCs w:val="20"/>
          <w:color w:val="auto"/>
        </w:rPr>
      </w:pPr>
      <w:r>
        <w:rPr>
          <w:rFonts w:ascii="Times New Roman" w:cs="Times New Roman" w:eastAsia="Times New Roman" w:hAnsi="Times New Roman"/>
          <w:sz w:val="17"/>
          <w:szCs w:val="17"/>
          <w:color w:val="auto"/>
        </w:rPr>
        <w:t>For each clinical trial that we conduct,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We believe that this method best aligns the expenses we record with the efforts we expend on a clinical trial. During the course of a trial, we adjust our rate of clinical expense recognition if actual results differ from our estimates. No material adjustments to our past clinical trial accrual estimates were made during the years ended December 31, 2005, 2004, and 2003.</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Depreciation of Property, Plant, and Equipment:</w:t>
      </w:r>
    </w:p>
    <w:p>
      <w:pPr>
        <w:spacing w:after="0" w:line="119" w:lineRule="exact"/>
        <w:rPr>
          <w:sz w:val="20"/>
          <w:szCs w:val="20"/>
          <w:color w:val="auto"/>
        </w:rPr>
      </w:pPr>
    </w:p>
    <w:p>
      <w:pPr>
        <w:ind w:left="460" w:right="400" w:firstLine="312"/>
        <w:spacing w:after="0" w:line="252" w:lineRule="auto"/>
        <w:rPr>
          <w:sz w:val="20"/>
          <w:szCs w:val="20"/>
          <w:color w:val="auto"/>
        </w:rPr>
      </w:pPr>
      <w:r>
        <w:rPr>
          <w:rFonts w:ascii="Times New Roman" w:cs="Times New Roman" w:eastAsia="Times New Roman" w:hAnsi="Times New Roman"/>
          <w:sz w:val="17"/>
          <w:szCs w:val="17"/>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9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4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7-30 years</w:t>
            </w:r>
          </w:p>
        </w:tc>
      </w:tr>
      <w:tr>
        <w:trPr>
          <w:trHeight w:val="199"/>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Laboratory and computer equipment</w:t>
            </w:r>
          </w:p>
        </w:tc>
        <w:tc>
          <w:tcPr>
            <w:tcW w:w="4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 years</w:t>
            </w:r>
          </w:p>
        </w:tc>
      </w:tr>
      <w:tr>
        <w:trPr>
          <w:trHeight w:val="19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95" w:lineRule="exact"/>
        <w:rPr>
          <w:sz w:val="20"/>
          <w:szCs w:val="20"/>
          <w:color w:val="auto"/>
        </w:rPr>
      </w:pPr>
    </w:p>
    <w:p>
      <w:pPr>
        <w:ind w:left="460" w:right="260"/>
        <w:spacing w:after="0" w:line="268" w:lineRule="auto"/>
        <w:rPr>
          <w:sz w:val="20"/>
          <w:szCs w:val="20"/>
          <w:color w:val="auto"/>
        </w:rPr>
      </w:pPr>
      <w:r>
        <w:rPr>
          <w:rFonts w:ascii="Times New Roman" w:cs="Times New Roman" w:eastAsia="Times New Roman" w:hAnsi="Times New Roman"/>
          <w:sz w:val="17"/>
          <w:szCs w:val="17"/>
          <w:color w:val="auto"/>
        </w:rPr>
        <w:t>Leasehold improvements are amortized over the shorter of the lease term or the estimated useful lives of the assets. Costs of construction of certain long-lived assets include capitalized interest which is amortized over the estimated useful life of the related asset.</w:t>
      </w:r>
    </w:p>
    <w:p>
      <w:pPr>
        <w:spacing w:after="0" w:line="73" w:lineRule="exact"/>
        <w:rPr>
          <w:sz w:val="20"/>
          <w:szCs w:val="20"/>
          <w:color w:val="auto"/>
        </w:rPr>
      </w:pPr>
    </w:p>
    <w:p>
      <w:pPr>
        <w:jc w:val="both"/>
        <w:ind w:left="460" w:right="220" w:firstLine="312"/>
        <w:spacing w:after="0" w:line="256" w:lineRule="auto"/>
        <w:rPr>
          <w:sz w:val="20"/>
          <w:szCs w:val="20"/>
          <w:color w:val="auto"/>
        </w:rPr>
      </w:pPr>
      <w:r>
        <w:rPr>
          <w:rFonts w:ascii="Times New Roman" w:cs="Times New Roman" w:eastAsia="Times New Roman" w:hAnsi="Times New Roman"/>
          <w:sz w:val="17"/>
          <w:szCs w:val="17"/>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Stock-based Employee Compensation:</w:t>
      </w:r>
    </w:p>
    <w:p>
      <w:pPr>
        <w:spacing w:after="0" w:line="119" w:lineRule="exact"/>
        <w:rPr>
          <w:sz w:val="20"/>
          <w:szCs w:val="20"/>
          <w:color w:val="auto"/>
        </w:rPr>
      </w:pPr>
    </w:p>
    <w:p>
      <w:pPr>
        <w:ind w:left="460" w:right="100" w:firstLine="312"/>
        <w:spacing w:after="0" w:line="246" w:lineRule="auto"/>
        <w:rPr>
          <w:sz w:val="20"/>
          <w:szCs w:val="20"/>
          <w:color w:val="auto"/>
        </w:rPr>
      </w:pPr>
      <w:r>
        <w:rPr>
          <w:rFonts w:ascii="Times New Roman" w:cs="Times New Roman" w:eastAsia="Times New Roman" w:hAnsi="Times New Roman"/>
          <w:sz w:val="17"/>
          <w:szCs w:val="17"/>
          <w:color w:val="auto"/>
        </w:rPr>
        <w:t xml:space="preserve">Effective January 1, 2005, we adopted the fair value based method of accounting for stock-based employee compensation under the provisions of SFAS 123, </w:t>
      </w:r>
      <w:r>
        <w:rPr>
          <w:rFonts w:ascii="Times New Roman" w:cs="Times New Roman" w:eastAsia="Times New Roman" w:hAnsi="Times New Roman"/>
          <w:sz w:val="17"/>
          <w:szCs w:val="17"/>
          <w:i w:val="1"/>
          <w:iCs w:val="1"/>
          <w:color w:val="auto"/>
        </w:rPr>
        <w:t>Accounting for Stock-Based Compensation</w:t>
      </w:r>
      <w:r>
        <w:rPr>
          <w:rFonts w:ascii="Times New Roman" w:cs="Times New Roman" w:eastAsia="Times New Roman" w:hAnsi="Times New Roman"/>
          <w:sz w:val="17"/>
          <w:szCs w:val="17"/>
          <w:color w:val="auto"/>
        </w:rPr>
        <w:t xml:space="preserve">, using the modified prospective method as described in SFAS 148, </w:t>
      </w:r>
      <w:r>
        <w:rPr>
          <w:rFonts w:ascii="Times New Roman" w:cs="Times New Roman" w:eastAsia="Times New Roman" w:hAnsi="Times New Roman"/>
          <w:sz w:val="17"/>
          <w:szCs w:val="17"/>
          <w:i w:val="1"/>
          <w:iCs w:val="1"/>
          <w:color w:val="auto"/>
        </w:rPr>
        <w:t>Accounting for Stock-Based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Compensation — Transition and Disclosure. </w:t>
      </w:r>
      <w:r>
        <w:rPr>
          <w:rFonts w:ascii="Times New Roman" w:cs="Times New Roman" w:eastAsia="Times New Roman" w:hAnsi="Times New Roman"/>
          <w:sz w:val="17"/>
          <w:szCs w:val="17"/>
          <w:color w:val="auto"/>
        </w:rPr>
        <w:t>As a result, effective January 1, 2005, we have been recognizing expense, in an amount equal to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share-based payments (including stock option awards) on their date of grant, over the vesting period of the awards. Under the modified prospective method, we recognize compensation expense for (a) all share based payments granted on or after January 1, 2005, (including replacement options granted under our stock option exchange program which concluded on January 5, 2005) and (b) all awards granted to employees prior to January 1, 2005 that were unvested on that date. Prior to the adoption of the fair value method, we accounted for stock-based compensation to employees under the intrinsic value method of accounting set forth in APB 25, </w:t>
      </w:r>
      <w:r>
        <w:rPr>
          <w:rFonts w:ascii="Times New Roman" w:cs="Times New Roman" w:eastAsia="Times New Roman" w:hAnsi="Times New Roman"/>
          <w:sz w:val="17"/>
          <w:szCs w:val="17"/>
          <w:i w:val="1"/>
          <w:iCs w:val="1"/>
          <w:color w:val="auto"/>
        </w:rPr>
        <w:t>Accounting for Stock Issued to Employees</w:t>
      </w:r>
      <w:r>
        <w:rPr>
          <w:rFonts w:ascii="Times New Roman" w:cs="Times New Roman" w:eastAsia="Times New Roman" w:hAnsi="Times New Roman"/>
          <w:sz w:val="17"/>
          <w:szCs w:val="17"/>
          <w:color w:val="auto"/>
        </w:rPr>
        <w:t>, and related interpretations. Therefore, compensation expense related to employee stock options was not reflected in operating expenses in any period prior to the first quarter of 2005 and prior period operating results have not been restated.</w:t>
      </w:r>
    </w:p>
    <w:p>
      <w:pPr>
        <w:spacing w:after="0" w:line="96" w:lineRule="exact"/>
        <w:rPr>
          <w:sz w:val="20"/>
          <w:szCs w:val="20"/>
          <w:color w:val="auto"/>
        </w:rPr>
      </w:pPr>
    </w:p>
    <w:p>
      <w:pPr>
        <w:ind w:left="460" w:firstLine="312"/>
        <w:spacing w:after="0" w:line="248" w:lineRule="auto"/>
        <w:rPr>
          <w:sz w:val="20"/>
          <w:szCs w:val="20"/>
          <w:color w:val="auto"/>
        </w:rPr>
      </w:pPr>
      <w:r>
        <w:rPr>
          <w:rFonts w:ascii="Times New Roman" w:cs="Times New Roman" w:eastAsia="Times New Roman" w:hAnsi="Times New Roman"/>
          <w:sz w:val="17"/>
          <w:szCs w:val="17"/>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which is re-evaluated at least quarterly,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w:t>
      </w:r>
    </w:p>
    <w:p>
      <w:pPr>
        <w:spacing w:after="0" w:line="3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45" w:name="page46"/>
    <w:bookmarkEnd w:id="4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expected dividend yield is zero as we have never paid dividends and do not currently anticipate paying any in the foreseeable future.</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Future Impact of Recently Issued Accounting Standards</w:t>
      </w:r>
    </w:p>
    <w:p>
      <w:pPr>
        <w:spacing w:after="0" w:line="117" w:lineRule="exact"/>
        <w:rPr>
          <w:sz w:val="20"/>
          <w:szCs w:val="20"/>
          <w:color w:val="auto"/>
        </w:rPr>
      </w:pPr>
    </w:p>
    <w:p>
      <w:pPr>
        <w:ind w:left="460" w:firstLine="312"/>
        <w:spacing w:after="0" w:line="246" w:lineRule="auto"/>
        <w:rPr>
          <w:sz w:val="20"/>
          <w:szCs w:val="20"/>
          <w:color w:val="auto"/>
        </w:rPr>
      </w:pPr>
      <w:r>
        <w:rPr>
          <w:rFonts w:ascii="Times New Roman" w:cs="Times New Roman" w:eastAsia="Times New Roman" w:hAnsi="Times New Roman"/>
          <w:sz w:val="17"/>
          <w:szCs w:val="17"/>
          <w:color w:val="auto"/>
        </w:rPr>
        <w:t xml:space="preserve">In December 2004, the Financial Accounting Standards Board issued SFAS 123R,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xml:space="preserve"> SFAS 123R is a revision of SFAS 123, </w:t>
      </w:r>
      <w:r>
        <w:rPr>
          <w:rFonts w:ascii="Times New Roman" w:cs="Times New Roman" w:eastAsia="Times New Roman" w:hAnsi="Times New Roman"/>
          <w:sz w:val="17"/>
          <w:szCs w:val="17"/>
          <w:i w:val="1"/>
          <w:iCs w:val="1"/>
          <w:color w:val="auto"/>
        </w:rPr>
        <w:t xml:space="preserve">Accounting for Stock-Based Compensation </w:t>
      </w:r>
      <w:r>
        <w:rPr>
          <w:rFonts w:ascii="Times New Roman" w:cs="Times New Roman" w:eastAsia="Times New Roman" w:hAnsi="Times New Roman"/>
          <w:sz w:val="17"/>
          <w:szCs w:val="17"/>
          <w:color w:val="auto"/>
        </w:rPr>
        <w:t>(which we adopted effective January 1, 2005), and supersedes APB 25,</w:t>
      </w:r>
      <w:r>
        <w:rPr>
          <w:rFonts w:ascii="Times New Roman" w:cs="Times New Roman" w:eastAsia="Times New Roman" w:hAnsi="Times New Roman"/>
          <w:sz w:val="17"/>
          <w:szCs w:val="17"/>
          <w:i w:val="1"/>
          <w:iCs w:val="1"/>
          <w:color w:val="auto"/>
        </w:rPr>
        <w:t xml:space="preserve"> Accounting for Stock Issued to Employees</w:t>
      </w:r>
      <w:r>
        <w:rPr>
          <w:rFonts w:ascii="Times New Roman" w:cs="Times New Roman" w:eastAsia="Times New Roman" w:hAnsi="Times New Roman"/>
          <w:sz w:val="17"/>
          <w:szCs w:val="17"/>
          <w:color w:val="auto"/>
        </w:rPr>
        <w:t>, and its related implementation guidance. SFAS 123R focuses primarily on accounting for transactions in which an entity obtains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in share-based payment transactions, and requires the recognition of compensation expense in an amount equal to the fair value of the share-based payment (including stock options and restricted stock) issued to employees. SFAS 123R is effective for fiscal years beginning after June 15, 2005. In March 2005, the U.S. Securities and Exchange Commission (SEC) issued Staff Accounting Bulletin No. 107 (SAB 107) which expresses views of the SEC staff regarding the application of SFAS 123R. Among other things, SAB 107 provides interpretive guidance related to the interaction between SFAS 123R and certain SEC rules and regulations as well as the SEC staff’s views regarding the valuation of share-based payment arrangements for public companies. We are required to adopt SFAS 123R effective for the fiscal year beginning January 1, 2006, and intend to do so using the modified prospective method. Under the modified prospective method, compensation cost is recognized beginning with the effective date based on (a) the requirements of SFAS 123R for all share-based payments granted after the effective date and (b) the requirements of SFAS 123 for all awards granted to employees prior to the effective date of SFAS 123R that remain unvested on the effective date. In addition, we will consider the guidance of SAB 107 as we adopt SFAS 123R. Although the impact of adopting SFAS 123R has not yet been quantified, management believes that the adoption of this standard may have a material impact on our financial statements.</w:t>
      </w:r>
    </w:p>
    <w:p>
      <w:pPr>
        <w:spacing w:after="0" w:line="89" w:lineRule="exact"/>
        <w:rPr>
          <w:sz w:val="20"/>
          <w:szCs w:val="20"/>
          <w:color w:val="auto"/>
        </w:rPr>
      </w:pPr>
    </w:p>
    <w:p>
      <w:pPr>
        <w:ind w:left="460" w:right="20" w:firstLine="312"/>
        <w:spacing w:after="0" w:line="249" w:lineRule="auto"/>
        <w:rPr>
          <w:sz w:val="20"/>
          <w:szCs w:val="20"/>
          <w:color w:val="auto"/>
        </w:rPr>
      </w:pPr>
      <w:r>
        <w:rPr>
          <w:rFonts w:ascii="Times New Roman" w:cs="Times New Roman" w:eastAsia="Times New Roman" w:hAnsi="Times New Roman"/>
          <w:sz w:val="17"/>
          <w:szCs w:val="17"/>
          <w:color w:val="auto"/>
        </w:rPr>
        <w:t xml:space="preserve">In May 2005, the FASB issued SFAS 154, </w:t>
      </w:r>
      <w:r>
        <w:rPr>
          <w:rFonts w:ascii="Times New Roman" w:cs="Times New Roman" w:eastAsia="Times New Roman" w:hAnsi="Times New Roman"/>
          <w:sz w:val="17"/>
          <w:szCs w:val="17"/>
          <w:i w:val="1"/>
          <w:iCs w:val="1"/>
          <w:color w:val="auto"/>
        </w:rPr>
        <w:t>Accounting Changes and Error Corrections.</w:t>
      </w:r>
      <w:r>
        <w:rPr>
          <w:rFonts w:ascii="Times New Roman" w:cs="Times New Roman" w:eastAsia="Times New Roman" w:hAnsi="Times New Roman"/>
          <w:sz w:val="17"/>
          <w:szCs w:val="17"/>
          <w:color w:val="auto"/>
        </w:rPr>
        <w:t xml:space="preserve"> SFAS 154 replaces APB 20, </w:t>
      </w:r>
      <w:r>
        <w:rPr>
          <w:rFonts w:ascii="Times New Roman" w:cs="Times New Roman" w:eastAsia="Times New Roman" w:hAnsi="Times New Roman"/>
          <w:sz w:val="17"/>
          <w:szCs w:val="17"/>
          <w:i w:val="1"/>
          <w:iCs w:val="1"/>
          <w:color w:val="auto"/>
        </w:rPr>
        <w:t>Accounting Changes</w:t>
      </w:r>
      <w:r>
        <w:rPr>
          <w:rFonts w:ascii="Times New Roman" w:cs="Times New Roman" w:eastAsia="Times New Roman" w:hAnsi="Times New Roman"/>
          <w:sz w:val="17"/>
          <w:szCs w:val="17"/>
          <w:color w:val="auto"/>
        </w:rPr>
        <w:t xml:space="preserve">, and SFAS 3, </w:t>
      </w:r>
      <w:r>
        <w:rPr>
          <w:rFonts w:ascii="Times New Roman" w:cs="Times New Roman" w:eastAsia="Times New Roman" w:hAnsi="Times New Roman"/>
          <w:sz w:val="17"/>
          <w:szCs w:val="17"/>
          <w:i w:val="1"/>
          <w:iCs w:val="1"/>
          <w:color w:val="auto"/>
        </w:rPr>
        <w:t>Reporting Accounting Changes in Interim Financial Statements</w:t>
      </w:r>
      <w:r>
        <w:rPr>
          <w:rFonts w:ascii="Times New Roman" w:cs="Times New Roman" w:eastAsia="Times New Roman" w:hAnsi="Times New Roman"/>
          <w:sz w:val="17"/>
          <w:szCs w:val="17"/>
          <w:color w:val="auto"/>
        </w:rPr>
        <w:t>, and requires retrospective application to prior-period financial statements of changes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principle, unless it is impracticable to determine either the period-specific effects or the cumulative effect of a change. SFAS 154 also redefines “restatement” as the revising of previously issued financial statements to reflect the correction of an error. SFAS 154 is effective for accounting changes and corrections of errors made in fiscal years beginning after December 15, 2005. We are required to adopt the provisions of SFAS 154, as applicable, beginning January 1, 2006.</w:t>
      </w:r>
    </w:p>
    <w:p>
      <w:pPr>
        <w:spacing w:after="0" w:line="185"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 About Market Risk</w:t>
      </w:r>
    </w:p>
    <w:p>
      <w:pPr>
        <w:spacing w:after="0" w:line="119" w:lineRule="exact"/>
        <w:rPr>
          <w:sz w:val="20"/>
          <w:szCs w:val="20"/>
          <w:color w:val="auto"/>
        </w:rPr>
      </w:pPr>
    </w:p>
    <w:p>
      <w:pPr>
        <w:ind w:left="460" w:firstLine="312"/>
        <w:spacing w:after="0" w:line="248" w:lineRule="auto"/>
        <w:rPr>
          <w:sz w:val="20"/>
          <w:szCs w:val="20"/>
          <w:color w:val="auto"/>
        </w:rPr>
      </w:pPr>
      <w:r>
        <w:rPr>
          <w:rFonts w:ascii="Times New Roman" w:cs="Times New Roman" w:eastAsia="Times New Roman" w:hAnsi="Times New Roman"/>
          <w:sz w:val="17"/>
          <w:szCs w:val="17"/>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change in interest rates would result in changes in the fair market value of our investment portfolio of approximately $0.5 million and $1.4 million at December 31, 2005 and 2004, respectively. The decrease in the impact of an interest rate change at December 31, 2005, compared to December 31, 2004, is due primarily to the shorter duration of our investment portfolio at the end of 2005.</w:t>
      </w:r>
    </w:p>
    <w:p>
      <w:pPr>
        <w:spacing w:after="0" w:line="188"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i w:val="1"/>
          <w:iCs w:val="1"/>
          <w:color w:val="auto"/>
        </w:rPr>
        <w:t>Financial Statements and Supplementary Data</w:t>
      </w:r>
    </w:p>
    <w:p>
      <w:pPr>
        <w:spacing w:after="0" w:line="119" w:lineRule="exact"/>
        <w:rPr>
          <w:sz w:val="20"/>
          <w:szCs w:val="20"/>
          <w:color w:val="auto"/>
        </w:rPr>
      </w:pPr>
    </w:p>
    <w:p>
      <w:pPr>
        <w:ind w:left="460" w:right="80" w:firstLine="312"/>
        <w:spacing w:after="0" w:line="268" w:lineRule="auto"/>
        <w:rPr>
          <w:sz w:val="20"/>
          <w:szCs w:val="20"/>
          <w:color w:val="auto"/>
        </w:rPr>
      </w:pPr>
      <w:r>
        <w:rPr>
          <w:rFonts w:ascii="Times New Roman" w:cs="Times New Roman" w:eastAsia="Times New Roman" w:hAnsi="Times New Roman"/>
          <w:sz w:val="17"/>
          <w:szCs w:val="17"/>
          <w:color w:val="auto"/>
        </w:rPr>
        <w:t>The financial statements required by this Item are included on pages F-1 through F-35 of this report. The supplementary financial information required by this Item is included at page F-35 of this report.</w:t>
      </w:r>
    </w:p>
    <w:p>
      <w:pPr>
        <w:spacing w:after="0" w:line="168" w:lineRule="exact"/>
        <w:rPr>
          <w:sz w:val="20"/>
          <w:szCs w:val="20"/>
          <w:color w:val="auto"/>
        </w:rPr>
      </w:pPr>
    </w:p>
    <w:p>
      <w:pPr>
        <w:ind w:left="46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i w:val="1"/>
          <w:iCs w:val="1"/>
          <w:color w:val="auto"/>
        </w:rPr>
        <w:t>Changes in and Disagreements with Accountants on Accounting and Financial Disclosure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Not applicable.</w:t>
      </w:r>
    </w:p>
    <w:p>
      <w:pPr>
        <w:spacing w:after="0" w:line="37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40"/>
          </w:cols>
          <w:pgMar w:left="240" w:top="393" w:right="819" w:bottom="1440" w:gutter="0" w:footer="0" w:header="0"/>
        </w:sectPr>
      </w:pPr>
    </w:p>
    <w:bookmarkStart w:id="46" w:name="page47"/>
    <w:bookmarkEnd w:id="4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00"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19" w:lineRule="exact"/>
        <w:rPr>
          <w:sz w:val="20"/>
          <w:szCs w:val="20"/>
          <w:color w:val="auto"/>
        </w:rPr>
      </w:pPr>
    </w:p>
    <w:p>
      <w:pPr>
        <w:ind w:left="460" w:right="20" w:firstLine="312"/>
        <w:spacing w:after="0" w:line="248" w:lineRule="auto"/>
        <w:rPr>
          <w:sz w:val="20"/>
          <w:szCs w:val="20"/>
          <w:color w:val="auto"/>
        </w:rPr>
      </w:pPr>
      <w:r>
        <w:rPr>
          <w:rFonts w:ascii="Times New Roman" w:cs="Times New Roman" w:eastAsia="Times New Roman" w:hAnsi="Times New Roman"/>
          <w:sz w:val="17"/>
          <w:szCs w:val="17"/>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 the “Exchange Act” )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Management Report on Internal Control over Financial Reporting</w:t>
      </w:r>
    </w:p>
    <w:p>
      <w:pPr>
        <w:spacing w:after="0" w:line="119" w:lineRule="exact"/>
        <w:rPr>
          <w:sz w:val="20"/>
          <w:szCs w:val="20"/>
          <w:color w:val="auto"/>
        </w:rPr>
      </w:pPr>
    </w:p>
    <w:p>
      <w:pPr>
        <w:ind w:left="460" w:firstLine="312"/>
        <w:spacing w:after="0" w:line="248"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2005. PricewaterhouseCoopers LLP, our independent registered public accounting firm, has issued a report on management’s assessment and the effectiveness of our internal control over financial reporting as of December 31, 2005, which report is included herein at page F-2.</w:t>
      </w:r>
    </w:p>
    <w:p>
      <w:pPr>
        <w:spacing w:after="0" w:line="92" w:lineRule="exact"/>
        <w:rPr>
          <w:sz w:val="20"/>
          <w:szCs w:val="20"/>
          <w:color w:val="auto"/>
        </w:rPr>
      </w:pPr>
    </w:p>
    <w:p>
      <w:pPr>
        <w:ind w:left="460" w:firstLine="312"/>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19" w:lineRule="exact"/>
        <w:rPr>
          <w:sz w:val="20"/>
          <w:szCs w:val="20"/>
          <w:color w:val="auto"/>
        </w:rPr>
      </w:pPr>
    </w:p>
    <w:p>
      <w:pPr>
        <w:jc w:val="both"/>
        <w:ind w:left="460" w:right="100" w:firstLine="312"/>
        <w:spacing w:after="0" w:line="256"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(as such term is defined in Rules 13a-15(f) and 15d-15(f) under the Exchange Act) during the quarter ended December 31, 2005 that has materially affected, or is reasonably likely to materially affect, our internal control over financial reporting.</w:t>
      </w:r>
    </w:p>
    <w:p>
      <w:pPr>
        <w:spacing w:after="0" w:line="83" w:lineRule="exact"/>
        <w:rPr>
          <w:sz w:val="20"/>
          <w:szCs w:val="20"/>
          <w:color w:val="auto"/>
        </w:rPr>
      </w:pPr>
    </w:p>
    <w:p>
      <w:pPr>
        <w:ind w:left="460" w:right="140" w:firstLine="312"/>
        <w:spacing w:after="0" w:line="248"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8"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None</w:t>
      </w:r>
    </w:p>
    <w:p>
      <w:pPr>
        <w:spacing w:after="0" w:line="31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4"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i w:val="1"/>
          <w:iCs w:val="1"/>
          <w:color w:val="auto"/>
        </w:rPr>
        <w:t>Directors and Officers of the Registrant</w:t>
      </w:r>
    </w:p>
    <w:p>
      <w:pPr>
        <w:spacing w:after="0" w:line="119" w:lineRule="exact"/>
        <w:rPr>
          <w:sz w:val="20"/>
          <w:szCs w:val="20"/>
          <w:color w:val="auto"/>
        </w:rPr>
      </w:pPr>
    </w:p>
    <w:p>
      <w:pPr>
        <w:jc w:val="both"/>
        <w:ind w:left="460" w:right="320" w:firstLine="312"/>
        <w:spacing w:after="0" w:line="256" w:lineRule="auto"/>
        <w:rPr>
          <w:sz w:val="20"/>
          <w:szCs w:val="20"/>
          <w:color w:val="auto"/>
        </w:rPr>
      </w:pPr>
      <w:r>
        <w:rPr>
          <w:rFonts w:ascii="Times New Roman" w:cs="Times New Roman" w:eastAsia="Times New Roman" w:hAnsi="Times New Roman"/>
          <w:sz w:val="17"/>
          <w:szCs w:val="17"/>
          <w:color w:val="auto"/>
        </w:rPr>
        <w:t>The information required by this item (other than the information set forth in the next paragraph in this Item 10) will be included under the captions “Election of Directors,” “Board Committees and Meetings,” “Executive Officers of the Company,” and “Section 16(a) Beneficial Ownership Reporting Compliance,” in our</w:t>
      </w:r>
    </w:p>
    <w:p>
      <w:pPr>
        <w:spacing w:after="0" w:line="34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47" w:name="page48"/>
    <w:bookmarkEnd w:id="4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definitive proxy statement with respect to our 2006 Annual Meeting of Shareholders to be filed with the SEC, and is incorporated herein by reference.</w:t>
      </w:r>
    </w:p>
    <w:p>
      <w:pPr>
        <w:spacing w:after="0" w:line="115" w:lineRule="exact"/>
        <w:rPr>
          <w:sz w:val="20"/>
          <w:szCs w:val="20"/>
          <w:color w:val="auto"/>
        </w:rPr>
      </w:pPr>
    </w:p>
    <w:p>
      <w:pPr>
        <w:ind w:left="460" w:right="1000" w:firstLine="312"/>
        <w:spacing w:after="0" w:line="268"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our officers, directors, and employees. The full text of our code of business conduct and ethics can be found on the Company’s website (http://</w:t>
      </w:r>
      <w:r>
        <w:rPr>
          <w:rFonts w:ascii="Times New Roman" w:cs="Times New Roman" w:eastAsia="Times New Roman" w:hAnsi="Times New Roman"/>
          <w:sz w:val="17"/>
          <w:szCs w:val="17"/>
          <w:u w:val="single" w:color="auto"/>
          <w:color w:val="auto"/>
        </w:rPr>
        <w:t>www.regn.com</w:t>
      </w:r>
      <w:r>
        <w:rPr>
          <w:rFonts w:ascii="Times New Roman" w:cs="Times New Roman" w:eastAsia="Times New Roman" w:hAnsi="Times New Roman"/>
          <w:sz w:val="17"/>
          <w:szCs w:val="17"/>
          <w:color w:val="auto"/>
        </w:rPr>
        <w:t>) under the Investor Relations heading.</w:t>
      </w:r>
    </w:p>
    <w:p>
      <w:pPr>
        <w:spacing w:after="0" w:line="168"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i w:val="1"/>
          <w:iCs w:val="1"/>
          <w:color w:val="auto"/>
        </w:rPr>
        <w:t>Executive Compensation</w:t>
      </w:r>
    </w:p>
    <w:p>
      <w:pPr>
        <w:spacing w:after="0" w:line="119" w:lineRule="exact"/>
        <w:rPr>
          <w:sz w:val="20"/>
          <w:szCs w:val="20"/>
          <w:color w:val="auto"/>
        </w:rPr>
      </w:pPr>
    </w:p>
    <w:p>
      <w:pPr>
        <w:ind w:left="460" w:right="1020" w:firstLine="312"/>
        <w:spacing w:after="0" w:line="300" w:lineRule="auto"/>
        <w:rPr>
          <w:sz w:val="20"/>
          <w:szCs w:val="20"/>
          <w:color w:val="auto"/>
        </w:rPr>
      </w:pPr>
      <w:r>
        <w:rPr>
          <w:rFonts w:ascii="Times New Roman" w:cs="Times New Roman" w:eastAsia="Times New Roman" w:hAnsi="Times New Roman"/>
          <w:sz w:val="16"/>
          <w:szCs w:val="16"/>
          <w:color w:val="auto"/>
        </w:rPr>
        <w:t>The information called for by this item will be included under the captions “Executive Compensation” and “Compensation of Directors” in our definitive proxy statement with respect to our 2006 Annual Meeting of Shareholders to be filed with the SEC, and is incorporated herein by reference.</w:t>
      </w:r>
    </w:p>
    <w:p>
      <w:pPr>
        <w:spacing w:after="0" w:line="145"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i w:val="1"/>
          <w:iCs w:val="1"/>
          <w:color w:val="auto"/>
        </w:rPr>
        <w:t>Security Ownership of Certain Beneficial Owners and Management</w:t>
      </w:r>
    </w:p>
    <w:p>
      <w:pPr>
        <w:spacing w:after="0" w:line="119" w:lineRule="exact"/>
        <w:rPr>
          <w:sz w:val="20"/>
          <w:szCs w:val="20"/>
          <w:color w:val="auto"/>
        </w:rPr>
      </w:pPr>
    </w:p>
    <w:p>
      <w:pPr>
        <w:ind w:left="460" w:right="820" w:firstLine="312"/>
        <w:spacing w:after="0" w:line="256" w:lineRule="auto"/>
        <w:rPr>
          <w:sz w:val="20"/>
          <w:szCs w:val="20"/>
          <w:color w:val="auto"/>
        </w:rPr>
      </w:pPr>
      <w:r>
        <w:rPr>
          <w:rFonts w:ascii="Times New Roman" w:cs="Times New Roman" w:eastAsia="Times New Roman" w:hAnsi="Times New Roman"/>
          <w:sz w:val="17"/>
          <w:szCs w:val="17"/>
          <w:color w:val="auto"/>
        </w:rPr>
        <w:t>The information called for by this item will be included under the captions “Stock Ownership of Executive Officers and Directors” and “Stock Ownership of Certain Beneficial Owners” in our definitive proxy statement with respect to our 2006 Annual Meeting of Shareholders to be filed with the SEC, and is incorporated herein by reference.</w:t>
      </w:r>
    </w:p>
    <w:p>
      <w:pPr>
        <w:spacing w:after="0" w:line="178"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Certain Relationships and Related Transactions</w:t>
      </w:r>
    </w:p>
    <w:p>
      <w:pPr>
        <w:spacing w:after="0" w:line="119" w:lineRule="exact"/>
        <w:rPr>
          <w:sz w:val="20"/>
          <w:szCs w:val="20"/>
          <w:color w:val="auto"/>
        </w:rPr>
      </w:pPr>
    </w:p>
    <w:p>
      <w:pPr>
        <w:ind w:left="460" w:right="920" w:firstLine="312"/>
        <w:spacing w:after="0" w:line="268" w:lineRule="auto"/>
        <w:rPr>
          <w:sz w:val="20"/>
          <w:szCs w:val="20"/>
          <w:color w:val="auto"/>
        </w:rPr>
      </w:pPr>
      <w:r>
        <w:rPr>
          <w:rFonts w:ascii="Times New Roman" w:cs="Times New Roman" w:eastAsia="Times New Roman" w:hAnsi="Times New Roman"/>
          <w:sz w:val="17"/>
          <w:szCs w:val="17"/>
          <w:color w:val="auto"/>
        </w:rPr>
        <w:t>The information called for by this item will be included under the caption “Certain Relationships and Related Transactions” in our definitive proxy statement with respect to our 2006 Annual Meeting of Shareholders to be filed with the SEC, and is incorporated herein by reference.</w:t>
      </w:r>
    </w:p>
    <w:p>
      <w:pPr>
        <w:spacing w:after="0" w:line="168"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Principal Accountant Fees and Services</w:t>
      </w:r>
    </w:p>
    <w:p>
      <w:pPr>
        <w:spacing w:after="0" w:line="119" w:lineRule="exact"/>
        <w:rPr>
          <w:sz w:val="20"/>
          <w:szCs w:val="20"/>
          <w:color w:val="auto"/>
        </w:rPr>
      </w:pPr>
    </w:p>
    <w:p>
      <w:pPr>
        <w:ind w:left="460" w:right="720" w:firstLine="312"/>
        <w:spacing w:after="0" w:line="256" w:lineRule="auto"/>
        <w:rPr>
          <w:sz w:val="20"/>
          <w:szCs w:val="20"/>
          <w:color w:val="auto"/>
        </w:rPr>
      </w:pPr>
      <w:r>
        <w:rPr>
          <w:rFonts w:ascii="Times New Roman" w:cs="Times New Roman" w:eastAsia="Times New Roman" w:hAnsi="Times New Roman"/>
          <w:sz w:val="17"/>
          <w:szCs w:val="17"/>
          <w:color w:val="auto"/>
        </w:rPr>
        <w:t>The information called for by this item will be included under the caption “Information about Fees Paid to Independent Registered Public Accounting Firm” in our definitive proxy statement with respect to our 2006 Annual Meeting of Shareholders to be filed with the SEC, and is incorporated herein by reference.</w:t>
      </w: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4" w:lineRule="exact"/>
        <w:rPr>
          <w:sz w:val="20"/>
          <w:szCs w:val="20"/>
          <w:color w:val="auto"/>
        </w:rPr>
      </w:pPr>
    </w:p>
    <w:p>
      <w:pPr>
        <w:ind w:left="46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Exhibits and Financial Statement Schedules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(a) 1. Financial Statements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financials statements filed as part of this report are listed on the Index to Financial Statements on page F-1.</w:t>
      </w:r>
    </w:p>
    <w:p>
      <w:pPr>
        <w:spacing w:after="0" w:line="1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2. Financial Statement Schedules</w:t>
      </w:r>
    </w:p>
    <w:p>
      <w:pPr>
        <w:spacing w:after="0" w:line="117" w:lineRule="exact"/>
        <w:rPr>
          <w:sz w:val="20"/>
          <w:szCs w:val="20"/>
          <w:color w:val="auto"/>
        </w:rPr>
      </w:pPr>
    </w:p>
    <w:p>
      <w:pPr>
        <w:ind w:left="460" w:right="700" w:firstLine="312"/>
        <w:spacing w:after="0" w:line="268" w:lineRule="auto"/>
        <w:rPr>
          <w:sz w:val="20"/>
          <w:szCs w:val="20"/>
          <w:color w:val="auto"/>
        </w:rPr>
      </w:pPr>
      <w:r>
        <w:rPr>
          <w:rFonts w:ascii="Times New Roman" w:cs="Times New Roman" w:eastAsia="Times New Roman" w:hAnsi="Times New Roman"/>
          <w:sz w:val="17"/>
          <w:szCs w:val="17"/>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i w:val="1"/>
          <w:iCs w:val="1"/>
          <w:color w:val="auto"/>
        </w:rPr>
        <w:t>3.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gridSpan w:val="3"/>
            <w:vMerge w:val="continue"/>
          </w:tcPr>
          <w:p>
            <w:pPr>
              <w:spacing w:after="0"/>
              <w:rPr>
                <w:sz w:val="14"/>
                <w:szCs w:val="14"/>
                <w:color w:val="auto"/>
              </w:rPr>
            </w:pPr>
          </w:p>
        </w:tc>
        <w:tc>
          <w:tcPr>
            <w:tcW w:w="9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Restated Certificate of Incorporation of Regeneron Pharmaceuticals, Inc. as of June 21, 1991.</w:t>
            </w:r>
          </w:p>
        </w:tc>
        <w:tc>
          <w:tcPr>
            <w:tcW w:w="0" w:type="dxa"/>
            <w:vAlign w:val="bottom"/>
          </w:tcPr>
          <w:p>
            <w:pPr>
              <w:spacing w:after="0"/>
              <w:rPr>
                <w:sz w:val="1"/>
                <w:szCs w:val="1"/>
                <w:color w:val="auto"/>
              </w:rPr>
            </w:pPr>
          </w:p>
        </w:tc>
      </w:tr>
      <w:tr>
        <w:trPr>
          <w:trHeight w:val="199"/>
        </w:trPr>
        <w:tc>
          <w:tcPr>
            <w:tcW w:w="16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3.1.1</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Certificate of Amendment of the Restated Certificate of Incorporation of Regeneron Pharmaceuticals, Inc., as of October 18,</w:t>
            </w:r>
          </w:p>
        </w:tc>
        <w:tc>
          <w:tcPr>
            <w:tcW w:w="0" w:type="dxa"/>
            <w:vAlign w:val="bottom"/>
          </w:tcPr>
          <w:p>
            <w:pPr>
              <w:spacing w:after="0"/>
              <w:rPr>
                <w:sz w:val="1"/>
                <w:szCs w:val="1"/>
                <w:color w:val="auto"/>
              </w:rPr>
            </w:pPr>
          </w:p>
        </w:tc>
      </w:tr>
      <w:tr>
        <w:trPr>
          <w:trHeight w:val="199"/>
        </w:trPr>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1996.</w:t>
            </w:r>
          </w:p>
        </w:tc>
        <w:tc>
          <w:tcPr>
            <w:tcW w:w="0" w:type="dxa"/>
            <w:vAlign w:val="bottom"/>
          </w:tcPr>
          <w:p>
            <w:pPr>
              <w:spacing w:after="0"/>
              <w:rPr>
                <w:sz w:val="1"/>
                <w:szCs w:val="1"/>
                <w:color w:val="auto"/>
              </w:rPr>
            </w:pPr>
          </w:p>
        </w:tc>
      </w:tr>
      <w:tr>
        <w:trPr>
          <w:trHeight w:val="199"/>
        </w:trPr>
        <w:tc>
          <w:tcPr>
            <w:tcW w:w="16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3.1.2</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Certificate of Amendment of the Certificate of Incorporation of Regeneron Pharmaceuticals, Inc., as of December 17, 2001.</w:t>
            </w:r>
          </w:p>
        </w:tc>
        <w:tc>
          <w:tcPr>
            <w:tcW w:w="0" w:type="dxa"/>
            <w:vAlign w:val="bottom"/>
          </w:tcPr>
          <w:p>
            <w:pPr>
              <w:spacing w:after="0"/>
              <w:rPr>
                <w:sz w:val="1"/>
                <w:szCs w:val="1"/>
                <w:color w:val="auto"/>
              </w:rPr>
            </w:pPr>
          </w:p>
        </w:tc>
      </w:tr>
      <w:tr>
        <w:trPr>
          <w:trHeight w:val="216"/>
        </w:trPr>
        <w:tc>
          <w:tcPr>
            <w:tcW w:w="162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By-Laws of the Company, currently in effect (amended through November 12, 2004).</w:t>
            </w:r>
          </w:p>
        </w:tc>
        <w:tc>
          <w:tcPr>
            <w:tcW w:w="0" w:type="dxa"/>
            <w:vAlign w:val="bottom"/>
          </w:tcPr>
          <w:p>
            <w:pPr>
              <w:spacing w:after="0"/>
              <w:rPr>
                <w:sz w:val="1"/>
                <w:szCs w:val="1"/>
                <w:color w:val="auto"/>
              </w:rPr>
            </w:pPr>
          </w:p>
        </w:tc>
      </w:tr>
      <w:tr>
        <w:trPr>
          <w:trHeight w:val="571"/>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7"/>
        </w:trPr>
        <w:tc>
          <w:tcPr>
            <w:tcW w:w="1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91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-1177290</wp:posOffset>
            </wp:positionV>
            <wp:extent cx="76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48" w:name="page49"/>
    <w:bookmarkEnd w:id="4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9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gridSpan w:val="3"/>
            <w:vMerge w:val="continue"/>
          </w:tcPr>
          <w:p>
            <w:pPr>
              <w:spacing w:after="0"/>
              <w:rPr>
                <w:sz w:val="14"/>
                <w:szCs w:val="14"/>
                <w:color w:val="auto"/>
              </w:rPr>
            </w:pPr>
          </w:p>
        </w:tc>
        <w:tc>
          <w:tcPr>
            <w:tcW w:w="9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10.1</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1990 Amended and Restated Long-Term Incentive Plan.</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10.2</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2000 Long-Term Incentive Plan.</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10.3.1</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1 to 2000 Long-Term Incentive Plan, effective as of June 14, 2002.</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10.3.2</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2 to 2000 Long-Term Incentive Plan, effective as of December 20, 2002.</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10.3.3</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3 to 2000 Long-Term Incentive Plan, effective as of June 14, 2004.</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10.3.4</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4 to 2000 Long-Term Incentive Plan, effective as of November 15, 2004.</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10.3.5</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Form of option agreement and related notice of grant for use in connection with the grant of options to the Registrant’s non-</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directors and named executive officers.</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10.3.6</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Form of option agreement and related notice of grant for use in connection with the grant of options to the Registrant’s</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officers other than the named executive officers.</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10.3.7</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Form of restricted stock award agreement and related notice of grant for use in connection with the grant of restricted stock</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to the Registrant’s executive officers.</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10.4*</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Manufacturing Agreement dated as of September 18, 1995, between the Company and Merck &amp; Co., Inc.</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10.4.1*</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1 to the Manufacturing Agreement between the Company and Merck &amp; Co., Inc., effective as of</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18, 1995.</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10.4.2*</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2 to the Manufacturing Agreement between the Company and Merck &amp; Co., Inc., effective as of October 24,</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1996.</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10.4.3*</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3 to the Manufacturing Agreement between the Company and Merck &amp; Co., Inc., effective as of December 9,</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1999.</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10.4.4*</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4 to the Manufacturing Agreement between the Company and Merck &amp; Co., Inc., effective as of July 18,</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2002.</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10.4.5*</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5 to the Manufacturing Agreement between the Company and Merck &amp; Co., Inc., effective as of January 1,</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2005.</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10.5</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Rights Agreement, dated as of September 20, 1996, between Regeneron Pharmaceuticals, Inc. and Chase Mellon Shareholder</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Services LLC, as Rights Agent, including the form of Rights Certificate as Exhibit B thereto.</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10.6</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Employment Agreement, dated as of December 20, 2002, between the Company and Leonard S. Schleifer, M.D., Ph.D.</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10.7*</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Employment Agreement, dated as of December 31, 1998, between the Company and P. Roy Vagelos, M.D.</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10.8</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Regeneron Pharmaceuticals, Inc. Change in Control Severance Plan, effective as of February 1, 2006.</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10.9</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Indenture, dated as of October 17, 2001, between Regeneron Pharmaceuticals, Inc. and American Stock Transfer &amp; Trust</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 as trustee.</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10.10</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Registration Rights Agreement, dated as of October 17, 2001, among Regeneron Pharmaceuticals, Inc., Merrill Lynch &amp; Co.,</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Merrill Lynch, Pierce, Fenner &amp; Smith Incorporated, and Robertson Stephens, Inc.</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10.11*</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IL-1 License Agreement, dated June 26, 2002, by and among the Company, Immunex Corporation, and Amgen Inc.</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10.12*</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Collaboration, License and Option Agreement, dated as of March 28, 2003, by and between Novartis Pharma AG, Novartis</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Pharmaceuticals Corporation, and the Company.</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10.13*</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Collaboration Agreement, dated as of September 5, 2003, by and between Aventis Pharmaceuticals Inc. and Regeneron</w:t>
            </w:r>
          </w:p>
        </w:tc>
        <w:tc>
          <w:tcPr>
            <w:tcW w:w="0" w:type="dxa"/>
            <w:vAlign w:val="bottom"/>
          </w:tcPr>
          <w:p>
            <w:pPr>
              <w:spacing w:after="0"/>
              <w:rPr>
                <w:sz w:val="1"/>
                <w:szCs w:val="1"/>
                <w:color w:val="auto"/>
              </w:rPr>
            </w:pPr>
          </w:p>
        </w:tc>
      </w:tr>
      <w:tr>
        <w:trPr>
          <w:trHeight w:val="199"/>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Pharmaceuticals, Inc.</w:t>
            </w:r>
          </w:p>
        </w:tc>
        <w:tc>
          <w:tcPr>
            <w:tcW w:w="0" w:type="dxa"/>
            <w:vAlign w:val="bottom"/>
          </w:tcPr>
          <w:p>
            <w:pPr>
              <w:spacing w:after="0"/>
              <w:rPr>
                <w:sz w:val="1"/>
                <w:szCs w:val="1"/>
                <w:color w:val="auto"/>
              </w:rPr>
            </w:pPr>
          </w:p>
        </w:tc>
      </w:tr>
      <w:tr>
        <w:trPr>
          <w:trHeight w:val="199"/>
        </w:trPr>
        <w:tc>
          <w:tcPr>
            <w:tcW w:w="166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10.13.1*</w:t>
            </w: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1 to Collaboration Agreement, by and between Aventis Pharmaceuticals Inc. and Regeneron Pharmaceuticals,</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 effective as of December 31, 2004.</w:t>
            </w:r>
          </w:p>
        </w:tc>
        <w:tc>
          <w:tcPr>
            <w:tcW w:w="0" w:type="dxa"/>
            <w:vAlign w:val="bottom"/>
          </w:tcPr>
          <w:p>
            <w:pPr>
              <w:spacing w:after="0"/>
              <w:rPr>
                <w:sz w:val="1"/>
                <w:szCs w:val="1"/>
                <w:color w:val="auto"/>
              </w:rPr>
            </w:pPr>
          </w:p>
        </w:tc>
      </w:tr>
      <w:tr>
        <w:trPr>
          <w:trHeight w:val="571"/>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7"/>
        </w:trPr>
        <w:tc>
          <w:tcPr>
            <w:tcW w:w="16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0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-5468620</wp:posOffset>
            </wp:positionV>
            <wp:extent cx="762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49" w:name="page50"/>
    <w:bookmarkEnd w:id="4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5"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1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9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10.13.2</w:t>
            </w: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w:t>
            </w: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 Amendment No. 2 to Collaboration Agreement, by and between Aventis Pharmaceuticals Inc. and Regeneron Pharmaceuticals,</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Inc., effective as of January 7, 2005.</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7"/>
              </w:rPr>
              <w:t>— Amendment No. 3 to Collaboration Agreement, by and between Aventis Pharmaceuticals Inc. and Regeneron Pharmaceuticals,</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Inc., effective as of December 21, 2005.</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Amendment No. 4 to Collaboration Agreement, by and between sanofi-aventis U.S., LLC (successor in interest to Aventis</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Pharmaceuticals, Inc.) and Regeneron Pharmaceuticals, Inc., effective as of January 31, 2006.</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10.14</w:t>
            </w: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w:t>
            </w: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Stock Purchase Agreement, dated as of September 5, 2003, by and between Aventis Pharmaceuticals Inc. and Regeneron</w:t>
            </w: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Pharmaceuticals, Inc.</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199"/>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Certification of CFO pursuant to Rule 13a-14(a) under the Securities and Exchange Act of 1934.</w:t>
            </w:r>
          </w:p>
        </w:tc>
        <w:tc>
          <w:tcPr>
            <w:tcW w:w="0" w:type="dxa"/>
            <w:vAlign w:val="bottom"/>
          </w:tcPr>
          <w:p>
            <w:pPr>
              <w:spacing w:after="0"/>
              <w:rPr>
                <w:sz w:val="1"/>
                <w:szCs w:val="1"/>
                <w:color w:val="auto"/>
              </w:rPr>
            </w:pPr>
          </w:p>
        </w:tc>
      </w:tr>
      <w:tr>
        <w:trPr>
          <w:trHeight w:val="216"/>
        </w:trPr>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-1679575</wp:posOffset>
            </wp:positionV>
            <wp:extent cx="76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69" w:lineRule="exact"/>
        <w:rPr>
          <w:sz w:val="20"/>
          <w:szCs w:val="20"/>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June 30, 1991, filed August 13, 1991.</w:t>
      </w:r>
    </w:p>
    <w:p>
      <w:pPr>
        <w:spacing w:after="0" w:line="102" w:lineRule="exact"/>
        <w:rPr>
          <w:rFonts w:ascii="Times New Roman" w:cs="Times New Roman" w:eastAsia="Times New Roman" w:hAnsi="Times New Roman"/>
          <w:sz w:val="17"/>
          <w:szCs w:val="17"/>
          <w:color w:val="auto"/>
        </w:rPr>
      </w:pPr>
    </w:p>
    <w:p>
      <w:pPr>
        <w:ind w:left="880" w:right="300" w:hanging="423"/>
        <w:spacing w:after="0" w:line="268"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September 30, 1996 filed November 5, 1996.</w:t>
      </w:r>
    </w:p>
    <w:p>
      <w:pPr>
        <w:spacing w:after="0" w:line="60" w:lineRule="exact"/>
        <w:rPr>
          <w:rFonts w:ascii="Times New Roman" w:cs="Times New Roman" w:eastAsia="Times New Roman" w:hAnsi="Times New Roman"/>
          <w:sz w:val="17"/>
          <w:szCs w:val="17"/>
          <w:color w:val="auto"/>
        </w:rPr>
      </w:pPr>
    </w:p>
    <w:p>
      <w:pPr>
        <w:ind w:left="880" w:right="260" w:hanging="423"/>
        <w:spacing w:after="0" w:line="268"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fiscal year ended December 31, 2001, filed March 22, 2002.</w:t>
      </w:r>
    </w:p>
    <w:p>
      <w:pPr>
        <w:spacing w:after="0" w:line="60" w:lineRule="exact"/>
        <w:rPr>
          <w:rFonts w:ascii="Times New Roman" w:cs="Times New Roman" w:eastAsia="Times New Roman" w:hAnsi="Times New Roman"/>
          <w:sz w:val="17"/>
          <w:szCs w:val="17"/>
          <w:color w:val="auto"/>
        </w:rPr>
      </w:pPr>
    </w:p>
    <w:p>
      <w:pPr>
        <w:ind w:left="880" w:right="260" w:hanging="423"/>
        <w:spacing w:after="0" w:line="268"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fiscal year ended December 31, 2004, filed March 11, 2005.</w:t>
      </w:r>
    </w:p>
    <w:p>
      <w:pPr>
        <w:spacing w:after="0" w:line="60"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Company’s registration statement on Form S-1 (file number 33-39043).</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Form 10-K for Regeneron Pharmaceuticals, Inc., for the quarter ended December 31, 2001, filed March 22, 2002.</w:t>
      </w:r>
    </w:p>
    <w:p>
      <w:pPr>
        <w:spacing w:after="0" w:line="114" w:lineRule="exact"/>
        <w:rPr>
          <w:rFonts w:ascii="Times New Roman" w:cs="Times New Roman" w:eastAsia="Times New Roman" w:hAnsi="Times New Roman"/>
          <w:sz w:val="16"/>
          <w:szCs w:val="16"/>
          <w:color w:val="auto"/>
        </w:rPr>
      </w:pPr>
    </w:p>
    <w:p>
      <w:pPr>
        <w:ind w:left="880" w:right="220" w:hanging="423"/>
        <w:spacing w:after="0" w:line="268"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fiscal year ended December 31, 2002, filed March 31, 2003.</w:t>
      </w:r>
    </w:p>
    <w:p>
      <w:pPr>
        <w:spacing w:after="0" w:line="60"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June 30, 2004, filed August 5, 2004.</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November 17, 2004.</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December 16, 2005.</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December 13, 2004.</w:t>
      </w:r>
    </w:p>
    <w:p>
      <w:pPr>
        <w:spacing w:after="0" w:line="102" w:lineRule="exact"/>
        <w:rPr>
          <w:rFonts w:ascii="Times New Roman" w:cs="Times New Roman" w:eastAsia="Times New Roman" w:hAnsi="Times New Roman"/>
          <w:sz w:val="17"/>
          <w:szCs w:val="17"/>
          <w:color w:val="auto"/>
        </w:rPr>
      </w:pPr>
    </w:p>
    <w:p>
      <w:pPr>
        <w:ind w:left="880" w:right="180" w:hanging="423"/>
        <w:spacing w:after="0" w:line="268"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September 30, 1995, filed November 14, 1995.</w:t>
      </w:r>
    </w:p>
    <w:p>
      <w:pPr>
        <w:spacing w:after="0" w:line="60"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8-A for Regeneron Pharmaceuticals, Inc., filed October 15, 1996.</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Company’s registration statement on Form S-3 (file number 333-74464).</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June 30, 2002, filed August 13, 2002.</w:t>
      </w:r>
    </w:p>
    <w:p>
      <w:pPr>
        <w:spacing w:after="0" w:line="37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780"/>
          </w:cols>
          <w:pgMar w:left="240" w:top="393" w:right="879" w:bottom="1440" w:gutter="0" w:footer="0" w:header="0"/>
        </w:sectPr>
      </w:pPr>
    </w:p>
    <w:bookmarkStart w:id="50" w:name="page51"/>
    <w:bookmarkEnd w:id="5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880" w:hanging="423"/>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Form 10-Q for Regeneron Pharmaceuticals, Inc. for the quarter ended March 31, 2003, filed May 15, 2003.</w:t>
      </w:r>
    </w:p>
    <w:p>
      <w:pPr>
        <w:spacing w:after="0" w:line="114" w:lineRule="exact"/>
        <w:rPr>
          <w:rFonts w:ascii="Times New Roman" w:cs="Times New Roman" w:eastAsia="Times New Roman" w:hAnsi="Times New Roman"/>
          <w:sz w:val="16"/>
          <w:szCs w:val="16"/>
          <w:color w:val="auto"/>
        </w:rPr>
      </w:pPr>
    </w:p>
    <w:p>
      <w:pPr>
        <w:ind w:left="880" w:hanging="423"/>
        <w:spacing w:after="0" w:line="268" w:lineRule="auto"/>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September 30, 2003, filed November 11, 2003.</w:t>
      </w:r>
    </w:p>
    <w:p>
      <w:pPr>
        <w:spacing w:after="0" w:line="60"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January 11, 2005.</w:t>
      </w:r>
    </w:p>
    <w:p>
      <w:pPr>
        <w:spacing w:after="0" w:line="102" w:lineRule="exact"/>
        <w:rPr>
          <w:rFonts w:ascii="Times New Roman" w:cs="Times New Roman" w:eastAsia="Times New Roman" w:hAnsi="Times New Roman"/>
          <w:sz w:val="17"/>
          <w:szCs w:val="17"/>
          <w:color w:val="auto"/>
        </w:rPr>
      </w:pPr>
    </w:p>
    <w:p>
      <w:pPr>
        <w:ind w:left="880" w:hanging="423"/>
        <w:spacing w:after="0"/>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January 25, 2006.</w:t>
      </w:r>
    </w:p>
    <w:p>
      <w:pPr>
        <w:spacing w:after="0" w:line="202" w:lineRule="exact"/>
        <w:rPr>
          <w:rFonts w:ascii="Times New Roman" w:cs="Times New Roman" w:eastAsia="Times New Roman" w:hAnsi="Times New Roman"/>
          <w:sz w:val="17"/>
          <w:szCs w:val="17"/>
          <w:color w:val="auto"/>
        </w:rPr>
      </w:pPr>
    </w:p>
    <w:p>
      <w:pPr>
        <w:ind w:left="660" w:right="300" w:hanging="182"/>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-313690</wp:posOffset>
            </wp:positionV>
            <wp:extent cx="72580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05" cy="7620"/>
                    </a:xfrm>
                    <a:prstGeom prst="rect">
                      <a:avLst/>
                    </a:prstGeom>
                    <a:noFill/>
                  </pic:spPr>
                </pic:pic>
              </a:graphicData>
            </a:graphic>
          </wp:anchor>
        </w:drawing>
      </w: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51" w:name="page52"/>
    <w:bookmarkEnd w:id="5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19" w:lineRule="exact"/>
        <w:rPr>
          <w:sz w:val="20"/>
          <w:szCs w:val="20"/>
          <w:color w:val="auto"/>
        </w:rPr>
      </w:pPr>
    </w:p>
    <w:p>
      <w:pPr>
        <w:ind w:left="460" w:right="600" w:firstLine="312"/>
        <w:spacing w:after="0" w:line="26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1"/>
          <w:szCs w:val="11"/>
          <w:color w:val="auto"/>
        </w:rPr>
        <w:t>EGENERON</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HARMACEUTICALS</w:t>
      </w:r>
      <w:r>
        <w:rPr>
          <w:rFonts w:ascii="Times New Roman" w:cs="Times New Roman" w:eastAsia="Times New Roman" w:hAnsi="Times New Roman"/>
          <w:sz w:val="17"/>
          <w:szCs w:val="17"/>
          <w:color w:val="auto"/>
        </w:rPr>
        <w:t>,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By: /s/ L</w:t>
      </w:r>
      <w:r>
        <w:rPr>
          <w:rFonts w:ascii="Times New Roman" w:cs="Times New Roman" w:eastAsia="Times New Roman" w:hAnsi="Times New Roman"/>
          <w:sz w:val="11"/>
          <w:szCs w:val="11"/>
          <w:color w:val="auto"/>
        </w:rPr>
        <w:t>EONARD</w:t>
      </w:r>
      <w:r>
        <w:rPr>
          <w:rFonts w:ascii="Times New Roman" w:cs="Times New Roman" w:eastAsia="Times New Roman" w:hAnsi="Times New Roman"/>
          <w:sz w:val="17"/>
          <w:szCs w:val="17"/>
          <w:color w:val="auto"/>
        </w:rPr>
        <w:t xml:space="preserve"> S. S</w:t>
      </w:r>
      <w:r>
        <w:rPr>
          <w:rFonts w:ascii="Times New Roman" w:cs="Times New Roman" w:eastAsia="Times New Roman" w:hAnsi="Times New Roman"/>
          <w:sz w:val="11"/>
          <w:szCs w:val="11"/>
          <w:color w:val="auto"/>
        </w:rPr>
        <w:t>CHLEIFER</w:t>
      </w:r>
    </w:p>
    <w:p>
      <w:pPr>
        <w:spacing w:after="0" w:line="2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-115570</wp:posOffset>
            </wp:positionV>
            <wp:extent cx="2768600" cy="252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68600" cy="252730"/>
                    </a:xfrm>
                    <a:prstGeom prst="rect">
                      <a:avLst/>
                    </a:prstGeom>
                    <a:noFill/>
                  </pic:spPr>
                </pic:pic>
              </a:graphicData>
            </a:graphic>
          </wp:anchor>
        </w:drawing>
      </w:r>
    </w:p>
    <w:p>
      <w:pPr>
        <w:ind w:left="544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3"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7"/>
          <w:szCs w:val="17"/>
          <w:color w:val="auto"/>
        </w:rPr>
        <w:t>Dated:</w:t>
        <w:tab/>
        <w:t>New York, New York</w:t>
      </w:r>
    </w:p>
    <w:p>
      <w:pPr>
        <w:spacing w:after="0" w:line="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February 28, 2006</w:t>
      </w: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9" w:lineRule="exact"/>
        <w:rPr>
          <w:sz w:val="20"/>
          <w:szCs w:val="20"/>
          <w:color w:val="auto"/>
        </w:rPr>
      </w:pPr>
    </w:p>
    <w:p>
      <w:pPr>
        <w:ind w:left="460" w:right="580" w:firstLine="312"/>
        <w:spacing w:after="0" w:line="24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report on Form 10-K, and to file the same, with all exhibits thereto, and other documents in connection therewith, with the Securities and Exchange Commission, granting unto each said attorney-in-fact and agent full power and authority to do and perform each and every act in person, hereby ratifying and confirming all that each said attorney-in-fact and agent, or either of them, or their or his substitute or substitutes, may lawfully do or cause to be done by virtue hereof.</w:t>
      </w:r>
    </w:p>
    <w:p>
      <w:pPr>
        <w:spacing w:after="0" w:line="89" w:lineRule="exact"/>
        <w:rPr>
          <w:sz w:val="20"/>
          <w:szCs w:val="20"/>
          <w:color w:val="auto"/>
        </w:rPr>
      </w:pPr>
    </w:p>
    <w:p>
      <w:pPr>
        <w:ind w:left="460" w:right="1040" w:firstLine="312"/>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9" w:lineRule="exact"/>
        <w:rPr>
          <w:sz w:val="20"/>
          <w:szCs w:val="20"/>
          <w:color w:val="auto"/>
        </w:rPr>
      </w:pPr>
    </w:p>
    <w:p>
      <w:pPr>
        <w:ind w:left="2580"/>
        <w:spacing w:after="0"/>
        <w:tabs>
          <w:tab w:leader="none" w:pos="7900" w:val="left"/>
        </w:tabs>
        <w:rPr>
          <w:sz w:val="20"/>
          <w:szCs w:val="20"/>
          <w:color w:val="auto"/>
        </w:rPr>
      </w:pPr>
      <w:r>
        <w:rPr>
          <w:rFonts w:ascii="Times New Roman" w:cs="Times New Roman" w:eastAsia="Times New Roman" w:hAnsi="Times New Roman"/>
          <w:sz w:val="13"/>
          <w:szCs w:val="13"/>
          <w:b w:val="1"/>
          <w:bCs w:val="1"/>
          <w:u w:val="single" w:color="auto"/>
          <w:color w:val="auto"/>
        </w:rPr>
        <w:t>S</w:t>
      </w:r>
      <w:r>
        <w:rPr>
          <w:rFonts w:ascii="Times New Roman" w:cs="Times New Roman" w:eastAsia="Times New Roman" w:hAnsi="Times New Roman"/>
          <w:sz w:val="13"/>
          <w:szCs w:val="13"/>
          <w:b w:val="1"/>
          <w:bCs w:val="1"/>
          <w:color w:val="auto"/>
        </w:rPr>
        <w:t>ignature</w:t>
      </w:r>
      <w:r>
        <w:rPr>
          <w:sz w:val="20"/>
          <w:szCs w:val="20"/>
          <w:color w:val="auto"/>
        </w:rPr>
        <w:tab/>
      </w:r>
      <w:r>
        <w:rPr>
          <w:rFonts w:ascii="Times New Roman" w:cs="Times New Roman" w:eastAsia="Times New Roman" w:hAnsi="Times New Roman"/>
          <w:sz w:val="12"/>
          <w:szCs w:val="12"/>
          <w:b w:val="1"/>
          <w:bCs w:val="1"/>
          <w:u w:val="single" w:color="auto"/>
          <w:color w:val="auto"/>
        </w:rPr>
        <w:t>T</w:t>
      </w:r>
      <w:r>
        <w:rPr>
          <w:rFonts w:ascii="Times New Roman" w:cs="Times New Roman" w:eastAsia="Times New Roman" w:hAnsi="Times New Roman"/>
          <w:sz w:val="12"/>
          <w:szCs w:val="12"/>
          <w:b w:val="1"/>
          <w:bCs w:val="1"/>
          <w:color w:val="auto"/>
        </w:rPr>
        <w:t>itle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L</w:t>
            </w:r>
            <w:r>
              <w:rPr>
                <w:rFonts w:ascii="Times New Roman" w:cs="Times New Roman" w:eastAsia="Times New Roman" w:hAnsi="Times New Roman"/>
                <w:sz w:val="11"/>
                <w:szCs w:val="11"/>
                <w:color w:val="auto"/>
              </w:rPr>
              <w:t>EONARD</w:t>
            </w:r>
            <w:r>
              <w:rPr>
                <w:rFonts w:ascii="Times New Roman" w:cs="Times New Roman" w:eastAsia="Times New Roman" w:hAnsi="Times New Roman"/>
                <w:sz w:val="17"/>
                <w:szCs w:val="17"/>
                <w:color w:val="auto"/>
              </w:rPr>
              <w:t xml:space="preserve"> S. S</w:t>
            </w:r>
            <w:r>
              <w:rPr>
                <w:rFonts w:ascii="Times New Roman" w:cs="Times New Roman" w:eastAsia="Times New Roman" w:hAnsi="Times New Roman"/>
                <w:sz w:val="11"/>
                <w:szCs w:val="11"/>
                <w:color w:val="auto"/>
              </w:rPr>
              <w:t>CHLEIFER</w:t>
            </w:r>
          </w:p>
        </w:tc>
        <w:tc>
          <w:tcPr>
            <w:tcW w:w="668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6"/>
              </w:rPr>
              <w:t>President, Chief Executive Officer, and Director</w:t>
            </w: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6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7"/>
                <w:szCs w:val="17"/>
                <w:color w:val="auto"/>
                <w:w w:val="97"/>
              </w:rPr>
              <w:t>(Principal Executive Officer)</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28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Leonard S. Schleifer, M.D., Ph.D.</w:t>
            </w:r>
          </w:p>
        </w:tc>
        <w:tc>
          <w:tcPr>
            <w:tcW w:w="6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6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M</w:t>
            </w:r>
            <w:r>
              <w:rPr>
                <w:rFonts w:ascii="Times New Roman" w:cs="Times New Roman" w:eastAsia="Times New Roman" w:hAnsi="Times New Roman"/>
                <w:sz w:val="11"/>
                <w:szCs w:val="11"/>
                <w:color w:val="auto"/>
              </w:rPr>
              <w:t>URRAY</w:t>
            </w:r>
            <w:r>
              <w:rPr>
                <w:rFonts w:ascii="Times New Roman" w:cs="Times New Roman" w:eastAsia="Times New Roman" w:hAnsi="Times New Roman"/>
                <w:sz w:val="17"/>
                <w:szCs w:val="17"/>
                <w:color w:val="auto"/>
              </w:rPr>
              <w:t xml:space="preserve"> A. G</w:t>
            </w:r>
            <w:r>
              <w:rPr>
                <w:rFonts w:ascii="Times New Roman" w:cs="Times New Roman" w:eastAsia="Times New Roman" w:hAnsi="Times New Roman"/>
                <w:sz w:val="11"/>
                <w:szCs w:val="11"/>
                <w:color w:val="auto"/>
              </w:rPr>
              <w:t>OLDBERG</w:t>
            </w:r>
          </w:p>
        </w:tc>
        <w:tc>
          <w:tcPr>
            <w:tcW w:w="668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6"/>
              </w:rPr>
              <w:t>Senior Vice President, Finance &amp; Administration, Chief</w:t>
            </w: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6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7"/>
                <w:szCs w:val="17"/>
                <w:color w:val="auto"/>
                <w:w w:val="96"/>
              </w:rPr>
              <w:t>Financial Officer, Treasurer, and Assistant Secretary</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w w:val="96"/>
              </w:rPr>
              <w:t>Murray A. Goldberg</w:t>
            </w:r>
          </w:p>
        </w:tc>
        <w:tc>
          <w:tcPr>
            <w:tcW w:w="6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680" w:type="dxa"/>
            <w:vAlign w:val="bottom"/>
          </w:tcPr>
          <w:p>
            <w:pPr>
              <w:jc w:val="center"/>
              <w:ind w:right="197"/>
              <w:spacing w:after="0"/>
              <w:rPr>
                <w:sz w:val="20"/>
                <w:szCs w:val="20"/>
                <w:color w:val="auto"/>
              </w:rPr>
            </w:pPr>
            <w:r>
              <w:rPr>
                <w:rFonts w:ascii="Times New Roman" w:cs="Times New Roman" w:eastAsia="Times New Roman" w:hAnsi="Times New Roman"/>
                <w:sz w:val="17"/>
                <w:szCs w:val="17"/>
                <w:color w:val="auto"/>
                <w:w w:val="97"/>
              </w:rPr>
              <w:t>(Principal Financial Officer)</w:t>
            </w:r>
          </w:p>
        </w:tc>
        <w:tc>
          <w:tcPr>
            <w:tcW w:w="0" w:type="dxa"/>
            <w:vAlign w:val="bottom"/>
          </w:tcPr>
          <w:p>
            <w:pPr>
              <w:spacing w:after="0"/>
              <w:rPr>
                <w:sz w:val="1"/>
                <w:szCs w:val="1"/>
                <w:color w:val="auto"/>
              </w:rPr>
            </w:pPr>
          </w:p>
        </w:tc>
      </w:tr>
      <w:tr>
        <w:trPr>
          <w:trHeight w:val="381"/>
        </w:trPr>
        <w:tc>
          <w:tcPr>
            <w:tcW w:w="46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D</w:t>
            </w:r>
            <w:r>
              <w:rPr>
                <w:rFonts w:ascii="Times New Roman" w:cs="Times New Roman" w:eastAsia="Times New Roman" w:hAnsi="Times New Roman"/>
                <w:sz w:val="11"/>
                <w:szCs w:val="11"/>
                <w:color w:val="auto"/>
              </w:rPr>
              <w:t>OUGLAS</w:t>
            </w:r>
            <w:r>
              <w:rPr>
                <w:rFonts w:ascii="Times New Roman" w:cs="Times New Roman" w:eastAsia="Times New Roman" w:hAnsi="Times New Roman"/>
                <w:sz w:val="17"/>
                <w:szCs w:val="17"/>
                <w:color w:val="auto"/>
              </w:rPr>
              <w:t xml:space="preserve"> S. M</w:t>
            </w:r>
            <w:r>
              <w:rPr>
                <w:rFonts w:ascii="Times New Roman" w:cs="Times New Roman" w:eastAsia="Times New Roman" w:hAnsi="Times New Roman"/>
                <w:sz w:val="11"/>
                <w:szCs w:val="11"/>
                <w:color w:val="auto"/>
              </w:rPr>
              <w:t>C</w:t>
            </w:r>
            <w:r>
              <w:rPr>
                <w:rFonts w:ascii="Times New Roman" w:cs="Times New Roman" w:eastAsia="Times New Roman" w:hAnsi="Times New Roman"/>
                <w:sz w:val="17"/>
                <w:szCs w:val="17"/>
                <w:color w:val="auto"/>
              </w:rPr>
              <w:t>C</w:t>
            </w:r>
            <w:r>
              <w:rPr>
                <w:rFonts w:ascii="Times New Roman" w:cs="Times New Roman" w:eastAsia="Times New Roman" w:hAnsi="Times New Roman"/>
                <w:sz w:val="11"/>
                <w:szCs w:val="11"/>
                <w:color w:val="auto"/>
              </w:rPr>
              <w:t>ORKLE</w:t>
            </w:r>
          </w:p>
        </w:tc>
        <w:tc>
          <w:tcPr>
            <w:tcW w:w="6680" w:type="dxa"/>
            <w:vAlign w:val="bottom"/>
          </w:tcPr>
          <w:p>
            <w:pPr>
              <w:jc w:val="center"/>
              <w:ind w:right="197"/>
              <w:spacing w:after="0"/>
              <w:rPr>
                <w:sz w:val="20"/>
                <w:szCs w:val="20"/>
                <w:color w:val="auto"/>
              </w:rPr>
            </w:pPr>
            <w:r>
              <w:rPr>
                <w:rFonts w:ascii="Times New Roman" w:cs="Times New Roman" w:eastAsia="Times New Roman" w:hAnsi="Times New Roman"/>
                <w:sz w:val="17"/>
                <w:szCs w:val="17"/>
                <w:color w:val="auto"/>
                <w:w w:val="97"/>
              </w:rPr>
              <w:t>Controller and Assistant Treasurer</w:t>
            </w: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680" w:type="dxa"/>
            <w:vAlign w:val="bottom"/>
            <w:vMerge w:val="restart"/>
          </w:tcPr>
          <w:p>
            <w:pPr>
              <w:jc w:val="center"/>
              <w:ind w:right="197"/>
              <w:spacing w:after="0"/>
              <w:rPr>
                <w:sz w:val="20"/>
                <w:szCs w:val="20"/>
                <w:color w:val="auto"/>
              </w:rPr>
            </w:pPr>
            <w:r>
              <w:rPr>
                <w:rFonts w:ascii="Times New Roman" w:cs="Times New Roman" w:eastAsia="Times New Roman" w:hAnsi="Times New Roman"/>
                <w:sz w:val="17"/>
                <w:szCs w:val="17"/>
                <w:color w:val="auto"/>
                <w:w w:val="97"/>
              </w:rPr>
              <w:t>(Principal Accounting Officer)</w:t>
            </w: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Douglas S. McCorkle</w:t>
            </w:r>
          </w:p>
        </w:tc>
        <w:tc>
          <w:tcPr>
            <w:tcW w:w="6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46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1"/>
                <w:szCs w:val="11"/>
                <w:color w:val="auto"/>
              </w:rPr>
              <w:t>EORGE</w:t>
            </w:r>
            <w:r>
              <w:rPr>
                <w:rFonts w:ascii="Times New Roman" w:cs="Times New Roman" w:eastAsia="Times New Roman" w:hAnsi="Times New Roman"/>
                <w:sz w:val="17"/>
                <w:szCs w:val="17"/>
                <w:color w:val="auto"/>
              </w:rPr>
              <w:t xml:space="preserve"> D. Y</w:t>
            </w:r>
            <w:r>
              <w:rPr>
                <w:rFonts w:ascii="Times New Roman" w:cs="Times New Roman" w:eastAsia="Times New Roman" w:hAnsi="Times New Roman"/>
                <w:sz w:val="11"/>
                <w:szCs w:val="11"/>
                <w:color w:val="auto"/>
              </w:rPr>
              <w:t>ANCOPOULOS</w:t>
            </w:r>
          </w:p>
        </w:tc>
        <w:tc>
          <w:tcPr>
            <w:tcW w:w="668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6"/>
              </w:rPr>
              <w:t>Executive Vice President, Chief Scientific Officer,</w:t>
            </w:r>
          </w:p>
        </w:tc>
        <w:tc>
          <w:tcPr>
            <w:tcW w:w="0" w:type="dxa"/>
            <w:vAlign w:val="bottom"/>
          </w:tcPr>
          <w:p>
            <w:pPr>
              <w:spacing w:after="0"/>
              <w:rPr>
                <w:sz w:val="1"/>
                <w:szCs w:val="1"/>
                <w:color w:val="auto"/>
              </w:rPr>
            </w:pPr>
          </w:p>
        </w:tc>
      </w:tr>
      <w:tr>
        <w:trPr>
          <w:trHeight w:val="29"/>
        </w:trPr>
        <w:tc>
          <w:tcPr>
            <w:tcW w:w="46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66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7"/>
                <w:szCs w:val="17"/>
                <w:color w:val="auto"/>
                <w:w w:val="97"/>
              </w:rPr>
              <w:t>President, Regeneron Research Laboratories,</w:t>
            </w: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w w:val="96"/>
              </w:rPr>
              <w:t>George D. Yancopoulos M.D., Ph.D</w:t>
            </w:r>
          </w:p>
        </w:tc>
        <w:tc>
          <w:tcPr>
            <w:tcW w:w="6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668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5"/>
              </w:rPr>
              <w:t>and Director</w:t>
            </w:r>
          </w:p>
        </w:tc>
        <w:tc>
          <w:tcPr>
            <w:tcW w:w="0" w:type="dxa"/>
            <w:vAlign w:val="bottom"/>
          </w:tcPr>
          <w:p>
            <w:pPr>
              <w:spacing w:after="0"/>
              <w:rPr>
                <w:sz w:val="1"/>
                <w:szCs w:val="1"/>
                <w:color w:val="auto"/>
              </w:rPr>
            </w:pPr>
          </w:p>
        </w:tc>
      </w:tr>
      <w:tr>
        <w:trPr>
          <w:trHeight w:val="404"/>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 R</w:t>
            </w:r>
            <w:r>
              <w:rPr>
                <w:rFonts w:ascii="Times New Roman" w:cs="Times New Roman" w:eastAsia="Times New Roman" w:hAnsi="Times New Roman"/>
                <w:sz w:val="11"/>
                <w:szCs w:val="11"/>
                <w:color w:val="auto"/>
              </w:rPr>
              <w:t>OY</w:t>
            </w:r>
            <w:r>
              <w:rPr>
                <w:rFonts w:ascii="Times New Roman" w:cs="Times New Roman" w:eastAsia="Times New Roman" w:hAnsi="Times New Roman"/>
                <w:sz w:val="17"/>
                <w:szCs w:val="17"/>
                <w:color w:val="auto"/>
              </w:rPr>
              <w:t xml:space="preserve"> V</w:t>
            </w:r>
            <w:r>
              <w:rPr>
                <w:rFonts w:ascii="Times New Roman" w:cs="Times New Roman" w:eastAsia="Times New Roman" w:hAnsi="Times New Roman"/>
                <w:sz w:val="11"/>
                <w:szCs w:val="11"/>
                <w:color w:val="auto"/>
              </w:rPr>
              <w:t>AGELOS</w:t>
            </w:r>
          </w:p>
        </w:tc>
        <w:tc>
          <w:tcPr>
            <w:tcW w:w="6680" w:type="dxa"/>
            <w:vAlign w:val="bottom"/>
          </w:tcPr>
          <w:p>
            <w:pPr>
              <w:jc w:val="center"/>
              <w:ind w:right="197"/>
              <w:spacing w:after="0"/>
              <w:rPr>
                <w:sz w:val="20"/>
                <w:szCs w:val="20"/>
                <w:color w:val="auto"/>
              </w:rPr>
            </w:pPr>
            <w:r>
              <w:rPr>
                <w:rFonts w:ascii="Times New Roman" w:cs="Times New Roman" w:eastAsia="Times New Roman" w:hAnsi="Times New Roman"/>
                <w:sz w:val="17"/>
                <w:szCs w:val="17"/>
                <w:color w:val="auto"/>
                <w:w w:val="97"/>
              </w:rPr>
              <w:t>Chairman of the Board</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P. Roy Vagelos M.D.</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w:t>
            </w:r>
            <w:r>
              <w:rPr>
                <w:rFonts w:ascii="Times New Roman" w:cs="Times New Roman" w:eastAsia="Times New Roman" w:hAnsi="Times New Roman"/>
                <w:sz w:val="11"/>
                <w:szCs w:val="11"/>
                <w:color w:val="auto"/>
              </w:rPr>
              <w:t>HARLES</w:t>
            </w:r>
            <w:r>
              <w:rPr>
                <w:rFonts w:ascii="Times New Roman" w:cs="Times New Roman" w:eastAsia="Times New Roman" w:hAnsi="Times New Roman"/>
                <w:sz w:val="17"/>
                <w:szCs w:val="17"/>
                <w:color w:val="auto"/>
              </w:rPr>
              <w:t xml:space="preserve"> A. B</w:t>
            </w:r>
            <w:r>
              <w:rPr>
                <w:rFonts w:ascii="Times New Roman" w:cs="Times New Roman" w:eastAsia="Times New Roman" w:hAnsi="Times New Roman"/>
                <w:sz w:val="11"/>
                <w:szCs w:val="11"/>
                <w:color w:val="auto"/>
              </w:rPr>
              <w:t>AKER</w:t>
            </w:r>
          </w:p>
        </w:tc>
        <w:tc>
          <w:tcPr>
            <w:tcW w:w="668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5"/>
              </w:rPr>
              <w:t>Director</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Charles A. Baker</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w:t>
            </w:r>
            <w:r>
              <w:rPr>
                <w:rFonts w:ascii="Times New Roman" w:cs="Times New Roman" w:eastAsia="Times New Roman" w:hAnsi="Times New Roman"/>
                <w:sz w:val="11"/>
                <w:szCs w:val="11"/>
                <w:color w:val="auto"/>
              </w:rPr>
              <w:t>ICHAEL</w:t>
            </w:r>
            <w:r>
              <w:rPr>
                <w:rFonts w:ascii="Times New Roman" w:cs="Times New Roman" w:eastAsia="Times New Roman" w:hAnsi="Times New Roman"/>
                <w:sz w:val="17"/>
                <w:szCs w:val="17"/>
                <w:color w:val="auto"/>
              </w:rPr>
              <w:t xml:space="preserve"> S. B</w:t>
            </w:r>
            <w:r>
              <w:rPr>
                <w:rFonts w:ascii="Times New Roman" w:cs="Times New Roman" w:eastAsia="Times New Roman" w:hAnsi="Times New Roman"/>
                <w:sz w:val="11"/>
                <w:szCs w:val="11"/>
                <w:color w:val="auto"/>
              </w:rPr>
              <w:t>ROWN</w:t>
            </w:r>
          </w:p>
        </w:tc>
        <w:tc>
          <w:tcPr>
            <w:tcW w:w="6680" w:type="dxa"/>
            <w:vAlign w:val="bottom"/>
          </w:tcPr>
          <w:p>
            <w:pPr>
              <w:jc w:val="center"/>
              <w:ind w:right="177"/>
              <w:spacing w:after="0"/>
              <w:rPr>
                <w:sz w:val="20"/>
                <w:szCs w:val="20"/>
                <w:color w:val="auto"/>
              </w:rPr>
            </w:pPr>
            <w:r>
              <w:rPr>
                <w:rFonts w:ascii="Times New Roman" w:cs="Times New Roman" w:eastAsia="Times New Roman" w:hAnsi="Times New Roman"/>
                <w:sz w:val="17"/>
                <w:szCs w:val="17"/>
                <w:color w:val="auto"/>
                <w:w w:val="95"/>
              </w:rPr>
              <w:t>Director</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Michael S. Brown M.D.</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3"/>
        </w:trPr>
        <w:tc>
          <w:tcPr>
            <w:tcW w:w="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80" w:type="dxa"/>
            <w:vAlign w:val="bottom"/>
          </w:tcPr>
          <w:p>
            <w:pPr>
              <w:jc w:val="right"/>
              <w:ind w:right="5597"/>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7"/>
        </w:trPr>
        <w:tc>
          <w:tcPr>
            <w:tcW w:w="46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6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52" w:name="page53"/>
    <w:bookmarkEnd w:id="5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8" w:lineRule="exact"/>
        <w:rPr>
          <w:sz w:val="20"/>
          <w:szCs w:val="20"/>
          <w:color w:val="auto"/>
        </w:rPr>
      </w:pPr>
    </w:p>
    <w:p>
      <w:pPr>
        <w:ind w:left="2580"/>
        <w:spacing w:after="0"/>
        <w:tabs>
          <w:tab w:leader="none" w:pos="7900" w:val="left"/>
        </w:tabs>
        <w:rPr>
          <w:sz w:val="20"/>
          <w:szCs w:val="20"/>
          <w:color w:val="auto"/>
        </w:rPr>
      </w:pPr>
      <w:r>
        <w:rPr>
          <w:rFonts w:ascii="Times New Roman" w:cs="Times New Roman" w:eastAsia="Times New Roman" w:hAnsi="Times New Roman"/>
          <w:sz w:val="13"/>
          <w:szCs w:val="13"/>
          <w:b w:val="1"/>
          <w:bCs w:val="1"/>
          <w:u w:val="single" w:color="auto"/>
          <w:color w:val="auto"/>
        </w:rPr>
        <w:t>S</w:t>
      </w:r>
      <w:r>
        <w:rPr>
          <w:rFonts w:ascii="Times New Roman" w:cs="Times New Roman" w:eastAsia="Times New Roman" w:hAnsi="Times New Roman"/>
          <w:sz w:val="13"/>
          <w:szCs w:val="13"/>
          <w:b w:val="1"/>
          <w:bCs w:val="1"/>
          <w:color w:val="auto"/>
        </w:rPr>
        <w:t>ignature</w:t>
      </w:r>
      <w:r>
        <w:rPr>
          <w:sz w:val="20"/>
          <w:szCs w:val="20"/>
          <w:color w:val="auto"/>
        </w:rPr>
        <w:tab/>
      </w:r>
      <w:r>
        <w:rPr>
          <w:rFonts w:ascii="Times New Roman" w:cs="Times New Roman" w:eastAsia="Times New Roman" w:hAnsi="Times New Roman"/>
          <w:sz w:val="12"/>
          <w:szCs w:val="12"/>
          <w:b w:val="1"/>
          <w:bCs w:val="1"/>
          <w:u w:val="single" w:color="auto"/>
          <w:color w:val="auto"/>
        </w:rPr>
        <w:t>T</w:t>
      </w:r>
      <w:r>
        <w:rPr>
          <w:rFonts w:ascii="Times New Roman" w:cs="Times New Roman" w:eastAsia="Times New Roman" w:hAnsi="Times New Roman"/>
          <w:sz w:val="12"/>
          <w:szCs w:val="12"/>
          <w:b w:val="1"/>
          <w:bCs w:val="1"/>
          <w:color w:val="auto"/>
        </w:rPr>
        <w:t>itle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w:t>
            </w:r>
            <w:r>
              <w:rPr>
                <w:rFonts w:ascii="Times New Roman" w:cs="Times New Roman" w:eastAsia="Times New Roman" w:hAnsi="Times New Roman"/>
                <w:sz w:val="11"/>
                <w:szCs w:val="11"/>
                <w:color w:val="auto"/>
              </w:rPr>
              <w:t>LFRED</w:t>
            </w:r>
            <w:r>
              <w:rPr>
                <w:rFonts w:ascii="Times New Roman" w:cs="Times New Roman" w:eastAsia="Times New Roman" w:hAnsi="Times New Roman"/>
                <w:sz w:val="17"/>
                <w:szCs w:val="17"/>
                <w:color w:val="auto"/>
              </w:rPr>
              <w:t xml:space="preserve"> G. G</w:t>
            </w:r>
            <w:r>
              <w:rPr>
                <w:rFonts w:ascii="Times New Roman" w:cs="Times New Roman" w:eastAsia="Times New Roman" w:hAnsi="Times New Roman"/>
                <w:sz w:val="11"/>
                <w:szCs w:val="11"/>
                <w:color w:val="auto"/>
              </w:rPr>
              <w:t>ILMAN</w:t>
            </w:r>
          </w:p>
        </w:tc>
        <w:tc>
          <w:tcPr>
            <w:tcW w:w="668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Director</w:t>
            </w: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Alfred G. Gilman M.D., Ph.D.</w:t>
            </w:r>
          </w:p>
        </w:tc>
        <w:tc>
          <w:tcPr>
            <w:tcW w:w="6680" w:type="dxa"/>
            <w:vAlign w:val="bottom"/>
          </w:tcPr>
          <w:p>
            <w:pPr>
              <w:spacing w:after="0"/>
              <w:rPr>
                <w:sz w:val="18"/>
                <w:szCs w:val="18"/>
                <w:color w:val="auto"/>
              </w:rPr>
            </w:pPr>
          </w:p>
        </w:tc>
      </w:tr>
      <w:tr>
        <w:trPr>
          <w:trHeight w:val="375"/>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w:t>
            </w:r>
            <w:r>
              <w:rPr>
                <w:rFonts w:ascii="Times New Roman" w:cs="Times New Roman" w:eastAsia="Times New Roman" w:hAnsi="Times New Roman"/>
                <w:sz w:val="11"/>
                <w:szCs w:val="11"/>
                <w:color w:val="auto"/>
              </w:rPr>
              <w:t>OSEPH</w:t>
            </w:r>
            <w:r>
              <w:rPr>
                <w:rFonts w:ascii="Times New Roman" w:cs="Times New Roman" w:eastAsia="Times New Roman" w:hAnsi="Times New Roman"/>
                <w:sz w:val="17"/>
                <w:szCs w:val="17"/>
                <w:color w:val="auto"/>
              </w:rPr>
              <w:t xml:space="preserve"> L. G</w:t>
            </w:r>
            <w:r>
              <w:rPr>
                <w:rFonts w:ascii="Times New Roman" w:cs="Times New Roman" w:eastAsia="Times New Roman" w:hAnsi="Times New Roman"/>
                <w:sz w:val="11"/>
                <w:szCs w:val="11"/>
                <w:color w:val="auto"/>
              </w:rPr>
              <w:t>OLDSTEIN</w:t>
            </w:r>
          </w:p>
        </w:tc>
        <w:tc>
          <w:tcPr>
            <w:tcW w:w="668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Director</w:t>
            </w: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Joseph L. Goldstein, M.D.</w:t>
            </w:r>
          </w:p>
        </w:tc>
        <w:tc>
          <w:tcPr>
            <w:tcW w:w="6680" w:type="dxa"/>
            <w:vAlign w:val="bottom"/>
          </w:tcPr>
          <w:p>
            <w:pPr>
              <w:spacing w:after="0"/>
              <w:rPr>
                <w:sz w:val="18"/>
                <w:szCs w:val="18"/>
                <w:color w:val="auto"/>
              </w:rPr>
            </w:pPr>
          </w:p>
        </w:tc>
      </w:tr>
      <w:tr>
        <w:trPr>
          <w:trHeight w:val="375"/>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w:t>
            </w:r>
            <w:r>
              <w:rPr>
                <w:rFonts w:ascii="Times New Roman" w:cs="Times New Roman" w:eastAsia="Times New Roman" w:hAnsi="Times New Roman"/>
                <w:sz w:val="11"/>
                <w:szCs w:val="11"/>
                <w:color w:val="auto"/>
              </w:rPr>
              <w:t>RTHUR</w:t>
            </w:r>
            <w:r>
              <w:rPr>
                <w:rFonts w:ascii="Times New Roman" w:cs="Times New Roman" w:eastAsia="Times New Roman" w:hAnsi="Times New Roman"/>
                <w:sz w:val="17"/>
                <w:szCs w:val="17"/>
                <w:color w:val="auto"/>
              </w:rPr>
              <w:t xml:space="preserve"> F. R</w:t>
            </w:r>
            <w:r>
              <w:rPr>
                <w:rFonts w:ascii="Times New Roman" w:cs="Times New Roman" w:eastAsia="Times New Roman" w:hAnsi="Times New Roman"/>
                <w:sz w:val="11"/>
                <w:szCs w:val="11"/>
                <w:color w:val="auto"/>
              </w:rPr>
              <w:t>YAN</w:t>
            </w:r>
          </w:p>
        </w:tc>
        <w:tc>
          <w:tcPr>
            <w:tcW w:w="668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Director</w:t>
            </w: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Arthur F. Ryan</w:t>
            </w:r>
          </w:p>
        </w:tc>
        <w:tc>
          <w:tcPr>
            <w:tcW w:w="6680" w:type="dxa"/>
            <w:vAlign w:val="bottom"/>
          </w:tcPr>
          <w:p>
            <w:pPr>
              <w:spacing w:after="0"/>
              <w:rPr>
                <w:sz w:val="18"/>
                <w:szCs w:val="18"/>
                <w:color w:val="auto"/>
              </w:rPr>
            </w:pPr>
          </w:p>
        </w:tc>
      </w:tr>
      <w:tr>
        <w:trPr>
          <w:trHeight w:val="375"/>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w:t>
            </w:r>
            <w:r>
              <w:rPr>
                <w:rFonts w:ascii="Times New Roman" w:cs="Times New Roman" w:eastAsia="Times New Roman" w:hAnsi="Times New Roman"/>
                <w:sz w:val="11"/>
                <w:szCs w:val="11"/>
                <w:color w:val="auto"/>
              </w:rPr>
              <w:t>RIC</w:t>
            </w:r>
            <w:r>
              <w:rPr>
                <w:rFonts w:ascii="Times New Roman" w:cs="Times New Roman" w:eastAsia="Times New Roman" w:hAnsi="Times New Roman"/>
                <w:sz w:val="17"/>
                <w:szCs w:val="17"/>
                <w:color w:val="auto"/>
              </w:rPr>
              <w:t xml:space="preserve"> M. S</w:t>
            </w:r>
            <w:r>
              <w:rPr>
                <w:rFonts w:ascii="Times New Roman" w:cs="Times New Roman" w:eastAsia="Times New Roman" w:hAnsi="Times New Roman"/>
                <w:sz w:val="11"/>
                <w:szCs w:val="11"/>
                <w:color w:val="auto"/>
              </w:rPr>
              <w:t>HOOTER</w:t>
            </w:r>
          </w:p>
        </w:tc>
        <w:tc>
          <w:tcPr>
            <w:tcW w:w="668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Director</w:t>
            </w: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Eric M. Shooter, Ph.D.</w:t>
            </w:r>
          </w:p>
        </w:tc>
        <w:tc>
          <w:tcPr>
            <w:tcW w:w="6680" w:type="dxa"/>
            <w:vAlign w:val="bottom"/>
          </w:tcPr>
          <w:p>
            <w:pPr>
              <w:spacing w:after="0"/>
              <w:rPr>
                <w:sz w:val="18"/>
                <w:szCs w:val="18"/>
                <w:color w:val="auto"/>
              </w:rPr>
            </w:pPr>
          </w:p>
        </w:tc>
      </w:tr>
      <w:tr>
        <w:trPr>
          <w:trHeight w:val="375"/>
        </w:trPr>
        <w:tc>
          <w:tcPr>
            <w:tcW w:w="46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w:t>
            </w:r>
            <w:r>
              <w:rPr>
                <w:rFonts w:ascii="Times New Roman" w:cs="Times New Roman" w:eastAsia="Times New Roman" w:hAnsi="Times New Roman"/>
                <w:sz w:val="11"/>
                <w:szCs w:val="11"/>
                <w:color w:val="auto"/>
              </w:rPr>
              <w:t>EORGE</w:t>
            </w:r>
            <w:r>
              <w:rPr>
                <w:rFonts w:ascii="Times New Roman" w:cs="Times New Roman" w:eastAsia="Times New Roman" w:hAnsi="Times New Roman"/>
                <w:sz w:val="17"/>
                <w:szCs w:val="17"/>
                <w:color w:val="auto"/>
              </w:rPr>
              <w:t xml:space="preserve"> L. S</w:t>
            </w:r>
            <w:r>
              <w:rPr>
                <w:rFonts w:ascii="Times New Roman" w:cs="Times New Roman" w:eastAsia="Times New Roman" w:hAnsi="Times New Roman"/>
                <w:sz w:val="11"/>
                <w:szCs w:val="11"/>
                <w:color w:val="auto"/>
              </w:rPr>
              <w:t>ING</w:t>
            </w:r>
          </w:p>
        </w:tc>
        <w:tc>
          <w:tcPr>
            <w:tcW w:w="6680" w:type="dxa"/>
            <w:vAlign w:val="bottom"/>
          </w:tcPr>
          <w:p>
            <w:pPr>
              <w:ind w:left="2940"/>
              <w:spacing w:after="0"/>
              <w:rPr>
                <w:sz w:val="20"/>
                <w:szCs w:val="20"/>
                <w:color w:val="auto"/>
              </w:rPr>
            </w:pPr>
            <w:r>
              <w:rPr>
                <w:rFonts w:ascii="Times New Roman" w:cs="Times New Roman" w:eastAsia="Times New Roman" w:hAnsi="Times New Roman"/>
                <w:sz w:val="17"/>
                <w:szCs w:val="17"/>
                <w:color w:val="auto"/>
              </w:rPr>
              <w:t>Director</w:t>
            </w:r>
          </w:p>
        </w:tc>
      </w:tr>
      <w:tr>
        <w:trPr>
          <w:trHeight w:val="214"/>
        </w:trPr>
        <w:tc>
          <w:tcPr>
            <w:tcW w:w="46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George L. Sing</w:t>
            </w:r>
          </w:p>
        </w:tc>
        <w:tc>
          <w:tcPr>
            <w:tcW w:w="6680" w:type="dxa"/>
            <w:vAlign w:val="bottom"/>
          </w:tcPr>
          <w:p>
            <w:pPr>
              <w:spacing w:after="0"/>
              <w:rPr>
                <w:sz w:val="18"/>
                <w:szCs w:val="18"/>
                <w:color w:val="auto"/>
              </w:rPr>
            </w:pPr>
          </w:p>
        </w:tc>
      </w:tr>
      <w:tr>
        <w:trPr>
          <w:trHeight w:val="543"/>
        </w:trPr>
        <w:tc>
          <w:tcPr>
            <w:tcW w:w="4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50</w:t>
            </w:r>
          </w:p>
        </w:tc>
      </w:tr>
      <w:tr>
        <w:trPr>
          <w:trHeight w:val="207"/>
        </w:trPr>
        <w:tc>
          <w:tcPr>
            <w:tcW w:w="46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66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53" w:name="page54"/>
    <w:bookmarkEnd w:id="5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Page</w:t>
            </w:r>
          </w:p>
        </w:tc>
        <w:tc>
          <w:tcPr>
            <w:tcW w:w="560" w:type="dxa"/>
            <w:vAlign w:val="bottom"/>
          </w:tcPr>
          <w:p>
            <w:pPr>
              <w:spacing w:after="0"/>
              <w:rPr>
                <w:sz w:val="12"/>
                <w:szCs w:val="12"/>
                <w:color w:val="auto"/>
              </w:rPr>
            </w:pPr>
          </w:p>
        </w:tc>
      </w:tr>
      <w:tr>
        <w:trPr>
          <w:trHeight w:val="159"/>
        </w:trPr>
        <w:tc>
          <w:tcPr>
            <w:tcW w:w="98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Numbers</w:t>
            </w:r>
          </w:p>
        </w:tc>
        <w:tc>
          <w:tcPr>
            <w:tcW w:w="560" w:type="dxa"/>
            <w:vAlign w:val="bottom"/>
          </w:tcPr>
          <w:p>
            <w:pPr>
              <w:spacing w:after="0"/>
              <w:rPr>
                <w:sz w:val="13"/>
                <w:szCs w:val="13"/>
                <w:color w:val="auto"/>
              </w:rPr>
            </w:pPr>
          </w:p>
        </w:tc>
      </w:tr>
      <w:tr>
        <w:trPr>
          <w:trHeight w:val="224"/>
        </w:trPr>
        <w:tc>
          <w:tcPr>
            <w:tcW w:w="982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9"/>
        </w:trPr>
        <w:tc>
          <w:tcPr>
            <w:tcW w:w="98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F-2 to F-3</w:t>
            </w:r>
          </w:p>
        </w:tc>
        <w:tc>
          <w:tcPr>
            <w:tcW w:w="560" w:type="dxa"/>
            <w:vAlign w:val="bottom"/>
          </w:tcPr>
          <w:p>
            <w:pPr>
              <w:spacing w:after="0"/>
              <w:rPr>
                <w:sz w:val="17"/>
                <w:szCs w:val="17"/>
                <w:color w:val="auto"/>
              </w:rPr>
            </w:pPr>
          </w:p>
        </w:tc>
      </w:tr>
      <w:tr>
        <w:trPr>
          <w:trHeight w:val="199"/>
        </w:trPr>
        <w:tc>
          <w:tcPr>
            <w:tcW w:w="98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Balance Sheets at December 31, 2005 and 2004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F-4</w:t>
            </w:r>
          </w:p>
        </w:tc>
        <w:tc>
          <w:tcPr>
            <w:tcW w:w="560" w:type="dxa"/>
            <w:vAlign w:val="bottom"/>
          </w:tcPr>
          <w:p>
            <w:pPr>
              <w:spacing w:after="0"/>
              <w:rPr>
                <w:sz w:val="17"/>
                <w:szCs w:val="17"/>
                <w:color w:val="auto"/>
              </w:rPr>
            </w:pPr>
          </w:p>
        </w:tc>
      </w:tr>
      <w:tr>
        <w:trPr>
          <w:trHeight w:val="199"/>
        </w:trPr>
        <w:tc>
          <w:tcPr>
            <w:tcW w:w="98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Statements of Operations for the years ended December 31, 2005, 2004, and 2003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w:t>
            </w:r>
          </w:p>
        </w:tc>
        <w:tc>
          <w:tcPr>
            <w:tcW w:w="560" w:type="dxa"/>
            <w:vAlign w:val="bottom"/>
          </w:tcPr>
          <w:p>
            <w:pPr>
              <w:spacing w:after="0"/>
              <w:rPr>
                <w:sz w:val="17"/>
                <w:szCs w:val="17"/>
                <w:color w:val="auto"/>
              </w:rPr>
            </w:pPr>
          </w:p>
        </w:tc>
      </w:tr>
      <w:tr>
        <w:trPr>
          <w:trHeight w:val="199"/>
        </w:trPr>
        <w:tc>
          <w:tcPr>
            <w:tcW w:w="98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Statements of Stockholders’ Equity for the years ended December 31, 2005, 2004, and 2003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F-6 to F-7</w:t>
            </w:r>
          </w:p>
        </w:tc>
        <w:tc>
          <w:tcPr>
            <w:tcW w:w="560" w:type="dxa"/>
            <w:vAlign w:val="bottom"/>
          </w:tcPr>
          <w:p>
            <w:pPr>
              <w:spacing w:after="0"/>
              <w:rPr>
                <w:sz w:val="17"/>
                <w:szCs w:val="17"/>
                <w:color w:val="auto"/>
              </w:rPr>
            </w:pPr>
          </w:p>
        </w:tc>
      </w:tr>
      <w:tr>
        <w:trPr>
          <w:trHeight w:val="199"/>
        </w:trPr>
        <w:tc>
          <w:tcPr>
            <w:tcW w:w="98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Statements of Cash Flows for the years ended December 31, 2005, 2004, and 2003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F-8</w:t>
            </w:r>
          </w:p>
        </w:tc>
        <w:tc>
          <w:tcPr>
            <w:tcW w:w="560" w:type="dxa"/>
            <w:vAlign w:val="bottom"/>
          </w:tcPr>
          <w:p>
            <w:pPr>
              <w:spacing w:after="0"/>
              <w:rPr>
                <w:sz w:val="17"/>
                <w:szCs w:val="17"/>
                <w:color w:val="auto"/>
              </w:rPr>
            </w:pPr>
          </w:p>
        </w:tc>
      </w:tr>
      <w:tr>
        <w:trPr>
          <w:trHeight w:val="216"/>
        </w:trPr>
        <w:tc>
          <w:tcPr>
            <w:tcW w:w="98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Notes to Financial Statements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F-9 to F-35</w:t>
            </w:r>
          </w:p>
        </w:tc>
        <w:tc>
          <w:tcPr>
            <w:tcW w:w="560" w:type="dxa"/>
            <w:vAlign w:val="bottom"/>
          </w:tcPr>
          <w:p>
            <w:pPr>
              <w:spacing w:after="0"/>
              <w:rPr>
                <w:sz w:val="18"/>
                <w:szCs w:val="18"/>
                <w:color w:val="auto"/>
              </w:rPr>
            </w:pPr>
          </w:p>
        </w:tc>
      </w:tr>
      <w:tr>
        <w:trPr>
          <w:trHeight w:val="571"/>
        </w:trPr>
        <w:tc>
          <w:tcPr>
            <w:tcW w:w="982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F-1</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7"/>
        </w:trPr>
        <w:tc>
          <w:tcPr>
            <w:tcW w:w="98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54" w:name="page55"/>
    <w:bookmarkEnd w:id="5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3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115" w:lineRule="exact"/>
        <w:rPr>
          <w:sz w:val="20"/>
          <w:szCs w:val="20"/>
          <w:color w:val="auto"/>
        </w:rPr>
      </w:pPr>
    </w:p>
    <w:p>
      <w:pPr>
        <w:ind w:left="460" w:right="80" w:firstLine="312"/>
        <w:spacing w:after="0" w:line="256" w:lineRule="auto"/>
        <w:rPr>
          <w:sz w:val="20"/>
          <w:szCs w:val="20"/>
          <w:color w:val="auto"/>
        </w:rPr>
      </w:pPr>
      <w:r>
        <w:rPr>
          <w:rFonts w:ascii="Times New Roman" w:cs="Times New Roman" w:eastAsia="Times New Roman" w:hAnsi="Times New Roman"/>
          <w:sz w:val="17"/>
          <w:szCs w:val="17"/>
          <w:color w:val="auto"/>
        </w:rPr>
        <w:t>We have completed integrated audits of Regeneron Pharmaceuticals, Inc.’s 2005 and 2004 financial statements and of its internal control over financial reporting as of December 31, 2005 and an audit of its 2003 financial statements in accordance with the standards of the Public Company Accounting Oversight Board (United States). Our opinions, based on our audits, are presented below.</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u w:val="single" w:color="auto"/>
          <w:color w:val="auto"/>
        </w:rPr>
        <w:t>Financial statements</w:t>
      </w:r>
    </w:p>
    <w:p>
      <w:pPr>
        <w:spacing w:after="0" w:line="289" w:lineRule="exact"/>
        <w:rPr>
          <w:sz w:val="20"/>
          <w:szCs w:val="20"/>
          <w:color w:val="auto"/>
        </w:rPr>
      </w:pPr>
    </w:p>
    <w:p>
      <w:pPr>
        <w:ind w:left="460" w:right="20" w:firstLine="312"/>
        <w:spacing w:after="0" w:line="247" w:lineRule="auto"/>
        <w:rPr>
          <w:sz w:val="20"/>
          <w:szCs w:val="20"/>
          <w:color w:val="auto"/>
        </w:rPr>
      </w:pPr>
      <w:r>
        <w:rPr>
          <w:rFonts w:ascii="Times New Roman" w:cs="Times New Roman" w:eastAsia="Times New Roman" w:hAnsi="Times New Roman"/>
          <w:sz w:val="17"/>
          <w:szCs w:val="17"/>
          <w:color w:val="auto"/>
        </w:rPr>
        <w:t>In our opinion, the financial statements listed in the accompanying index present fairly, in all material respects, the financial position of Regeneron Pharmaceuticals, Inc. at December 31, 2005 and 2004, and the results of its operations and its cash flows for each of the three years in the period ended December 31, 2005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u w:val="single" w:color="auto"/>
          <w:color w:val="auto"/>
        </w:rPr>
        <w:t>Internal control over financial reporting</w:t>
      </w:r>
    </w:p>
    <w:p>
      <w:pPr>
        <w:spacing w:after="0" w:line="301" w:lineRule="exact"/>
        <w:rPr>
          <w:sz w:val="20"/>
          <w:szCs w:val="20"/>
          <w:color w:val="auto"/>
        </w:rPr>
      </w:pPr>
    </w:p>
    <w:p>
      <w:pPr>
        <w:ind w:left="460" w:firstLine="312"/>
        <w:spacing w:after="0" w:line="246" w:lineRule="auto"/>
        <w:rPr>
          <w:sz w:val="20"/>
          <w:szCs w:val="20"/>
          <w:color w:val="auto"/>
        </w:rPr>
      </w:pPr>
      <w:r>
        <w:rPr>
          <w:rFonts w:ascii="Times New Roman" w:cs="Times New Roman" w:eastAsia="Times New Roman" w:hAnsi="Times New Roman"/>
          <w:sz w:val="17"/>
          <w:szCs w:val="17"/>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2005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w:t>
      </w:r>
      <w:r>
        <w:rPr>
          <w:rFonts w:ascii="Times New Roman" w:cs="Times New Roman" w:eastAsia="Times New Roman" w:hAnsi="Times New Roman"/>
          <w:sz w:val="17"/>
          <w:szCs w:val="17"/>
          <w:color w:val="auto"/>
        </w:rPr>
        <w:t>issued by the Committee of Sponsoring Organizations of the Treadway Commission (COSO), is fairly stated, in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material respects, based on those criteria. Furthermore, in our opinion, the Company maintained, in all material respects, effective internal control over financial reporting as of December 31, 2005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91" w:lineRule="exact"/>
        <w:rPr>
          <w:sz w:val="20"/>
          <w:szCs w:val="20"/>
          <w:color w:val="auto"/>
        </w:rPr>
      </w:pPr>
    </w:p>
    <w:p>
      <w:pPr>
        <w:ind w:left="460" w:right="40" w:firstLine="312"/>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w:t>
      </w:r>
    </w:p>
    <w:p>
      <w:pPr>
        <w:spacing w:after="0" w:line="3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55" w:name="page56"/>
    <w:bookmarkEnd w:id="5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jc w:val="both"/>
        <w:ind w:left="460" w:right="420"/>
        <w:spacing w:after="0" w:line="256" w:lineRule="auto"/>
        <w:rPr>
          <w:sz w:val="20"/>
          <w:szCs w:val="20"/>
          <w:color w:val="auto"/>
        </w:rPr>
      </w:pPr>
      <w:r>
        <w:rPr>
          <w:rFonts w:ascii="Times New Roman" w:cs="Times New Roman" w:eastAsia="Times New Roman" w:hAnsi="Times New Roman"/>
          <w:sz w:val="17"/>
          <w:szCs w:val="17"/>
          <w:color w:val="auto"/>
        </w:rPr>
        <w:t>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3" w:lineRule="exact"/>
        <w:rPr>
          <w:sz w:val="20"/>
          <w:szCs w:val="20"/>
          <w:color w:val="auto"/>
        </w:rPr>
      </w:pPr>
    </w:p>
    <w:p>
      <w:pPr>
        <w:ind w:left="460" w:firstLine="312"/>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PricewaterhouseCoopers LLP</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February 27, 2006</w:t>
      </w:r>
    </w:p>
    <w:p>
      <w:pPr>
        <w:spacing w:after="0" w:line="34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56" w:name="page57"/>
    <w:bookmarkEnd w:id="5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December 31, 2005 and 2004</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2005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3"/>
                <w:szCs w:val="13"/>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Times New Roman" w:cs="Times New Roman" w:eastAsia="Times New Roman" w:hAnsi="Times New Roman"/>
                <w:sz w:val="12"/>
                <w:szCs w:val="12"/>
                <w:b w:val="1"/>
                <w:bCs w:val="1"/>
                <w:i w:val="1"/>
                <w:iCs w:val="1"/>
                <w:color w:val="auto"/>
              </w:rPr>
              <w:t>(In</w:t>
            </w:r>
          </w:p>
        </w:tc>
        <w:tc>
          <w:tcPr>
            <w:tcW w:w="1140" w:type="dxa"/>
            <w:vAlign w:val="bottom"/>
            <w:gridSpan w:val="4"/>
          </w:tcPr>
          <w:p>
            <w:pPr>
              <w:jc w:val="right"/>
              <w:ind w:right="458"/>
              <w:spacing w:after="0" w:line="105" w:lineRule="exact"/>
              <w:rPr>
                <w:sz w:val="20"/>
                <w:szCs w:val="20"/>
                <w:color w:val="auto"/>
              </w:rPr>
            </w:pPr>
            <w:r>
              <w:rPr>
                <w:rFonts w:ascii="Times New Roman" w:cs="Times New Roman" w:eastAsia="Times New Roman" w:hAnsi="Times New Roman"/>
                <w:sz w:val="12"/>
                <w:szCs w:val="12"/>
                <w:b w:val="1"/>
                <w:bCs w:val="1"/>
                <w:i w:val="1"/>
                <w:iCs w:val="1"/>
                <w:color w:val="auto"/>
              </w:rPr>
              <w:t>thousands,</w:t>
            </w:r>
          </w:p>
        </w:tc>
        <w:tc>
          <w:tcPr>
            <w:tcW w:w="100" w:type="dxa"/>
            <w:vAlign w:val="bottom"/>
          </w:tcPr>
          <w:p>
            <w:pPr>
              <w:spacing w:after="0"/>
              <w:rPr>
                <w:sz w:val="9"/>
                <w:szCs w:val="9"/>
                <w:color w:val="auto"/>
              </w:rPr>
            </w:pPr>
          </w:p>
        </w:tc>
      </w:tr>
      <w:tr>
        <w:trPr>
          <w:trHeight w:val="176"/>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i w:val="1"/>
                <w:iCs w:val="1"/>
                <w:color w:val="auto"/>
              </w:rPr>
              <w:t>except share data)</w:t>
            </w:r>
          </w:p>
        </w:tc>
      </w:tr>
      <w:tr>
        <w:trPr>
          <w:trHeight w:val="35"/>
        </w:trPr>
        <w:tc>
          <w:tcPr>
            <w:tcW w:w="20" w:type="dxa"/>
            <w:vAlign w:val="bottom"/>
          </w:tcPr>
          <w:p>
            <w:pPr>
              <w:spacing w:after="0"/>
              <w:rPr>
                <w:sz w:val="3"/>
                <w:szCs w:val="3"/>
                <w:color w:val="auto"/>
              </w:rPr>
            </w:pPr>
          </w:p>
        </w:tc>
        <w:tc>
          <w:tcPr>
            <w:tcW w:w="8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184,508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95,229</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114,037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200,753</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43,102</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1,642</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341,392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343,955</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52,930</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at cost, net of accumulated depreciation and amortization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71,239</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423,501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473,108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23,337</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18,872</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15,267</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34,139</w:t>
            </w: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69,142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56,426</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290,565</w:t>
            </w: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$.01 par value; 30,000,000 shares authorized; issued and outstanding — none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8300" w:type="dxa"/>
            <w:vAlign w:val="bottom"/>
          </w:tcPr>
          <w:p>
            <w:pPr>
              <w:ind w:left="140"/>
              <w:spacing w:after="0" w:line="182" w:lineRule="exact"/>
              <w:rPr>
                <w:sz w:val="20"/>
                <w:szCs w:val="20"/>
                <w:color w:val="auto"/>
              </w:rPr>
            </w:pPr>
            <w:r>
              <w:rPr>
                <w:rFonts w:ascii="Times New Roman" w:cs="Times New Roman" w:eastAsia="Times New Roman" w:hAnsi="Times New Roman"/>
                <w:sz w:val="17"/>
                <w:szCs w:val="17"/>
                <w:color w:val="auto"/>
                <w:w w:val="98"/>
              </w:rPr>
              <w:t>Class A Stock, convertible, $.001 par value; 40,000,000 shares authorized; shares issued and outstanding — 2,347,073 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2005 and 2,358,373 in 2004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830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$.001 par value; 160,000,000 shares authorized; shares issued and outstanding — 54,092,268 in 2005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and 53,502,004 in 2004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675,389</w:t>
            </w:r>
          </w:p>
        </w:tc>
        <w:tc>
          <w:tcPr>
            <w:tcW w:w="1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Unearned compensation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(315)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(2,299)</w:t>
            </w:r>
          </w:p>
        </w:tc>
      </w:tr>
      <w:tr>
        <w:trPr>
          <w:trHeight w:val="199"/>
        </w:trPr>
        <w:tc>
          <w:tcPr>
            <w:tcW w:w="20" w:type="dxa"/>
            <w:vAlign w:val="bottom"/>
          </w:tcPr>
          <w:p>
            <w:pPr>
              <w:spacing w:after="0"/>
              <w:rPr>
                <w:sz w:val="17"/>
                <w:szCs w:val="17"/>
                <w:color w:val="auto"/>
              </w:rPr>
            </w:pPr>
          </w:p>
        </w:tc>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w w:val="99"/>
              </w:rPr>
              <w:t>(585,280)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(489,834)</w:t>
            </w: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(470)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(769)</w:t>
            </w:r>
          </w:p>
        </w:tc>
      </w:tr>
      <w:tr>
        <w:trPr>
          <w:trHeight w:val="208"/>
        </w:trPr>
        <w:tc>
          <w:tcPr>
            <w:tcW w:w="20" w:type="dxa"/>
            <w:vAlign w:val="bottom"/>
          </w:tcPr>
          <w:p>
            <w:pPr>
              <w:spacing w:after="0"/>
              <w:rPr>
                <w:sz w:val="18"/>
                <w:szCs w:val="18"/>
                <w:color w:val="auto"/>
              </w:rPr>
            </w:pPr>
          </w:p>
        </w:tc>
        <w:tc>
          <w:tcPr>
            <w:tcW w:w="8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182,543</w:t>
            </w:r>
          </w:p>
        </w:tc>
        <w:tc>
          <w:tcPr>
            <w:tcW w:w="10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8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423,501</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473,108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37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860"/>
          </w:cols>
          <w:pgMar w:left="240" w:top="393" w:right="799" w:bottom="1440" w:gutter="0" w:footer="0" w:header="0"/>
        </w:sectPr>
      </w:pPr>
    </w:p>
    <w:bookmarkStart w:id="57" w:name="page58"/>
    <w:bookmarkEnd w:id="5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For the Years Ended December 31, 2005, 2004, and 2003</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2005</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w w:val="70"/>
              </w:rPr>
              <w:t>thousands,</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share</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i w:val="1"/>
                <w:iCs w:val="1"/>
                <w:color w:val="auto"/>
              </w:rPr>
              <w:t>(In</w:t>
            </w:r>
          </w:p>
        </w:tc>
        <w:tc>
          <w:tcPr>
            <w:tcW w:w="400" w:type="dxa"/>
            <w:vAlign w:val="bottom"/>
            <w:vMerge w:val="continue"/>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except per</w:t>
            </w:r>
          </w:p>
        </w:tc>
        <w:tc>
          <w:tcPr>
            <w:tcW w:w="400" w:type="dxa"/>
            <w:vAlign w:val="bottom"/>
            <w:vMerge w:val="continue"/>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auto"/>
              </w:rPr>
              <w:t>52,447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113,157</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47,366</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progress payments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42,770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manufacturing</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13,746</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18,090</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10,131</w:t>
            </w:r>
          </w:p>
        </w:tc>
        <w:tc>
          <w:tcPr>
            <w:tcW w:w="0" w:type="dxa"/>
            <w:vAlign w:val="bottom"/>
          </w:tcPr>
          <w:p>
            <w:pPr>
              <w:spacing w:after="0"/>
              <w:rPr>
                <w:sz w:val="1"/>
                <w:szCs w:val="1"/>
                <w:color w:val="auto"/>
              </w:rPr>
            </w:pPr>
          </w:p>
        </w:tc>
      </w:tr>
      <w:tr>
        <w:trPr>
          <w:trHeight w:val="25"/>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66,193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174,017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57,497</w:t>
            </w:r>
          </w:p>
        </w:tc>
        <w:tc>
          <w:tcPr>
            <w:tcW w:w="0" w:type="dxa"/>
            <w:vAlign w:val="bottom"/>
          </w:tcPr>
          <w:p>
            <w:pPr>
              <w:spacing w:after="0"/>
              <w:rPr>
                <w:sz w:val="1"/>
                <w:szCs w:val="1"/>
                <w:color w:val="auto"/>
              </w:rPr>
            </w:pPr>
          </w:p>
        </w:tc>
      </w:tr>
      <w:tr>
        <w:trPr>
          <w:trHeight w:val="204"/>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Expenses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rPr>
              <w:t>155,581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136,095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136,024</w:t>
            </w: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manufacturing</w:t>
            </w:r>
          </w:p>
        </w:tc>
        <w:tc>
          <w:tcPr>
            <w:tcW w:w="100" w:type="dxa"/>
            <w:vAlign w:val="bottom"/>
          </w:tcPr>
          <w:p>
            <w:pPr>
              <w:spacing w:after="0"/>
              <w:rPr>
                <w:sz w:val="17"/>
                <w:szCs w:val="17"/>
                <w:color w:val="auto"/>
              </w:rPr>
            </w:pPr>
          </w:p>
        </w:tc>
        <w:tc>
          <w:tcPr>
            <w:tcW w:w="100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auto"/>
              </w:rPr>
              <w:t>9,557</w:t>
            </w:r>
          </w:p>
        </w:tc>
        <w:tc>
          <w:tcPr>
            <w:tcW w:w="120" w:type="dxa"/>
            <w:vAlign w:val="bottom"/>
          </w:tcPr>
          <w:p>
            <w:pPr>
              <w:spacing w:after="0"/>
              <w:rPr>
                <w:sz w:val="17"/>
                <w:szCs w:val="17"/>
                <w:color w:val="auto"/>
              </w:rPr>
            </w:pPr>
          </w:p>
        </w:tc>
        <w:tc>
          <w:tcPr>
            <w:tcW w:w="9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15,214</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6,676</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rPr>
              <w:t>25,476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17,062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14,785</w:t>
            </w:r>
          </w:p>
        </w:tc>
        <w:tc>
          <w:tcPr>
            <w:tcW w:w="0" w:type="dxa"/>
            <w:vAlign w:val="bottom"/>
          </w:tcPr>
          <w:p>
            <w:pPr>
              <w:spacing w:after="0"/>
              <w:rPr>
                <w:sz w:val="1"/>
                <w:szCs w:val="1"/>
                <w:color w:val="auto"/>
              </w:rPr>
            </w:pPr>
          </w:p>
        </w:tc>
      </w:tr>
      <w:tr>
        <w:trPr>
          <w:trHeight w:val="208"/>
        </w:trPr>
        <w:tc>
          <w:tcPr>
            <w:tcW w:w="6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190,614</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168,371</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w w:val="96"/>
              </w:rPr>
              <w:t>(124,421)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5,646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(99,988)</w:t>
            </w:r>
          </w:p>
        </w:tc>
        <w:tc>
          <w:tcPr>
            <w:tcW w:w="0" w:type="dxa"/>
            <w:vAlign w:val="bottom"/>
          </w:tcPr>
          <w:p>
            <w:pPr>
              <w:spacing w:after="0"/>
              <w:rPr>
                <w:sz w:val="1"/>
                <w:szCs w:val="1"/>
                <w:color w:val="auto"/>
              </w:rPr>
            </w:pPr>
          </w:p>
        </w:tc>
      </w:tr>
      <w:tr>
        <w:trPr>
          <w:trHeight w:val="204"/>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contract income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rPr>
              <w:t>30,640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42,750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income</w:t>
            </w:r>
          </w:p>
        </w:tc>
        <w:tc>
          <w:tcPr>
            <w:tcW w:w="100" w:type="dxa"/>
            <w:vAlign w:val="bottom"/>
          </w:tcPr>
          <w:p>
            <w:pPr>
              <w:spacing w:after="0"/>
              <w:rPr>
                <w:sz w:val="17"/>
                <w:szCs w:val="17"/>
                <w:color w:val="auto"/>
              </w:rPr>
            </w:pPr>
          </w:p>
        </w:tc>
        <w:tc>
          <w:tcPr>
            <w:tcW w:w="100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auto"/>
              </w:rPr>
              <w:t>10,381</w:t>
            </w:r>
          </w:p>
        </w:tc>
        <w:tc>
          <w:tcPr>
            <w:tcW w:w="120" w:type="dxa"/>
            <w:vAlign w:val="bottom"/>
          </w:tcPr>
          <w:p>
            <w:pPr>
              <w:spacing w:after="0"/>
              <w:rPr>
                <w:sz w:val="17"/>
                <w:szCs w:val="17"/>
                <w:color w:val="auto"/>
              </w:rPr>
            </w:pPr>
          </w:p>
        </w:tc>
        <w:tc>
          <w:tcPr>
            <w:tcW w:w="9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5,478</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4,462</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rPr>
              <w:t>(12,046)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(12,175)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(11,932)</w:t>
            </w:r>
          </w:p>
        </w:tc>
        <w:tc>
          <w:tcPr>
            <w:tcW w:w="0" w:type="dxa"/>
            <w:vAlign w:val="bottom"/>
          </w:tcPr>
          <w:p>
            <w:pPr>
              <w:spacing w:after="0"/>
              <w:rPr>
                <w:sz w:val="1"/>
                <w:szCs w:val="1"/>
                <w:color w:val="auto"/>
              </w:rPr>
            </w:pPr>
          </w:p>
        </w:tc>
      </w:tr>
      <w:tr>
        <w:trPr>
          <w:trHeight w:val="208"/>
        </w:trPr>
        <w:tc>
          <w:tcPr>
            <w:tcW w:w="6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28,975</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36,053</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rPr>
              <w:t>(95,446)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41,699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6"/>
              </w:rPr>
              <w:t>(107,458)</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79"/>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0.74</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tcPr>
          <w:p>
            <w:pPr>
              <w:spacing w:after="0"/>
              <w:rPr>
                <w:sz w:val="17"/>
                <w:szCs w:val="17"/>
                <w:color w:val="auto"/>
              </w:rPr>
            </w:pPr>
          </w:p>
        </w:tc>
        <w:tc>
          <w:tcPr>
            <w:tcW w:w="100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auto"/>
              </w:rPr>
              <w:t>55,950</w:t>
            </w:r>
          </w:p>
        </w:tc>
        <w:tc>
          <w:tcPr>
            <w:tcW w:w="120" w:type="dxa"/>
            <w:vAlign w:val="bottom"/>
          </w:tcPr>
          <w:p>
            <w:pPr>
              <w:spacing w:after="0"/>
              <w:rPr>
                <w:sz w:val="17"/>
                <w:szCs w:val="17"/>
                <w:color w:val="auto"/>
              </w:rPr>
            </w:pPr>
          </w:p>
        </w:tc>
        <w:tc>
          <w:tcPr>
            <w:tcW w:w="96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55,419</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50,490</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7"/>
                <w:szCs w:val="17"/>
                <w:color w:val="auto"/>
              </w:rPr>
              <w:t>55,950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56,172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50,490</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58" w:name="page59"/>
    <w:bookmarkEnd w:id="5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STATEMENTS OF STOCKHOLDERS’ EQUITY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2005, 2004, and 2003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Class A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6"/>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94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4"/>
          </w:tcPr>
          <w:p>
            <w:pPr>
              <w:jc w:val="center"/>
              <w:ind w:right="40"/>
              <w:spacing w:after="0" w:line="14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4"/>
          </w:tcPr>
          <w:p>
            <w:pPr>
              <w:jc w:val="center"/>
              <w:ind w:right="20"/>
              <w:spacing w:after="0" w:line="147"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04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960" w:type="dxa"/>
            <w:vAlign w:val="bottom"/>
            <w:gridSpan w:val="3"/>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2002</w:t>
            </w:r>
          </w:p>
        </w:tc>
        <w:tc>
          <w:tcPr>
            <w:tcW w:w="6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2,491</w:t>
            </w:r>
          </w:p>
        </w:tc>
        <w:tc>
          <w:tcPr>
            <w:tcW w:w="420" w:type="dxa"/>
            <w:vAlign w:val="bottom"/>
            <w:gridSpan w:val="2"/>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41,746</w:t>
            </w:r>
          </w:p>
        </w:tc>
        <w:tc>
          <w:tcPr>
            <w:tcW w:w="28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573,184</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(3,643)</w:t>
            </w:r>
          </w:p>
        </w:tc>
        <w:tc>
          <w:tcPr>
            <w:tcW w:w="2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(424,075)</w:t>
            </w:r>
          </w:p>
        </w:tc>
        <w:tc>
          <w:tcPr>
            <w:tcW w:w="240" w:type="dxa"/>
            <w:vAlign w:val="bottom"/>
            <w:gridSpan w:val="2"/>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471</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145,981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601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1,941</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 net of shares tendered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Issuance of Common Stock to Novartis Pharma AG</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7,527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47,992</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48,000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 to the sanofi-aventis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2,800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44,997</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Group</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Issuance of Common Stock to Merck &amp; Co. Inc.</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Company 401(k) Savings Plan contribution</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Conversion of Class A Stock to Common Stock</w:t>
            </w:r>
          </w:p>
        </w:tc>
        <w:tc>
          <w:tcPr>
            <w:tcW w:w="60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restricted Common Stock under Long-</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2,757</w:t>
            </w:r>
          </w:p>
        </w:tc>
        <w:tc>
          <w:tcPr>
            <w:tcW w:w="10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(2,757)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Term Incentive Plan, net of forfeitures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2,299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2,299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Net loss, 2003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(107,458)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(107,458)</w:t>
            </w:r>
          </w:p>
        </w:tc>
        <w:tc>
          <w:tcPr>
            <w:tcW w:w="32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(107,458)</w:t>
            </w:r>
          </w:p>
        </w:tc>
        <w:tc>
          <w:tcPr>
            <w:tcW w:w="0" w:type="dxa"/>
            <w:vAlign w:val="bottom"/>
          </w:tcPr>
          <w:p>
            <w:pPr>
              <w:spacing w:after="0"/>
              <w:rPr>
                <w:sz w:val="1"/>
                <w:szCs w:val="1"/>
                <w:color w:val="auto"/>
              </w:rPr>
            </w:pPr>
          </w:p>
        </w:tc>
      </w:tr>
      <w:tr>
        <w:trPr>
          <w:trHeight w:val="116"/>
        </w:trPr>
        <w:tc>
          <w:tcPr>
            <w:tcW w:w="3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Change in net unrealized gain (loss) on marketable</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2003</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53,166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673,118</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(531,533)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137,643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(107,825)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in connection with</w:t>
            </w: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1,501</w:t>
            </w: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stock options, net of shares tendered</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Repurchase of Common Stock from Merck &amp; Co.,</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(888)</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Company 401(k) Savings Plan contribution</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Conversion of Class A Stock to Common Stock</w:t>
            </w:r>
          </w:p>
        </w:tc>
        <w:tc>
          <w:tcPr>
            <w:tcW w:w="60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Issuance of restricted Common Stock under Long-</w:t>
            </w: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Term Incentive Plan, net of forfeitures</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2,543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2,543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income, 2004</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41,699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41,699</w:t>
            </w:r>
          </w:p>
        </w:tc>
        <w:tc>
          <w:tcPr>
            <w:tcW w:w="320" w:type="dxa"/>
            <w:vAlign w:val="bottom"/>
            <w:gridSpan w:val="2"/>
            <w:shd w:val="clear" w:color="auto" w:fill="CCEEFF"/>
          </w:tcPr>
          <w:p>
            <w:pPr>
              <w:ind w:lef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41,699</w:t>
            </w: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Change in net unrealized gain (loss) on marketable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(873)</w:t>
            </w: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Balance, December 31, 2004</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2,358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53,502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675,389</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(2,299)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(489,834)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(769)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182,543</w:t>
            </w:r>
          </w:p>
        </w:tc>
        <w:tc>
          <w:tcPr>
            <w:tcW w:w="320" w:type="dxa"/>
            <w:vAlign w:val="bottom"/>
            <w:gridSpan w:val="2"/>
            <w:shd w:val="clear" w:color="auto" w:fill="CCEEFF"/>
          </w:tcPr>
          <w:p>
            <w:pPr>
              <w:ind w:lef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40,826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3"/>
                <w:szCs w:val="13"/>
                <w:color w:val="auto"/>
              </w:rPr>
              <w:t>(Continued)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STATEMENTS OF STOCKHOLDERS’ EQUITY — (Continued)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2005, 2004, and 2003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Class A 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6"/>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94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4"/>
          </w:tcPr>
          <w:p>
            <w:pPr>
              <w:jc w:val="center"/>
              <w:ind w:right="40"/>
              <w:spacing w:after="0" w:line="14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4"/>
          </w:tcPr>
          <w:p>
            <w:pPr>
              <w:jc w:val="center"/>
              <w:ind w:right="20"/>
              <w:spacing w:after="0" w:line="147"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040" w:type="dxa"/>
            <w:vAlign w:val="bottom"/>
            <w:gridSpan w:val="4"/>
          </w:tcPr>
          <w:p>
            <w:pPr>
              <w:ind w:left="80"/>
              <w:spacing w:after="0" w:line="14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gridSpan w:val="2"/>
          </w:tcPr>
          <w:p>
            <w:pPr>
              <w:spacing w:after="0"/>
              <w:rPr>
                <w:sz w:val="11"/>
                <w:szCs w:val="11"/>
                <w:color w:val="auto"/>
              </w:rPr>
            </w:pPr>
          </w:p>
        </w:tc>
        <w:tc>
          <w:tcPr>
            <w:tcW w:w="54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1"/>
                <w:szCs w:val="11"/>
                <w:color w:val="auto"/>
              </w:rPr>
            </w:pPr>
          </w:p>
        </w:tc>
        <w:tc>
          <w:tcPr>
            <w:tcW w:w="100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4,081</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4,081</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stock options, net of shares tendered</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Company 401(k) Savings Plan contribution</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Conversion of Class A Stock to Common Stock</w:t>
            </w:r>
          </w:p>
        </w:tc>
        <w:tc>
          <w:tcPr>
            <w:tcW w:w="600" w:type="dxa"/>
            <w:vAlign w:val="bottom"/>
            <w:gridSpan w:val="3"/>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Forfeitures of restricted Common Stock under Long-</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Term Incentive Plan</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0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19,963</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1,930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21,893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Net loss, 2005</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1"/>
              <w:spacing w:after="0" w:line="137" w:lineRule="exact"/>
              <w:rPr>
                <w:sz w:val="20"/>
                <w:szCs w:val="20"/>
                <w:color w:val="auto"/>
              </w:rPr>
            </w:pPr>
            <w:r>
              <w:rPr>
                <w:rFonts w:ascii="Times New Roman" w:cs="Times New Roman" w:eastAsia="Times New Roman" w:hAnsi="Times New Roman"/>
                <w:sz w:val="13"/>
                <w:szCs w:val="13"/>
                <w:color w:val="auto"/>
              </w:rPr>
              <w:t>(95,446)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(95,446)</w:t>
            </w:r>
          </w:p>
        </w:tc>
        <w:tc>
          <w:tcPr>
            <w:tcW w:w="3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(95,446)</w:t>
            </w:r>
          </w:p>
        </w:tc>
        <w:tc>
          <w:tcPr>
            <w:tcW w:w="0" w:type="dxa"/>
            <w:vAlign w:val="bottom"/>
          </w:tcPr>
          <w:p>
            <w:pPr>
              <w:spacing w:after="0"/>
              <w:rPr>
                <w:sz w:val="1"/>
                <w:szCs w:val="1"/>
                <w:color w:val="auto"/>
              </w:rPr>
            </w:pPr>
          </w:p>
        </w:tc>
      </w:tr>
      <w:tr>
        <w:trPr>
          <w:trHeight w:val="116"/>
        </w:trPr>
        <w:tc>
          <w:tcPr>
            <w:tcW w:w="30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Change in net unrealized gain (loss) on marketable</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securities</w:t>
            </w:r>
          </w:p>
        </w:tc>
        <w:tc>
          <w:tcPr>
            <w:tcW w:w="48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2005</w:t>
            </w: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2,347</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54,092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700,011</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(585,280</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114,002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60" w:name="page61"/>
    <w:bookmarkEnd w:id="6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2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For the Years Ended December 31, 2005, 2004, and 2003</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2005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(95,446)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41,699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6"/>
              </w:rPr>
              <w:t>(107,458)</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(loss) to net cash used in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15,504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15,362</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12,937</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2,543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2,562</w:t>
            </w: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expense related to a license agreement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Forgiveness of loan payable to Novartis Pharma AG, inclusive of accrued 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(17,770)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Decrease (increase) in accounts receivable</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6,581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(27,573)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(11,512)</w:t>
            </w:r>
          </w:p>
        </w:tc>
        <w:tc>
          <w:tcPr>
            <w:tcW w:w="0" w:type="dxa"/>
            <w:vAlign w:val="bottom"/>
          </w:tcPr>
          <w:p>
            <w:pPr>
              <w:spacing w:after="0"/>
              <w:rPr>
                <w:sz w:val="1"/>
                <w:szCs w:val="1"/>
                <w:color w:val="auto"/>
              </w:rPr>
            </w:pPr>
          </w:p>
        </w:tc>
      </w:tr>
      <w:tr>
        <w:trPr>
          <w:trHeight w:val="199"/>
        </w:trPr>
        <w:tc>
          <w:tcPr>
            <w:tcW w:w="6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Decrease (increase) in prepaid expenses and other assets</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(1,799)</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589</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Decrease (increase) in inventory</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6,914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(1,049)</w:t>
            </w:r>
          </w:p>
        </w:tc>
        <w:tc>
          <w:tcPr>
            <w:tcW w:w="0" w:type="dxa"/>
            <w:vAlign w:val="bottom"/>
          </w:tcPr>
          <w:p>
            <w:pPr>
              <w:spacing w:after="0"/>
              <w:rPr>
                <w:sz w:val="1"/>
                <w:szCs w:val="1"/>
                <w:color w:val="auto"/>
              </w:rPr>
            </w:pPr>
          </w:p>
        </w:tc>
      </w:tr>
      <w:tr>
        <w:trPr>
          <w:trHeight w:val="199"/>
        </w:trPr>
        <w:tc>
          <w:tcPr>
            <w:tcW w:w="69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Increase (decrease) in deferred revenue</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14,469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(37,310)</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93,869</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Increase in accounts payable, accrued expenses, and other liabilities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5,413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1,025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2,429</w:t>
            </w:r>
          </w:p>
        </w:tc>
        <w:tc>
          <w:tcPr>
            <w:tcW w:w="0" w:type="dxa"/>
            <w:vAlign w:val="bottom"/>
          </w:tcPr>
          <w:p>
            <w:pPr>
              <w:spacing w:after="0"/>
              <w:rPr>
                <w:sz w:val="1"/>
                <w:szCs w:val="1"/>
                <w:color w:val="auto"/>
              </w:rPr>
            </w:pPr>
          </w:p>
        </w:tc>
      </w:tr>
      <w:tr>
        <w:trPr>
          <w:trHeight w:val="208"/>
        </w:trPr>
        <w:tc>
          <w:tcPr>
            <w:tcW w:w="69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adjustments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(58,608)</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(30,296)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(16,909)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(6,133)</w:t>
            </w:r>
          </w:p>
        </w:tc>
        <w:tc>
          <w:tcPr>
            <w:tcW w:w="0" w:type="dxa"/>
            <w:vAlign w:val="bottom"/>
          </w:tcPr>
          <w:p>
            <w:pPr>
              <w:spacing w:after="0"/>
              <w:rPr>
                <w:sz w:val="1"/>
                <w:szCs w:val="1"/>
                <w:color w:val="auto"/>
              </w:rPr>
            </w:pPr>
          </w:p>
        </w:tc>
      </w:tr>
      <w:tr>
        <w:trPr>
          <w:trHeight w:val="204"/>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6"/>
              </w:rPr>
              <w:t>(102,990)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3"/>
              </w:rPr>
              <w:t>(268,244)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6"/>
              </w:rPr>
              <w:t>(284,647)</w:t>
            </w: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restricted marketable securities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(11,075)</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(11,055)</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Sales or maturities of marketable securities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223,448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273,587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253,691</w:t>
            </w: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Maturities of restricted marketable securities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22,126</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22,054</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expenditures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(4,964)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(6,174)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(29,656)</w:t>
            </w:r>
          </w:p>
        </w:tc>
        <w:tc>
          <w:tcPr>
            <w:tcW w:w="0" w:type="dxa"/>
            <w:vAlign w:val="bottom"/>
          </w:tcPr>
          <w:p>
            <w:pPr>
              <w:spacing w:after="0"/>
              <w:rPr>
                <w:sz w:val="1"/>
                <w:szCs w:val="1"/>
                <w:color w:val="auto"/>
              </w:rPr>
            </w:pPr>
          </w:p>
        </w:tc>
      </w:tr>
      <w:tr>
        <w:trPr>
          <w:trHeight w:val="208"/>
        </w:trPr>
        <w:tc>
          <w:tcPr>
            <w:tcW w:w="69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10,220</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(49,613)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proceeds from issuances of Common Stock</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4,081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94,678</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Borrowings under loan payable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3,827</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13,656</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lease payments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8"/>
        </w:trPr>
        <w:tc>
          <w:tcPr>
            <w:tcW w:w="69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89,279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52,438</w:t>
            </w:r>
          </w:p>
        </w:tc>
        <w:tc>
          <w:tcPr>
            <w:tcW w:w="0" w:type="dxa"/>
            <w:vAlign w:val="bottom"/>
          </w:tcPr>
          <w:p>
            <w:pPr>
              <w:spacing w:after="0"/>
              <w:rPr>
                <w:sz w:val="1"/>
                <w:szCs w:val="1"/>
                <w:color w:val="auto"/>
              </w:rPr>
            </w:pPr>
          </w:p>
        </w:tc>
      </w:tr>
      <w:tr>
        <w:trPr>
          <w:trHeight w:val="199"/>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97,477</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45,039</w:t>
            </w:r>
          </w:p>
        </w:tc>
        <w:tc>
          <w:tcPr>
            <w:tcW w:w="0" w:type="dxa"/>
            <w:vAlign w:val="bottom"/>
          </w:tcPr>
          <w:p>
            <w:pPr>
              <w:spacing w:after="0"/>
              <w:rPr>
                <w:sz w:val="1"/>
                <w:szCs w:val="1"/>
                <w:color w:val="auto"/>
              </w:rPr>
            </w:pPr>
          </w:p>
        </w:tc>
      </w:tr>
      <w:tr>
        <w:trPr>
          <w:trHeight w:val="25"/>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184,508</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95,229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97,477</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11,002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11,007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11,003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The accompanying notes are an integral part of the financial statements.</w:t>
      </w: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1" w:name="page62"/>
    <w:bookmarkEnd w:id="6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20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2005, 2004, and 2003</w:t>
      </w:r>
    </w:p>
    <w:p>
      <w:pPr>
        <w:spacing w:after="0" w:line="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194" w:lineRule="exact"/>
        <w:rPr>
          <w:sz w:val="20"/>
          <w:szCs w:val="20"/>
          <w:color w:val="auto"/>
        </w:rPr>
      </w:pPr>
    </w:p>
    <w:p>
      <w:pPr>
        <w:ind w:left="980" w:hanging="295"/>
        <w:spacing w:after="0"/>
        <w:tabs>
          <w:tab w:leader="none" w:pos="98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Business</w:t>
      </w:r>
    </w:p>
    <w:p>
      <w:pPr>
        <w:spacing w:after="0" w:line="119" w:lineRule="exact"/>
        <w:rPr>
          <w:sz w:val="20"/>
          <w:szCs w:val="20"/>
          <w:color w:val="auto"/>
        </w:rPr>
      </w:pPr>
    </w:p>
    <w:p>
      <w:pPr>
        <w:ind w:left="680" w:right="80" w:firstLine="398"/>
        <w:spacing w:after="0" w:line="273" w:lineRule="auto"/>
        <w:rPr>
          <w:sz w:val="20"/>
          <w:szCs w:val="20"/>
          <w:color w:val="auto"/>
        </w:rPr>
      </w:pPr>
      <w:r>
        <w:rPr>
          <w:rFonts w:ascii="Times New Roman" w:cs="Times New Roman" w:eastAsia="Times New Roman" w:hAnsi="Times New Roman"/>
          <w:sz w:val="16"/>
          <w:szCs w:val="16"/>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65" w:lineRule="exact"/>
        <w:rPr>
          <w:sz w:val="20"/>
          <w:szCs w:val="20"/>
          <w:color w:val="auto"/>
        </w:rPr>
      </w:pPr>
    </w:p>
    <w:p>
      <w:pPr>
        <w:ind w:left="980" w:hanging="295"/>
        <w:spacing w:after="0"/>
        <w:tabs>
          <w:tab w:leader="none" w:pos="9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19" w:lineRule="exact"/>
        <w:rPr>
          <w:sz w:val="20"/>
          <w:szCs w:val="20"/>
          <w:color w:val="auto"/>
        </w:rPr>
      </w:pPr>
    </w:p>
    <w:p>
      <w:pPr>
        <w:ind w:left="680" w:firstLine="398"/>
        <w:spacing w:after="0" w:line="252" w:lineRule="auto"/>
        <w:rPr>
          <w:sz w:val="20"/>
          <w:szCs w:val="20"/>
          <w:color w:val="auto"/>
        </w:rPr>
      </w:pPr>
      <w:r>
        <w:rPr>
          <w:rFonts w:ascii="Times New Roman" w:cs="Times New Roman" w:eastAsia="Times New Roman" w:hAnsi="Times New Roman"/>
          <w:sz w:val="17"/>
          <w:szCs w:val="17"/>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3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 years</w:t>
            </w:r>
          </w:p>
        </w:tc>
      </w:tr>
      <w:tr>
        <w:trPr>
          <w:trHeight w:val="19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Laboratory and computer equipment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95" w:lineRule="exact"/>
        <w:rPr>
          <w:sz w:val="20"/>
          <w:szCs w:val="20"/>
          <w:color w:val="auto"/>
        </w:rPr>
      </w:pPr>
    </w:p>
    <w:p>
      <w:pPr>
        <w:ind w:left="680" w:right="180" w:firstLine="398"/>
        <w:spacing w:after="0" w:line="256" w:lineRule="auto"/>
        <w:rPr>
          <w:sz w:val="20"/>
          <w:szCs w:val="20"/>
          <w:color w:val="auto"/>
        </w:rPr>
      </w:pPr>
      <w:r>
        <w:rPr>
          <w:rFonts w:ascii="Times New Roman" w:cs="Times New Roman" w:eastAsia="Times New Roman" w:hAnsi="Times New Roman"/>
          <w:sz w:val="17"/>
          <w:szCs w:val="17"/>
          <w:color w:val="auto"/>
        </w:rPr>
        <w:t>Leasehold improvements are amortized over the shorter of the lease term or the estimated useful lives of the assets. Costs of construction of certain long-lived assets include capitalized interest which is amortized over the estimated useful life of the related asset. The Company capitalized interest costs of $0.3 million in 2003. The Company did not capitalize any interest costs in 2004 or 2005.</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9" w:lineRule="exact"/>
        <w:rPr>
          <w:sz w:val="20"/>
          <w:szCs w:val="20"/>
          <w:color w:val="auto"/>
        </w:rPr>
      </w:pPr>
    </w:p>
    <w:p>
      <w:pPr>
        <w:ind w:left="680" w:right="80" w:firstLine="398"/>
        <w:spacing w:after="0" w:line="256" w:lineRule="auto"/>
        <w:rPr>
          <w:sz w:val="20"/>
          <w:szCs w:val="20"/>
          <w:color w:val="auto"/>
        </w:rPr>
      </w:pPr>
      <w:r>
        <w:rPr>
          <w:rFonts w:ascii="Times New Roman" w:cs="Times New Roman" w:eastAsia="Times New Roman" w:hAnsi="Times New Roman"/>
          <w:sz w:val="17"/>
          <w:szCs w:val="17"/>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Inventories are stated at the lower of cost or market. Cost is determined based on standards that approximate the first-in, first-out method.</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Inventories are shown net of applicable reserves.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and Change in Accounting Principle</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color w:val="auto"/>
        </w:rPr>
        <w:t>a. Contract Research and Development and Research Progress Payments</w:t>
      </w:r>
    </w:p>
    <w:p>
      <w:pPr>
        <w:spacing w:after="0" w:line="117" w:lineRule="exact"/>
        <w:rPr>
          <w:sz w:val="20"/>
          <w:szCs w:val="20"/>
          <w:color w:val="auto"/>
        </w:rPr>
      </w:pPr>
    </w:p>
    <w:p>
      <w:pPr>
        <w:ind w:left="680" w:right="120" w:firstLine="398"/>
        <w:spacing w:after="0" w:line="248" w:lineRule="auto"/>
        <w:rPr>
          <w:sz w:val="20"/>
          <w:szCs w:val="20"/>
          <w:color w:val="auto"/>
        </w:rPr>
      </w:pPr>
      <w:r>
        <w:rPr>
          <w:rFonts w:ascii="Times New Roman" w:cs="Times New Roman" w:eastAsia="Times New Roman" w:hAnsi="Times New Roman"/>
          <w:sz w:val="17"/>
          <w:szCs w:val="17"/>
          <w:color w:val="auto"/>
        </w:rPr>
        <w:t xml:space="preserve">The Company recognizes revenue from contract research and development and research progress payments in accordance with Staff Accounting Bulletin No. 104,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(“SAB 104”) and FASB Emerging Issue Task Force Issue No. 00-21, </w:t>
      </w:r>
      <w:r>
        <w:rPr>
          <w:rFonts w:ascii="Times New Roman" w:cs="Times New Roman" w:eastAsia="Times New Roman" w:hAnsi="Times New Roman"/>
          <w:sz w:val="17"/>
          <w:szCs w:val="17"/>
          <w:i w:val="1"/>
          <w:iCs w:val="1"/>
          <w:color w:val="auto"/>
        </w:rPr>
        <w:t>Accounting for 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Arrangements with Multiple Deliverables </w:t>
      </w:r>
      <w:r>
        <w:rPr>
          <w:rFonts w:ascii="Times New Roman" w:cs="Times New Roman" w:eastAsia="Times New Roman" w:hAnsi="Times New Roman"/>
          <w:sz w:val="17"/>
          <w:szCs w:val="17"/>
          <w:color w:val="auto"/>
        </w:rPr>
        <w:t>(“EITF 00-21”). SAB 104 superseded Staff Accounting Bulletin No. 101,</w:t>
      </w:r>
      <w:r>
        <w:rPr>
          <w:rFonts w:ascii="Times New Roman" w:cs="Times New Roman" w:eastAsia="Times New Roman" w:hAnsi="Times New Roman"/>
          <w:sz w:val="17"/>
          <w:szCs w:val="17"/>
          <w:i w:val="1"/>
          <w:iCs w:val="1"/>
          <w:color w:val="auto"/>
        </w:rPr>
        <w:t xml:space="preserve"> Revenue Recognition in Financial Statement </w:t>
      </w:r>
      <w:r>
        <w:rPr>
          <w:rFonts w:ascii="Times New Roman" w:cs="Times New Roman" w:eastAsia="Times New Roman" w:hAnsi="Times New Roman"/>
          <w:sz w:val="17"/>
          <w:szCs w:val="17"/>
          <w:color w:val="auto"/>
        </w:rPr>
        <w:t>(“SAB 101”), in December 2003. During the third quarter of 2003, the Company elected to change the method it uses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 revenue under SAB 101 related to non-refundable collaborator payments, including up-front licensing payments, payments for development activities, and research progress (milestone) payments, to the Substantive Milestone Method, adopted retroactively to January 1, 2003. There was no cumulative effect of this change in accounting</w:t>
      </w:r>
    </w:p>
    <w:p>
      <w:pPr>
        <w:spacing w:after="0" w:line="3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62" w:name="page63"/>
    <w:bookmarkEnd w:id="6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right="200"/>
        <w:spacing w:after="0" w:line="264" w:lineRule="auto"/>
        <w:rPr>
          <w:sz w:val="20"/>
          <w:szCs w:val="20"/>
          <w:color w:val="auto"/>
        </w:rPr>
      </w:pPr>
      <w:r>
        <w:rPr>
          <w:rFonts w:ascii="Times New Roman" w:cs="Times New Roman" w:eastAsia="Times New Roman" w:hAnsi="Times New Roman"/>
          <w:sz w:val="16"/>
          <w:szCs w:val="16"/>
          <w:color w:val="auto"/>
        </w:rPr>
        <w:t>principle on prior periods. Under this method, for non-refundable up-front license payments that are not tied to achieving a specific performance milestone or for which an estimated level of required effort is not available, we recognize revenue ratably over the estimated period of time during which we expect to perform services under the agreement based on research and development plans. Payments for development activities are recognized as revenue as earned, over the period of effort.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a reasonable amount of time has passed between receipt of an up-front payment and achievement of the milestone, and the amount of the milestone payment is reasonable in relation to the effort, value, and risk associated with achieving the milestone. The change in accounting method was made because the Company believes that it better reflects the substance of the Company’s collaborative agreements and is more consistent with current practices in the biotechnology industry.</w:t>
      </w:r>
    </w:p>
    <w:p>
      <w:pPr>
        <w:spacing w:after="0" w:line="79" w:lineRule="exact"/>
        <w:rPr>
          <w:sz w:val="20"/>
          <w:szCs w:val="20"/>
          <w:color w:val="auto"/>
        </w:rPr>
      </w:pPr>
    </w:p>
    <w:p>
      <w:pPr>
        <w:ind w:left="680" w:right="20" w:firstLine="398"/>
        <w:spacing w:after="0" w:line="266" w:lineRule="auto"/>
        <w:rPr>
          <w:sz w:val="20"/>
          <w:szCs w:val="20"/>
          <w:color w:val="auto"/>
        </w:rPr>
      </w:pPr>
      <w:r>
        <w:rPr>
          <w:rFonts w:ascii="Times New Roman" w:cs="Times New Roman" w:eastAsia="Times New Roman" w:hAnsi="Times New Roman"/>
          <w:sz w:val="16"/>
          <w:szCs w:val="16"/>
          <w:color w:val="auto"/>
        </w:rPr>
        <w:t>Previously, the Company had recognized revenue from non-refundable collaborator payments based on the percentage of costs incurred to date, estimated costs to complete, and total expected contract revenue. However, the revenue recognized was limited to the amount of non-refundable payments received. This accounting method was adopted on January 1, 2000 upon the release of SAB 101. The cumulative effect of adopting</w:t>
      </w:r>
    </w:p>
    <w:p>
      <w:pPr>
        <w:spacing w:after="0" w:line="1" w:lineRule="exact"/>
        <w:rPr>
          <w:sz w:val="20"/>
          <w:szCs w:val="20"/>
          <w:color w:val="auto"/>
        </w:rPr>
      </w:pPr>
    </w:p>
    <w:p>
      <w:pPr>
        <w:ind w:left="680"/>
        <w:spacing w:after="0" w:line="245" w:lineRule="auto"/>
        <w:rPr>
          <w:sz w:val="20"/>
          <w:szCs w:val="20"/>
          <w:color w:val="auto"/>
        </w:rPr>
      </w:pPr>
      <w:r>
        <w:rPr>
          <w:rFonts w:ascii="Times New Roman" w:cs="Times New Roman" w:eastAsia="Times New Roman" w:hAnsi="Times New Roman"/>
          <w:sz w:val="17"/>
          <w:szCs w:val="17"/>
          <w:color w:val="auto"/>
        </w:rPr>
        <w:t>SAB 101 at January 1, 2000 amounted to $1.6 million of additional loss, with a corresponding increase to deferred revenue that was recognized in subsequent periods, of which $0.1 million and $0.4 million, respectively, was included in contract research and development revenue in 2004 and 2003. The $1.6 million represented a portion of a 1989 payment received from Sumitomo Chemical Co. Ltd. in consideration for a fifteen year limited right of first negotiation to license up to three of the Company’s product candidates in Japan that expired in 2004 (see Note 12d). The effect of income taxes on the cumulative effect adjustment was immaterial.</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color w:val="auto"/>
        </w:rPr>
        <w:t>b. Contract Manufacturing</w:t>
      </w:r>
    </w:p>
    <w:p>
      <w:pPr>
        <w:spacing w:after="0" w:line="117" w:lineRule="exact"/>
        <w:rPr>
          <w:sz w:val="20"/>
          <w:szCs w:val="20"/>
          <w:color w:val="auto"/>
        </w:rPr>
      </w:pPr>
    </w:p>
    <w:p>
      <w:pPr>
        <w:ind w:left="680" w:right="400" w:firstLine="398"/>
        <w:spacing w:after="0" w:line="268" w:lineRule="auto"/>
        <w:rPr>
          <w:sz w:val="20"/>
          <w:szCs w:val="20"/>
          <w:color w:val="auto"/>
        </w:rPr>
      </w:pPr>
      <w:r>
        <w:rPr>
          <w:rFonts w:ascii="Times New Roman" w:cs="Times New Roman" w:eastAsia="Times New Roman" w:hAnsi="Times New Roman"/>
          <w:sz w:val="17"/>
          <w:szCs w:val="17"/>
          <w:color w:val="auto"/>
        </w:rPr>
        <w:t>The Company has entered into a contract manufacturing agreement under which it manufactures product and performs services for a third party. Contract manufacturing revenue is recognized as product is shipped and as services are performed (see Note 13).</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Investment Income</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Interest income, which is included in investment income, is recognized as earned.</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Accounting for the Impairment of Long-Lived Assets</w:t>
      </w:r>
    </w:p>
    <w:p>
      <w:pPr>
        <w:spacing w:after="0" w:line="119" w:lineRule="exact"/>
        <w:rPr>
          <w:sz w:val="20"/>
          <w:szCs w:val="20"/>
          <w:color w:val="auto"/>
        </w:rPr>
      </w:pPr>
    </w:p>
    <w:p>
      <w:pPr>
        <w:ind w:left="680" w:right="20" w:firstLine="398"/>
        <w:spacing w:after="0" w:line="250" w:lineRule="auto"/>
        <w:rPr>
          <w:sz w:val="20"/>
          <w:szCs w:val="20"/>
          <w:color w:val="auto"/>
        </w:rPr>
      </w:pPr>
      <w:r>
        <w:rPr>
          <w:rFonts w:ascii="Times New Roman" w:cs="Times New Roman" w:eastAsia="Times New Roman" w:hAnsi="Times New Roman"/>
          <w:sz w:val="17"/>
          <w:szCs w:val="17"/>
          <w:color w:val="auto"/>
        </w:rPr>
        <w:t xml:space="preserve">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(“SFAS”) 144, </w:t>
      </w:r>
      <w:r>
        <w:rPr>
          <w:rFonts w:ascii="Times New Roman" w:cs="Times New Roman" w:eastAsia="Times New Roman" w:hAnsi="Times New Roman"/>
          <w:sz w:val="17"/>
          <w:szCs w:val="17"/>
          <w:i w:val="1"/>
          <w:iCs w:val="1"/>
          <w:color w:val="auto"/>
        </w:rPr>
        <w:t>Accounting for the Impairment or Disposal of Long-Lived Assets.</w:t>
      </w:r>
      <w:r>
        <w:rPr>
          <w:rFonts w:ascii="Times New Roman" w:cs="Times New Roman" w:eastAsia="Times New Roman" w:hAnsi="Times New Roman"/>
          <w:sz w:val="17"/>
          <w:szCs w:val="17"/>
          <w:color w:val="auto"/>
        </w:rPr>
        <w:t xml:space="preserve"> For all periods presented, no impairment losses were recorded.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Patents</w:t>
      </w:r>
    </w:p>
    <w:p>
      <w:pPr>
        <w:spacing w:after="0" w:line="119" w:lineRule="exact"/>
        <w:rPr>
          <w:sz w:val="20"/>
          <w:szCs w:val="20"/>
          <w:color w:val="auto"/>
        </w:rPr>
      </w:pPr>
    </w:p>
    <w:p>
      <w:pPr>
        <w:ind w:left="680" w:right="280" w:firstLine="398"/>
        <w:spacing w:after="0" w:line="268" w:lineRule="auto"/>
        <w:rPr>
          <w:sz w:val="20"/>
          <w:szCs w:val="20"/>
          <w:color w:val="auto"/>
        </w:rPr>
      </w:pPr>
      <w:r>
        <w:rPr>
          <w:rFonts w:ascii="Times New Roman" w:cs="Times New Roman" w:eastAsia="Times New Roman" w:hAnsi="Times New Roman"/>
          <w:sz w:val="17"/>
          <w:szCs w:val="17"/>
          <w:color w:val="auto"/>
        </w:rPr>
        <w:t>As a result of the Company’s research and development efforts, it has obtained, applied for, or is applying for a number of patents to protect proprietary technology and inventions. All costs associated with patents are expensed as incurred.</w:t>
      </w:r>
    </w:p>
    <w:p>
      <w:pPr>
        <w:spacing w:after="0" w:line="3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3" w:name="page64"/>
    <w:bookmarkEnd w:id="6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19" w:lineRule="exact"/>
        <w:rPr>
          <w:sz w:val="20"/>
          <w:szCs w:val="20"/>
          <w:color w:val="auto"/>
        </w:rPr>
      </w:pPr>
    </w:p>
    <w:p>
      <w:pPr>
        <w:ind w:left="680" w:right="20" w:firstLine="398"/>
        <w:spacing w:after="0" w:line="248" w:lineRule="auto"/>
        <w:rPr>
          <w:sz w:val="20"/>
          <w:szCs w:val="20"/>
          <w:color w:val="auto"/>
        </w:rPr>
      </w:pPr>
      <w:r>
        <w:rPr>
          <w:rFonts w:ascii="Times New Roman" w:cs="Times New Roman" w:eastAsia="Times New Roman" w:hAnsi="Times New Roman"/>
          <w:sz w:val="17"/>
          <w:szCs w:val="17"/>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11e), the cost of services provided by outside contractors, including services related to the Company’s clinical trials, clinical trial expenses, the full cost of manufacturing drug for use in research, preclinical development, and clinical trials,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89" w:lineRule="exact"/>
        <w:rPr>
          <w:sz w:val="20"/>
          <w:szCs w:val="20"/>
          <w:color w:val="auto"/>
        </w:rPr>
      </w:pPr>
    </w:p>
    <w:p>
      <w:pPr>
        <w:ind w:left="680" w:right="100" w:firstLine="398"/>
        <w:spacing w:after="0" w:line="252" w:lineRule="auto"/>
        <w:rPr>
          <w:sz w:val="20"/>
          <w:szCs w:val="20"/>
          <w:color w:val="auto"/>
        </w:rPr>
      </w:pPr>
      <w:r>
        <w:rPr>
          <w:rFonts w:ascii="Times New Roman" w:cs="Times New Roman" w:eastAsia="Times New Roman" w:hAnsi="Times New Roman"/>
          <w:sz w:val="17"/>
          <w:szCs w:val="17"/>
          <w:color w:val="auto"/>
        </w:rPr>
        <w:t>For each clinical trial that the Company conducts, certain clinical trial costs, which are included in research and development expenses, are expensed based on the expected total number of patients in the trial, the rate at which patients enter the trial, and the period over which clinical investigators or contract research organizations are expected to provide services. During the course of a clinical trial, the Company adjusts its rate of clinical expense recognition if actual results differ from the Company’s estimates.</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Per Share Data</w:t>
      </w:r>
    </w:p>
    <w:p>
      <w:pPr>
        <w:spacing w:after="0" w:line="119" w:lineRule="exact"/>
        <w:rPr>
          <w:sz w:val="20"/>
          <w:szCs w:val="20"/>
          <w:color w:val="auto"/>
        </w:rPr>
      </w:pPr>
    </w:p>
    <w:p>
      <w:pPr>
        <w:ind w:left="680" w:firstLine="398"/>
        <w:spacing w:after="0" w:line="247" w:lineRule="auto"/>
        <w:rPr>
          <w:sz w:val="20"/>
          <w:szCs w:val="20"/>
          <w:color w:val="auto"/>
        </w:rPr>
      </w:pPr>
      <w:r>
        <w:rPr>
          <w:rFonts w:ascii="Times New Roman" w:cs="Times New Roman" w:eastAsia="Times New Roman" w:hAnsi="Times New Roman"/>
          <w:sz w:val="17"/>
          <w:szCs w:val="17"/>
          <w:color w:val="auto"/>
        </w:rPr>
        <w:t xml:space="preserve">Net income (loss) per share, basic and diluted, is computed on the basis of the net income (loss) for the period divided by the weighted average number of shares of Common Stock and Class A Stock outstanding during the period. The basic net income (loss) per share excludes restricted stock awards until vested. The diluted net income per share for the year ended December 31, 2004 is based upon the weighted average number of shares of Common Stock and Class A Stock and the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outstanding convertible senior subordinated notes, which are included under the if-converted method when dilutive. The computation of diluted net loss per share for the years ended December 31, 2005 and 2003 does not include common stock equivalents, since such inclusion would be antidilutive. Disclosures required by SFAS 128, </w:t>
      </w:r>
      <w:r>
        <w:rPr>
          <w:rFonts w:ascii="Times New Roman" w:cs="Times New Roman" w:eastAsia="Times New Roman" w:hAnsi="Times New Roman"/>
          <w:sz w:val="17"/>
          <w:szCs w:val="17"/>
          <w:i w:val="1"/>
          <w:iCs w:val="1"/>
          <w:color w:val="auto"/>
        </w:rPr>
        <w:t>Earnings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 Share</w:t>
      </w:r>
      <w:r>
        <w:rPr>
          <w:rFonts w:ascii="Times New Roman" w:cs="Times New Roman" w:eastAsia="Times New Roman" w:hAnsi="Times New Roman"/>
          <w:sz w:val="17"/>
          <w:szCs w:val="17"/>
          <w:color w:val="auto"/>
        </w:rPr>
        <w:t>, have been included in Note 18.</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9" w:lineRule="exact"/>
        <w:rPr>
          <w:sz w:val="20"/>
          <w:szCs w:val="20"/>
          <w:color w:val="auto"/>
        </w:rPr>
      </w:pPr>
    </w:p>
    <w:p>
      <w:pPr>
        <w:ind w:left="680" w:right="60" w:firstLine="398"/>
        <w:spacing w:after="0" w:line="250" w:lineRule="auto"/>
        <w:rPr>
          <w:sz w:val="20"/>
          <w:szCs w:val="20"/>
          <w:color w:val="auto"/>
        </w:rPr>
      </w:pPr>
      <w:r>
        <w:rPr>
          <w:rFonts w:ascii="Times New Roman" w:cs="Times New Roman" w:eastAsia="Times New Roman" w:hAnsi="Times New Roman"/>
          <w:sz w:val="17"/>
          <w:szCs w:val="17"/>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16.</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 (Loss)</w:t>
      </w:r>
    </w:p>
    <w:p>
      <w:pPr>
        <w:spacing w:after="0" w:line="119"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Comprehensive income (loss) represents the change in net assets of a business enterprise during a period from transactions and other events and circumstances from non-owner sources. Comprehensive income (loss) of the Company includes net income (loss) adjusted for the change in net unrealized gain or loss on marketable securities. The net effect of income taxes on comprehensive income (loss) is immaterial. Comprehensive income for the year ended December 31, 2004 and comprehensive losses for the years ended December 31, 2005 and 2003 have been included in the Statements of Stockholders’ Equity.</w:t>
      </w:r>
    </w:p>
    <w:p>
      <w:pPr>
        <w:spacing w:after="0" w:line="34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4" w:name="page65"/>
    <w:bookmarkEnd w:id="6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19" w:lineRule="exact"/>
        <w:rPr>
          <w:sz w:val="20"/>
          <w:szCs w:val="20"/>
          <w:color w:val="auto"/>
        </w:rPr>
      </w:pPr>
    </w:p>
    <w:p>
      <w:pPr>
        <w:ind w:left="680" w:right="100" w:firstLine="398"/>
        <w:spacing w:after="0" w:line="250"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consist of cash, cash equivalents, marketable securities, and receivables from the sanofi-aventis Group and Merck &amp; Co., Inc. The Company generally invests its excess cash in obligations of the U.S. government and its agencies, bank deposits, asset-backed securities, investment grade debt securities issued by corporations, governments, and financial institutions, and money market funds that invest in these instruments. The Company has established guidelines that relate to credit quality, diversification, and maturity, and that limit exposure to any one issue of securities.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119" w:lineRule="exact"/>
        <w:rPr>
          <w:sz w:val="20"/>
          <w:szCs w:val="20"/>
          <w:color w:val="auto"/>
        </w:rPr>
      </w:pPr>
    </w:p>
    <w:p>
      <w:pPr>
        <w:ind w:left="680" w:right="200" w:firstLine="398"/>
        <w:spacing w:after="0" w:line="263" w:lineRule="auto"/>
        <w:rPr>
          <w:sz w:val="20"/>
          <w:szCs w:val="20"/>
          <w:color w:val="auto"/>
        </w:rPr>
      </w:pPr>
      <w:r>
        <w:rPr>
          <w:rFonts w:ascii="Times New Roman" w:cs="Times New Roman" w:eastAsia="Times New Roman" w:hAnsi="Times New Roman"/>
          <w:sz w:val="16"/>
          <w:szCs w:val="16"/>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generally incurred net losses and negative cash flows from operations since its inception. Revenues to date have principally been limited to (i) payments from the Company’s collaborators and other entities for the Company’s development activities with respect to product candidates and to utilize the Company’s technology platforms, (ii) payments from two pharmaceutical companies for contract manufacturing, and</w:t>
      </w:r>
    </w:p>
    <w:p>
      <w:pPr>
        <w:spacing w:after="0" w:line="3" w:lineRule="exact"/>
        <w:rPr>
          <w:sz w:val="20"/>
          <w:szCs w:val="20"/>
          <w:color w:val="auto"/>
        </w:rPr>
      </w:pPr>
    </w:p>
    <w:p>
      <w:pPr>
        <w:ind w:left="680" w:firstLine="5"/>
        <w:spacing w:after="0" w:line="265" w:lineRule="auto"/>
        <w:tabs>
          <w:tab w:leader="none" w:pos="9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income. The Company operates in an environment of rapid change in technology and is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78" w:lineRule="exact"/>
        <w:rPr>
          <w:sz w:val="20"/>
          <w:szCs w:val="20"/>
          <w:color w:val="auto"/>
        </w:rPr>
      </w:pPr>
    </w:p>
    <w:p>
      <w:pPr>
        <w:ind w:left="680" w:firstLine="398"/>
        <w:spacing w:after="0" w:line="246" w:lineRule="auto"/>
        <w:rPr>
          <w:sz w:val="20"/>
          <w:szCs w:val="20"/>
          <w:color w:val="auto"/>
        </w:rPr>
      </w:pPr>
      <w:r>
        <w:rPr>
          <w:rFonts w:ascii="Times New Roman" w:cs="Times New Roman" w:eastAsia="Times New Roman" w:hAnsi="Times New Roman"/>
          <w:sz w:val="17"/>
          <w:szCs w:val="17"/>
          <w:color w:val="auto"/>
        </w:rPr>
        <w:t>Contract research and development revenue in 2005 was primarily earned from sanofi-aventis and The Procter &amp; Gamble Company under collaboration agreements (see Notes 12a and 12e). Under the collaboration agreement with sanofi-aventis, agreed upon VEGF Trap development expenses incurred by Regeneron during the term of the agreement will be funded by sanofi-aventis. In addition, the Company earns revenue related to non-refundable, up-front payments from sanofi-aventis under the Substantive Milestone Method in accordance with SAB 104, as described above. The Company may also receive up to $400.0 million in milestone payments upon receipt of specified VEGF Trap marketing approvals. Sanofi-aventis has the right to terminate the agreement without cause with at least twelve months advance notice. Under the collaboration agreement with Procter &amp; Gamble, as amended, Procter &amp; Gamble made payments to fund Regeneron research of $2.5 million per quarter, plus adjustments for inflation, through June 2005. As of June 30, 2005, the Company and Procter &amp; Gamble agreed that the research activities of the parties under the collaboration agreement were completed. Contract manufacturing revenue in 2005 was earned from Merck under a long-term manufacturing agreement that will expire in October 2006 (see Note 13).</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9" w:lineRule="exact"/>
        <w:rPr>
          <w:sz w:val="20"/>
          <w:szCs w:val="20"/>
          <w:color w:val="auto"/>
        </w:rPr>
      </w:pPr>
    </w:p>
    <w:p>
      <w:pPr>
        <w:ind w:left="680" w:right="60" w:firstLine="398"/>
        <w:spacing w:after="0" w:line="24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(i) useful lives of property, plant, and equipment, (ii) the periods over which certain revenues and expenses will be recognized including contract research and development revenue recognized from non-refundable up-front payments, contract manufacturing revenue recognized from reimbursed deferred capital costs, and expense recognition of certain clinical trial costs which are included in research and development expenses, (iii) the extent to which deferred tax assets and liabilities are offset by a valuation allowance, and (iv) the fair value of stock options on their date of grant using the Black-Scholes option-pricing model, based on assumptions with respect to (a) expected volatility of our Common Stock price, (b) the periods of time over which employees and members of the Company’s board of</w:t>
      </w:r>
    </w:p>
    <w:p>
      <w:pPr>
        <w:spacing w:after="0" w:line="3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5" w:name="page66"/>
    <w:bookmarkEnd w:id="6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directors are expected to hold their options prior to exercise (expected lives), (c) expected dividend yield on the Company’s Common Stock, and</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(d) risk-free interest rates, which are based on quoted U.S. Treasury rates for securities with maturities approximating the options’ expected lives.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Stock-based Employee Compensation</w:t>
      </w:r>
    </w:p>
    <w:p>
      <w:pPr>
        <w:spacing w:after="0" w:line="119" w:lineRule="exact"/>
        <w:rPr>
          <w:sz w:val="20"/>
          <w:szCs w:val="20"/>
          <w:color w:val="auto"/>
        </w:rPr>
      </w:pPr>
    </w:p>
    <w:p>
      <w:pPr>
        <w:ind w:left="680" w:firstLine="398"/>
        <w:spacing w:after="0" w:line="260" w:lineRule="auto"/>
        <w:rPr>
          <w:sz w:val="20"/>
          <w:szCs w:val="20"/>
          <w:color w:val="auto"/>
        </w:rPr>
      </w:pPr>
      <w:r>
        <w:rPr>
          <w:rFonts w:ascii="Times New Roman" w:cs="Times New Roman" w:eastAsia="Times New Roman" w:hAnsi="Times New Roman"/>
          <w:sz w:val="16"/>
          <w:szCs w:val="16"/>
          <w:color w:val="auto"/>
        </w:rPr>
        <w:t xml:space="preserve">Effective January 1, 2005, the Company adopted the fair value based method of accounting for stock-based employee compensation under the provisions of SFAS 123, </w:t>
      </w:r>
      <w:r>
        <w:rPr>
          <w:rFonts w:ascii="Times New Roman" w:cs="Times New Roman" w:eastAsia="Times New Roman" w:hAnsi="Times New Roman"/>
          <w:sz w:val="16"/>
          <w:szCs w:val="16"/>
          <w:i w:val="1"/>
          <w:iCs w:val="1"/>
          <w:color w:val="auto"/>
        </w:rPr>
        <w:t>Accounting for Stock-Based Compensation</w:t>
      </w:r>
      <w:r>
        <w:rPr>
          <w:rFonts w:ascii="Times New Roman" w:cs="Times New Roman" w:eastAsia="Times New Roman" w:hAnsi="Times New Roman"/>
          <w:sz w:val="16"/>
          <w:szCs w:val="16"/>
          <w:color w:val="auto"/>
        </w:rPr>
        <w:t xml:space="preserve">, using the modified prospective method as described in SFAS 148, </w:t>
      </w:r>
      <w:r>
        <w:rPr>
          <w:rFonts w:ascii="Times New Roman" w:cs="Times New Roman" w:eastAsia="Times New Roman" w:hAnsi="Times New Roman"/>
          <w:sz w:val="16"/>
          <w:szCs w:val="16"/>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for Stock-Based Compensation — Transition and Disclosure. </w:t>
      </w:r>
      <w:r>
        <w:rPr>
          <w:rFonts w:ascii="Times New Roman" w:cs="Times New Roman" w:eastAsia="Times New Roman" w:hAnsi="Times New Roman"/>
          <w:sz w:val="16"/>
          <w:szCs w:val="16"/>
          <w:color w:val="auto"/>
        </w:rPr>
        <w:t>As a result, effective January 1, 2005, the Company has been recognizing expense, 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amount equal to the fair value of share-based payments (including stock option awards) on their date of grant, over the vesting period of the awards. Under the modified prospective method, compensation expense for the Company is recognized for (a) all share based payments granted on or after January 1, 2005, (including replacement options granted under the Company’s stock option exchange program which concluded on January 5, 2005 (see Note 14a))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(“APB”) 25, </w:t>
      </w:r>
      <w:r>
        <w:rPr>
          <w:rFonts w:ascii="Times New Roman" w:cs="Times New Roman" w:eastAsia="Times New Roman" w:hAnsi="Times New Roman"/>
          <w:sz w:val="16"/>
          <w:szCs w:val="16"/>
          <w:i w:val="1"/>
          <w:iCs w:val="1"/>
          <w:color w:val="auto"/>
        </w:rPr>
        <w:t>Accounting for Stock Issued to Employees</w:t>
      </w:r>
      <w:r>
        <w:rPr>
          <w:rFonts w:ascii="Times New Roman" w:cs="Times New Roman" w:eastAsia="Times New Roman" w:hAnsi="Times New Roman"/>
          <w:sz w:val="16"/>
          <w:szCs w:val="16"/>
          <w:color w:val="auto"/>
        </w:rPr>
        <w:t>, and related interpretations. Therefore, compensation expense related to employee stock options was not reflected in operating expenses in any period prior to the first quarter of 2005 and prior period results have not been restated. For the year ended December 31, 2005, non-cash stock-based employee compensation expense related to stock option awards (“Stock Option Expense”) totaled $20.0 million, of which $19.9 million was recognized in operating expenses and $0.1 million was capitalized in inventory. For the years ended December 31, 2004 and 2003 had the Company adopted the fair value based method of accounting for stock-based employee compensation under the provisions of SFAS 123, Stock Option Expense would have totaled $33.6 million 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$42.5 million, respectively, and the effect on the Company’s net income (loss) and net income (loss) per share would have been as follows: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7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r>
      <w:tr>
        <w:trPr>
          <w:trHeight w:val="42"/>
        </w:trPr>
        <w:tc>
          <w:tcPr>
            <w:tcW w:w="7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41,699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(107,458)</w:t>
            </w:r>
          </w:p>
        </w:tc>
      </w:tr>
      <w:tr>
        <w:trPr>
          <w:trHeight w:val="199"/>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Add: Stock-based employee compensation expense included in reported net income (loss)</w:t>
            </w:r>
          </w:p>
        </w:tc>
        <w:tc>
          <w:tcPr>
            <w:tcW w:w="14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2,543</w:t>
            </w:r>
          </w:p>
        </w:tc>
        <w:tc>
          <w:tcPr>
            <w:tcW w:w="160" w:type="dxa"/>
            <w:vAlign w:val="bottom"/>
          </w:tcPr>
          <w:p>
            <w:pPr>
              <w:spacing w:after="0"/>
              <w:rPr>
                <w:sz w:val="17"/>
                <w:szCs w:val="17"/>
                <w:color w:val="auto"/>
              </w:rPr>
            </w:pPr>
          </w:p>
        </w:tc>
        <w:tc>
          <w:tcPr>
            <w:tcW w:w="74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2,562</w:t>
            </w:r>
          </w:p>
        </w:tc>
      </w:tr>
      <w:tr>
        <w:trPr>
          <w:trHeight w:val="19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Deduct: Total stock-based employee compensation expense determined under fair value based method for all awards</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9"/>
              </w:rPr>
              <w:t>(36,093)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(45,048)</w:t>
            </w:r>
          </w:p>
        </w:tc>
      </w:tr>
      <w:tr>
        <w:trPr>
          <w:trHeight w:val="204"/>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Pro forma net income (loss), basic and diluted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8,149</w:t>
            </w:r>
          </w:p>
        </w:tc>
        <w:tc>
          <w:tcPr>
            <w:tcW w:w="4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7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net income (loss) per share amounts: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 reported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0.75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19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 forma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0.15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r>
      <w:tr>
        <w:trPr>
          <w:trHeight w:val="199"/>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(loss) per share amounts: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0.74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 forma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0.15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(2.97)</w:t>
            </w:r>
          </w:p>
        </w:tc>
      </w:tr>
    </w:tbl>
    <w:p>
      <w:pPr>
        <w:spacing w:after="0" w:line="79" w:lineRule="exact"/>
        <w:rPr>
          <w:sz w:val="20"/>
          <w:szCs w:val="20"/>
          <w:color w:val="auto"/>
        </w:rPr>
      </w:pPr>
    </w:p>
    <w:p>
      <w:pPr>
        <w:ind w:left="680" w:right="140" w:firstLine="398"/>
        <w:spacing w:after="0" w:line="279" w:lineRule="auto"/>
        <w:rPr>
          <w:sz w:val="20"/>
          <w:szCs w:val="20"/>
          <w:color w:val="auto"/>
        </w:rPr>
      </w:pPr>
      <w:r>
        <w:rPr>
          <w:rFonts w:ascii="Times New Roman" w:cs="Times New Roman" w:eastAsia="Times New Roman" w:hAnsi="Times New Roman"/>
          <w:sz w:val="16"/>
          <w:szCs w:val="16"/>
          <w:color w:val="auto"/>
        </w:rPr>
        <w:t>In 2003, the Company’s chief executive officer was granted permission by the board of directors to initiate a net cashless exercise of stock options. Upon completion of the net cashless exercise, the Company recognized $0.3 million of compensation expense, which equaled the excess of the fair market value of the shares over the option exercise price on the date that the board of directors granted its consent for the transaction.</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Other disclosures required by SFAS 123 have been included in Note 14a.</w:t>
      </w:r>
    </w:p>
    <w:p>
      <w:pPr>
        <w:spacing w:after="0" w:line="3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6" w:name="page67"/>
    <w:bookmarkEnd w:id="6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Statement of Cash Flows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Supplemental disclosure of noncash investing and financing activities:</w:t>
      </w:r>
    </w:p>
    <w:p>
      <w:pPr>
        <w:spacing w:after="0" w:line="115" w:lineRule="exact"/>
        <w:rPr>
          <w:sz w:val="20"/>
          <w:szCs w:val="20"/>
          <w:color w:val="auto"/>
        </w:rPr>
      </w:pPr>
    </w:p>
    <w:p>
      <w:pPr>
        <w:ind w:left="680" w:firstLine="398"/>
        <w:spacing w:after="0" w:line="269" w:lineRule="auto"/>
        <w:rPr>
          <w:sz w:val="20"/>
          <w:szCs w:val="20"/>
          <w:color w:val="auto"/>
        </w:rPr>
      </w:pPr>
      <w:r>
        <w:rPr>
          <w:rFonts w:ascii="Times New Roman" w:cs="Times New Roman" w:eastAsia="Times New Roman" w:hAnsi="Times New Roman"/>
          <w:sz w:val="16"/>
          <w:szCs w:val="16"/>
          <w:color w:val="auto"/>
        </w:rPr>
        <w:t>In 2004 and 2003, the Company awarded 105,052 and 219,367 shares, respectively, of Restricted Stock under the Regeneron Pharmaceuticals, Inc. Long-Term Incentive Plan (see Note 14a). No Restricted Stock was awarded in 2005. The Company records unearned compensation in Stockholders’ Equity related to these awards based on the fair market value of shares of the Company’s Common Stock on the grant date of the Restricted Stock award, which is expensed, on a pro rata basis, over the period that the restrictions on these shares lapse. In 2005, 2004, and 2003, the Company recognized $1.9 million, $2.5 million, and $2.3 million, respectively, of compensation expense related to Restricted Stock awards.</w:t>
      </w:r>
    </w:p>
    <w:p>
      <w:pPr>
        <w:spacing w:after="0" w:line="75" w:lineRule="exact"/>
        <w:rPr>
          <w:sz w:val="20"/>
          <w:szCs w:val="20"/>
          <w:color w:val="auto"/>
        </w:rPr>
      </w:pPr>
    </w:p>
    <w:p>
      <w:pPr>
        <w:ind w:left="680" w:right="60" w:firstLine="398"/>
        <w:spacing w:after="0" w:line="268" w:lineRule="auto"/>
        <w:rPr>
          <w:sz w:val="20"/>
          <w:szCs w:val="20"/>
          <w:color w:val="auto"/>
        </w:rPr>
      </w:pPr>
      <w:r>
        <w:rPr>
          <w:rFonts w:ascii="Times New Roman" w:cs="Times New Roman" w:eastAsia="Times New Roman" w:hAnsi="Times New Roman"/>
          <w:sz w:val="17"/>
          <w:szCs w:val="17"/>
          <w:color w:val="auto"/>
        </w:rPr>
        <w:t>Included in accounts payable and accrued expenses at December 31, 2005, 2004, and 2003 were $0.2 million, $0.6 million, and $0.8 million of capital expenditures, respectively.</w:t>
      </w:r>
    </w:p>
    <w:p>
      <w:pPr>
        <w:spacing w:after="0" w:line="73" w:lineRule="exact"/>
        <w:rPr>
          <w:sz w:val="20"/>
          <w:szCs w:val="20"/>
          <w:color w:val="auto"/>
        </w:rPr>
      </w:pPr>
    </w:p>
    <w:p>
      <w:pPr>
        <w:ind w:left="680" w:right="200" w:firstLine="398"/>
        <w:spacing w:after="0" w:line="256" w:lineRule="auto"/>
        <w:rPr>
          <w:sz w:val="20"/>
          <w:szCs w:val="20"/>
          <w:color w:val="auto"/>
        </w:rPr>
      </w:pPr>
      <w:r>
        <w:rPr>
          <w:rFonts w:ascii="Times New Roman" w:cs="Times New Roman" w:eastAsia="Times New Roman" w:hAnsi="Times New Roman"/>
          <w:sz w:val="17"/>
          <w:szCs w:val="17"/>
          <w:color w:val="auto"/>
        </w:rPr>
        <w:t>Included in accounts payable and accrued expenses at December 31, 2004, 2003, and 2002 were $0.6 million, $0.9 million, and $0.7 million, respectively, of accrued 401(k) Savings Plan contribution expense. During the first quarter of 2005, 2004, and 2003, the Company contributed 90,385, 64,333, and 42,543 shares, respectively, of Common Stock to the 401(k) Savings Plan in satisfaction of these obligations.</w:t>
      </w:r>
    </w:p>
    <w:p>
      <w:pPr>
        <w:spacing w:after="0" w:line="83" w:lineRule="exact"/>
        <w:rPr>
          <w:sz w:val="20"/>
          <w:szCs w:val="20"/>
          <w:color w:val="auto"/>
        </w:rPr>
      </w:pPr>
    </w:p>
    <w:p>
      <w:pPr>
        <w:ind w:left="680" w:right="180" w:firstLine="398"/>
        <w:spacing w:after="0" w:line="268" w:lineRule="auto"/>
        <w:rPr>
          <w:sz w:val="20"/>
          <w:szCs w:val="20"/>
          <w:color w:val="auto"/>
        </w:rPr>
      </w:pPr>
      <w:r>
        <w:rPr>
          <w:rFonts w:ascii="Times New Roman" w:cs="Times New Roman" w:eastAsia="Times New Roman" w:hAnsi="Times New Roman"/>
          <w:sz w:val="17"/>
          <w:szCs w:val="17"/>
          <w:color w:val="auto"/>
        </w:rPr>
        <w:t>Included in marketable securities at December 31, 2005, 2004, and 2003 were $1.2 million, $2.6 million, and $0.9 million of accrued interest income, respectively.</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Future Impact of Recently Issued Accounting Standards</w:t>
      </w:r>
    </w:p>
    <w:p>
      <w:pPr>
        <w:spacing w:after="0" w:line="117" w:lineRule="exact"/>
        <w:rPr>
          <w:sz w:val="20"/>
          <w:szCs w:val="20"/>
          <w:color w:val="auto"/>
        </w:rPr>
      </w:pPr>
    </w:p>
    <w:p>
      <w:pPr>
        <w:ind w:left="680" w:firstLine="398"/>
        <w:spacing w:after="0" w:line="245" w:lineRule="auto"/>
        <w:rPr>
          <w:sz w:val="20"/>
          <w:szCs w:val="20"/>
          <w:color w:val="auto"/>
        </w:rPr>
      </w:pPr>
      <w:r>
        <w:rPr>
          <w:rFonts w:ascii="Times New Roman" w:cs="Times New Roman" w:eastAsia="Times New Roman" w:hAnsi="Times New Roman"/>
          <w:sz w:val="17"/>
          <w:szCs w:val="17"/>
          <w:color w:val="auto"/>
        </w:rPr>
        <w:t xml:space="preserve">In December 2004, the Financial Accounting Standards Board (“FASB”) issued SFAS 123R,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xml:space="preserve"> SFAS 123R is a revision of SFAS 123, </w:t>
      </w:r>
      <w:r>
        <w:rPr>
          <w:rFonts w:ascii="Times New Roman" w:cs="Times New Roman" w:eastAsia="Times New Roman" w:hAnsi="Times New Roman"/>
          <w:sz w:val="17"/>
          <w:szCs w:val="17"/>
          <w:i w:val="1"/>
          <w:iCs w:val="1"/>
          <w:color w:val="auto"/>
        </w:rPr>
        <w:t>Accounting for Stock-Based Compensation</w:t>
      </w:r>
      <w:r>
        <w:rPr>
          <w:rFonts w:ascii="Times New Roman" w:cs="Times New Roman" w:eastAsia="Times New Roman" w:hAnsi="Times New Roman"/>
          <w:sz w:val="17"/>
          <w:szCs w:val="17"/>
          <w:color w:val="auto"/>
        </w:rPr>
        <w:t xml:space="preserve"> (which we adopted effective January 1, 2005, as described above), and supersedes APB 25, </w:t>
      </w:r>
      <w:r>
        <w:rPr>
          <w:rFonts w:ascii="Times New Roman" w:cs="Times New Roman" w:eastAsia="Times New Roman" w:hAnsi="Times New Roman"/>
          <w:sz w:val="17"/>
          <w:szCs w:val="17"/>
          <w:i w:val="1"/>
          <w:iCs w:val="1"/>
          <w:color w:val="auto"/>
        </w:rPr>
        <w:t>Accounting for Stock Issued to Employees</w:t>
      </w:r>
      <w:r>
        <w:rPr>
          <w:rFonts w:ascii="Times New Roman" w:cs="Times New Roman" w:eastAsia="Times New Roman" w:hAnsi="Times New Roman"/>
          <w:sz w:val="17"/>
          <w:szCs w:val="17"/>
          <w:color w:val="auto"/>
        </w:rPr>
        <w:t>, and its related implementation guidance. SFAS 123R focuses primarily on accounting for transactions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an entity obtains employee services in share-based payment transactions, and requires the recognition of compensation expense in an amount equal to the fair value of the share-based payment (including stock options and restricted stock) issued to employees. SFAS 123R is effective for fiscal years beginning after June 15, 2005. In March 2005, the U.S. Securities and Exchange Commission (’SEC”) issued Staff Accounting Bulletin No. 107 (“SAB 107”) which expresses views of the SEC staff regarding the application of SFAS 123R. Among other things, SAB 107 provides interpretive guidance related to the interaction between SFAS 123R and certain SEC rules and regulations as well as the SEC staff’s views regarding the valuation of share-based payment arrangements for public companies. The Company is required to adopt SFAS 123R effective for the fiscal year beginning January 1, 2006, and intends to do so using the modified prospective method. Under the modified prospective method, compensation cost is recognized beginning with the effective date based on (a) the requirements of SFAS 123R for all share-based payments granted after the effective date and (b) the requirements of SFAS 123 for all awards granted to employees prior to the effective date of SFAS 123R that remain unvested on the effective date. In addition, the Company will consider the guidance of SAB 107 as it adopts SFAS 123R. Although the impact of adopting SFAS 123R has not yet been quantified, management believes that the adoption of this standard may have a material impact on the Company’s financial statements.</w:t>
      </w:r>
    </w:p>
    <w:p>
      <w:pPr>
        <w:spacing w:after="0" w:line="100" w:lineRule="exact"/>
        <w:rPr>
          <w:sz w:val="20"/>
          <w:szCs w:val="20"/>
          <w:color w:val="auto"/>
        </w:rPr>
      </w:pPr>
    </w:p>
    <w:p>
      <w:pPr>
        <w:ind w:left="680" w:firstLine="398"/>
        <w:spacing w:after="0" w:line="267" w:lineRule="auto"/>
        <w:rPr>
          <w:sz w:val="20"/>
          <w:szCs w:val="20"/>
          <w:color w:val="auto"/>
        </w:rPr>
      </w:pPr>
      <w:r>
        <w:rPr>
          <w:rFonts w:ascii="Times New Roman" w:cs="Times New Roman" w:eastAsia="Times New Roman" w:hAnsi="Times New Roman"/>
          <w:sz w:val="16"/>
          <w:szCs w:val="16"/>
          <w:color w:val="auto"/>
        </w:rPr>
        <w:t xml:space="preserve">In May 2005, the FASB issued SFAS 154, </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xml:space="preserve"> SFAS 154 replaces APB 20, </w:t>
      </w:r>
      <w:r>
        <w:rPr>
          <w:rFonts w:ascii="Times New Roman" w:cs="Times New Roman" w:eastAsia="Times New Roman" w:hAnsi="Times New Roman"/>
          <w:sz w:val="16"/>
          <w:szCs w:val="16"/>
          <w:i w:val="1"/>
          <w:iCs w:val="1"/>
          <w:color w:val="auto"/>
        </w:rPr>
        <w:t>Accounting Changes</w:t>
      </w:r>
      <w:r>
        <w:rPr>
          <w:rFonts w:ascii="Times New Roman" w:cs="Times New Roman" w:eastAsia="Times New Roman" w:hAnsi="Times New Roman"/>
          <w:sz w:val="16"/>
          <w:szCs w:val="16"/>
          <w:color w:val="auto"/>
        </w:rPr>
        <w:t xml:space="preserve">, and SFAS 3, </w:t>
      </w:r>
      <w:r>
        <w:rPr>
          <w:rFonts w:ascii="Times New Roman" w:cs="Times New Roman" w:eastAsia="Times New Roman" w:hAnsi="Times New Roman"/>
          <w:sz w:val="16"/>
          <w:szCs w:val="16"/>
          <w:i w:val="1"/>
          <w:iCs w:val="1"/>
          <w:color w:val="auto"/>
        </w:rPr>
        <w:t>Reporting Accounting Changes in Interim Financial Statements</w:t>
      </w:r>
      <w:r>
        <w:rPr>
          <w:rFonts w:ascii="Times New Roman" w:cs="Times New Roman" w:eastAsia="Times New Roman" w:hAnsi="Times New Roman"/>
          <w:sz w:val="16"/>
          <w:szCs w:val="16"/>
          <w:color w:val="auto"/>
        </w:rPr>
        <w:t>, and requires retrospective application to prior-period financial statements of changes in accounting principle, unless it is impracticable to determine either the period-specific effects or the cumulative effect of a change.</w:t>
      </w:r>
    </w:p>
    <w:p>
      <w:pPr>
        <w:spacing w:after="0" w:line="1" w:lineRule="exact"/>
        <w:rPr>
          <w:sz w:val="20"/>
          <w:szCs w:val="20"/>
          <w:color w:val="auto"/>
        </w:rPr>
      </w:pPr>
    </w:p>
    <w:p>
      <w:pPr>
        <w:ind w:left="680" w:right="400"/>
        <w:spacing w:after="0" w:line="248" w:lineRule="auto"/>
        <w:rPr>
          <w:sz w:val="20"/>
          <w:szCs w:val="20"/>
          <w:color w:val="auto"/>
        </w:rPr>
      </w:pPr>
      <w:r>
        <w:rPr>
          <w:rFonts w:ascii="Times New Roman" w:cs="Times New Roman" w:eastAsia="Times New Roman" w:hAnsi="Times New Roman"/>
          <w:sz w:val="17"/>
          <w:szCs w:val="17"/>
          <w:color w:val="auto"/>
        </w:rPr>
        <w:t>SFAS 154 also redefines “restatement” as the revising of previously issued financial statements to reflect the correction of an error. SFAS 154 is effective for accounting changes and corrections of errors made in fiscal years beginning after</w:t>
      </w:r>
    </w:p>
    <w:p>
      <w:pPr>
        <w:spacing w:after="0" w:line="3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7" w:name="page68"/>
    <w:bookmarkEnd w:id="6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December 15, 2005. The Company is required to adopt the provisions of SFAS 154, as applicable, beginning January 1, 2006.</w:t>
      </w:r>
    </w:p>
    <w:p>
      <w:pPr>
        <w:spacing w:after="0" w:line="210" w:lineRule="exact"/>
        <w:rPr>
          <w:sz w:val="20"/>
          <w:szCs w:val="20"/>
          <w:color w:val="auto"/>
        </w:rPr>
      </w:pPr>
    </w:p>
    <w:p>
      <w:pPr>
        <w:ind w:left="980" w:hanging="295"/>
        <w:spacing w:after="0"/>
        <w:tabs>
          <w:tab w:leader="none" w:pos="9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Severance Costs</w:t>
      </w:r>
    </w:p>
    <w:p>
      <w:pPr>
        <w:spacing w:after="0" w:line="119" w:lineRule="exact"/>
        <w:rPr>
          <w:sz w:val="20"/>
          <w:szCs w:val="20"/>
          <w:color w:val="auto"/>
        </w:rPr>
      </w:pPr>
    </w:p>
    <w:p>
      <w:pPr>
        <w:ind w:left="680" w:right="20" w:firstLine="398"/>
        <w:spacing w:after="0" w:line="250" w:lineRule="auto"/>
        <w:rPr>
          <w:sz w:val="20"/>
          <w:szCs w:val="20"/>
          <w:color w:val="auto"/>
        </w:rPr>
      </w:pPr>
      <w:r>
        <w:rPr>
          <w:rFonts w:ascii="Times New Roman" w:cs="Times New Roman" w:eastAsia="Times New Roman" w:hAnsi="Times New Roman"/>
          <w:sz w:val="17"/>
          <w:szCs w:val="17"/>
          <w:color w:val="auto"/>
        </w:rPr>
        <w:t>In September 2005, the Company announced plans to reduce its workforce by approximately 165 employees in connection with narrowing the focus of the Company’s research and development efforts, substantial improvements in manufacturing productivity, the June 2005 expiration of the Company’s collaboration with The Procter &amp; Gamble Company, and the expected completion of contract manufacturing for Merck &amp; Co., Inc. in late 2006. The majority of the headcount reduction occurred in the fourth quarter of 2005, with the remainder planned for 2006 following the completion of the Company’s contract manufacturing activities for Merck.</w:t>
      </w:r>
    </w:p>
    <w:p>
      <w:pPr>
        <w:spacing w:after="0" w:line="88" w:lineRule="exact"/>
        <w:rPr>
          <w:sz w:val="20"/>
          <w:szCs w:val="20"/>
          <w:color w:val="auto"/>
        </w:rPr>
      </w:pPr>
    </w:p>
    <w:p>
      <w:pPr>
        <w:ind w:left="680" w:right="200" w:firstLine="398"/>
        <w:spacing w:after="0" w:line="248" w:lineRule="auto"/>
        <w:rPr>
          <w:sz w:val="20"/>
          <w:szCs w:val="20"/>
          <w:color w:val="auto"/>
        </w:rPr>
      </w:pPr>
      <w:r>
        <w:rPr>
          <w:rFonts w:ascii="Times New Roman" w:cs="Times New Roman" w:eastAsia="Times New Roman" w:hAnsi="Times New Roman"/>
          <w:sz w:val="17"/>
          <w:szCs w:val="17"/>
          <w:color w:val="auto"/>
        </w:rPr>
        <w:t xml:space="preserve">Costs associated with the workforce reduction are comprised principally of severance payments and related payroll taxes, employee benefits, and outplacement services. Termination costs related to 2005 workforce reductions were expensed in the fourth quarter of 2005, and included non-cash expenses due to the accelerated vesting of certain stock options and restricted stock held by affected employees. Estimated termination costs associated with the planned workforce reduction in 2006 were measured in October 2005 and are being expensed ratably over the expected service period of the affected employees in accordance with SFAS 146, </w:t>
      </w:r>
      <w:r>
        <w:rPr>
          <w:rFonts w:ascii="Times New Roman" w:cs="Times New Roman" w:eastAsia="Times New Roman" w:hAnsi="Times New Roman"/>
          <w:sz w:val="17"/>
          <w:szCs w:val="17"/>
          <w:i w:val="1"/>
          <w:iCs w:val="1"/>
          <w:color w:val="auto"/>
        </w:rPr>
        <w:t>Accounting for Costs Associated with Exit or Disposal Activities.</w:t>
      </w:r>
      <w:r>
        <w:rPr>
          <w:rFonts w:ascii="Times New Roman" w:cs="Times New Roman" w:eastAsia="Times New Roman" w:hAnsi="Times New Roman"/>
          <w:sz w:val="17"/>
          <w:szCs w:val="17"/>
          <w:color w:val="auto"/>
        </w:rPr>
        <w:t xml:space="preserve"> The Company estimates that total costs associated with the 2005 and planned 2006 workforce reductions will approximate $2.7 million, including $0.2 million of non-cash expenses.</w:t>
      </w:r>
    </w:p>
    <w:p>
      <w:pPr>
        <w:spacing w:after="0" w:line="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Severance costs associated with the workforce reduction plan that were charged to expense in 2005 consist of the following:</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Costs Charged to</w:t>
            </w:r>
          </w:p>
        </w:tc>
        <w:tc>
          <w:tcPr>
            <w:tcW w:w="160" w:type="dxa"/>
            <w:vAlign w:val="bottom"/>
          </w:tcPr>
          <w:p>
            <w:pPr>
              <w:spacing w:after="0"/>
              <w:rPr>
                <w:sz w:val="12"/>
                <w:szCs w:val="12"/>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Costs Paid or Settled</w:t>
            </w:r>
          </w:p>
        </w:tc>
        <w:tc>
          <w:tcPr>
            <w:tcW w:w="120" w:type="dxa"/>
            <w:vAlign w:val="bottom"/>
          </w:tcPr>
          <w:p>
            <w:pPr>
              <w:spacing w:after="0"/>
              <w:rPr>
                <w:sz w:val="12"/>
                <w:szCs w:val="12"/>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Accrued Liability at</w:t>
            </w:r>
          </w:p>
        </w:tc>
      </w:tr>
      <w:tr>
        <w:trPr>
          <w:trHeight w:val="159"/>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160" w:type="dxa"/>
            <w:vAlign w:val="bottom"/>
          </w:tcPr>
          <w:p>
            <w:pPr>
              <w:spacing w:after="0"/>
              <w:rPr>
                <w:sz w:val="13"/>
                <w:szCs w:val="13"/>
                <w:color w:val="auto"/>
              </w:rPr>
            </w:pPr>
          </w:p>
        </w:tc>
        <w:tc>
          <w:tcPr>
            <w:tcW w:w="184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9"/>
              </w:rPr>
              <w:t>in 2005</w:t>
            </w:r>
          </w:p>
        </w:tc>
        <w:tc>
          <w:tcPr>
            <w:tcW w:w="12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2005</w:t>
            </w:r>
          </w:p>
        </w:tc>
      </w:tr>
      <w:tr>
        <w:trPr>
          <w:trHeight w:val="42"/>
        </w:trPr>
        <w:tc>
          <w:tcPr>
            <w:tcW w:w="46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severance, payroll taxes, and benefits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907</w:t>
            </w:r>
          </w:p>
        </w:tc>
      </w:tr>
      <w:tr>
        <w:trPr>
          <w:trHeight w:val="19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severance costs</w:t>
            </w:r>
          </w:p>
        </w:tc>
        <w:tc>
          <w:tcPr>
            <w:tcW w:w="1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w:t>
            </w:r>
          </w:p>
        </w:tc>
      </w:tr>
      <w:tr>
        <w:trPr>
          <w:trHeight w:val="19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expenses</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00" w:type="dxa"/>
            <w:vAlign w:val="bottom"/>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These severance costs are included in the Company’s Statement of Operations for the year ended December 31, 2005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Research &amp;</w:t>
            </w:r>
          </w:p>
        </w:tc>
        <w:tc>
          <w:tcPr>
            <w:tcW w:w="12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General &amp;</w:t>
            </w:r>
          </w:p>
        </w:tc>
      </w:tr>
      <w:tr>
        <w:trPr>
          <w:trHeight w:val="159"/>
        </w:trPr>
        <w:tc>
          <w:tcPr>
            <w:tcW w:w="7460" w:type="dxa"/>
            <w:vAlign w:val="bottom"/>
          </w:tcPr>
          <w:p>
            <w:pPr>
              <w:spacing w:after="0"/>
              <w:rPr>
                <w:sz w:val="13"/>
                <w:szCs w:val="13"/>
                <w:color w:val="auto"/>
              </w:rPr>
            </w:pPr>
          </w:p>
        </w:tc>
        <w:tc>
          <w:tcPr>
            <w:tcW w:w="128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Administrative</w:t>
            </w:r>
          </w:p>
        </w:tc>
      </w:tr>
      <w:tr>
        <w:trPr>
          <w:trHeight w:val="42"/>
        </w:trPr>
        <w:tc>
          <w:tcPr>
            <w:tcW w:w="74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severance, payroll taxes, and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1,734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w:t>
            </w:r>
          </w:p>
        </w:tc>
      </w:tr>
      <w:tr>
        <w:trPr>
          <w:trHeight w:val="199"/>
        </w:trPr>
        <w:tc>
          <w:tcPr>
            <w:tcW w:w="7460" w:type="dxa"/>
            <w:vAlign w:val="bottom"/>
          </w:tcPr>
          <w:p>
            <w:pPr>
              <w:spacing w:after="0"/>
              <w:rPr>
                <w:sz w:val="20"/>
                <w:szCs w:val="20"/>
                <w:color w:val="auto"/>
              </w:rPr>
            </w:pPr>
            <w:r>
              <w:rPr>
                <w:rFonts w:ascii="Times New Roman" w:cs="Times New Roman" w:eastAsia="Times New Roman" w:hAnsi="Times New Roman"/>
                <w:sz w:val="17"/>
                <w:szCs w:val="17"/>
                <w:color w:val="auto"/>
              </w:rPr>
              <w:t>Other severance costs</w:t>
            </w:r>
          </w:p>
        </w:tc>
        <w:tc>
          <w:tcPr>
            <w:tcW w:w="100" w:type="dxa"/>
            <w:vAlign w:val="bottom"/>
          </w:tcPr>
          <w:p>
            <w:pPr>
              <w:spacing w:after="0"/>
              <w:rPr>
                <w:sz w:val="17"/>
                <w:szCs w:val="17"/>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206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expenses</w:t>
            </w:r>
          </w:p>
        </w:tc>
        <w:tc>
          <w:tcPr>
            <w:tcW w:w="10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r>
      <w:tr>
        <w:trPr>
          <w:trHeight w:val="204"/>
        </w:trPr>
        <w:tc>
          <w:tcPr>
            <w:tcW w:w="7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2,155</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7"/>
                <w:szCs w:val="17"/>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For segment reporting purposes (see Note 19), all severance-related expenses are included in the Research &amp; Development segment.</w:t>
      </w:r>
    </w:p>
    <w:p>
      <w:pPr>
        <w:spacing w:after="0" w:line="210" w:lineRule="exact"/>
        <w:rPr>
          <w:sz w:val="20"/>
          <w:szCs w:val="20"/>
          <w:color w:val="auto"/>
        </w:rPr>
      </w:pPr>
    </w:p>
    <w:p>
      <w:pPr>
        <w:ind w:left="980" w:hanging="295"/>
        <w:spacing w:after="0"/>
        <w:tabs>
          <w:tab w:leader="none" w:pos="98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Marketable Securities</w:t>
      </w:r>
    </w:p>
    <w:p>
      <w:pPr>
        <w:spacing w:after="0" w:line="117" w:lineRule="exact"/>
        <w:rPr>
          <w:sz w:val="20"/>
          <w:szCs w:val="20"/>
          <w:color w:val="auto"/>
        </w:rPr>
      </w:pPr>
    </w:p>
    <w:p>
      <w:pPr>
        <w:ind w:left="680" w:right="460" w:firstLine="398"/>
        <w:spacing w:after="0" w:line="271" w:lineRule="auto"/>
        <w:rPr>
          <w:sz w:val="20"/>
          <w:szCs w:val="20"/>
          <w:color w:val="auto"/>
        </w:rPr>
      </w:pPr>
      <w:r>
        <w:rPr>
          <w:rFonts w:ascii="Times New Roman" w:cs="Times New Roman" w:eastAsia="Times New Roman" w:hAnsi="Times New Roman"/>
          <w:sz w:val="17"/>
          <w:szCs w:val="17"/>
          <w:color w:val="auto"/>
        </w:rPr>
        <w:t xml:space="preserve">The Company considers its unrestricted marketable securities to be “available-for-sale,” as defined by SFAS 115, </w:t>
      </w:r>
      <w:r>
        <w:rPr>
          <w:rFonts w:ascii="Times New Roman" w:cs="Times New Roman" w:eastAsia="Times New Roman" w:hAnsi="Times New Roman"/>
          <w:sz w:val="17"/>
          <w:szCs w:val="17"/>
          <w:i w:val="1"/>
          <w:iCs w:val="1"/>
          <w:color w:val="auto"/>
        </w:rPr>
        <w:t>Accounting for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Investments in Debt and Equity Securities. </w:t>
      </w:r>
      <w:r>
        <w:rPr>
          <w:rFonts w:ascii="Times New Roman" w:cs="Times New Roman" w:eastAsia="Times New Roman" w:hAnsi="Times New Roman"/>
          <w:sz w:val="17"/>
          <w:szCs w:val="17"/>
          <w:color w:val="auto"/>
        </w:rPr>
        <w:t>Gross unrealized holding gains</w:t>
      </w:r>
    </w:p>
    <w:p>
      <w:pPr>
        <w:spacing w:after="0" w:line="3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8" w:name="page69"/>
    <w:bookmarkEnd w:id="6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jc w:val="both"/>
        <w:ind w:left="680" w:right="120"/>
        <w:spacing w:after="0" w:line="256" w:lineRule="auto"/>
        <w:rPr>
          <w:sz w:val="20"/>
          <w:szCs w:val="20"/>
          <w:color w:val="auto"/>
        </w:rPr>
      </w:pPr>
      <w:r>
        <w:rPr>
          <w:rFonts w:ascii="Times New Roman" w:cs="Times New Roman" w:eastAsia="Times New Roman" w:hAnsi="Times New Roman"/>
          <w:sz w:val="17"/>
          <w:szCs w:val="17"/>
          <w:color w:val="auto"/>
        </w:rPr>
        <w:t>and losses are reported as a net amount in a separate component of stockholders’ equity entitled Accumulated Other Comprehensive Income (Loss). The net change in unrealized holding gains and losses is excluded from operations and included in stockholders’ equity as a separate component of comprehensive income (loss).</w:t>
      </w:r>
    </w:p>
    <w:p>
      <w:pPr>
        <w:spacing w:after="0" w:line="83" w:lineRule="exact"/>
        <w:rPr>
          <w:sz w:val="20"/>
          <w:szCs w:val="20"/>
          <w:color w:val="auto"/>
        </w:rPr>
      </w:pPr>
    </w:p>
    <w:p>
      <w:pPr>
        <w:ind w:left="680" w:right="60" w:firstLine="398"/>
        <w:spacing w:after="0" w:line="247" w:lineRule="auto"/>
        <w:rPr>
          <w:sz w:val="20"/>
          <w:szCs w:val="20"/>
          <w:color w:val="auto"/>
        </w:rPr>
      </w:pPr>
      <w:r>
        <w:rPr>
          <w:rFonts w:ascii="Times New Roman" w:cs="Times New Roman" w:eastAsia="Times New Roman" w:hAnsi="Times New Roman"/>
          <w:sz w:val="17"/>
          <w:szCs w:val="17"/>
          <w:color w:val="auto"/>
        </w:rPr>
        <w:t>The Company has revised on its balance sheet at December 31, 2004 the classification of its investments in auction rate securities from cash and cash equivalents to short-term investments. Auction rate securities are securities that have stated maturities beyond three months, but are priced and traded as short-term investments due to the liquidity provided through the auction mechanism that generally resets interest rates every 28 or 35 days. The change in classification resulted in a decrease in cash and cash equivalents and corresponding increase in short-term marketable securities of $6.0 million at December 31, 2004. The Company held no auction rate securities at December 31, 2005. In addition, the Company revised its statements of cash flows to reflect the purchases and sales of these securities as investing activities rather than as a component of cash and cash equivalents, resulting in increases in cash flows from investing activities of $14.8 million and $14.2 million for the years ended December 31, 2004 and 2003, respectively. This change in classification had no impact on the Company’s previously reported current assets, net income (loss), or cash flows from operations.</w:t>
      </w:r>
    </w:p>
    <w:p>
      <w:pPr>
        <w:spacing w:after="0" w:line="90" w:lineRule="exact"/>
        <w:rPr>
          <w:sz w:val="20"/>
          <w:szCs w:val="20"/>
          <w:color w:val="auto"/>
        </w:rPr>
      </w:pPr>
    </w:p>
    <w:p>
      <w:pPr>
        <w:ind w:left="680" w:right="180" w:firstLine="398"/>
        <w:spacing w:after="0" w:line="268" w:lineRule="auto"/>
        <w:rPr>
          <w:sz w:val="20"/>
          <w:szCs w:val="20"/>
          <w:color w:val="auto"/>
        </w:rPr>
      </w:pPr>
      <w:r>
        <w:rPr>
          <w:rFonts w:ascii="Times New Roman" w:cs="Times New Roman" w:eastAsia="Times New Roman" w:hAnsi="Times New Roman"/>
          <w:sz w:val="17"/>
          <w:szCs w:val="17"/>
          <w:color w:val="auto"/>
        </w:rPr>
        <w:t>The following tables summarize the amortized cost basis of marketable securities, the aggregate fair value of marketable securities, and gross unrealized holding gains and losses at December 31, 2005 and 2004:</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5660" w:type="dxa"/>
            <w:vAlign w:val="bottom"/>
          </w:tcPr>
          <w:p>
            <w:pPr>
              <w:spacing w:after="0"/>
              <w:rPr>
                <w:sz w:val="13"/>
                <w:szCs w:val="13"/>
                <w:color w:val="auto"/>
              </w:rPr>
            </w:pP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Holding</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110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Cost Basis</w:t>
            </w:r>
          </w:p>
        </w:tc>
        <w:tc>
          <w:tcPr>
            <w:tcW w:w="1100" w:type="dxa"/>
            <w:vAlign w:val="bottom"/>
            <w:gridSpan w:val="3"/>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38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Gains</w:t>
            </w:r>
          </w:p>
        </w:tc>
        <w:tc>
          <w:tcPr>
            <w:tcW w:w="34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1"/>
                <w:szCs w:val="11"/>
                <w:color w:val="auto"/>
              </w:rPr>
            </w:pPr>
          </w:p>
        </w:tc>
        <w:tc>
          <w:tcPr>
            <w:tcW w:w="300" w:type="dxa"/>
            <w:vAlign w:val="bottom"/>
          </w:tcPr>
          <w:p>
            <w:pPr>
              <w:jc w:val="right"/>
              <w:ind w:right="18"/>
              <w:spacing w:after="0" w:line="129"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56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December 31, 2005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Maturities within one year</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42,203</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42,122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99"/>
        </w:trPr>
        <w:tc>
          <w:tcPr>
            <w:tcW w:w="5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government securities</w:t>
            </w: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52,959</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52,763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2"/>
              </w:rPr>
              <w:t>(196)</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Asset-backed securities</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19,231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19,152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114,393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114,037</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1"/>
              </w:rPr>
              <w:t>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6"/>
              </w:rPr>
              <w:t>(361)</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5"/>
              </w:rPr>
              <w:t>(356)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Maturities between one and two years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16,188</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16,075</w:t>
            </w:r>
          </w:p>
        </w:tc>
        <w:tc>
          <w:tcPr>
            <w:tcW w:w="16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2"/>
              </w:rPr>
              <w:t>(113)</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government securities</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2,034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8"/>
        </w:trPr>
        <w:tc>
          <w:tcPr>
            <w:tcW w:w="5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18,109</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1"/>
              </w:rPr>
              <w:t>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6"/>
              </w:rPr>
              <w:t>(136)</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5"/>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132,636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132,146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(490)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December 31, 2004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Maturities within one year</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58,077</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57,971</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8</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2"/>
              </w:rPr>
              <w:t>(106)</w:t>
            </w: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government securities</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7"/>
              </w:rPr>
              <w:t>137,105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136,777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(328)</w:t>
            </w:r>
          </w:p>
        </w:tc>
        <w:tc>
          <w:tcPr>
            <w:tcW w:w="0" w:type="dxa"/>
            <w:vAlign w:val="bottom"/>
          </w:tcPr>
          <w:p>
            <w:pPr>
              <w:spacing w:after="0"/>
              <w:rPr>
                <w:sz w:val="1"/>
                <w:szCs w:val="1"/>
                <w:color w:val="auto"/>
              </w:rPr>
            </w:pPr>
          </w:p>
        </w:tc>
      </w:tr>
      <w:tr>
        <w:trPr>
          <w:trHeight w:val="199"/>
        </w:trPr>
        <w:tc>
          <w:tcPr>
            <w:tcW w:w="5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Auction rate securities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6,005</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6,005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201,187</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200,753</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(434)</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Maturities between one and two years</w:t>
            </w: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government securities</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53,265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52,930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(335)</w:t>
            </w:r>
          </w:p>
        </w:tc>
        <w:tc>
          <w:tcPr>
            <w:tcW w:w="0" w:type="dxa"/>
            <w:vAlign w:val="bottom"/>
          </w:tcPr>
          <w:p>
            <w:pPr>
              <w:spacing w:after="0"/>
              <w:rPr>
                <w:sz w:val="1"/>
                <w:szCs w:val="1"/>
                <w:color w:val="auto"/>
              </w:rPr>
            </w:pPr>
          </w:p>
        </w:tc>
      </w:tr>
      <w:tr>
        <w:trPr>
          <w:trHeight w:val="204"/>
        </w:trPr>
        <w:tc>
          <w:tcPr>
            <w:tcW w:w="56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254,452</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253,683</w:t>
            </w:r>
          </w:p>
        </w:tc>
        <w:tc>
          <w:tcPr>
            <w:tcW w:w="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1"/>
              </w:rPr>
              <w:t>8</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40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(769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 addition, cash and cash equivalents at December 31, 2005 included an unrealized holding gain of $20 thousand.</w:t>
      </w:r>
    </w:p>
    <w:p>
      <w:pPr>
        <w:spacing w:after="0" w:line="3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69" w:name="page70"/>
    <w:bookmarkEnd w:id="6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10" w:lineRule="exact"/>
        <w:rPr>
          <w:sz w:val="20"/>
          <w:szCs w:val="20"/>
          <w:color w:val="auto"/>
        </w:rPr>
      </w:pPr>
    </w:p>
    <w:p>
      <w:pPr>
        <w:ind w:left="680" w:right="20" w:firstLine="398"/>
        <w:spacing w:after="0" w:line="252" w:lineRule="auto"/>
        <w:rPr>
          <w:sz w:val="20"/>
          <w:szCs w:val="20"/>
          <w:color w:val="auto"/>
        </w:rPr>
      </w:pPr>
      <w:r>
        <w:rPr>
          <w:rFonts w:ascii="Times New Roman" w:cs="Times New Roman" w:eastAsia="Times New Roman" w:hAnsi="Times New Roman"/>
          <w:sz w:val="17"/>
          <w:szCs w:val="17"/>
          <w:color w:val="auto"/>
        </w:rPr>
        <w:t>Realized gains and losses are included as a component of investment income. For the years ended December 31, 2005, 2004, and 2003, gross realized gains and losses were not significant. In computing realized gains and losses, the Company computes the cost of its investments on a specific identification basis. Such cost includes the direct costs to acquire the securities, adjusted for the amortization of any discount or premium. The fair value of marketable securities has been estimated based on quoted market prices.</w:t>
      </w:r>
    </w:p>
    <w:p>
      <w:pPr>
        <w:spacing w:after="0" w:line="86" w:lineRule="exact"/>
        <w:rPr>
          <w:sz w:val="20"/>
          <w:szCs w:val="20"/>
          <w:color w:val="auto"/>
        </w:rPr>
      </w:pPr>
    </w:p>
    <w:p>
      <w:pPr>
        <w:ind w:left="680" w:right="20" w:firstLine="398"/>
        <w:spacing w:after="0" w:line="279" w:lineRule="auto"/>
        <w:rPr>
          <w:sz w:val="20"/>
          <w:szCs w:val="20"/>
          <w:color w:val="auto"/>
        </w:rPr>
      </w:pPr>
      <w:r>
        <w:rPr>
          <w:rFonts w:ascii="Times New Roman" w:cs="Times New Roman" w:eastAsia="Times New Roman" w:hAnsi="Times New Roman"/>
          <w:sz w:val="16"/>
          <w:szCs w:val="16"/>
          <w:color w:val="auto"/>
        </w:rPr>
        <w:t>The following table shows the unrealized losses and fair value of the Company’s marketable securities with unrealized losses that are deemed to be only temporarily impaired, aggregated by investment category and length of time that individual securities have been in a continuous unrealized loss position, at December 31, 2005 and 2004. The securities listed at December 31, 2005 mature at various dates through April 2007.</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20" w:type="dxa"/>
            <w:vAlign w:val="bottom"/>
          </w:tcPr>
          <w:p>
            <w:pPr>
              <w:spacing w:after="0"/>
              <w:rPr>
                <w:sz w:val="13"/>
                <w:szCs w:val="13"/>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12 Months or Greater</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gridSpan w:val="2"/>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80" w:type="dxa"/>
            <w:vAlign w:val="bottom"/>
          </w:tcPr>
          <w:p>
            <w:pPr>
              <w:spacing w:after="0"/>
              <w:rPr>
                <w:sz w:val="9"/>
                <w:szCs w:val="9"/>
                <w:color w:val="auto"/>
              </w:rPr>
            </w:pPr>
          </w:p>
        </w:tc>
        <w:tc>
          <w:tcPr>
            <w:tcW w:w="110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80" w:type="dxa"/>
            <w:vAlign w:val="bottom"/>
            <w:tcBorders>
              <w:top w:val="single" w:sz="8" w:color="auto"/>
            </w:tcBorders>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00" w:type="dxa"/>
            <w:vAlign w:val="bottom"/>
          </w:tcPr>
          <w:p>
            <w:pPr>
              <w:spacing w:after="0"/>
              <w:rPr>
                <w:sz w:val="9"/>
                <w:szCs w:val="9"/>
                <w:color w:val="auto"/>
              </w:rPr>
            </w:pPr>
          </w:p>
        </w:tc>
        <w:tc>
          <w:tcPr>
            <w:tcW w:w="10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00" w:type="dxa"/>
            <w:vAlign w:val="bottom"/>
            <w:tcBorders>
              <w:top w:val="single" w:sz="8" w:color="auto"/>
            </w:tcBorders>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00" w:type="dxa"/>
            <w:vAlign w:val="bottom"/>
          </w:tcPr>
          <w:p>
            <w:pPr>
              <w:spacing w:after="0"/>
              <w:rPr>
                <w:sz w:val="9"/>
                <w:szCs w:val="9"/>
                <w:color w:val="auto"/>
              </w:rPr>
            </w:pPr>
          </w:p>
        </w:tc>
        <w:tc>
          <w:tcPr>
            <w:tcW w:w="720" w:type="dxa"/>
            <w:vAlign w:val="bottom"/>
            <w:tcBorders>
              <w:top w:val="single" w:sz="8" w:color="auto"/>
            </w:tcBorders>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right"/>
              <w:spacing w:after="0" w:line="10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7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December 31, 2005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36,394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36,394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government securities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2,034</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8"/>
              </w:rPr>
              <w:t>52,762</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54,796</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199"/>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Asset-backed securities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19,152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57,580</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8"/>
              </w:rPr>
              <w:t>52,762</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110,342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December 31, 2004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29,267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7,353</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36,620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199"/>
        </w:trPr>
        <w:tc>
          <w:tcPr>
            <w:tcW w:w="3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government securities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189,707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(663)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189,707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(663)</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218,974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(756)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7,353</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226,327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80" w:firstLine="398"/>
        <w:spacing w:after="0" w:line="250" w:lineRule="auto"/>
        <w:rPr>
          <w:sz w:val="20"/>
          <w:szCs w:val="20"/>
          <w:color w:val="auto"/>
        </w:rPr>
      </w:pPr>
      <w:r>
        <w:rPr>
          <w:rFonts w:ascii="Times New Roman" w:cs="Times New Roman" w:eastAsia="Times New Roman" w:hAnsi="Times New Roman"/>
          <w:sz w:val="17"/>
          <w:szCs w:val="17"/>
          <w:color w:val="auto"/>
        </w:rPr>
        <w:t>The unrealized losses on the Company’s investments in corporate debt securities, U.S. government securities, and asset-backed securities were primarily caused by interest rate increases, which generally resulted in a decrease in the market value of the Company’s portfolio. Based upon the Company’s currently projected sources and uses of cash, the Company intends to hold these securities until a recovery of fair value, which may be maturity. Therefore, the Company does not consider these marketable securities at December 31, 2005 and 2004 to be other-than-temporarily impaired.</w:t>
      </w:r>
    </w:p>
    <w:p>
      <w:pPr>
        <w:spacing w:after="0" w:line="183" w:lineRule="exact"/>
        <w:rPr>
          <w:sz w:val="20"/>
          <w:szCs w:val="20"/>
          <w:color w:val="auto"/>
        </w:rPr>
      </w:pPr>
    </w:p>
    <w:p>
      <w:pPr>
        <w:ind w:left="68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Accounts Receivable</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Accounts receivable as of December 31, 2005 and 2004 consist of the following:</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8260" w:type="dxa"/>
            <w:vAlign w:val="bottom"/>
          </w:tcPr>
          <w:p>
            <w:pPr>
              <w:spacing w:after="0"/>
              <w:rPr>
                <w:sz w:val="13"/>
                <w:szCs w:val="13"/>
                <w:color w:val="auto"/>
              </w:rPr>
            </w:pPr>
          </w:p>
        </w:tc>
        <w:tc>
          <w:tcPr>
            <w:tcW w:w="5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2005</w:t>
            </w:r>
          </w:p>
        </w:tc>
        <w:tc>
          <w:tcPr>
            <w:tcW w:w="400" w:type="dxa"/>
            <w:vAlign w:val="bottom"/>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3"/>
                <w:szCs w:val="13"/>
                <w:color w:val="auto"/>
              </w:rPr>
            </w:pPr>
          </w:p>
        </w:tc>
      </w:tr>
      <w:tr>
        <w:trPr>
          <w:trHeight w:val="42"/>
        </w:trPr>
        <w:tc>
          <w:tcPr>
            <w:tcW w:w="8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 from the sanofi-aventis Group (see Note 12a)</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7"/>
              </w:rPr>
              <w:t>$ 36,412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$ 39,362</w:t>
            </w:r>
          </w:p>
        </w:tc>
      </w:tr>
      <w:tr>
        <w:trPr>
          <w:trHeight w:val="19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Receivable from The Procter &amp; Gamble Company (see Note 12e)</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2,345</w:t>
            </w:r>
          </w:p>
        </w:tc>
      </w:tr>
      <w:tr>
        <w:trPr>
          <w:trHeight w:val="19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 from Merck &amp; Co. Inc. (see Note 13)</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1,315</w:t>
            </w:r>
          </w:p>
        </w:tc>
      </w:tr>
      <w:tr>
        <w:trPr>
          <w:trHeight w:val="19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82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w:t>
            </w:r>
          </w:p>
        </w:tc>
      </w:tr>
      <w:tr>
        <w:trPr>
          <w:trHeight w:val="25"/>
        </w:trPr>
        <w:tc>
          <w:tcPr>
            <w:tcW w:w="8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8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7"/>
              </w:rPr>
              <w:t>$ 36,521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$ 43,102</w:t>
            </w:r>
          </w:p>
        </w:tc>
      </w:tr>
      <w:tr>
        <w:trPr>
          <w:trHeight w:val="20"/>
        </w:trPr>
        <w:tc>
          <w:tcPr>
            <w:tcW w:w="8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980" w:hanging="295"/>
        <w:spacing w:after="0"/>
        <w:tabs>
          <w:tab w:leader="none" w:pos="9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Inventories</w:t>
      </w:r>
    </w:p>
    <w:p>
      <w:pPr>
        <w:spacing w:after="0" w:line="119" w:lineRule="exact"/>
        <w:rPr>
          <w:sz w:val="20"/>
          <w:szCs w:val="20"/>
          <w:color w:val="auto"/>
        </w:rPr>
      </w:pPr>
    </w:p>
    <w:p>
      <w:pPr>
        <w:ind w:left="680" w:right="280" w:firstLine="398"/>
        <w:spacing w:after="0" w:line="256" w:lineRule="auto"/>
        <w:rPr>
          <w:sz w:val="20"/>
          <w:szCs w:val="20"/>
          <w:color w:val="auto"/>
        </w:rPr>
      </w:pPr>
      <w:r>
        <w:rPr>
          <w:rFonts w:ascii="Times New Roman" w:cs="Times New Roman" w:eastAsia="Times New Roman" w:hAnsi="Times New Roman"/>
          <w:sz w:val="17"/>
          <w:szCs w:val="17"/>
          <w:color w:val="auto"/>
        </w:rPr>
        <w:t>Inventory balances at December 31, 2005 and 2004 consist of raw materials, work-in process, and finished products associated with the production of an intermediate for a Merck &amp; Co., Inc. pediatric vaccine under a long-term manufacturing agreement which will expire in October 2006 (see Note 13).</w:t>
      </w:r>
    </w:p>
    <w:p>
      <w:pPr>
        <w:spacing w:after="0" w:line="3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70" w:name="page71"/>
    <w:bookmarkEnd w:id="7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Inventories as of December 31, 2005 and 2004 consist of the following:</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130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2005</w:t>
            </w:r>
          </w:p>
        </w:tc>
        <w:tc>
          <w:tcPr>
            <w:tcW w:w="1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2"/>
        </w:trPr>
        <w:tc>
          <w:tcPr>
            <w:tcW w:w="1300" w:type="dxa"/>
            <w:vAlign w:val="bottom"/>
          </w:tcPr>
          <w:p>
            <w:pPr>
              <w:spacing w:after="0"/>
              <w:rPr>
                <w:sz w:val="3"/>
                <w:szCs w:val="3"/>
                <w:color w:val="auto"/>
              </w:rPr>
            </w:pPr>
          </w:p>
        </w:tc>
        <w:tc>
          <w:tcPr>
            <w:tcW w:w="6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17"/>
                <w:szCs w:val="17"/>
                <w:color w:val="auto"/>
              </w:rPr>
            </w:pPr>
          </w:p>
        </w:tc>
      </w:tr>
      <w:tr>
        <w:trPr>
          <w:trHeight w:val="199"/>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Work-in process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w w:val="99"/>
              </w:rPr>
              <w:t>1,423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692(1)</w:t>
            </w:r>
          </w:p>
        </w:tc>
      </w:tr>
      <w:tr>
        <w:trPr>
          <w:trHeight w:val="199"/>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products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9"/>
              </w:rPr>
              <w:t>1,203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2,227</w:t>
            </w:r>
          </w:p>
        </w:tc>
        <w:tc>
          <w:tcPr>
            <w:tcW w:w="100" w:type="dxa"/>
            <w:vAlign w:val="bottom"/>
            <w:shd w:val="clear" w:color="auto" w:fill="CCEEFF"/>
          </w:tcPr>
          <w:p>
            <w:pPr>
              <w:spacing w:after="0"/>
              <w:rPr>
                <w:sz w:val="17"/>
                <w:szCs w:val="17"/>
                <w:color w:val="auto"/>
              </w:rPr>
            </w:pPr>
          </w:p>
        </w:tc>
      </w:tr>
      <w:tr>
        <w:trPr>
          <w:trHeight w:val="204"/>
        </w:trPr>
        <w:tc>
          <w:tcPr>
            <w:tcW w:w="130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2,904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4"/>
              </w:rPr>
              <w:t>$ 3,229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1300" w:type="dxa"/>
            <w:vAlign w:val="bottom"/>
            <w:tcBorders>
              <w:bottom w:val="single" w:sz="8" w:color="auto"/>
            </w:tcBorders>
          </w:tcPr>
          <w:p>
            <w:pPr>
              <w:spacing w:after="0"/>
              <w:rPr>
                <w:sz w:val="9"/>
                <w:szCs w:val="9"/>
                <w:color w:val="auto"/>
              </w:rPr>
            </w:pPr>
          </w:p>
        </w:tc>
        <w:tc>
          <w:tcPr>
            <w:tcW w:w="6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54"/>
        </w:trPr>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(1) Net of reserves of $0.3 million.</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10"/>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Property, Plant, and Equipment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1"/>
        </w:trPr>
        <w:tc>
          <w:tcPr>
            <w:tcW w:w="80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Property, plant, and equipment as of December 31, 2005 and 2004 consist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1"/>
        </w:trPr>
        <w:tc>
          <w:tcPr>
            <w:tcW w:w="130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2005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42"/>
        </w:trPr>
        <w:tc>
          <w:tcPr>
            <w:tcW w:w="1300" w:type="dxa"/>
            <w:vAlign w:val="bottom"/>
          </w:tcPr>
          <w:p>
            <w:pPr>
              <w:spacing w:after="0"/>
              <w:rPr>
                <w:sz w:val="3"/>
                <w:szCs w:val="3"/>
                <w:color w:val="auto"/>
              </w:rPr>
            </w:pPr>
          </w:p>
        </w:tc>
        <w:tc>
          <w:tcPr>
            <w:tcW w:w="6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475</w:t>
            </w:r>
          </w:p>
        </w:tc>
      </w:tr>
      <w:tr>
        <w:trPr>
          <w:trHeight w:val="199"/>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20" w:type="dxa"/>
            <w:vAlign w:val="bottom"/>
          </w:tcPr>
          <w:p>
            <w:pPr>
              <w:spacing w:after="0"/>
              <w:rPr>
                <w:sz w:val="17"/>
                <w:szCs w:val="17"/>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56,895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56,750</w:t>
            </w:r>
          </w:p>
        </w:tc>
      </w:tr>
      <w:tr>
        <w:trPr>
          <w:trHeight w:val="199"/>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31,192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30,451</w:t>
            </w:r>
          </w:p>
        </w:tc>
      </w:tr>
      <w:tr>
        <w:trPr>
          <w:trHeight w:val="199"/>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Construction-in-progress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172</w:t>
            </w:r>
          </w:p>
        </w:tc>
      </w:tr>
      <w:tr>
        <w:trPr>
          <w:trHeight w:val="199"/>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and other equipment</w:t>
            </w:r>
          </w:p>
        </w:tc>
        <w:tc>
          <w:tcPr>
            <w:tcW w:w="1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57,395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55,174</w:t>
            </w:r>
          </w:p>
        </w:tc>
      </w:tr>
      <w:tr>
        <w:trPr>
          <w:trHeight w:val="199"/>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Furniture, fixtures, and computer equipment</w:t>
            </w:r>
          </w:p>
        </w:tc>
        <w:tc>
          <w:tcPr>
            <w:tcW w:w="120" w:type="dxa"/>
            <w:vAlign w:val="bottom"/>
          </w:tcPr>
          <w:p>
            <w:pPr>
              <w:spacing w:after="0"/>
              <w:rPr>
                <w:sz w:val="17"/>
                <w:szCs w:val="17"/>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4,675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5,498</w:t>
            </w:r>
          </w:p>
        </w:tc>
      </w:tr>
      <w:tr>
        <w:trPr>
          <w:trHeight w:val="25"/>
        </w:trPr>
        <w:tc>
          <w:tcPr>
            <w:tcW w:w="13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130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150,632</w:t>
            </w:r>
          </w:p>
        </w:tc>
        <w:tc>
          <w:tcPr>
            <w:tcW w:w="30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148,520</w:t>
            </w:r>
          </w:p>
        </w:tc>
      </w:tr>
      <w:tr>
        <w:trPr>
          <w:trHeight w:val="199"/>
        </w:trPr>
        <w:tc>
          <w:tcPr>
            <w:tcW w:w="8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1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(90,097)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w w:val="92"/>
              </w:rPr>
              <w:t>(77,281)</w:t>
            </w:r>
          </w:p>
        </w:tc>
      </w:tr>
      <w:tr>
        <w:trPr>
          <w:trHeight w:val="25"/>
        </w:trPr>
        <w:tc>
          <w:tcPr>
            <w:tcW w:w="13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130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60,535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71,239</w:t>
            </w:r>
          </w:p>
        </w:tc>
      </w:tr>
      <w:tr>
        <w:trPr>
          <w:trHeight w:val="20"/>
        </w:trPr>
        <w:tc>
          <w:tcPr>
            <w:tcW w:w="13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920" w:firstLine="398"/>
        <w:spacing w:after="0" w:line="252" w:lineRule="auto"/>
        <w:rPr>
          <w:sz w:val="20"/>
          <w:szCs w:val="20"/>
          <w:color w:val="auto"/>
        </w:rPr>
      </w:pPr>
      <w:r>
        <w:rPr>
          <w:rFonts w:ascii="Times New Roman" w:cs="Times New Roman" w:eastAsia="Times New Roman" w:hAnsi="Times New Roman"/>
          <w:sz w:val="17"/>
          <w:szCs w:val="17"/>
          <w:color w:val="auto"/>
        </w:rPr>
        <w:t>Depreciation and amortization expense on property, plant, and equipment amounted to $15.4 million, $15.5 million, and $13.0 million for the years ended December 31, 2005, 2004, and 2003, respectively. Included in these amounts was $0.9 million, $1.1 million, and $1.1 million of depreciation and amortization expense related to contract manufacturing that was capitalized into inventory for the years ended December 31, 2005, 2004, and 2003, respectively.</w:t>
      </w:r>
    </w:p>
    <w:p>
      <w:pPr>
        <w:spacing w:after="0" w:line="181" w:lineRule="exact"/>
        <w:rPr>
          <w:sz w:val="20"/>
          <w:szCs w:val="20"/>
          <w:color w:val="auto"/>
        </w:rPr>
      </w:pPr>
    </w:p>
    <w:p>
      <w:pPr>
        <w:ind w:left="980" w:hanging="295"/>
        <w:spacing w:after="0"/>
        <w:tabs>
          <w:tab w:leader="none" w:pos="98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Accounts Payable and Accrued Expenses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Accounts payable and accrued expenses as of December 31, 2005 and 2004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2005</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2"/>
        </w:trPr>
        <w:tc>
          <w:tcPr>
            <w:tcW w:w="6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9"/>
        </w:trPr>
        <w:tc>
          <w:tcPr>
            <w:tcW w:w="68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4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4,203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4,407</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 and related costs</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10,713</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7,972</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clinical trial expense</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3,081</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2,083</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other</w:t>
            </w:r>
          </w:p>
        </w:tc>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3,048</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2,118</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payable on convertible notes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2,292</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2,292</w:t>
            </w:r>
          </w:p>
        </w:tc>
        <w:tc>
          <w:tcPr>
            <w:tcW w:w="800" w:type="dxa"/>
            <w:vAlign w:val="bottom"/>
          </w:tcPr>
          <w:p>
            <w:pPr>
              <w:spacing w:after="0"/>
              <w:rPr>
                <w:sz w:val="17"/>
                <w:szCs w:val="17"/>
                <w:color w:val="auto"/>
              </w:rPr>
            </w:pPr>
          </w:p>
        </w:tc>
      </w:tr>
      <w:tr>
        <w:trPr>
          <w:trHeight w:val="204"/>
        </w:trPr>
        <w:tc>
          <w:tcPr>
            <w:tcW w:w="6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23,337</w:t>
            </w:r>
          </w:p>
        </w:tc>
        <w:tc>
          <w:tcPr>
            <w:tcW w:w="4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18,872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49"/>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720" w:type="dxa"/>
            <w:vAlign w:val="bottom"/>
            <w:gridSpan w:val="2"/>
          </w:tcPr>
          <w:p>
            <w:pPr>
              <w:jc w:val="right"/>
              <w:ind w:right="3137"/>
              <w:spacing w:after="0"/>
              <w:rPr>
                <w:sz w:val="20"/>
                <w:szCs w:val="20"/>
                <w:color w:val="auto"/>
              </w:rPr>
            </w:pPr>
            <w:r>
              <w:rPr>
                <w:rFonts w:ascii="Times New Roman" w:cs="Times New Roman" w:eastAsia="Times New Roman" w:hAnsi="Times New Roman"/>
                <w:sz w:val="17"/>
                <w:szCs w:val="17"/>
                <w:color w:val="auto"/>
              </w:rPr>
              <w:t>F-18</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68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c>
          <w:tcPr>
            <w:tcW w:w="4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71" w:name="page72"/>
    <w:bookmarkEnd w:id="7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06" w:lineRule="exact"/>
        <w:rPr>
          <w:sz w:val="20"/>
          <w:szCs w:val="20"/>
          <w:color w:val="auto"/>
        </w:rPr>
      </w:pPr>
    </w:p>
    <w:p>
      <w:pPr>
        <w:ind w:left="68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Deferred Revenue</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Deferred revenue as of December 31, 2005 and 2004 consists of the following:</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8260" w:type="dxa"/>
            <w:vAlign w:val="bottom"/>
          </w:tcPr>
          <w:p>
            <w:pPr>
              <w:spacing w:after="0"/>
              <w:rPr>
                <w:sz w:val="13"/>
                <w:szCs w:val="13"/>
                <w:color w:val="auto"/>
              </w:rPr>
            </w:pPr>
          </w:p>
        </w:tc>
        <w:tc>
          <w:tcPr>
            <w:tcW w:w="5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2005</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8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Received from the sanofi-aventis Group</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7"/>
              </w:rPr>
              <w:t>$ 12,483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9,405</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Received from Merck &amp; Co., Inc.</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1,911</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4,407</w:t>
            </w:r>
          </w:p>
        </w:tc>
        <w:tc>
          <w:tcPr>
            <w:tcW w:w="0" w:type="dxa"/>
            <w:vAlign w:val="bottom"/>
          </w:tcPr>
          <w:p>
            <w:pPr>
              <w:spacing w:after="0"/>
              <w:rPr>
                <w:sz w:val="1"/>
                <w:szCs w:val="1"/>
                <w:color w:val="auto"/>
              </w:rPr>
            </w:pPr>
          </w:p>
        </w:tc>
      </w:tr>
      <w:tr>
        <w:trPr>
          <w:trHeight w:val="199"/>
        </w:trPr>
        <w:tc>
          <w:tcPr>
            <w:tcW w:w="8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2,626</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1,455</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7"/>
              </w:rPr>
              <w:t>$ 17,020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15,267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Long-term portion:</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Received from sanofi-aventis</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7"/>
              </w:rPr>
              <w:t>$ 69,142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56,426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180" w:hanging="495"/>
        <w:spacing w:after="0"/>
        <w:tabs>
          <w:tab w:leader="none" w:pos="11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Company’s Amended Certificate of Incorporation provides for the issuance of up to 40 million shares of Class A Stock, par value</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$0.001 per share, and 160 million shares of Common Stock, par value $0.001 per share. Shares of Class A Stock are convertible, at any time, at the</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option of the holder into shares of Common Stock on a share-for-share basis. Holders of Class A Stock have rights and privileges identical to</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Common Stockholders except that Class A Stockholders are entitled to ten votes per share, while Common Stockholders are entitled to one vote per</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share. Class A Stock may only be transferred to specified Permitted Transferees, as defined. The Company’s board of directors (the “Board”) is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authorized to issue up to 30 million shares of preferred stock, in series, with rights, privileges, and qualifications of each series determined by the</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Board.</w:t>
      </w:r>
    </w:p>
    <w:p>
      <w:pPr>
        <w:spacing w:after="0" w:line="98" w:lineRule="exact"/>
        <w:rPr>
          <w:sz w:val="20"/>
          <w:szCs w:val="20"/>
          <w:color w:val="auto"/>
        </w:rPr>
      </w:pPr>
    </w:p>
    <w:p>
      <w:pPr>
        <w:ind w:left="680" w:firstLine="398"/>
        <w:spacing w:after="0" w:line="261" w:lineRule="auto"/>
        <w:rPr>
          <w:sz w:val="20"/>
          <w:szCs w:val="20"/>
          <w:color w:val="auto"/>
        </w:rPr>
      </w:pPr>
      <w:r>
        <w:rPr>
          <w:rFonts w:ascii="Times New Roman" w:cs="Times New Roman" w:eastAsia="Times New Roman" w:hAnsi="Times New Roman"/>
          <w:sz w:val="16"/>
          <w:szCs w:val="16"/>
          <w:color w:val="auto"/>
        </w:rPr>
        <w:t>During 1996, the Company adopted a Shareholder Rights Plan in which Rights were distributed as a dividend at the rate of one Right for each share of Common Stock and Class A Stock (collectively, “Stock”) held by shareholders of record as of the close of business on October 18, 1996. Each Right initially entitles the registered holder to buy a unit (“Unit”) consisting of one-one thousandth of a share of Series A Junior Participating Preferred Stock (“A Preferred Stock”) at a purchase price of $120 per Unit (the “Purchase Price”). Initially the Rights were attached to all Stock certificates representing shares then outstanding, and no separate Rights certificates were distributed. The Rights will separate from the Stock and a “distribution date” will occur upon the earlier of (i) ten days after a public announcement that a person or group of affiliated or associated persons, excluding certain defined persons, (an “Acquiring Person”) has acquired, or has obtained the right to acquire, beneficial ownership of 20% or more of the outstanding shares of Stock or (ii) ten business days following the commencement of a tender offer or exchange offer that would result in a person or group beneficially owning 20% or more of such outstanding shares of Stock. The Rights are not exercisable unless a distribution date occurs and will expire at the close of business on October 18, 2006 unless earlier redeemed by the Company, subject to certain defined restrictions, for $.01 per Right. In the event that an Acquiring Person becomes the beneficial owner of 20% or more of the then outstanding shares of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each Right (other than Rights held by the Acquiring Person) will entitle the holder to purchase, at the Right’s then current exercise price, common shares (or, in certain circumstances, cash, property, or other securities of the Company) having a value twice the Right’s Exercise Price. The Right’s Exercise Price is the Purchase Price times the number of shares of Common Stock associated with each Right (initially, one). Upon the occurrence of any such events, the Rights held by an Acquiring Person become null and void. In certain circumstances, a Right entitles the</w:t>
      </w:r>
    </w:p>
    <w:p>
      <w:pPr>
        <w:spacing w:after="0" w:line="3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72" w:name="page73"/>
    <w:bookmarkEnd w:id="7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holder to receive, upon exercise, shares of common stock of an acquiring company having a value equal to two times the Right’s Exercise Price.</w:t>
      </w:r>
    </w:p>
    <w:p>
      <w:pPr>
        <w:spacing w:after="0" w:line="115" w:lineRule="exact"/>
        <w:rPr>
          <w:sz w:val="20"/>
          <w:szCs w:val="20"/>
          <w:color w:val="auto"/>
        </w:rPr>
      </w:pPr>
    </w:p>
    <w:p>
      <w:pPr>
        <w:ind w:left="680" w:right="1120" w:firstLine="398"/>
        <w:spacing w:after="0" w:line="268" w:lineRule="auto"/>
        <w:rPr>
          <w:sz w:val="20"/>
          <w:szCs w:val="20"/>
          <w:color w:val="auto"/>
        </w:rPr>
      </w:pPr>
      <w:r>
        <w:rPr>
          <w:rFonts w:ascii="Times New Roman" w:cs="Times New Roman" w:eastAsia="Times New Roman" w:hAnsi="Times New Roman"/>
          <w:sz w:val="17"/>
          <w:szCs w:val="17"/>
          <w:color w:val="auto"/>
        </w:rPr>
        <w:t>As a result of the Shareholder Rights Plan, the Company’s Board designated 100,000 shares of preferred stock as A Preferred Stock. The A Preferred Stock has certain preferences, as defined.</w:t>
      </w:r>
    </w:p>
    <w:p>
      <w:pPr>
        <w:spacing w:after="0" w:line="73" w:lineRule="exact"/>
        <w:rPr>
          <w:sz w:val="20"/>
          <w:szCs w:val="20"/>
          <w:color w:val="auto"/>
        </w:rPr>
      </w:pPr>
    </w:p>
    <w:p>
      <w:pPr>
        <w:ind w:left="680" w:right="1220" w:firstLine="398"/>
        <w:spacing w:after="0" w:line="268" w:lineRule="auto"/>
        <w:rPr>
          <w:sz w:val="20"/>
          <w:szCs w:val="20"/>
          <w:color w:val="auto"/>
        </w:rPr>
      </w:pPr>
      <w:r>
        <w:rPr>
          <w:rFonts w:ascii="Times New Roman" w:cs="Times New Roman" w:eastAsia="Times New Roman" w:hAnsi="Times New Roman"/>
          <w:sz w:val="17"/>
          <w:szCs w:val="17"/>
          <w:color w:val="auto"/>
        </w:rPr>
        <w:t>In October 2001, the Company completed a private placement of $200.0 million aggregate principal amount of senior subordinated notes, which are convertible into shares of the Company’s Common Stock. See Note 11d.</w:t>
      </w:r>
    </w:p>
    <w:p>
      <w:pPr>
        <w:spacing w:after="0" w:line="73" w:lineRule="exact"/>
        <w:rPr>
          <w:sz w:val="20"/>
          <w:szCs w:val="20"/>
          <w:color w:val="auto"/>
        </w:rPr>
      </w:pPr>
    </w:p>
    <w:p>
      <w:pPr>
        <w:ind w:left="680" w:right="800" w:firstLine="398"/>
        <w:spacing w:after="0" w:line="279" w:lineRule="auto"/>
        <w:rPr>
          <w:sz w:val="20"/>
          <w:szCs w:val="20"/>
          <w:color w:val="auto"/>
        </w:rPr>
      </w:pPr>
      <w:r>
        <w:rPr>
          <w:rFonts w:ascii="Times New Roman" w:cs="Times New Roman" w:eastAsia="Times New Roman" w:hAnsi="Times New Roman"/>
          <w:sz w:val="16"/>
          <w:szCs w:val="16"/>
          <w:color w:val="auto"/>
        </w:rPr>
        <w:t>In March 2003, Novartis Pharma AG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 See Note 12b.</w:t>
      </w:r>
    </w:p>
    <w:p>
      <w:pPr>
        <w:spacing w:after="0" w:line="66" w:lineRule="exact"/>
        <w:rPr>
          <w:sz w:val="20"/>
          <w:szCs w:val="20"/>
          <w:color w:val="auto"/>
        </w:rPr>
      </w:pPr>
    </w:p>
    <w:p>
      <w:pPr>
        <w:ind w:left="680" w:right="800" w:firstLine="398"/>
        <w:spacing w:after="0" w:line="252" w:lineRule="auto"/>
        <w:rPr>
          <w:sz w:val="20"/>
          <w:szCs w:val="20"/>
          <w:color w:val="auto"/>
        </w:rPr>
      </w:pPr>
      <w:r>
        <w:rPr>
          <w:rFonts w:ascii="Times New Roman" w:cs="Times New Roman" w:eastAsia="Times New Roman" w:hAnsi="Times New Roman"/>
          <w:sz w:val="17"/>
          <w:szCs w:val="17"/>
          <w:color w:val="auto"/>
        </w:rPr>
        <w:t>In August 2003, Regeneron issued to Merck &amp; Co., Inc., 109,450 newly issued unregistered shares of the Company’s Common Stock as consideration for a non-exclusive license agreement granted by Merck to the Company. In August 2004, the Company repurchased these shares from Merck for a purchase price of $0.9 million based on the fair market value of the shares on August 19, 2004. The shares were subsequently retired. See Note 11e.</w:t>
      </w:r>
    </w:p>
    <w:p>
      <w:pPr>
        <w:spacing w:after="0" w:line="86" w:lineRule="exact"/>
        <w:rPr>
          <w:sz w:val="20"/>
          <w:szCs w:val="20"/>
          <w:color w:val="auto"/>
        </w:rPr>
      </w:pPr>
    </w:p>
    <w:p>
      <w:pPr>
        <w:ind w:left="680" w:right="860" w:firstLine="398"/>
        <w:spacing w:after="0" w:line="256" w:lineRule="auto"/>
        <w:rPr>
          <w:sz w:val="20"/>
          <w:szCs w:val="20"/>
          <w:color w:val="auto"/>
        </w:rPr>
      </w:pPr>
      <w:r>
        <w:rPr>
          <w:rFonts w:ascii="Times New Roman" w:cs="Times New Roman" w:eastAsia="Times New Roman" w:hAnsi="Times New Roman"/>
          <w:sz w:val="17"/>
          <w:szCs w:val="17"/>
          <w:color w:val="auto"/>
        </w:rPr>
        <w:t>In September 2003, Aventis Pharmaceuticals, Inc. (now a member of the sanofi-aventis Group) purchased 2,799,552 newly issued unregistered shares of the Company’s Common Stock for $45.0 million, based upon the average closing price of the Common Stock for the five consecutive trading days ending September 4, 2003. See Note 12a.</w:t>
      </w:r>
    </w:p>
    <w:p>
      <w:pPr>
        <w:spacing w:after="0" w:line="178" w:lineRule="exact"/>
        <w:rPr>
          <w:sz w:val="20"/>
          <w:szCs w:val="20"/>
          <w:color w:val="auto"/>
        </w:rPr>
      </w:pPr>
    </w:p>
    <w:p>
      <w:pPr>
        <w:ind w:left="880" w:right="7900" w:hanging="195"/>
        <w:spacing w:after="0" w:line="383" w:lineRule="auto"/>
        <w:tabs>
          <w:tab w:leader="none" w:pos="1178"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a. Operating Leases</w:t>
      </w:r>
    </w:p>
    <w:p>
      <w:pPr>
        <w:spacing w:after="0" w:line="1" w:lineRule="exact"/>
        <w:rPr>
          <w:sz w:val="20"/>
          <w:szCs w:val="20"/>
          <w:color w:val="auto"/>
        </w:rPr>
      </w:pPr>
    </w:p>
    <w:p>
      <w:pPr>
        <w:ind w:left="680" w:right="820" w:firstLine="398"/>
        <w:spacing w:after="0" w:line="250" w:lineRule="auto"/>
        <w:rPr>
          <w:sz w:val="20"/>
          <w:szCs w:val="20"/>
          <w:color w:val="auto"/>
        </w:rPr>
      </w:pPr>
      <w:r>
        <w:rPr>
          <w:rFonts w:ascii="Times New Roman" w:cs="Times New Roman" w:eastAsia="Times New Roman" w:hAnsi="Times New Roman"/>
          <w:sz w:val="17"/>
          <w:szCs w:val="17"/>
          <w:color w:val="auto"/>
        </w:rPr>
        <w:t>The Company leases laboratory and office facilities in Tarrytown, New York under operating lease agreements which expire through December 2009 and contain renewal options for lease extensions on certain facilities through December 2014. The Company also leases manufacturing, office, and warehouse facilities in Rensselaer, New York under an operating lease agreement which expires in July 2007 and contains renewal options to extend the lease for two additional five-year terms and a purchase option. The leases provide for base rent plus additional rental charges for utilities, taxes, and operating expenses, as defined.</w:t>
      </w:r>
    </w:p>
    <w:p>
      <w:pPr>
        <w:spacing w:after="0" w:line="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Company leases certain laboratory and office equipment under operating leases which expire at various times through 2009.</w:t>
      </w:r>
    </w:p>
    <w:p>
      <w:pPr>
        <w:spacing w:after="0" w:line="11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At December 31, 2005, the future minimum noncancelable lease commitments under operating leases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6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9"/>
              </w:rPr>
              <w:t>Equipment</w:t>
            </w:r>
          </w:p>
        </w:tc>
        <w:tc>
          <w:tcPr>
            <w:tcW w:w="12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tcPr>
          <w:p>
            <w:pPr>
              <w:spacing w:after="0"/>
              <w:rPr>
                <w:sz w:val="14"/>
                <w:szCs w:val="14"/>
                <w:color w:val="auto"/>
              </w:rPr>
            </w:pPr>
          </w:p>
        </w:tc>
      </w:tr>
      <w:tr>
        <w:trPr>
          <w:trHeight w:val="42"/>
        </w:trPr>
        <w:tc>
          <w:tcPr>
            <w:tcW w:w="6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7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9"/>
        </w:trPr>
        <w:tc>
          <w:tcPr>
            <w:tcW w:w="68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2006</w:t>
            </w:r>
          </w:p>
        </w:tc>
        <w:tc>
          <w:tcPr>
            <w:tcW w:w="4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4,571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4,776</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2007</w:t>
            </w: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4,535</w:t>
            </w:r>
          </w:p>
        </w:tc>
        <w:tc>
          <w:tcPr>
            <w:tcW w:w="8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4,630</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2008</w:t>
            </w:r>
          </w:p>
        </w:tc>
        <w:tc>
          <w:tcPr>
            <w:tcW w:w="4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1,800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1,825</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2009</w:t>
            </w:r>
          </w:p>
        </w:tc>
        <w:tc>
          <w:tcPr>
            <w:tcW w:w="4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1,806</w:t>
            </w:r>
          </w:p>
        </w:tc>
        <w:tc>
          <w:tcPr>
            <w:tcW w:w="800" w:type="dxa"/>
            <w:vAlign w:val="bottom"/>
          </w:tcPr>
          <w:p>
            <w:pPr>
              <w:spacing w:after="0"/>
              <w:rPr>
                <w:sz w:val="17"/>
                <w:szCs w:val="17"/>
                <w:color w:val="auto"/>
              </w:rPr>
            </w:pPr>
          </w:p>
        </w:tc>
      </w:tr>
      <w:tr>
        <w:trPr>
          <w:trHeight w:val="25"/>
        </w:trPr>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9"/>
        </w:trPr>
        <w:tc>
          <w:tcPr>
            <w:tcW w:w="68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12,706</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13,037</w:t>
            </w:r>
          </w:p>
        </w:tc>
        <w:tc>
          <w:tcPr>
            <w:tcW w:w="8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6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gridSpan w:val="2"/>
          </w:tcPr>
          <w:p>
            <w:pPr>
              <w:jc w:val="right"/>
              <w:ind w:right="1965"/>
              <w:spacing w:after="0"/>
              <w:rPr>
                <w:sz w:val="20"/>
                <w:szCs w:val="20"/>
                <w:color w:val="auto"/>
              </w:rPr>
            </w:pPr>
            <w:r>
              <w:rPr>
                <w:rFonts w:ascii="Times New Roman" w:cs="Times New Roman" w:eastAsia="Times New Roman" w:hAnsi="Times New Roman"/>
                <w:sz w:val="17"/>
                <w:szCs w:val="17"/>
                <w:color w:val="auto"/>
              </w:rPr>
              <w:t>F-20</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6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720" w:type="dxa"/>
            <w:vAlign w:val="bottom"/>
            <w:tcBorders>
              <w:bottom w:val="single" w:sz="8" w:color="808080"/>
            </w:tcBorders>
          </w:tcPr>
          <w:p>
            <w:pPr>
              <w:spacing w:after="0"/>
              <w:rPr>
                <w:sz w:val="18"/>
                <w:szCs w:val="18"/>
                <w:color w:val="auto"/>
              </w:rPr>
            </w:pPr>
          </w:p>
        </w:tc>
        <w:tc>
          <w:tcPr>
            <w:tcW w:w="42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73" w:name="page74"/>
    <w:bookmarkEnd w:id="7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Rent expense under operating leases was:</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7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9"/>
              </w:rPr>
              <w:t>Equipment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42"/>
        </w:trPr>
        <w:tc>
          <w:tcPr>
            <w:tcW w:w="80" w:type="dxa"/>
            <w:vAlign w:val="bottom"/>
            <w:tcBorders>
              <w:top w:val="single" w:sz="8" w:color="auto"/>
            </w:tcBorders>
          </w:tcPr>
          <w:p>
            <w:pPr>
              <w:spacing w:after="0"/>
              <w:rPr>
                <w:sz w:val="3"/>
                <w:szCs w:val="3"/>
                <w:color w:val="auto"/>
              </w:rPr>
            </w:pPr>
          </w:p>
        </w:tc>
        <w:tc>
          <w:tcPr>
            <w:tcW w:w="70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2005</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  4,606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319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4"/>
              </w:rPr>
              <w:t>$ 4,925</w:t>
            </w:r>
          </w:p>
        </w:tc>
      </w:tr>
      <w:tr>
        <w:trPr>
          <w:trHeight w:val="199"/>
        </w:trPr>
        <w:tc>
          <w:tcPr>
            <w:tcW w:w="7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2004</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5,351</w:t>
            </w:r>
          </w:p>
        </w:tc>
        <w:tc>
          <w:tcPr>
            <w:tcW w:w="8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303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5,654</w:t>
            </w:r>
          </w:p>
        </w:tc>
      </w:tr>
      <w:tr>
        <w:trPr>
          <w:trHeight w:val="199"/>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2003</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5,394</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305</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5,699</w:t>
            </w:r>
          </w:p>
        </w:tc>
      </w:tr>
    </w:tbl>
    <w:p>
      <w:pPr>
        <w:spacing w:after="0" w:line="95" w:lineRule="exact"/>
        <w:rPr>
          <w:sz w:val="20"/>
          <w:szCs w:val="20"/>
          <w:color w:val="auto"/>
        </w:rPr>
      </w:pPr>
    </w:p>
    <w:p>
      <w:pPr>
        <w:ind w:left="680" w:right="340" w:firstLine="398"/>
        <w:spacing w:after="0" w:line="268" w:lineRule="auto"/>
        <w:rPr>
          <w:sz w:val="20"/>
          <w:szCs w:val="20"/>
          <w:color w:val="auto"/>
        </w:rPr>
      </w:pPr>
      <w:r>
        <w:rPr>
          <w:rFonts w:ascii="Times New Roman" w:cs="Times New Roman" w:eastAsia="Times New Roman" w:hAnsi="Times New Roman"/>
          <w:sz w:val="17"/>
          <w:szCs w:val="17"/>
          <w:color w:val="auto"/>
        </w:rPr>
        <w:t>In addition to its rent expense for various facilities, the Company paid additional rental charges for utilities, real estate taxes, and operating expenses of $9.5 million, $6.0 million, and $6.0 million for the years ended December 31, 2005, 2004, and 2003, respectively.</w:t>
      </w:r>
    </w:p>
    <w:p>
      <w:pPr>
        <w:spacing w:after="0" w:line="16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b. Capital Leases</w:t>
      </w:r>
    </w:p>
    <w:p>
      <w:pPr>
        <w:spacing w:after="0" w:line="119" w:lineRule="exact"/>
        <w:rPr>
          <w:sz w:val="20"/>
          <w:szCs w:val="20"/>
          <w:color w:val="auto"/>
        </w:rPr>
      </w:pPr>
    </w:p>
    <w:p>
      <w:pPr>
        <w:ind w:left="680" w:right="180" w:firstLine="398"/>
        <w:spacing w:after="0" w:line="268" w:lineRule="auto"/>
        <w:rPr>
          <w:sz w:val="20"/>
          <w:szCs w:val="20"/>
          <w:color w:val="auto"/>
        </w:rPr>
      </w:pPr>
      <w:r>
        <w:rPr>
          <w:rFonts w:ascii="Times New Roman" w:cs="Times New Roman" w:eastAsia="Times New Roman" w:hAnsi="Times New Roman"/>
          <w:sz w:val="17"/>
          <w:szCs w:val="17"/>
          <w:color w:val="auto"/>
        </w:rPr>
        <w:t>In 2003 and prior years, the Company had leased equipment under noncancelable capital leases. As of December 31, 2003, the Company had no remaining capital leases outstanding.</w:t>
      </w:r>
    </w:p>
    <w:p>
      <w:pPr>
        <w:spacing w:after="0" w:line="168" w:lineRule="exact"/>
        <w:rPr>
          <w:sz w:val="20"/>
          <w:szCs w:val="20"/>
          <w:color w:val="auto"/>
        </w:rPr>
      </w:pPr>
    </w:p>
    <w:p>
      <w:pPr>
        <w:ind w:left="980" w:hanging="295"/>
        <w:spacing w:after="0"/>
        <w:tabs>
          <w:tab w:leader="none" w:pos="980" w:val="left"/>
        </w:tabs>
        <w:numPr>
          <w:ilvl w:val="0"/>
          <w:numId w:val="2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Loan Payable</w:t>
      </w:r>
    </w:p>
    <w:p>
      <w:pPr>
        <w:spacing w:after="0" w:line="119" w:lineRule="exact"/>
        <w:rPr>
          <w:sz w:val="20"/>
          <w:szCs w:val="20"/>
          <w:color w:val="auto"/>
        </w:rPr>
      </w:pPr>
    </w:p>
    <w:p>
      <w:pPr>
        <w:ind w:left="680" w:right="60" w:firstLine="398"/>
        <w:spacing w:after="0" w:line="252" w:lineRule="auto"/>
        <w:rPr>
          <w:sz w:val="20"/>
          <w:szCs w:val="20"/>
          <w:color w:val="auto"/>
        </w:rPr>
      </w:pPr>
      <w:r>
        <w:rPr>
          <w:rFonts w:ascii="Times New Roman" w:cs="Times New Roman" w:eastAsia="Times New Roman" w:hAnsi="Times New Roman"/>
          <w:sz w:val="17"/>
          <w:szCs w:val="17"/>
          <w:color w:val="auto"/>
        </w:rPr>
        <w:t>In March 2003, the Company entered into a collaboration agreement with Novartis Pharma AG. In accordance with that agreement, Regeneron funded its share of 2003 collaboration development expenses through a loan from Novartis, which bore interest at a rate per annum equal to the LIBOR rate plus 2.5%, compounded quarterly. In March 2004, Novartis forgave its outstanding loan to Regeneron totaling $17.8 million, including accrued interest, based on Regeneron’s achieving a pre-defined development milestone. See Note 12b.</w:t>
      </w:r>
    </w:p>
    <w:p>
      <w:pPr>
        <w:spacing w:after="0" w:line="181" w:lineRule="exact"/>
        <w:rPr>
          <w:sz w:val="20"/>
          <w:szCs w:val="20"/>
          <w:color w:val="auto"/>
        </w:rPr>
      </w:pPr>
    </w:p>
    <w:p>
      <w:pPr>
        <w:ind w:left="980" w:hanging="295"/>
        <w:spacing w:after="0"/>
        <w:tabs>
          <w:tab w:leader="none" w:pos="980" w:val="left"/>
        </w:tabs>
        <w:numPr>
          <w:ilvl w:val="0"/>
          <w:numId w:val="2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Convertible Debt</w:t>
      </w:r>
    </w:p>
    <w:p>
      <w:pPr>
        <w:spacing w:after="0" w:line="119" w:lineRule="exact"/>
        <w:rPr>
          <w:sz w:val="20"/>
          <w:szCs w:val="20"/>
          <w:color w:val="auto"/>
        </w:rPr>
      </w:pPr>
    </w:p>
    <w:p>
      <w:pPr>
        <w:ind w:left="680" w:right="140" w:firstLine="398"/>
        <w:spacing w:after="0" w:line="265" w:lineRule="auto"/>
        <w:rPr>
          <w:sz w:val="20"/>
          <w:szCs w:val="20"/>
          <w:color w:val="auto"/>
        </w:rPr>
      </w:pPr>
      <w:r>
        <w:rPr>
          <w:rFonts w:ascii="Times New Roman" w:cs="Times New Roman" w:eastAsia="Times New Roman" w:hAnsi="Times New Roman"/>
          <w:sz w:val="16"/>
          <w:szCs w:val="16"/>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also redeem some or all of the Notes at any time if the closing price of the Company’s Common Stock has exceeded 140% of the conversion price then in effect for a specified period of time. The fair market value of the Notes fluctuates over time. The estimated fair value of the Notes at December 31, 2005 was approximately $193.1 million.</w:t>
      </w:r>
    </w:p>
    <w:p>
      <w:pPr>
        <w:spacing w:after="0" w:line="77" w:lineRule="exact"/>
        <w:rPr>
          <w:sz w:val="20"/>
          <w:szCs w:val="20"/>
          <w:color w:val="auto"/>
        </w:rPr>
      </w:pPr>
    </w:p>
    <w:p>
      <w:pPr>
        <w:ind w:left="680" w:right="80" w:firstLine="398"/>
        <w:spacing w:after="0" w:line="252" w:lineRule="auto"/>
        <w:rPr>
          <w:sz w:val="20"/>
          <w:szCs w:val="20"/>
          <w:color w:val="auto"/>
        </w:rPr>
      </w:pPr>
      <w:r>
        <w:rPr>
          <w:rFonts w:ascii="Times New Roman" w:cs="Times New Roman" w:eastAsia="Times New Roman" w:hAnsi="Times New Roman"/>
          <w:sz w:val="17"/>
          <w:szCs w:val="17"/>
          <w:color w:val="auto"/>
        </w:rPr>
        <w:t>With respect to the Notes, the Company pledged as collateral $31.6 million of U.S. government securities (“Restricted Marketable Securities”) which matured at various dates through October 2004. Upon maturity, the proceeds of the Restricted Marketable Securities paid the scheduled interest payments made on the Notes in 2002, 2003, and 2004 when due. At December 31, 2004 there were no remaining Restricted Marketable Securities.</w:t>
      </w:r>
    </w:p>
    <w:p>
      <w:pPr>
        <w:spacing w:after="0" w:line="181" w:lineRule="exact"/>
        <w:rPr>
          <w:sz w:val="20"/>
          <w:szCs w:val="20"/>
          <w:color w:val="auto"/>
        </w:rPr>
      </w:pPr>
    </w:p>
    <w:p>
      <w:pPr>
        <w:ind w:left="980" w:hanging="295"/>
        <w:spacing w:after="0"/>
        <w:tabs>
          <w:tab w:leader="none" w:pos="980" w:val="left"/>
        </w:tabs>
        <w:numPr>
          <w:ilvl w:val="0"/>
          <w:numId w:val="2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Research Collaboration and Licensing Agreements</w:t>
      </w:r>
    </w:p>
    <w:p>
      <w:pPr>
        <w:spacing w:after="0" w:line="119" w:lineRule="exact"/>
        <w:rPr>
          <w:sz w:val="20"/>
          <w:szCs w:val="20"/>
          <w:color w:val="auto"/>
        </w:rPr>
      </w:pPr>
    </w:p>
    <w:p>
      <w:pPr>
        <w:ind w:left="680" w:right="40" w:firstLine="398"/>
        <w:spacing w:after="0" w:line="252" w:lineRule="auto"/>
        <w:rPr>
          <w:sz w:val="20"/>
          <w:szCs w:val="20"/>
          <w:color w:val="auto"/>
        </w:rPr>
      </w:pPr>
      <w:r>
        <w:rPr>
          <w:rFonts w:ascii="Times New Roman" w:cs="Times New Roman" w:eastAsia="Times New Roman" w:hAnsi="Times New Roman"/>
          <w:sz w:val="17"/>
          <w:szCs w:val="17"/>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74" w:name="page75"/>
    <w:bookmarkEnd w:id="7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right="820"/>
        <w:spacing w:after="0" w:line="268" w:lineRule="auto"/>
        <w:rPr>
          <w:sz w:val="20"/>
          <w:szCs w:val="20"/>
          <w:color w:val="auto"/>
        </w:rPr>
      </w:pPr>
      <w:r>
        <w:rPr>
          <w:rFonts w:ascii="Times New Roman" w:cs="Times New Roman" w:eastAsia="Times New Roman" w:hAnsi="Times New Roman"/>
          <w:sz w:val="17"/>
          <w:szCs w:val="17"/>
          <w:color w:val="auto"/>
        </w:rPr>
        <w:t>rates that range from 0.25% to 16.5%, in the event the Company sells or licenses any proprietary products developed under the respective agreements.</w:t>
      </w:r>
    </w:p>
    <w:p>
      <w:pPr>
        <w:spacing w:after="0" w:line="73" w:lineRule="exact"/>
        <w:rPr>
          <w:sz w:val="20"/>
          <w:szCs w:val="20"/>
          <w:color w:val="auto"/>
        </w:rPr>
      </w:pPr>
    </w:p>
    <w:p>
      <w:pPr>
        <w:ind w:left="680" w:right="100" w:firstLine="398"/>
        <w:spacing w:after="0" w:line="256" w:lineRule="auto"/>
        <w:rPr>
          <w:sz w:val="20"/>
          <w:szCs w:val="20"/>
          <w:color w:val="auto"/>
        </w:rPr>
      </w:pPr>
      <w:r>
        <w:rPr>
          <w:rFonts w:ascii="Times New Roman" w:cs="Times New Roman" w:eastAsia="Times New Roman" w:hAnsi="Times New Roman"/>
          <w:sz w:val="17"/>
          <w:szCs w:val="17"/>
          <w:color w:val="auto"/>
        </w:rPr>
        <w:t>Certain agreements under which the Company is required to pay fees permit the Company, upon 30 to 90-day written notice, to terminate such agreements. With respect to payments associated with these agreements, the Company incurred expenses of $1.0 million, $1.4 million, and $2.7 million for the years ended December 31, 2005, 2004, and 2003, respectively.</w:t>
      </w:r>
    </w:p>
    <w:p>
      <w:pPr>
        <w:spacing w:after="0" w:line="83" w:lineRule="exact"/>
        <w:rPr>
          <w:sz w:val="20"/>
          <w:szCs w:val="20"/>
          <w:color w:val="auto"/>
        </w:rPr>
      </w:pPr>
    </w:p>
    <w:p>
      <w:pPr>
        <w:ind w:left="680" w:right="80" w:firstLine="398"/>
        <w:spacing w:after="0" w:line="247" w:lineRule="auto"/>
        <w:rPr>
          <w:sz w:val="20"/>
          <w:szCs w:val="20"/>
          <w:color w:val="auto"/>
        </w:rPr>
      </w:pPr>
      <w:r>
        <w:rPr>
          <w:rFonts w:ascii="Times New Roman" w:cs="Times New Roman" w:eastAsia="Times New Roman" w:hAnsi="Times New Roman"/>
          <w:sz w:val="17"/>
          <w:szCs w:val="17"/>
          <w:color w:val="auto"/>
        </w:rPr>
        <w:t>In August 2003, Merck &amp; Co., Inc. granted the Company a non-exclusive license agreement to certain patents and patent applications which may be used in the development and commercialization of products that act on the ciliary neurotrophic factor, or CNTF, receptor for the treatment of obesity. As consideration, the Company issued to Merck 109,450 newly issued unregistered shares of its Common Stock (the “Merck Shares”), valued at $1.5 million based on the fair market value of shares of the Company’s Common Stock on the agreement’s effective date. In August 2004, the Company repurchased from Merck, and subsequently retired, the Merck Shares for $0.9 million based on the fair market value of the shares on August 19, 2004. The Company also made a cash payment of $0.6 million to Merck as required under the license agreement. The agreement also requires the Company to make an additional payment to Merck upon receipt of marketing approval for a product covered by the licensed patents. In addition, the Company would be required to pay royalties, at staggered rates in the mid-single digits, based on the net sales of products covered by the licensed patents.</w:t>
      </w:r>
    </w:p>
    <w:p>
      <w:pPr>
        <w:spacing w:after="0" w:line="185" w:lineRule="exact"/>
        <w:rPr>
          <w:sz w:val="20"/>
          <w:szCs w:val="20"/>
          <w:color w:val="auto"/>
        </w:rPr>
      </w:pPr>
    </w:p>
    <w:p>
      <w:pPr>
        <w:ind w:left="1180" w:hanging="495"/>
        <w:spacing w:after="0"/>
        <w:tabs>
          <w:tab w:leader="none" w:pos="118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Research and Development Agreements</w:t>
      </w:r>
    </w:p>
    <w:p>
      <w:pPr>
        <w:spacing w:after="0" w:line="119"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The Company has entered into various agreements related to its activities to develop and commercialize product candidates and utilize its technology platforms. Amounts earned by the Company in connection with these agreements, which were recognized as contract research and development revenue, research progress payments, or other contract income, as applicable, totaled $83.1 million, $198.7 million, and $47.4 million in 2005, 2004, and 2003, respectively. Total Company incurred expenses associated with these agreements, which include reimbursable and non-reimbursable amounts and an allocable portion of general and administrative costs, were $42.2 million, $75.3 million and $56.0 million in 2005, 2004, and 2003, respectively. Significant agreements are described below.</w:t>
      </w:r>
    </w:p>
    <w:p>
      <w:pPr>
        <w:spacing w:after="0" w:line="190" w:lineRule="exact"/>
        <w:rPr>
          <w:sz w:val="20"/>
          <w:szCs w:val="20"/>
          <w:color w:val="auto"/>
        </w:rPr>
      </w:pPr>
    </w:p>
    <w:p>
      <w:pPr>
        <w:ind w:left="980" w:hanging="295"/>
        <w:spacing w:after="0"/>
        <w:tabs>
          <w:tab w:leader="none" w:pos="980"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sanofi-aventis Group</w:t>
      </w:r>
    </w:p>
    <w:p>
      <w:pPr>
        <w:spacing w:after="0" w:line="117" w:lineRule="exact"/>
        <w:rPr>
          <w:sz w:val="20"/>
          <w:szCs w:val="20"/>
          <w:color w:val="auto"/>
        </w:rPr>
      </w:pPr>
    </w:p>
    <w:p>
      <w:pPr>
        <w:ind w:left="680" w:right="100" w:firstLine="398"/>
        <w:spacing w:after="0" w:line="250" w:lineRule="auto"/>
        <w:rPr>
          <w:sz w:val="20"/>
          <w:szCs w:val="20"/>
          <w:color w:val="auto"/>
        </w:rPr>
      </w:pPr>
      <w:r>
        <w:rPr>
          <w:rFonts w:ascii="Times New Roman" w:cs="Times New Roman" w:eastAsia="Times New Roman" w:hAnsi="Times New Roman"/>
          <w:sz w:val="17"/>
          <w:szCs w:val="17"/>
          <w:color w:val="auto"/>
        </w:rPr>
        <w:t>In September 2003, the Company entered into a collaboration agreement (the “Aventis Agreement”) with Aventis Pharmaceuticals Inc. (now a member of the sanofi-aventis Group), to jointly develop and commercialize the Company’s Vascular Endothelial Growth Factor (“VEGF”) Trap. In connection with this agreement, sanofi-aventis made a non-refundable up-front payment of $80.0 million and purchased 2,799,552 newly issued unregistered shares of the Company’s Common Stock for $45.0 million, based upon the average closing price of the Common Stock for the five consecutive trading days ending September 4, 2003.</w:t>
      </w:r>
    </w:p>
    <w:p>
      <w:pPr>
        <w:spacing w:after="0" w:line="88" w:lineRule="exact"/>
        <w:rPr>
          <w:sz w:val="20"/>
          <w:szCs w:val="20"/>
          <w:color w:val="auto"/>
        </w:rPr>
      </w:pPr>
    </w:p>
    <w:p>
      <w:pPr>
        <w:ind w:left="680" w:right="40" w:firstLine="398"/>
        <w:spacing w:after="0" w:line="252" w:lineRule="auto"/>
        <w:rPr>
          <w:sz w:val="20"/>
          <w:szCs w:val="20"/>
          <w:color w:val="auto"/>
        </w:rPr>
      </w:pPr>
      <w:r>
        <w:rPr>
          <w:rFonts w:ascii="Times New Roman" w:cs="Times New Roman" w:eastAsia="Times New Roman" w:hAnsi="Times New Roman"/>
          <w:sz w:val="17"/>
          <w:szCs w:val="17"/>
          <w:color w:val="auto"/>
        </w:rPr>
        <w:t>In January 2005, the Company and sanofi-aventis amended the Aventis Agreement to exclude intraocular delivery of the VEGF Trap to the eye (“Intraocular Delivery”) from joint development under the agreement, and product rights to the VEGF Trap in Intraocular Delivery reverted to Regeneron. In connection with this amendment, sanofi-aventis made a $25.0 million non-refundable payment to Regeneron (the “Intraocular Termination Payment”) in January 2005.</w:t>
      </w:r>
    </w:p>
    <w:p>
      <w:pPr>
        <w:spacing w:after="0" w:line="86" w:lineRule="exact"/>
        <w:rPr>
          <w:sz w:val="20"/>
          <w:szCs w:val="20"/>
          <w:color w:val="auto"/>
        </w:rPr>
      </w:pPr>
    </w:p>
    <w:p>
      <w:pPr>
        <w:ind w:left="680" w:right="300" w:firstLine="398"/>
        <w:spacing w:after="0" w:line="250" w:lineRule="auto"/>
        <w:rPr>
          <w:sz w:val="20"/>
          <w:szCs w:val="20"/>
          <w:color w:val="auto"/>
        </w:rPr>
      </w:pPr>
      <w:r>
        <w:rPr>
          <w:rFonts w:ascii="Times New Roman" w:cs="Times New Roman" w:eastAsia="Times New Roman" w:hAnsi="Times New Roman"/>
          <w:sz w:val="17"/>
          <w:szCs w:val="17"/>
          <w:color w:val="auto"/>
        </w:rPr>
        <w:t>In December 2005, the Company and sanofi-aventis amended the Aventis Agreement to expand the territory in which the companies are collaborating on the development of the VEGF Trap to include Japan. As a result, the collaboration now includes joint development of the VEGF Trap throughout the world in all indications, except for Intraocular Delivery. In connection with this amendment, sanofi-aventis agreed to make a $25.0 million non-refundable up-front payment to the Company, which was received in January 2006. The Company may also receive up to $40.0 million in milestone payments upon receipt of specified marketing approvals for up to five VEGF Trap</w:t>
      </w:r>
    </w:p>
    <w:p>
      <w:pPr>
        <w:spacing w:after="0" w:line="34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75" w:name="page76"/>
    <w:bookmarkEnd w:id="7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indications in Japan and a royalty of approximately 35% on annual sales of the VEGF Trap in Japan, subject to certain potential adjustments.</w:t>
      </w:r>
    </w:p>
    <w:p>
      <w:pPr>
        <w:spacing w:after="0" w:line="115"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Under the Aventis Agreement, as amended, Regeneron and sanofi-aventis will share co-promotion rights and profits on sales, if any, of the VEGF Trap outside of Japan, except for sales in Intraocular Delivery. The Company may also receive up to $400.0 million in additional milestone payments upon receipt of specified marketing approvals, including up to $360.0 million for up to eight VEGF Trap indications in the United States or the European Union. In December 2004, Regeneron earned a $25.0 million payment from sanofi-aventis, which was received in January 2005, upon the achievement of an early-stage clinical milestone.</w:t>
      </w:r>
    </w:p>
    <w:p>
      <w:pPr>
        <w:spacing w:after="0" w:line="88" w:lineRule="exact"/>
        <w:rPr>
          <w:sz w:val="20"/>
          <w:szCs w:val="20"/>
          <w:color w:val="auto"/>
        </w:rPr>
      </w:pPr>
    </w:p>
    <w:p>
      <w:pPr>
        <w:ind w:left="680" w:firstLine="398"/>
        <w:spacing w:after="0" w:line="246" w:lineRule="auto"/>
        <w:rPr>
          <w:sz w:val="20"/>
          <w:szCs w:val="20"/>
          <w:color w:val="auto"/>
        </w:rPr>
      </w:pPr>
      <w:r>
        <w:rPr>
          <w:rFonts w:ascii="Times New Roman" w:cs="Times New Roman" w:eastAsia="Times New Roman" w:hAnsi="Times New Roman"/>
          <w:sz w:val="17"/>
          <w:szCs w:val="17"/>
          <w:color w:val="auto"/>
        </w:rPr>
        <w:t>Under the Aventis Agreement, as amended, agreed upon worldwide development expenses incurred by both companies during the term of the agreement will be funded by sanofi-aventis. If the collaboration becomes profitable, Regeneron will be obligated to reimburse sanofi-aventis for 50% of these development expenses, or half of $130.5 million as of December 31, 2005, in accordance with a formula based on the amount of development expenses and Regeneron’s share of the collaboration profits and Japan royalties, or at a faster rate at Regeneron’s option. Regeneron has the option to conduct additional pre-Phase III studies at its own expense. In connection with the January 2005 amendment to the Aventis Agreement, the Intraocular Termination Payment of $25.0 million will be considered a VEGF Trap development expense and will be subject to 50% reimbursement by Regeneron to sanofi-aventis, as described above, if the collaboration becomes profitable. In addition, if the first commercial sale of a VEGF Trap product in Intraocular Delivery predates the first commercial sale of a VEGF Trap product under the collaboration by two years, Regeneron will begin reimbursing sanofi-aventis for up to $7.5 million of VEGF Trap development expenses in accordance with a formula until the first commercial VEGF Trap sale under the collaboration occurs.</w:t>
      </w:r>
    </w:p>
    <w:p>
      <w:pPr>
        <w:spacing w:after="0" w:line="96" w:lineRule="exact"/>
        <w:rPr>
          <w:sz w:val="20"/>
          <w:szCs w:val="20"/>
          <w:color w:val="auto"/>
        </w:rPr>
      </w:pPr>
    </w:p>
    <w:p>
      <w:pPr>
        <w:ind w:left="680" w:right="160" w:firstLine="398"/>
        <w:spacing w:after="0" w:line="256" w:lineRule="auto"/>
        <w:rPr>
          <w:sz w:val="20"/>
          <w:szCs w:val="20"/>
          <w:color w:val="auto"/>
        </w:rPr>
      </w:pPr>
      <w:r>
        <w:rPr>
          <w:rFonts w:ascii="Times New Roman" w:cs="Times New Roman" w:eastAsia="Times New Roman" w:hAnsi="Times New Roman"/>
          <w:sz w:val="17"/>
          <w:szCs w:val="17"/>
          <w:color w:val="auto"/>
        </w:rPr>
        <w:t>Sanofi-aventis has the right to terminate the agreement without cause with at least twelve months advance notice. Upon termination of the agreement for any reason, Regeneron’s obligation to reimburse sanofi-aventis for 50% of VEGF Trap development expenses will terminate and the Company will retain all rights to the VEGF Trap.</w:t>
      </w:r>
    </w:p>
    <w:p>
      <w:pPr>
        <w:spacing w:after="0" w:line="83" w:lineRule="exact"/>
        <w:rPr>
          <w:sz w:val="20"/>
          <w:szCs w:val="20"/>
          <w:color w:val="auto"/>
        </w:rPr>
      </w:pPr>
    </w:p>
    <w:p>
      <w:pPr>
        <w:jc w:val="both"/>
        <w:ind w:left="680" w:firstLine="398"/>
        <w:spacing w:after="0" w:line="266" w:lineRule="auto"/>
        <w:rPr>
          <w:sz w:val="20"/>
          <w:szCs w:val="20"/>
          <w:color w:val="auto"/>
        </w:rPr>
      </w:pPr>
      <w:r>
        <w:rPr>
          <w:rFonts w:ascii="Times New Roman" w:cs="Times New Roman" w:eastAsia="Times New Roman" w:hAnsi="Times New Roman"/>
          <w:sz w:val="16"/>
          <w:szCs w:val="16"/>
          <w:color w:val="auto"/>
        </w:rPr>
        <w:t>Revenue related to payments from sanofi-aventis is being recognized under the Substantive Milestone Method (see Note 2) in accordance with SAB 104. The up-front payments received in September 2003 and January 2006, of $80.0 million and $25.0 million, respectively, and reimbursement of Regeneron-incurred development expenses, are being recognized as contract research and development revenue over the development period.</w:t>
      </w:r>
    </w:p>
    <w:p>
      <w:pPr>
        <w:spacing w:after="0" w:line="1" w:lineRule="exact"/>
        <w:rPr>
          <w:sz w:val="20"/>
          <w:szCs w:val="20"/>
          <w:color w:val="auto"/>
        </w:rPr>
      </w:pPr>
    </w:p>
    <w:p>
      <w:pPr>
        <w:ind w:left="680" w:right="160"/>
        <w:spacing w:after="0" w:line="245" w:lineRule="auto"/>
        <w:rPr>
          <w:sz w:val="20"/>
          <w:szCs w:val="20"/>
          <w:color w:val="auto"/>
        </w:rPr>
      </w:pPr>
      <w:r>
        <w:rPr>
          <w:rFonts w:ascii="Times New Roman" w:cs="Times New Roman" w:eastAsia="Times New Roman" w:hAnsi="Times New Roman"/>
          <w:sz w:val="17"/>
          <w:szCs w:val="17"/>
          <w:color w:val="auto"/>
        </w:rPr>
        <w:t>Milestone payments are classified as research progress payments. In addition to the $25.0 million research progress payment earned in 2004, the Company recognized $43.4 million, $78.3 million, and $14.3 million of contract research and development revenue in 2005, 2004, and 2003, respectively, in connection with the Aventis Agreement. The Company also recognized the $25.0 million Intraocular Termination Payment as other contract income in 2005. At December 31, 2005 and 2004, amounts receivable from sanofi-aventis totaled $36.4 million and $39.4 million, respectively, and deferred revenue was $81.6 million and $65.8 million, respectively.</w:t>
      </w:r>
    </w:p>
    <w:p>
      <w:pPr>
        <w:spacing w:after="0" w:line="188" w:lineRule="exact"/>
        <w:rPr>
          <w:sz w:val="20"/>
          <w:szCs w:val="20"/>
          <w:color w:val="auto"/>
        </w:rPr>
      </w:pPr>
    </w:p>
    <w:p>
      <w:pPr>
        <w:ind w:left="1180" w:hanging="412"/>
        <w:spacing w:after="0"/>
        <w:tabs>
          <w:tab w:leader="none" w:pos="1180"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Novartis Pharma AG</w:t>
      </w:r>
    </w:p>
    <w:p>
      <w:pPr>
        <w:spacing w:after="0" w:line="117" w:lineRule="exact"/>
        <w:rPr>
          <w:sz w:val="20"/>
          <w:szCs w:val="20"/>
          <w:color w:val="auto"/>
        </w:rPr>
      </w:pPr>
    </w:p>
    <w:p>
      <w:pPr>
        <w:ind w:left="680" w:right="40" w:firstLine="398"/>
        <w:spacing w:after="0" w:line="250" w:lineRule="auto"/>
        <w:rPr>
          <w:sz w:val="20"/>
          <w:szCs w:val="20"/>
          <w:color w:val="auto"/>
        </w:rPr>
      </w:pPr>
      <w:r>
        <w:rPr>
          <w:rFonts w:ascii="Times New Roman" w:cs="Times New Roman" w:eastAsia="Times New Roman" w:hAnsi="Times New Roman"/>
          <w:sz w:val="17"/>
          <w:szCs w:val="17"/>
          <w:color w:val="auto"/>
        </w:rPr>
        <w:t>In March 2003, the Company entered into a collaboration agreement (the “Novartis Agreement”) with Novartis Pharma AG to jointly develop and commercialize the Company’s Interleukin-1 Cytokine Trap (“IL-1 Trap”). In connection with this agreement, Novartis made a non-refundable up-front payment of $27.0 million and purchased $48.0 million of newly issued unregistered shares of the Company’s Common Stock. Regeneron issued 2,400,000 shares of Common Stock to Novartis in March 2003 and an additional 5,127,050 shares in May 2003 for a total of 7,527,050 shares based upon the average closing price of the Common Stock for the 20 consecutive trading days ending May 12, 2003.</w:t>
      </w:r>
    </w:p>
    <w:p>
      <w:pPr>
        <w:spacing w:after="0" w:line="88" w:lineRule="exact"/>
        <w:rPr>
          <w:sz w:val="20"/>
          <w:szCs w:val="20"/>
          <w:color w:val="auto"/>
        </w:rPr>
      </w:pPr>
    </w:p>
    <w:p>
      <w:pPr>
        <w:ind w:left="680" w:right="720" w:firstLine="398"/>
        <w:spacing w:after="0" w:line="268" w:lineRule="auto"/>
        <w:rPr>
          <w:sz w:val="20"/>
          <w:szCs w:val="20"/>
          <w:color w:val="auto"/>
        </w:rPr>
      </w:pPr>
      <w:r>
        <w:rPr>
          <w:rFonts w:ascii="Times New Roman" w:cs="Times New Roman" w:eastAsia="Times New Roman" w:hAnsi="Times New Roman"/>
          <w:sz w:val="17"/>
          <w:szCs w:val="17"/>
          <w:color w:val="auto"/>
        </w:rPr>
        <w:t>Development expenses incurred during 2003 were shared equally by the Company and Novartis. Regeneron funded its share of 2003 development expenses through a loan (the “2003 Loan”) from Novartis, which bore interest</w:t>
      </w:r>
    </w:p>
    <w:p>
      <w:pPr>
        <w:spacing w:after="0" w:line="3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76" w:name="page77"/>
    <w:bookmarkEnd w:id="7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right="20"/>
        <w:spacing w:after="0" w:line="256" w:lineRule="auto"/>
        <w:rPr>
          <w:sz w:val="20"/>
          <w:szCs w:val="20"/>
          <w:color w:val="auto"/>
        </w:rPr>
      </w:pPr>
      <w:r>
        <w:rPr>
          <w:rFonts w:ascii="Times New Roman" w:cs="Times New Roman" w:eastAsia="Times New Roman" w:hAnsi="Times New Roman"/>
          <w:sz w:val="17"/>
          <w:szCs w:val="17"/>
          <w:color w:val="auto"/>
        </w:rPr>
        <w:t>at a rate per annum equal to the LIBOR rate plus 2.5%, compounded quarterly. As of December 31, 2003, the 2003 Loan balance due Novartis, including accrued interest, totaled $13.8 million. In March 2004, Novartis forgave the 2003 Loan and accrued interest thereon, totaling $17.8 million, based on Regeneron’s achieving a pre-defined development milestone.</w:t>
      </w:r>
    </w:p>
    <w:p>
      <w:pPr>
        <w:spacing w:after="0" w:line="83" w:lineRule="exact"/>
        <w:rPr>
          <w:sz w:val="20"/>
          <w:szCs w:val="20"/>
          <w:color w:val="auto"/>
        </w:rPr>
      </w:pPr>
    </w:p>
    <w:p>
      <w:pPr>
        <w:ind w:left="680" w:right="20" w:firstLine="398"/>
        <w:spacing w:after="0" w:line="250" w:lineRule="auto"/>
        <w:rPr>
          <w:sz w:val="20"/>
          <w:szCs w:val="20"/>
          <w:color w:val="auto"/>
        </w:rPr>
      </w:pPr>
      <w:r>
        <w:rPr>
          <w:rFonts w:ascii="Times New Roman" w:cs="Times New Roman" w:eastAsia="Times New Roman" w:hAnsi="Times New Roman"/>
          <w:sz w:val="17"/>
          <w:szCs w:val="17"/>
          <w:color w:val="auto"/>
        </w:rPr>
        <w:t>In February 2004, Novartis provided notice of its intention not to proceed with the joint development of the IL-1 Trap. In March 2004, Novartis agreed to pay the Company $42.75 million to satisfy its obligation to fund development costs for the IL-1 Trap for the nine month period following its notification and for the two months prior to that notice. The Company recorded the $42.75 million as other contract income in 2004. Regeneron and Novartis each retain rights under the collaboration agreement to elect to collaborate in the future on the development and commercialization of certain other IL-1 antagonists.</w:t>
      </w:r>
    </w:p>
    <w:p>
      <w:pPr>
        <w:spacing w:after="0" w:line="8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Revenue related to payments from Novartis was recognized under the Substantive Milestone Method (see Note 2) in accordance with SAB 104.</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up-front payment of $27.0 million and reimbursement of Novartis’ share of Regeneron-incurred development expenses were recognized as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contract research and development revenue. Forgiveness in 2004 of the 2003 Loan and accrued interest was recognized as a research progress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 In 2003, the Company recognized $21.4 million of contract research and development revenue in connection with the Novartis Agreement.</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In 2004, the Company recognized contract research and development revenue of $22.1 million, which represented the remaining amount of the</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$27.0 million up-front payment from Novartis that had previously been deferred. At December 31, 2005 and 2004, there were no amounts receivable</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from Novartis and no deferred revenue.</w:t>
      </w:r>
    </w:p>
    <w:p>
      <w:pPr>
        <w:spacing w:after="0" w:line="196" w:lineRule="exact"/>
        <w:rPr>
          <w:sz w:val="20"/>
          <w:szCs w:val="20"/>
          <w:color w:val="auto"/>
        </w:rPr>
      </w:pPr>
    </w:p>
    <w:p>
      <w:pPr>
        <w:ind w:left="1180" w:hanging="412"/>
        <w:spacing w:after="0"/>
        <w:tabs>
          <w:tab w:leader="none" w:pos="1180"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Amgen Inc.</w:t>
      </w:r>
    </w:p>
    <w:p>
      <w:pPr>
        <w:spacing w:after="0" w:line="1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In August 1990, the Company entered into a collaboration agreement (the “Amgen Agreement”) with Amgen Inc. to develop and attempt to</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commercialize two proprietary products (the “Products”). The Amgen Agreement, among other things, provided for Amgen and the Company to</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form a partnership (“Amgen-Regeneron Partners” or the “Partnership”) to complete the development and to commercialize the Products. Amgen and</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Company held equal ownership interests in the Partnership. In November 2005, the Company and Amgen agreed to terminate the Amgen</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Agreement and Amgen-Regeneron Partners, as there were no ongoing activities to develop the Products, and in December 2005, the Company and</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Amgen each made capital withdrawals of $0.5 million from the Partnership. Neither party is entitled to receive royalties based on any products</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arising from the collaboration. The Company accounted for its investment in the Partnership in accordance with the equity method of accounting. In</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2005, 2004, and 2003, the Company recognized its share of the Partnership net income (loss) in the amounts of $10 thousand, $134 thousand, and</w:t>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($63 thousand), respectively, which represents 50% of the total Partnership net income (loss). Selected financial data of the Partnership as of and for</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years ended December 31, 2005, 2004, and 2003 are not significant.</w:t>
      </w:r>
    </w:p>
    <w:p>
      <w:pPr>
        <w:spacing w:after="0" w:line="98" w:lineRule="exact"/>
        <w:rPr>
          <w:sz w:val="20"/>
          <w:szCs w:val="20"/>
          <w:color w:val="auto"/>
        </w:rPr>
      </w:pPr>
    </w:p>
    <w:p>
      <w:pPr>
        <w:ind w:left="680" w:right="20" w:firstLine="398"/>
        <w:spacing w:after="0" w:line="250" w:lineRule="auto"/>
        <w:rPr>
          <w:sz w:val="20"/>
          <w:szCs w:val="20"/>
          <w:color w:val="auto"/>
        </w:rPr>
      </w:pPr>
      <w:r>
        <w:rPr>
          <w:rFonts w:ascii="Times New Roman" w:cs="Times New Roman" w:eastAsia="Times New Roman" w:hAnsi="Times New Roman"/>
          <w:sz w:val="17"/>
          <w:szCs w:val="17"/>
          <w:color w:val="auto"/>
        </w:rPr>
        <w:t>In July 2002, Amgen and Immunex Corporation (now part of Amgen) granted the Company a non-exclusive license to certain patents and patent applications which may be used in the development and commercialization of the IL-1 Trap. The license followed two other licensing arrangements under which Regeneron obtained a non-exclusive license to patents owned by ZymoGenetics, Inc. and Tularik Inc. for use in connection with the IL-1 Trap program. These license agreements would require the Company to pay royalties based on the net sales of the IL-1 Trap if and when it is approved for sale. In total, the royalty rate under these three agreements would be in the mid-single digits.</w:t>
      </w:r>
    </w:p>
    <w:p>
      <w:pPr>
        <w:spacing w:after="0" w:line="185" w:lineRule="exact"/>
        <w:rPr>
          <w:sz w:val="20"/>
          <w:szCs w:val="20"/>
          <w:color w:val="auto"/>
        </w:rPr>
      </w:pPr>
    </w:p>
    <w:p>
      <w:pPr>
        <w:ind w:left="1280" w:hanging="512"/>
        <w:spacing w:after="0"/>
        <w:tabs>
          <w:tab w:leader="none" w:pos="1280"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Sumitomo Chemical Company, Ltd.</w:t>
      </w:r>
    </w:p>
    <w:p>
      <w:pPr>
        <w:spacing w:after="0" w:line="117" w:lineRule="exact"/>
        <w:rPr>
          <w:sz w:val="20"/>
          <w:szCs w:val="20"/>
          <w:color w:val="auto"/>
        </w:rPr>
      </w:pPr>
    </w:p>
    <w:p>
      <w:pPr>
        <w:ind w:left="680" w:right="560" w:firstLine="398"/>
        <w:spacing w:after="0" w:line="268" w:lineRule="auto"/>
        <w:rPr>
          <w:sz w:val="20"/>
          <w:szCs w:val="20"/>
          <w:color w:val="auto"/>
        </w:rPr>
      </w:pPr>
      <w:r>
        <w:rPr>
          <w:rFonts w:ascii="Times New Roman" w:cs="Times New Roman" w:eastAsia="Times New Roman" w:hAnsi="Times New Roman"/>
          <w:sz w:val="17"/>
          <w:szCs w:val="17"/>
          <w:color w:val="auto"/>
        </w:rPr>
        <w:t>During 1989, Sumitomo Chemical Co., Ltd. entered into a Technology Development Agreement (“TDA”) with Regeneron and paid the Company $5.6 million. In consideration for this payment, Sumitomo Chemical</w:t>
      </w:r>
    </w:p>
    <w:p>
      <w:pPr>
        <w:spacing w:after="0" w:line="3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77" w:name="page78"/>
    <w:bookmarkEnd w:id="7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jc w:val="both"/>
        <w:ind w:left="680" w:right="140"/>
        <w:spacing w:after="0" w:line="256" w:lineRule="auto"/>
        <w:rPr>
          <w:sz w:val="20"/>
          <w:szCs w:val="20"/>
          <w:color w:val="auto"/>
        </w:rPr>
      </w:pPr>
      <w:r>
        <w:rPr>
          <w:rFonts w:ascii="Times New Roman" w:cs="Times New Roman" w:eastAsia="Times New Roman" w:hAnsi="Times New Roman"/>
          <w:sz w:val="17"/>
          <w:szCs w:val="17"/>
          <w:color w:val="auto"/>
        </w:rPr>
        <w:t>received a fifteen year limited right of first negotiation to license up to three of the Company’s product candidates in Japan. In connection with the Company’s implementation of SAB 101 (see Note 2), the Company recognized this payment as revenue on a straight-line basis over the term of the TDA. The TDA expired in March 2004.</w:t>
      </w:r>
    </w:p>
    <w:p>
      <w:pPr>
        <w:spacing w:after="0" w:line="180" w:lineRule="exact"/>
        <w:rPr>
          <w:sz w:val="20"/>
          <w:szCs w:val="20"/>
          <w:color w:val="auto"/>
        </w:rPr>
      </w:pPr>
    </w:p>
    <w:p>
      <w:pPr>
        <w:ind w:left="1180" w:hanging="412"/>
        <w:spacing w:after="0"/>
        <w:tabs>
          <w:tab w:leader="none" w:pos="118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Procter &amp; Gamble Company</w:t>
      </w:r>
    </w:p>
    <w:p>
      <w:pPr>
        <w:spacing w:after="0" w:line="117" w:lineRule="exact"/>
        <w:rPr>
          <w:sz w:val="20"/>
          <w:szCs w:val="20"/>
          <w:color w:val="auto"/>
        </w:rPr>
      </w:pPr>
    </w:p>
    <w:p>
      <w:pPr>
        <w:ind w:left="680" w:right="140" w:firstLine="398"/>
        <w:spacing w:after="0" w:line="256" w:lineRule="auto"/>
        <w:rPr>
          <w:sz w:val="20"/>
          <w:szCs w:val="20"/>
          <w:color w:val="auto"/>
        </w:rPr>
      </w:pPr>
      <w:r>
        <w:rPr>
          <w:rFonts w:ascii="Times New Roman" w:cs="Times New Roman" w:eastAsia="Times New Roman" w:hAnsi="Times New Roman"/>
          <w:sz w:val="17"/>
          <w:szCs w:val="17"/>
          <w:color w:val="auto"/>
        </w:rPr>
        <w:t>In May 1997, the Company entered into a long-term collaboration agreement with The Procter &amp; Gamble Company to discover, develop, and commercialize pharmaceutical products and Procter &amp; Gamble agreed to provide funding for Regeneron’s research efforts related to the collaboration.</w:t>
      </w:r>
    </w:p>
    <w:p>
      <w:pPr>
        <w:spacing w:after="0" w:line="83" w:lineRule="exact"/>
        <w:rPr>
          <w:sz w:val="20"/>
          <w:szCs w:val="20"/>
          <w:color w:val="auto"/>
        </w:rPr>
      </w:pPr>
    </w:p>
    <w:p>
      <w:pPr>
        <w:ind w:left="680" w:right="20" w:firstLine="398"/>
        <w:spacing w:after="0" w:line="248" w:lineRule="auto"/>
        <w:rPr>
          <w:sz w:val="20"/>
          <w:szCs w:val="20"/>
          <w:color w:val="auto"/>
        </w:rPr>
      </w:pPr>
      <w:r>
        <w:rPr>
          <w:rFonts w:ascii="Times New Roman" w:cs="Times New Roman" w:eastAsia="Times New Roman" w:hAnsi="Times New Roman"/>
          <w:sz w:val="17"/>
          <w:szCs w:val="17"/>
          <w:color w:val="auto"/>
        </w:rPr>
        <w:t>Effective December 31, 2000, the Company and Procter &amp; Gamble entered into a new collaboration agreement (the “P&amp;G Agreement”), replacing the companies’ May 1997 agreement. The P&amp;G Agreement extended Procter &amp; Gamble’s obligation to fund Regeneron research through December 2005, with no further research obligations by either party thereafter, and focused the companies’ collaborative research on therapeutic areas that were of particular interest to Procter &amp; Gamble. Under the P&amp;G Agreement, research support from Procter &amp; Gamble was $2.5 million per quarter, plus adjustments for inflation, through December 2005. Procter &amp; Gamble and the Company divided rights to programs from their former collaboration agreement that were no longer part of the P&amp;G Agreement.</w:t>
      </w:r>
    </w:p>
    <w:p>
      <w:pPr>
        <w:spacing w:after="0" w:line="92" w:lineRule="exact"/>
        <w:rPr>
          <w:sz w:val="20"/>
          <w:szCs w:val="20"/>
          <w:color w:val="auto"/>
        </w:rPr>
      </w:pPr>
    </w:p>
    <w:p>
      <w:pPr>
        <w:ind w:left="680" w:firstLine="398"/>
        <w:spacing w:after="0" w:line="263" w:lineRule="auto"/>
        <w:rPr>
          <w:sz w:val="20"/>
          <w:szCs w:val="20"/>
          <w:color w:val="auto"/>
        </w:rPr>
      </w:pPr>
      <w:r>
        <w:rPr>
          <w:rFonts w:ascii="Times New Roman" w:cs="Times New Roman" w:eastAsia="Times New Roman" w:hAnsi="Times New Roman"/>
          <w:sz w:val="16"/>
          <w:szCs w:val="16"/>
          <w:color w:val="auto"/>
        </w:rPr>
        <w:t>In June 2005, the Company and Procter &amp; Gamble amended the P&amp;G Agreement. Pursuant to the terms of the modified agreement, the Company and Procter &amp; Gamble agreed that the research activities of the parties under the P&amp;G Agreement were completed on June 30, 2005, six months prior to the December 31, 2005 expiration date in the P&amp;G Agreement. In connection with the amendment, Procter &amp; Gamble made a one-time $5.6 million payment to Regeneron and the Company paid approximately $1.0 million to Procter &amp; Gamble to acquire certain capital equipment owned by Procter &amp; Gamble and located at the Company’s facilities. Procter &amp; Gamble and the Company divided rights to research programs and pre-clinical product candidates that were developed during the research term of the P&amp;G Agreement. Neither party has the right to participate in the development or commercialization of the other party’s product candidates. The Company is entitled to receive royalties based on any future product sales of a Procter &amp; Gamble pre-clinical candidate arising from the collaboration. In addition, in 1997 through 1999, Procter &amp; Gamble provided research support for the Company’s AXOKINE program and, as a result, will be entitled to receive a small royalty on any sales of AXOKINE. Neither party is entitled to receive royalties or other payments based on any other products arising from the collaboration.</w:t>
      </w:r>
    </w:p>
    <w:p>
      <w:pPr>
        <w:spacing w:after="0" w:line="83" w:lineRule="exact"/>
        <w:rPr>
          <w:sz w:val="20"/>
          <w:szCs w:val="20"/>
          <w:color w:val="auto"/>
        </w:rPr>
      </w:pPr>
    </w:p>
    <w:p>
      <w:pPr>
        <w:ind w:left="680" w:right="80" w:firstLine="398"/>
        <w:spacing w:after="0" w:line="250" w:lineRule="auto"/>
        <w:rPr>
          <w:sz w:val="20"/>
          <w:szCs w:val="20"/>
          <w:color w:val="auto"/>
        </w:rPr>
      </w:pPr>
      <w:r>
        <w:rPr>
          <w:rFonts w:ascii="Times New Roman" w:cs="Times New Roman" w:eastAsia="Times New Roman" w:hAnsi="Times New Roman"/>
          <w:sz w:val="17"/>
          <w:szCs w:val="17"/>
          <w:color w:val="auto"/>
        </w:rPr>
        <w:t>Contract research and development revenue related to the Company’s collaboration with Procter &amp; Gamble was $6.0 million, $10.5 million, and $10.6 million in 2005, 2004, and 2003, respectively. In addition, the one-time $5.6 million payment made by Procter &amp; Gamble to the Company in connection with the amendment to the P&amp;G Agreement was recognized as other contract income in 2005. At December 31, 2004 and 2003, amounts receivable from Procter &amp; Gamble totaled $2.3 million and $2.7 million, respectively. At December 31, 2005, there were no amounts receivable from Procter &amp; Gamble.</w:t>
      </w:r>
    </w:p>
    <w:p>
      <w:pPr>
        <w:spacing w:after="0" w:line="185" w:lineRule="exact"/>
        <w:rPr>
          <w:sz w:val="20"/>
          <w:szCs w:val="20"/>
          <w:color w:val="auto"/>
        </w:rPr>
      </w:pPr>
    </w:p>
    <w:p>
      <w:pPr>
        <w:ind w:left="1180" w:hanging="412"/>
        <w:spacing w:after="0"/>
        <w:tabs>
          <w:tab w:leader="none" w:pos="1180"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Serono, S.A.</w:t>
      </w:r>
    </w:p>
    <w:p>
      <w:pPr>
        <w:spacing w:after="0" w:line="117" w:lineRule="exact"/>
        <w:rPr>
          <w:sz w:val="20"/>
          <w:szCs w:val="20"/>
          <w:color w:val="auto"/>
        </w:rPr>
      </w:pPr>
    </w:p>
    <w:p>
      <w:pPr>
        <w:ind w:left="680" w:right="80" w:firstLine="398"/>
        <w:spacing w:after="0" w:line="248" w:lineRule="auto"/>
        <w:rPr>
          <w:sz w:val="20"/>
          <w:szCs w:val="20"/>
          <w:color w:val="auto"/>
        </w:rPr>
      </w:pPr>
      <w:r>
        <w:rPr>
          <w:rFonts w:ascii="Times New Roman" w:cs="Times New Roman" w:eastAsia="Times New Roman" w:hAnsi="Times New Roman"/>
          <w:sz w:val="17"/>
          <w:szCs w:val="17"/>
          <w:color w:val="auto"/>
        </w:rPr>
        <w:t>In December 2002, the Company entered into an agreement (the “Serono Agreement”) with Serono S.A. to use Regeneron’s proprietary VelociGene technology platform to provide Serono with knock-out and transgenic mammalian models of gene function (“Materials”). Serono made an advance payment of $1.5 million (the “Retainer”) to Regeneron in December 2002, which was accounted for as deferred revenue. Regeneron recognizes revenue and reduces the Retainer as Materials are shipped to and accepted by Serono. The Serono Agreement contains provisions for minimum yearly order quantities and replenishment of the Retainer when the balance declines below a specified threshold. In 2005, 2004, and 2003, the Company recognized $2.2 million, $2.1 million,</w:t>
      </w:r>
    </w:p>
    <w:p>
      <w:pPr>
        <w:spacing w:after="0" w:line="3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78" w:name="page79"/>
    <w:bookmarkEnd w:id="7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and $0.7 million, respectively, of contract research and development revenue in connection with the Serono Agreement.</w:t>
      </w:r>
    </w:p>
    <w:p>
      <w:pPr>
        <w:spacing w:after="0" w:line="210" w:lineRule="exact"/>
        <w:rPr>
          <w:sz w:val="20"/>
          <w:szCs w:val="20"/>
          <w:color w:val="auto"/>
        </w:rPr>
      </w:pPr>
    </w:p>
    <w:p>
      <w:pPr>
        <w:ind w:left="1180" w:hanging="495"/>
        <w:spacing w:after="0"/>
        <w:tabs>
          <w:tab w:leader="none" w:pos="118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Manufacturing Agreement</w:t>
      </w:r>
    </w:p>
    <w:p>
      <w:pPr>
        <w:spacing w:after="0" w:line="119" w:lineRule="exact"/>
        <w:rPr>
          <w:sz w:val="20"/>
          <w:szCs w:val="20"/>
          <w:color w:val="auto"/>
        </w:rPr>
      </w:pPr>
    </w:p>
    <w:p>
      <w:pPr>
        <w:ind w:left="680" w:right="80" w:firstLine="398"/>
        <w:spacing w:after="0" w:line="248" w:lineRule="auto"/>
        <w:rPr>
          <w:sz w:val="20"/>
          <w:szCs w:val="20"/>
          <w:color w:val="auto"/>
        </w:rPr>
      </w:pPr>
      <w:r>
        <w:rPr>
          <w:rFonts w:ascii="Times New Roman" w:cs="Times New Roman" w:eastAsia="Times New Roman" w:hAnsi="Times New Roman"/>
          <w:sz w:val="17"/>
          <w:szCs w:val="17"/>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agreed to modify portions of its facility for manufacture of the Intermediate and to assist Merck in securing regulatory approval for such manufacture in the Company’s facility. The Merck Agreement calls for the Company to manufacture Intermediate for Merck for a specified period of time (the “Production Period”), with certain minimum order quantities each year. The Production Period commenced in November of 1999 and originally extended for six years. In February 2005, the Company and Merck amended the Merck Agreement to extend the Production Period through October 2006, after which the Merck Agreement will terminate.</w:t>
      </w:r>
    </w:p>
    <w:p>
      <w:pPr>
        <w:spacing w:after="0" w:line="89" w:lineRule="exact"/>
        <w:rPr>
          <w:sz w:val="20"/>
          <w:szCs w:val="20"/>
          <w:color w:val="auto"/>
        </w:rPr>
      </w:pPr>
    </w:p>
    <w:p>
      <w:pPr>
        <w:ind w:left="680" w:right="180" w:firstLine="398"/>
        <w:spacing w:after="0" w:line="262" w:lineRule="auto"/>
        <w:rPr>
          <w:sz w:val="20"/>
          <w:szCs w:val="20"/>
          <w:color w:val="auto"/>
        </w:rPr>
      </w:pPr>
      <w:r>
        <w:rPr>
          <w:rFonts w:ascii="Times New Roman" w:cs="Times New Roman" w:eastAsia="Times New Roman" w:hAnsi="Times New Roman"/>
          <w:sz w:val="16"/>
          <w:szCs w:val="16"/>
          <w:color w:val="auto"/>
        </w:rPr>
        <w:t>Merck agreed to reimburse the Company for the capital costs to modify the facility (“Capital Costs”). Merck also agreed to pay an annual facility fee (the “Facility Fee”) of $1.0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 (“Internal Costs”). These payments are recognized as contract manufacturing revenue as follows: (i) payments for Internal Costs are recognized as the activities are performed, (ii) the Facility Fee and Additional Payments are recognized over the period to which they relate,</w:t>
      </w:r>
    </w:p>
    <w:p>
      <w:pPr>
        <w:spacing w:after="0" w:line="2" w:lineRule="exact"/>
        <w:rPr>
          <w:sz w:val="20"/>
          <w:szCs w:val="20"/>
          <w:color w:val="auto"/>
        </w:rPr>
      </w:pPr>
    </w:p>
    <w:p>
      <w:pPr>
        <w:ind w:left="680" w:right="140" w:firstLine="5"/>
        <w:spacing w:after="0" w:line="246" w:lineRule="auto"/>
        <w:tabs>
          <w:tab w:leader="none" w:pos="97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for Capital Costs were deferred and are recognized as Intermediate is shipped to Merck, and (iv) payments related to the manufacture of Intermediate during the Production Period (“Manufacturing Payments”) are recognized after the Intermediate is tested and approved by, and shipped (FOB Shipping Point) to, Merck.</w:t>
      </w:r>
    </w:p>
    <w:p>
      <w:pPr>
        <w:spacing w:after="0" w:line="90" w:lineRule="exact"/>
        <w:rPr>
          <w:sz w:val="20"/>
          <w:szCs w:val="20"/>
          <w:color w:val="auto"/>
        </w:rPr>
      </w:pPr>
    </w:p>
    <w:p>
      <w:pPr>
        <w:ind w:left="680" w:right="320" w:firstLine="398"/>
        <w:spacing w:after="0" w:line="268" w:lineRule="auto"/>
        <w:rPr>
          <w:sz w:val="20"/>
          <w:szCs w:val="20"/>
          <w:color w:val="auto"/>
        </w:rPr>
      </w:pPr>
      <w:r>
        <w:rPr>
          <w:rFonts w:ascii="Times New Roman" w:cs="Times New Roman" w:eastAsia="Times New Roman" w:hAnsi="Times New Roman"/>
          <w:sz w:val="17"/>
          <w:szCs w:val="17"/>
          <w:color w:val="auto"/>
        </w:rPr>
        <w:t>In 2005, 2004, and 2003, Merck contract manufacturing revenue totaled $13.7 million, $18.1 million, and $10.1 million, respectively. Such amounts include $1.4 million, $3.6 million, and $1.7 million of previously deferred Capital Costs, respectively.</w:t>
      </w:r>
    </w:p>
    <w:p>
      <w:pPr>
        <w:spacing w:after="0" w:line="168" w:lineRule="exact"/>
        <w:rPr>
          <w:sz w:val="20"/>
          <w:szCs w:val="20"/>
          <w:color w:val="auto"/>
        </w:rPr>
      </w:pPr>
    </w:p>
    <w:p>
      <w:pPr>
        <w:ind w:left="1180" w:hanging="495"/>
        <w:spacing w:after="0"/>
        <w:tabs>
          <w:tab w:leader="none" w:pos="11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Incentive and Stock Purchase Plans</w:t>
      </w:r>
    </w:p>
    <w:p>
      <w:pPr>
        <w:spacing w:after="0" w:line="115" w:lineRule="exact"/>
        <w:rPr>
          <w:sz w:val="20"/>
          <w:szCs w:val="20"/>
          <w:color w:val="auto"/>
        </w:rPr>
      </w:pPr>
    </w:p>
    <w:p>
      <w:pPr>
        <w:ind w:left="980" w:hanging="295"/>
        <w:spacing w:after="0"/>
        <w:tabs>
          <w:tab w:leader="none" w:pos="980" w:val="left"/>
        </w:tabs>
        <w:numPr>
          <w:ilvl w:val="0"/>
          <w:numId w:val="3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Long-Term Incentive Plans</w:t>
      </w:r>
    </w:p>
    <w:p>
      <w:pPr>
        <w:spacing w:after="0" w:line="119" w:lineRule="exact"/>
        <w:rPr>
          <w:sz w:val="20"/>
          <w:szCs w:val="20"/>
          <w:color w:val="auto"/>
        </w:rPr>
      </w:pPr>
    </w:p>
    <w:p>
      <w:pPr>
        <w:ind w:left="680" w:firstLine="398"/>
        <w:spacing w:after="0" w:line="262" w:lineRule="auto"/>
        <w:rPr>
          <w:sz w:val="20"/>
          <w:szCs w:val="20"/>
          <w:color w:val="auto"/>
        </w:rPr>
      </w:pPr>
      <w:r>
        <w:rPr>
          <w:rFonts w:ascii="Times New Roman" w:cs="Times New Roman" w:eastAsia="Times New Roman" w:hAnsi="Times New Roman"/>
          <w:sz w:val="16"/>
          <w:szCs w:val="16"/>
          <w:color w:val="auto"/>
        </w:rPr>
        <w:t>During 2000, the Company established the Regeneron Pharmaceuticals, Inc. 2000 Long-Term Incentive Plan (“2000 Incentive Plan”) which, as amended, provides for the issuance of up to 18,500,000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board of directors, (collectively, “Participants”) may receive awards as determined by a committee of independent directors (“Committee”). The awards that may be made under the 2000 Incentive Plan include:</w:t>
      </w:r>
    </w:p>
    <w:p>
      <w:pPr>
        <w:spacing w:after="0" w:line="4" w:lineRule="exact"/>
        <w:rPr>
          <w:sz w:val="20"/>
          <w:szCs w:val="20"/>
          <w:color w:val="auto"/>
        </w:rPr>
      </w:pPr>
    </w:p>
    <w:p>
      <w:pPr>
        <w:ind w:left="680" w:right="620" w:firstLine="5"/>
        <w:spacing w:after="0" w:line="248" w:lineRule="auto"/>
        <w:tabs>
          <w:tab w:leader="none" w:pos="90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Stock Options (“ISOs”) and Nonqualified Stock Options, (b) shares of Restricted Stock, (c) shares of Phantom Stock, (d) Stock Bonuses, and (e) Other Awards.</w:t>
      </w:r>
    </w:p>
    <w:p>
      <w:pPr>
        <w:spacing w:after="0" w:line="89" w:lineRule="exact"/>
        <w:rPr>
          <w:sz w:val="20"/>
          <w:szCs w:val="20"/>
          <w:color w:val="auto"/>
        </w:rPr>
      </w:pPr>
    </w:p>
    <w:p>
      <w:pPr>
        <w:ind w:left="680" w:right="120" w:firstLine="398"/>
        <w:spacing w:after="0" w:line="256" w:lineRule="auto"/>
        <w:rPr>
          <w:sz w:val="20"/>
          <w:szCs w:val="20"/>
          <w:color w:val="auto"/>
        </w:rPr>
      </w:pPr>
      <w:r>
        <w:rPr>
          <w:rFonts w:ascii="Times New Roman" w:cs="Times New Roman" w:eastAsia="Times New Roman" w:hAnsi="Times New Roman"/>
          <w:sz w:val="17"/>
          <w:szCs w:val="17"/>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w:t>
      </w:r>
    </w:p>
    <w:p>
      <w:pPr>
        <w:spacing w:after="0" w:line="34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79" w:name="page80"/>
    <w:bookmarkEnd w:id="7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right="640"/>
        <w:spacing w:after="0" w:line="268" w:lineRule="auto"/>
        <w:rPr>
          <w:sz w:val="20"/>
          <w:szCs w:val="20"/>
          <w:color w:val="auto"/>
        </w:rPr>
      </w:pPr>
      <w:r>
        <w:rPr>
          <w:rFonts w:ascii="Times New Roman" w:cs="Times New Roman" w:eastAsia="Times New Roman" w:hAnsi="Times New Roman"/>
          <w:sz w:val="17"/>
          <w:szCs w:val="17"/>
          <w:color w:val="auto"/>
        </w:rPr>
        <w:t>Committee, generally on a pro rata basis over a three to five year period. The Committee also determines the expiration date of each Option; however, no ISO is exercisable more than ten years after the date of grant.</w:t>
      </w:r>
    </w:p>
    <w:p>
      <w:pPr>
        <w:spacing w:after="0" w:line="73" w:lineRule="exact"/>
        <w:rPr>
          <w:sz w:val="20"/>
          <w:szCs w:val="20"/>
          <w:color w:val="auto"/>
        </w:rPr>
      </w:pPr>
    </w:p>
    <w:p>
      <w:pPr>
        <w:ind w:left="680" w:right="160" w:firstLine="398"/>
        <w:spacing w:after="0" w:line="269" w:lineRule="auto"/>
        <w:rPr>
          <w:sz w:val="20"/>
          <w:szCs w:val="20"/>
          <w:color w:val="auto"/>
        </w:rPr>
      </w:pPr>
      <w:r>
        <w:rPr>
          <w:rFonts w:ascii="Times New Roman" w:cs="Times New Roman" w:eastAsia="Times New Roman" w:hAnsi="Times New Roman"/>
          <w:sz w:val="16"/>
          <w:szCs w:val="16"/>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75" w:lineRule="exact"/>
        <w:rPr>
          <w:sz w:val="20"/>
          <w:szCs w:val="20"/>
          <w:color w:val="auto"/>
        </w:rPr>
      </w:pPr>
    </w:p>
    <w:p>
      <w:pPr>
        <w:ind w:left="680" w:right="80" w:firstLine="398"/>
        <w:spacing w:after="0" w:line="250" w:lineRule="auto"/>
        <w:rPr>
          <w:sz w:val="20"/>
          <w:szCs w:val="20"/>
          <w:color w:val="auto"/>
        </w:rPr>
      </w:pPr>
      <w:r>
        <w:rPr>
          <w:rFonts w:ascii="Times New Roman" w:cs="Times New Roman" w:eastAsia="Times New Roman" w:hAnsi="Times New Roman"/>
          <w:sz w:val="17"/>
          <w:szCs w:val="17"/>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88" w:lineRule="exact"/>
        <w:rPr>
          <w:sz w:val="20"/>
          <w:szCs w:val="20"/>
          <w:color w:val="auto"/>
        </w:rPr>
      </w:pPr>
    </w:p>
    <w:p>
      <w:pPr>
        <w:ind w:left="680" w:right="440" w:firstLine="398"/>
        <w:spacing w:after="0" w:line="268" w:lineRule="auto"/>
        <w:rPr>
          <w:sz w:val="20"/>
          <w:szCs w:val="20"/>
          <w:color w:val="auto"/>
        </w:rPr>
      </w:pPr>
      <w:r>
        <w:rPr>
          <w:rFonts w:ascii="Times New Roman" w:cs="Times New Roman" w:eastAsia="Times New Roman" w:hAnsi="Times New Roman"/>
          <w:sz w:val="17"/>
          <w:szCs w:val="17"/>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73" w:lineRule="exact"/>
        <w:rPr>
          <w:sz w:val="20"/>
          <w:szCs w:val="20"/>
          <w:color w:val="auto"/>
        </w:rPr>
      </w:pPr>
    </w:p>
    <w:p>
      <w:pPr>
        <w:ind w:left="680" w:firstLine="398"/>
        <w:spacing w:after="0" w:line="250" w:lineRule="auto"/>
        <w:rPr>
          <w:sz w:val="20"/>
          <w:szCs w:val="20"/>
          <w:color w:val="auto"/>
        </w:rPr>
      </w:pPr>
      <w:r>
        <w:rPr>
          <w:rFonts w:ascii="Times New Roman" w:cs="Times New Roman" w:eastAsia="Times New Roman" w:hAnsi="Times New Roman"/>
          <w:sz w:val="17"/>
          <w:szCs w:val="17"/>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 on a pro rata basis over a three or five year period and have a term of ten years.</w:t>
      </w:r>
    </w:p>
    <w:p>
      <w:pPr>
        <w:spacing w:after="0" w:line="88" w:lineRule="exact"/>
        <w:rPr>
          <w:sz w:val="20"/>
          <w:szCs w:val="20"/>
          <w:color w:val="auto"/>
        </w:rPr>
      </w:pPr>
    </w:p>
    <w:p>
      <w:pPr>
        <w:ind w:left="680" w:right="340" w:firstLine="398"/>
        <w:spacing w:after="0" w:line="268" w:lineRule="auto"/>
        <w:rPr>
          <w:sz w:val="20"/>
          <w:szCs w:val="20"/>
          <w:color w:val="auto"/>
        </w:rPr>
      </w:pPr>
      <w:r>
        <w:rPr>
          <w:rFonts w:ascii="Times New Roman" w:cs="Times New Roman" w:eastAsia="Times New Roman" w:hAnsi="Times New Roman"/>
          <w:sz w:val="17"/>
          <w:szCs w:val="17"/>
          <w:color w:val="auto"/>
        </w:rPr>
        <w:t>The 1990 and 2000 Incentive Plans contain provisions that allow for the Committee to provide for the immediate vesting of awards upon a change in control of the Company, as defined.</w:t>
      </w:r>
    </w:p>
    <w:p>
      <w:pPr>
        <w:spacing w:after="0" w:line="73" w:lineRule="exact"/>
        <w:rPr>
          <w:sz w:val="20"/>
          <w:szCs w:val="20"/>
          <w:color w:val="auto"/>
        </w:rPr>
      </w:pPr>
    </w:p>
    <w:p>
      <w:pPr>
        <w:ind w:left="680" w:right="60" w:firstLine="398"/>
        <w:spacing w:after="0" w:line="246" w:lineRule="auto"/>
        <w:rPr>
          <w:sz w:val="20"/>
          <w:szCs w:val="20"/>
          <w:color w:val="auto"/>
        </w:rPr>
      </w:pPr>
      <w:r>
        <w:rPr>
          <w:rFonts w:ascii="Times New Roman" w:cs="Times New Roman" w:eastAsia="Times New Roman" w:hAnsi="Times New Roman"/>
          <w:sz w:val="17"/>
          <w:szCs w:val="17"/>
          <w:color w:val="auto"/>
        </w:rPr>
        <w:t>As described in Note 2, effective January 1, 2005, the Company adopted the fair value based method of accounting for stock-based employee compensation under the provisions of SFAS 123 using the modified prospective method as described in SFAS 148. As a result, effective January 1, 2005, the Company has been recognizing expense, in an amount equal to the fair value of share-based payments (including stock option awards) on their date of grant, over the vesting period of the awards. Under the modified prospective method, compensation expense for the Company is recognized for (a) all share based payments granted on or after January 1, 2005, (including replacement options granted under the Company’s stock option exchange program which concluded on January 5, 2005) and (b) all awards granted to employees prior to January 1, 2005 that were unvested on that date. Prior to the adoption of the fair value method, the Company accounted for stock-based compensation to employees under the intrinsic value method of accounting set forth in APB 25 and related interpretations. Therefore, compensation expense related to employee stock options was not reflected in operating expenses in any period prior to the first quarter of 2005 and prior period results have not been restated. The effect on the Company’s net income (loss) and net income (loss) per share for the years ended December 31, 2004 and 2003, had compensation costs for the Incentive Plans been determined in accordance with the fair value based method of accounting for stock-based employee compensation as prescribed by SFAS 123, is shown in Note 2.</w:t>
      </w:r>
    </w:p>
    <w:p>
      <w:pPr>
        <w:spacing w:after="0" w:line="93" w:lineRule="exact"/>
        <w:rPr>
          <w:sz w:val="20"/>
          <w:szCs w:val="20"/>
          <w:color w:val="auto"/>
        </w:rPr>
      </w:pPr>
    </w:p>
    <w:p>
      <w:pPr>
        <w:ind w:left="680" w:right="260" w:firstLine="398"/>
        <w:spacing w:after="0" w:line="268" w:lineRule="auto"/>
        <w:rPr>
          <w:sz w:val="20"/>
          <w:szCs w:val="20"/>
          <w:color w:val="auto"/>
        </w:rPr>
      </w:pPr>
      <w:r>
        <w:rPr>
          <w:rFonts w:ascii="Times New Roman" w:cs="Times New Roman" w:eastAsia="Times New Roman" w:hAnsi="Times New Roman"/>
          <w:sz w:val="17"/>
          <w:szCs w:val="17"/>
          <w:color w:val="auto"/>
        </w:rPr>
        <w:t>Prior to the Company’s adoption of SFAS 123, in accordance with APB 25 and related interpretations, the Company recorded compensation expense from issuances of employee Restricted Stock awards. When the terms of</w:t>
      </w:r>
    </w:p>
    <w:p>
      <w:pPr>
        <w:spacing w:after="0" w:line="3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80" w:name="page81"/>
    <w:bookmarkEnd w:id="8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the award were fixed, compensation expense for Restricted Stock awards totaled the grant date intrinsic value, amortized over the vesting period.</w:t>
      </w:r>
    </w:p>
    <w:p>
      <w:pPr>
        <w:spacing w:after="0" w:line="115" w:lineRule="exact"/>
        <w:rPr>
          <w:sz w:val="20"/>
          <w:szCs w:val="20"/>
          <w:color w:val="auto"/>
        </w:rPr>
      </w:pPr>
    </w:p>
    <w:p>
      <w:pPr>
        <w:ind w:left="680" w:right="880" w:firstLine="398"/>
        <w:spacing w:after="0" w:line="268" w:lineRule="auto"/>
        <w:rPr>
          <w:sz w:val="20"/>
          <w:szCs w:val="20"/>
          <w:color w:val="auto"/>
        </w:rPr>
      </w:pPr>
      <w:r>
        <w:rPr>
          <w:rFonts w:ascii="Times New Roman" w:cs="Times New Roman" w:eastAsia="Times New Roman" w:hAnsi="Times New Roman"/>
          <w:sz w:val="17"/>
          <w:szCs w:val="17"/>
          <w:color w:val="auto"/>
        </w:rPr>
        <w:t>Transactions involving stock option awards during 2005, 2004, and 2003 under the 1990 and 2000 Incentive Plans are summarized in the table below.</w:t>
      </w:r>
    </w:p>
    <w:p>
      <w:pPr>
        <w:spacing w:after="0" w:line="1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6760" w:type="dxa"/>
            <w:vAlign w:val="bottom"/>
          </w:tcPr>
          <w:p>
            <w:pPr>
              <w:spacing w:after="0"/>
              <w:rPr>
                <w:sz w:val="12"/>
                <w:szCs w:val="12"/>
                <w:color w:val="auto"/>
              </w:rPr>
            </w:pPr>
          </w:p>
        </w:tc>
        <w:tc>
          <w:tcPr>
            <w:tcW w:w="140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38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 outstanding at December 31, 2002</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11,563,950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21.08</w:t>
            </w:r>
          </w:p>
        </w:tc>
        <w:tc>
          <w:tcPr>
            <w:tcW w:w="0" w:type="dxa"/>
            <w:vAlign w:val="bottom"/>
          </w:tcPr>
          <w:p>
            <w:pPr>
              <w:spacing w:after="0"/>
              <w:rPr>
                <w:sz w:val="1"/>
                <w:szCs w:val="1"/>
                <w:color w:val="auto"/>
              </w:rPr>
            </w:pPr>
          </w:p>
        </w:tc>
      </w:tr>
      <w:tr>
        <w:trPr>
          <w:trHeight w:val="199"/>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2003:</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granted</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2,634,570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13.45</w:t>
            </w:r>
          </w:p>
        </w:tc>
        <w:tc>
          <w:tcPr>
            <w:tcW w:w="0" w:type="dxa"/>
            <w:vAlign w:val="bottom"/>
          </w:tcPr>
          <w:p>
            <w:pPr>
              <w:spacing w:after="0"/>
              <w:rPr>
                <w:sz w:val="1"/>
                <w:szCs w:val="1"/>
                <w:color w:val="auto"/>
              </w:rPr>
            </w:pPr>
          </w:p>
        </w:tc>
      </w:tr>
      <w:tr>
        <w:trPr>
          <w:trHeight w:val="199"/>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canceled</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(265,107)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22.62</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exercised</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(795,114)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04"/>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outstanding at December 31, 2003</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13,138,299</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20.36</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2004:</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granted</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2,828,484</w:t>
            </w: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9.90</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canceled</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(514,947)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21.10</w:t>
            </w:r>
          </w:p>
        </w:tc>
        <w:tc>
          <w:tcPr>
            <w:tcW w:w="0" w:type="dxa"/>
            <w:vAlign w:val="bottom"/>
          </w:tcPr>
          <w:p>
            <w:pPr>
              <w:spacing w:after="0"/>
              <w:rPr>
                <w:sz w:val="1"/>
                <w:szCs w:val="1"/>
                <w:color w:val="auto"/>
              </w:rPr>
            </w:pPr>
          </w:p>
        </w:tc>
      </w:tr>
      <w:tr>
        <w:trPr>
          <w:trHeight w:val="204"/>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exercised</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(311,268)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5.98</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outstanding at December 31, 2004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15,140,568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18.68</w:t>
            </w:r>
          </w:p>
        </w:tc>
        <w:tc>
          <w:tcPr>
            <w:tcW w:w="0" w:type="dxa"/>
            <w:vAlign w:val="bottom"/>
          </w:tcPr>
          <w:p>
            <w:pPr>
              <w:spacing w:after="0"/>
              <w:rPr>
                <w:sz w:val="1"/>
                <w:szCs w:val="1"/>
                <w:color w:val="auto"/>
              </w:rPr>
            </w:pPr>
          </w:p>
        </w:tc>
      </w:tr>
      <w:tr>
        <w:trPr>
          <w:trHeight w:val="199"/>
        </w:trPr>
        <w:tc>
          <w:tcPr>
            <w:tcW w:w="6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2005:</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granted</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4,551,360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199"/>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canceled</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(4,374,518)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25.96</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exercised</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(597,918)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9.50</w:t>
            </w:r>
          </w:p>
        </w:tc>
        <w:tc>
          <w:tcPr>
            <w:tcW w:w="0" w:type="dxa"/>
            <w:vAlign w:val="bottom"/>
          </w:tcPr>
          <w:p>
            <w:pPr>
              <w:spacing w:after="0"/>
              <w:rPr>
                <w:sz w:val="1"/>
                <w:szCs w:val="1"/>
                <w:color w:val="auto"/>
              </w:rPr>
            </w:pPr>
          </w:p>
        </w:tc>
      </w:tr>
      <w:tr>
        <w:trPr>
          <w:trHeight w:val="204"/>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outstanding at December 31, 2005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14,719,492</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680" w:right="800"/>
        <w:spacing w:after="0" w:line="268" w:lineRule="auto"/>
        <w:rPr>
          <w:sz w:val="20"/>
          <w:szCs w:val="20"/>
          <w:color w:val="auto"/>
        </w:rPr>
      </w:pPr>
      <w:r>
        <w:rPr>
          <w:rFonts w:ascii="Times New Roman" w:cs="Times New Roman" w:eastAsia="Times New Roman" w:hAnsi="Times New Roman"/>
          <w:sz w:val="17"/>
          <w:szCs w:val="17"/>
          <w:color w:val="auto"/>
        </w:rPr>
        <w:t>In addition, in October 2005, the Company accelerated vesting of certain stock options held by employees affected by the Company’s 2005 workforce reductions (see Note 3).</w:t>
      </w:r>
    </w:p>
    <w:p>
      <w:pPr>
        <w:spacing w:after="0" w:line="73" w:lineRule="exact"/>
        <w:rPr>
          <w:sz w:val="20"/>
          <w:szCs w:val="20"/>
          <w:color w:val="auto"/>
        </w:rPr>
      </w:pPr>
    </w:p>
    <w:p>
      <w:pPr>
        <w:ind w:left="680" w:right="860" w:firstLine="398"/>
        <w:spacing w:after="0" w:line="273" w:lineRule="auto"/>
        <w:rPr>
          <w:sz w:val="20"/>
          <w:szCs w:val="20"/>
          <w:color w:val="auto"/>
        </w:rPr>
      </w:pPr>
      <w:r>
        <w:rPr>
          <w:rFonts w:ascii="Times New Roman" w:cs="Times New Roman" w:eastAsia="Times New Roman" w:hAnsi="Times New Roman"/>
          <w:sz w:val="16"/>
          <w:szCs w:val="16"/>
          <w:color w:val="auto"/>
        </w:rPr>
        <w:t>The Company grants stock options with exercise prices that are equal to or greater than the fair market value of the Company’s Common Stock on the date of grant. The table below summarizes the weighted-average exercise prices and weighted-average grant-date fair values of options issued during the years ended December 31, 2003, 2004, and 2005. The total number of options exercisable at December 31, 2005, 2004, and 2003 was 7,321,256, 8,628,873, and 5,940,268, respectively, with weighted average exercise prices of $17.79, $21.05, and $19.45,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00" w:type="dxa"/>
            <w:vAlign w:val="bottom"/>
          </w:tcPr>
          <w:p>
            <w:pPr>
              <w:spacing w:after="0"/>
              <w:rPr>
                <w:sz w:val="12"/>
                <w:szCs w:val="12"/>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1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800" w:type="dxa"/>
            <w:vAlign w:val="bottom"/>
          </w:tcPr>
          <w:p>
            <w:pPr>
              <w:spacing w:after="0"/>
              <w:rPr>
                <w:sz w:val="12"/>
                <w:szCs w:val="12"/>
                <w:color w:val="auto"/>
              </w:rPr>
            </w:pPr>
          </w:p>
        </w:tc>
      </w:tr>
      <w:tr>
        <w:trPr>
          <w:trHeight w:val="159"/>
        </w:trPr>
        <w:tc>
          <w:tcPr>
            <w:tcW w:w="6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8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Granted</w:t>
            </w:r>
          </w:p>
        </w:tc>
        <w:tc>
          <w:tcPr>
            <w:tcW w:w="100" w:type="dxa"/>
            <w:vAlign w:val="bottom"/>
          </w:tcPr>
          <w:p>
            <w:pPr>
              <w:spacing w:after="0"/>
              <w:rPr>
                <w:sz w:val="13"/>
                <w:szCs w:val="13"/>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2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0" w:type="dxa"/>
            <w:vAlign w:val="bottom"/>
          </w:tcPr>
          <w:p>
            <w:pPr>
              <w:spacing w:after="0"/>
              <w:rPr>
                <w:sz w:val="13"/>
                <w:szCs w:val="13"/>
                <w:color w:val="auto"/>
              </w:rPr>
            </w:pPr>
          </w:p>
        </w:tc>
      </w:tr>
      <w:tr>
        <w:trPr>
          <w:trHeight w:val="42"/>
        </w:trPr>
        <w:tc>
          <w:tcPr>
            <w:tcW w:w="6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9"/>
        </w:trPr>
        <w:tc>
          <w:tcPr>
            <w:tcW w:w="68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2003:</w:t>
            </w: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Exercise price equal to market price</w:t>
            </w:r>
          </w:p>
        </w:tc>
        <w:tc>
          <w:tcPr>
            <w:tcW w:w="30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2,634,570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13.45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10.12</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2004:</w:t>
            </w: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Exercise price equal to market price</w:t>
            </w:r>
          </w:p>
        </w:tc>
        <w:tc>
          <w:tcPr>
            <w:tcW w:w="30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2,796,873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9.89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7.53</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 price greater than market price</w:t>
            </w:r>
          </w:p>
        </w:tc>
        <w:tc>
          <w:tcPr>
            <w:tcW w:w="3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31,611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10.44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6.10</w:t>
            </w:r>
          </w:p>
        </w:tc>
        <w:tc>
          <w:tcPr>
            <w:tcW w:w="800" w:type="dxa"/>
            <w:vAlign w:val="bottom"/>
          </w:tcPr>
          <w:p>
            <w:pPr>
              <w:spacing w:after="0"/>
              <w:rPr>
                <w:sz w:val="17"/>
                <w:szCs w:val="17"/>
                <w:color w:val="auto"/>
              </w:rPr>
            </w:pPr>
          </w:p>
        </w:tc>
      </w:tr>
      <w:tr>
        <w:trPr>
          <w:trHeight w:val="204"/>
        </w:trPr>
        <w:tc>
          <w:tcPr>
            <w:tcW w:w="680" w:type="dxa"/>
            <w:vAlign w:val="bottom"/>
          </w:tcPr>
          <w:p>
            <w:pPr>
              <w:spacing w:after="0"/>
              <w:rPr>
                <w:sz w:val="17"/>
                <w:szCs w:val="17"/>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2004 grants</w:t>
            </w:r>
          </w:p>
        </w:tc>
        <w:tc>
          <w:tcPr>
            <w:tcW w:w="11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2,828,484</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7.51</w:t>
            </w:r>
          </w:p>
        </w:tc>
        <w:tc>
          <w:tcPr>
            <w:tcW w:w="80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8"/>
        </w:trPr>
        <w:tc>
          <w:tcPr>
            <w:tcW w:w="68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2005:</w:t>
            </w:r>
          </w:p>
        </w:tc>
        <w:tc>
          <w:tcPr>
            <w:tcW w:w="1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Exercise price equal to market price</w:t>
            </w:r>
          </w:p>
        </w:tc>
        <w:tc>
          <w:tcPr>
            <w:tcW w:w="304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4,551,360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6.68</w:t>
            </w:r>
          </w:p>
        </w:tc>
        <w:tc>
          <w:tcPr>
            <w:tcW w:w="800" w:type="dxa"/>
            <w:vAlign w:val="bottom"/>
          </w:tcPr>
          <w:p>
            <w:pPr>
              <w:spacing w:after="0"/>
              <w:rPr>
                <w:sz w:val="18"/>
                <w:szCs w:val="18"/>
                <w:color w:val="auto"/>
              </w:rPr>
            </w:pPr>
          </w:p>
        </w:tc>
      </w:tr>
      <w:tr>
        <w:trPr>
          <w:trHeight w:val="555"/>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40" w:type="dxa"/>
            <w:vAlign w:val="bottom"/>
            <w:gridSpan w:val="3"/>
          </w:tcPr>
          <w:p>
            <w:pPr>
              <w:jc w:val="right"/>
              <w:ind w:right="1720"/>
              <w:spacing w:after="0"/>
              <w:rPr>
                <w:sz w:val="20"/>
                <w:szCs w:val="20"/>
                <w:color w:val="auto"/>
              </w:rPr>
            </w:pPr>
            <w:r>
              <w:rPr>
                <w:rFonts w:ascii="Times New Roman" w:cs="Times New Roman" w:eastAsia="Times New Roman" w:hAnsi="Times New Roman"/>
                <w:sz w:val="17"/>
                <w:szCs w:val="17"/>
                <w:color w:val="auto"/>
              </w:rPr>
              <w:t>F-28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680" w:type="dxa"/>
            <w:vAlign w:val="bottom"/>
            <w:tcBorders>
              <w:bottom w:val="single" w:sz="8" w:color="808080"/>
            </w:tcBorders>
          </w:tcPr>
          <w:p>
            <w:pPr>
              <w:spacing w:after="0"/>
              <w:rPr>
                <w:sz w:val="18"/>
                <w:szCs w:val="18"/>
                <w:color w:val="auto"/>
              </w:rPr>
            </w:pPr>
          </w:p>
        </w:tc>
        <w:tc>
          <w:tcPr>
            <w:tcW w:w="38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81" w:name="page82"/>
    <w:bookmarkEnd w:id="8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following table summarizes stock option information as of December 31, 2005:</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4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Options Exercisable</w:t>
            </w: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2220" w:type="dxa"/>
            <w:vAlign w:val="bottom"/>
            <w:gridSpan w:val="2"/>
            <w:vMerge w:val="restart"/>
          </w:tcPr>
          <w:p>
            <w:pPr>
              <w:jc w:val="right"/>
              <w:ind w:right="1340"/>
              <w:spacing w:after="0"/>
              <w:rPr>
                <w:sz w:val="20"/>
                <w:szCs w:val="20"/>
                <w:color w:val="auto"/>
              </w:rPr>
            </w:pPr>
            <w:r>
              <w:rPr>
                <w:rFonts w:ascii="Times New Roman" w:cs="Times New Roman" w:eastAsia="Times New Roman" w:hAnsi="Times New Roman"/>
                <w:sz w:val="13"/>
                <w:szCs w:val="13"/>
                <w:b w:val="1"/>
                <w:bCs w:val="1"/>
                <w:color w:val="auto"/>
              </w:rPr>
              <w:t>Range of</w:t>
            </w:r>
          </w:p>
        </w:tc>
        <w:tc>
          <w:tcPr>
            <w:tcW w:w="1520" w:type="dxa"/>
            <w:vAlign w:val="bottom"/>
            <w:tcBorders>
              <w:top w:val="single" w:sz="8" w:color="auto"/>
            </w:tcBorders>
            <w:gridSpan w:val="2"/>
            <w:vMerge w:val="restart"/>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80" w:type="dxa"/>
            <w:vAlign w:val="bottom"/>
            <w:tcBorders>
              <w:top w:val="single" w:sz="8" w:color="auto"/>
            </w:tcBorders>
            <w:gridSpan w:val="2"/>
          </w:tcPr>
          <w:p>
            <w:pPr>
              <w:jc w:val="center"/>
              <w:ind w:right="680"/>
              <w:spacing w:after="0" w:line="107"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61"/>
              <w:spacing w:after="0" w:line="107"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680" w:type="dxa"/>
            <w:vAlign w:val="bottom"/>
          </w:tcPr>
          <w:p>
            <w:pPr>
              <w:spacing w:after="0"/>
              <w:rPr>
                <w:sz w:val="9"/>
                <w:szCs w:val="9"/>
                <w:color w:val="auto"/>
              </w:rPr>
            </w:pPr>
          </w:p>
        </w:tc>
        <w:tc>
          <w:tcPr>
            <w:tcW w:w="1440" w:type="dxa"/>
            <w:vAlign w:val="bottom"/>
            <w:tcBorders>
              <w:top w:val="single" w:sz="8" w:color="auto"/>
            </w:tcBorders>
            <w:gridSpan w:val="2"/>
            <w:vMerge w:val="restart"/>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41"/>
              <w:spacing w:after="0" w:line="107"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0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80" w:type="dxa"/>
            <w:vAlign w:val="bottom"/>
            <w:gridSpan w:val="2"/>
          </w:tcPr>
          <w:p>
            <w:pPr>
              <w:jc w:val="center"/>
              <w:ind w:right="660"/>
              <w:spacing w:after="0" w:line="137"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1"/>
                <w:szCs w:val="11"/>
                <w:color w:val="auto"/>
              </w:rPr>
            </w:pPr>
          </w:p>
        </w:tc>
        <w:tc>
          <w:tcPr>
            <w:tcW w:w="1440" w:type="dxa"/>
            <w:vAlign w:val="bottom"/>
            <w:gridSpan w:val="2"/>
          </w:tcPr>
          <w:p>
            <w:pPr>
              <w:jc w:val="center"/>
              <w:ind w:right="820"/>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2220" w:type="dxa"/>
            <w:vAlign w:val="bottom"/>
            <w:gridSpan w:val="2"/>
          </w:tcPr>
          <w:p>
            <w:pPr>
              <w:jc w:val="right"/>
              <w:ind w:right="1160"/>
              <w:spacing w:after="0"/>
              <w:rPr>
                <w:sz w:val="20"/>
                <w:szCs w:val="20"/>
                <w:color w:val="auto"/>
              </w:rPr>
            </w:pPr>
            <w:r>
              <w:rPr>
                <w:rFonts w:ascii="Times New Roman" w:cs="Times New Roman" w:eastAsia="Times New Roman" w:hAnsi="Times New Roman"/>
                <w:sz w:val="13"/>
                <w:szCs w:val="13"/>
                <w:b w:val="1"/>
                <w:bCs w:val="1"/>
                <w:color w:val="auto"/>
              </w:rPr>
              <w:t>Exercise Prices</w:t>
            </w: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88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Contractual Life</w:t>
            </w:r>
          </w:p>
        </w:tc>
        <w:tc>
          <w:tcPr>
            <w:tcW w:w="1580" w:type="dxa"/>
            <w:vAlign w:val="bottom"/>
            <w:gridSpan w:val="3"/>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42"/>
        </w:trPr>
        <w:tc>
          <w:tcPr>
            <w:tcW w:w="30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4.83 to $ 8.50</w:t>
            </w: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2,689,022</w:t>
            </w: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5.32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8.13</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760,533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7.40</w:t>
            </w:r>
          </w:p>
        </w:tc>
        <w:tc>
          <w:tcPr>
            <w:tcW w:w="0" w:type="dxa"/>
            <w:vAlign w:val="bottom"/>
          </w:tcPr>
          <w:p>
            <w:pPr>
              <w:spacing w:after="0"/>
              <w:rPr>
                <w:sz w:val="1"/>
                <w:szCs w:val="1"/>
                <w:color w:val="auto"/>
              </w:rPr>
            </w:pPr>
          </w:p>
        </w:tc>
      </w:tr>
      <w:tr>
        <w:trPr>
          <w:trHeight w:val="199"/>
        </w:trPr>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8.52 to $ 9.49</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3,420,139</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7.30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9.24</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1,593,794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9.50 to $11.64</w:t>
            </w: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2,970,544</w:t>
            </w: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8.20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11.32</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594,488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w:t>
            </w:r>
          </w:p>
        </w:tc>
        <w:tc>
          <w:tcPr>
            <w:tcW w:w="0" w:type="dxa"/>
            <w:vAlign w:val="bottom"/>
          </w:tcPr>
          <w:p>
            <w:pPr>
              <w:spacing w:after="0"/>
              <w:rPr>
                <w:sz w:val="1"/>
                <w:szCs w:val="1"/>
                <w:color w:val="auto"/>
              </w:rPr>
            </w:pPr>
          </w:p>
        </w:tc>
      </w:tr>
      <w:tr>
        <w:trPr>
          <w:trHeight w:val="199"/>
        </w:trPr>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11.75 to $16.56</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2,493,682</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7.69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13.17</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1,422,294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13.11</w:t>
            </w: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16.59 to $37.78</w:t>
            </w: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2,996,105</w:t>
            </w: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27.70</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2,800,147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28.26</w:t>
            </w:r>
          </w:p>
        </w:tc>
        <w:tc>
          <w:tcPr>
            <w:tcW w:w="0" w:type="dxa"/>
            <w:vAlign w:val="bottom"/>
          </w:tcPr>
          <w:p>
            <w:pPr>
              <w:spacing w:after="0"/>
              <w:rPr>
                <w:sz w:val="1"/>
                <w:szCs w:val="1"/>
                <w:color w:val="auto"/>
              </w:rPr>
            </w:pPr>
          </w:p>
        </w:tc>
      </w:tr>
      <w:tr>
        <w:trPr>
          <w:trHeight w:val="199"/>
        </w:trPr>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37.94 to $51.56</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150,000</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4.67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43.39</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color w:val="auto"/>
              </w:rPr>
              <w:t>150,000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43.39</w:t>
            </w:r>
          </w:p>
        </w:tc>
        <w:tc>
          <w:tcPr>
            <w:tcW w:w="0" w:type="dxa"/>
            <w:vAlign w:val="bottom"/>
          </w:tcPr>
          <w:p>
            <w:pPr>
              <w:spacing w:after="0"/>
              <w:rPr>
                <w:sz w:val="1"/>
                <w:szCs w:val="1"/>
                <w:color w:val="auto"/>
              </w:rPr>
            </w:pPr>
          </w:p>
        </w:tc>
      </w:tr>
      <w:tr>
        <w:trPr>
          <w:trHeight w:val="25"/>
        </w:trPr>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4.83 to $51.56</w:t>
            </w:r>
          </w:p>
        </w:tc>
        <w:tc>
          <w:tcPr>
            <w:tcW w:w="15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14,719,492</w:t>
            </w:r>
          </w:p>
        </w:tc>
        <w:tc>
          <w:tcPr>
            <w:tcW w:w="18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6.90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14.23</w:t>
            </w: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rPr>
              <w:t>7,321,256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40" w:firstLine="398"/>
        <w:spacing w:after="0" w:line="246" w:lineRule="auto"/>
        <w:rPr>
          <w:sz w:val="20"/>
          <w:szCs w:val="20"/>
          <w:color w:val="auto"/>
        </w:rPr>
      </w:pPr>
      <w:r>
        <w:rPr>
          <w:rFonts w:ascii="Times New Roman" w:cs="Times New Roman" w:eastAsia="Times New Roman" w:hAnsi="Times New Roman"/>
          <w:sz w:val="17"/>
          <w:szCs w:val="17"/>
          <w:color w:val="auto"/>
        </w:rPr>
        <w:t>The fair value of each option granted under the Regeneron Pharmaceuticals, Inc. 2000 Incentive Plan during 2005, 2004, and 2003 was estimated on the date of grant using the Black-Scholes option-pricing model. Using this model, fair value is calculated based on assumptions with respect to (i) expected volatility of the Company’s Common Stock price, (ii) the periods of time over which employees and members of the Company’s board of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which is re-evaluated at least quarterly,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following table summarizes the weighted average values of the assumptions used in computing the fair value of option grants during 2005, 2004, and 2003.</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920" w:type="dxa"/>
            <w:vAlign w:val="bottom"/>
          </w:tcPr>
          <w:p>
            <w:pPr>
              <w:spacing w:after="0"/>
              <w:rPr>
                <w:sz w:val="13"/>
                <w:szCs w:val="13"/>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2005</w:t>
            </w:r>
          </w:p>
        </w:tc>
        <w:tc>
          <w:tcPr>
            <w:tcW w:w="380" w:type="dxa"/>
            <w:vAlign w:val="bottom"/>
          </w:tcPr>
          <w:p>
            <w:pPr>
              <w:spacing w:after="0"/>
              <w:rPr>
                <w:sz w:val="13"/>
                <w:szCs w:val="13"/>
                <w:color w:val="auto"/>
              </w:rPr>
            </w:pPr>
          </w:p>
        </w:tc>
        <w:tc>
          <w:tcPr>
            <w:tcW w:w="7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2003</w:t>
            </w: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71%</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199"/>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Expected lives from grant date</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5.9 years</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7.5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years</w:t>
            </w:r>
          </w:p>
        </w:tc>
      </w:tr>
      <w:tr>
        <w:trPr>
          <w:trHeight w:val="199"/>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0%</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4.16%</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4.03%</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r>
    </w:tbl>
    <w:p>
      <w:pPr>
        <w:spacing w:after="0" w:line="95" w:lineRule="exact"/>
        <w:rPr>
          <w:sz w:val="20"/>
          <w:szCs w:val="20"/>
          <w:color w:val="auto"/>
        </w:rPr>
      </w:pPr>
    </w:p>
    <w:p>
      <w:pPr>
        <w:ind w:left="680" w:right="60" w:firstLine="398"/>
        <w:spacing w:after="0" w:line="247" w:lineRule="auto"/>
        <w:rPr>
          <w:sz w:val="20"/>
          <w:szCs w:val="20"/>
          <w:color w:val="auto"/>
        </w:rPr>
      </w:pPr>
      <w:r>
        <w:rPr>
          <w:rFonts w:ascii="Times New Roman" w:cs="Times New Roman" w:eastAsia="Times New Roman" w:hAnsi="Times New Roman"/>
          <w:sz w:val="17"/>
          <w:szCs w:val="17"/>
          <w:color w:val="auto"/>
        </w:rPr>
        <w:t>During 2004 and 2003, 105,052 and 219,367 shares, respectively, of Restricted Stock were awarded under the 2000 Incentive Plan. No shares of Restricted Stock were awarded in 2005. These shares are nontransferable with such restriction lapsing (i) for 2004 awards, with respect to 50% of the shares at nine months and eighteen months from date of grant and (ii) for 2003 awards, with respect to 25% of the shares every six months over the approximately two-year period from date of grant. In accordance with generally accepted accounting principles, the Company recorded unearned compensation within Stockholders’ Equity of $1.0 million and $2.9 million in 2004 and 2003, respectively, related to these awards. This amount was based on the fair market value of shares of the Company’s Common Stock on the date of grant and will be expensed, on a pro rata basis, over the period that the restriction on these shares lapses. During 2005, 2004, and 2003, 4,601, 18,194, and 4,431 shares, respectively, of Restricted Stock were forfeited due to employee terminations. The Company reduced unearned compensation within Stockholders’ Equity by $0.1 million, $0.3 million, and $0.1 million in 2005, 2004, and 2003, respectively, related to these forfeited awards.</w:t>
      </w:r>
    </w:p>
    <w:p>
      <w:pPr>
        <w:spacing w:after="0" w:line="90" w:lineRule="exact"/>
        <w:rPr>
          <w:sz w:val="20"/>
          <w:szCs w:val="20"/>
          <w:color w:val="auto"/>
        </w:rPr>
      </w:pPr>
    </w:p>
    <w:p>
      <w:pPr>
        <w:ind w:left="680" w:right="380" w:firstLine="398"/>
        <w:spacing w:after="0" w:line="268" w:lineRule="auto"/>
        <w:rPr>
          <w:sz w:val="20"/>
          <w:szCs w:val="20"/>
          <w:color w:val="auto"/>
        </w:rPr>
      </w:pPr>
      <w:r>
        <w:rPr>
          <w:rFonts w:ascii="Times New Roman" w:cs="Times New Roman" w:eastAsia="Times New Roman" w:hAnsi="Times New Roman"/>
          <w:sz w:val="17"/>
          <w:szCs w:val="17"/>
          <w:color w:val="auto"/>
        </w:rPr>
        <w:t>The Company recognized non-cash compensation expense from Restricted Stock awards of $1.9 million, $2.5 million, and $2.3 million in 2005, 2004, and 2003, respectively. In addition, due to the adoption of SFAS 123</w:t>
      </w:r>
    </w:p>
    <w:p>
      <w:pPr>
        <w:spacing w:after="0" w:line="3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82" w:name="page83"/>
    <w:bookmarkEnd w:id="8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right="160"/>
        <w:spacing w:after="0" w:line="268" w:lineRule="auto"/>
        <w:rPr>
          <w:sz w:val="20"/>
          <w:szCs w:val="20"/>
          <w:color w:val="auto"/>
        </w:rPr>
      </w:pPr>
      <w:r>
        <w:rPr>
          <w:rFonts w:ascii="Times New Roman" w:cs="Times New Roman" w:eastAsia="Times New Roman" w:hAnsi="Times New Roman"/>
          <w:sz w:val="17"/>
          <w:szCs w:val="17"/>
          <w:color w:val="auto"/>
        </w:rPr>
        <w:t>effective January 1, 2005, non-cash compensation expense related to stock option awards totaled $20.0 million in 2005, of which $19.9 million was recognized in operating expenses and $0.1 million was capitalized into inventory.</w:t>
      </w:r>
    </w:p>
    <w:p>
      <w:pPr>
        <w:spacing w:after="0" w:line="7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As of December 31, 2005, there were 6,684,884 shares available for future grants under the 2000 Incentive Plan.</w:t>
      </w:r>
    </w:p>
    <w:p>
      <w:pPr>
        <w:spacing w:after="0" w:line="115" w:lineRule="exact"/>
        <w:rPr>
          <w:sz w:val="20"/>
          <w:szCs w:val="20"/>
          <w:color w:val="auto"/>
        </w:rPr>
      </w:pPr>
    </w:p>
    <w:p>
      <w:pPr>
        <w:ind w:left="680" w:right="40" w:firstLine="398"/>
        <w:spacing w:after="0" w:line="250" w:lineRule="auto"/>
        <w:rPr>
          <w:sz w:val="20"/>
          <w:szCs w:val="20"/>
          <w:color w:val="auto"/>
        </w:rPr>
      </w:pPr>
      <w:r>
        <w:rPr>
          <w:rFonts w:ascii="Times New Roman" w:cs="Times New Roman" w:eastAsia="Times New Roman" w:hAnsi="Times New Roman"/>
          <w:sz w:val="17"/>
          <w:szCs w:val="17"/>
          <w:color w:val="auto"/>
        </w:rPr>
        <w:t>In December 2004, the Company’s shareholders approved a stock option exchange program. Under the program, Company regular employees who work an average of 20 hours per week, other than the Company’s chairman and the Company’s president and chief executive officer, were provided the opportunity to make a one-time election to surrender options granted under the 1990 and 2000 Incentive Plans that had an exercise price of at least $18.00 and exchange them for replacement options granted under the 2000 Incentive Plan in accordance with the following exchange ratios: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Exchange Ratio</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6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3"/>
                <w:szCs w:val="13"/>
                <w:b w:val="1"/>
                <w:bCs w:val="1"/>
                <w:color w:val="auto"/>
              </w:rPr>
              <w:t>(Number of Eligible</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6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Options to be</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6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3"/>
                <w:szCs w:val="13"/>
                <w:b w:val="1"/>
                <w:bCs w:val="1"/>
                <w:color w:val="auto"/>
              </w:rPr>
              <w:t>Surrendered and</w:t>
            </w:r>
          </w:p>
        </w:tc>
        <w:tc>
          <w:tcPr>
            <w:tcW w:w="0" w:type="dxa"/>
            <w:vAlign w:val="bottom"/>
          </w:tcPr>
          <w:p>
            <w:pPr>
              <w:spacing w:after="0"/>
              <w:rPr>
                <w:sz w:val="1"/>
                <w:szCs w:val="1"/>
                <w:color w:val="auto"/>
              </w:rPr>
            </w:pPr>
          </w:p>
        </w:tc>
      </w:tr>
      <w:tr>
        <w:trPr>
          <w:trHeight w:val="149"/>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Exercise Price of Eligible Options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Cancelled for Each</w:t>
            </w:r>
          </w:p>
        </w:tc>
        <w:tc>
          <w:tcPr>
            <w:tcW w:w="0" w:type="dxa"/>
            <w:vAlign w:val="bottom"/>
          </w:tcPr>
          <w:p>
            <w:pPr>
              <w:spacing w:after="0"/>
              <w:rPr>
                <w:sz w:val="1"/>
                <w:szCs w:val="1"/>
                <w:color w:val="auto"/>
              </w:rPr>
            </w:pPr>
          </w:p>
        </w:tc>
      </w:tr>
      <w:tr>
        <w:trPr>
          <w:trHeight w:val="159"/>
        </w:trPr>
        <w:tc>
          <w:tcPr>
            <w:tcW w:w="8260" w:type="dxa"/>
            <w:vAlign w:val="bottom"/>
            <w:gridSpan w:val="2"/>
            <w:vMerge w:val="continue"/>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Replacement Option)</w:t>
            </w:r>
          </w:p>
        </w:tc>
        <w:tc>
          <w:tcPr>
            <w:tcW w:w="0" w:type="dxa"/>
            <w:vAlign w:val="bottom"/>
          </w:tcPr>
          <w:p>
            <w:pPr>
              <w:spacing w:after="0"/>
              <w:rPr>
                <w:sz w:val="1"/>
                <w:szCs w:val="1"/>
                <w:color w:val="auto"/>
              </w:rPr>
            </w:pPr>
          </w:p>
        </w:tc>
      </w:tr>
      <w:tr>
        <w:trPr>
          <w:trHeight w:val="42"/>
        </w:trPr>
        <w:tc>
          <w:tcPr>
            <w:tcW w:w="80" w:type="dxa"/>
            <w:vAlign w:val="bottom"/>
            <w:tcBorders>
              <w:top w:val="single" w:sz="8" w:color="auto"/>
            </w:tcBorders>
          </w:tcPr>
          <w:p>
            <w:pPr>
              <w:spacing w:after="0"/>
              <w:rPr>
                <w:sz w:val="3"/>
                <w:szCs w:val="3"/>
                <w:color w:val="auto"/>
              </w:rPr>
            </w:pPr>
          </w:p>
        </w:tc>
        <w:tc>
          <w:tcPr>
            <w:tcW w:w="818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$18.00 to $28.00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199"/>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$28.01 to $37.00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$37.01 and up</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680" w:right="40"/>
        <w:spacing w:after="0" w:line="252" w:lineRule="auto"/>
        <w:rPr>
          <w:sz w:val="20"/>
          <w:szCs w:val="20"/>
          <w:color w:val="auto"/>
        </w:rPr>
      </w:pPr>
      <w:r>
        <w:rPr>
          <w:rFonts w:ascii="Times New Roman" w:cs="Times New Roman" w:eastAsia="Times New Roman" w:hAnsi="Times New Roman"/>
          <w:sz w:val="17"/>
          <w:szCs w:val="17"/>
          <w:color w:val="auto"/>
        </w:rPr>
        <w:t>Participation in the stock option exchange program was voluntary, and non-employee directors, consultants, former employees, and retirees were not eligible to participate. The participation deadline for the program was January 5, 2005. Eligible employees elected to exchange options with a total of 3,665,819 underlying shares of Common Stock, and the Company issued 1,977,840 replacement options with an exercise price of $8.50 per share on January 5, 2005.</w:t>
      </w:r>
    </w:p>
    <w:p>
      <w:pPr>
        <w:spacing w:after="0" w:line="86" w:lineRule="exact"/>
        <w:rPr>
          <w:sz w:val="20"/>
          <w:szCs w:val="20"/>
          <w:color w:val="auto"/>
        </w:rPr>
      </w:pPr>
    </w:p>
    <w:p>
      <w:pPr>
        <w:ind w:left="680" w:firstLine="398"/>
        <w:spacing w:after="0" w:line="263" w:lineRule="auto"/>
        <w:rPr>
          <w:sz w:val="20"/>
          <w:szCs w:val="20"/>
          <w:color w:val="auto"/>
        </w:rPr>
      </w:pPr>
      <w:r>
        <w:rPr>
          <w:rFonts w:ascii="Times New Roman" w:cs="Times New Roman" w:eastAsia="Times New Roman" w:hAnsi="Times New Roman"/>
          <w:sz w:val="16"/>
          <w:szCs w:val="16"/>
          <w:color w:val="auto"/>
        </w:rPr>
        <w:t>Each replacement option was completely unvested upon grant. Each replacement option granted to an employee other than our executive vice president and senior vice presidents will ordinarily become vested and exercisable with respect to one-fourth of the shares initially underlying such option on each of the first, second, third and fourth anniversaries of the grant date so that such replacement option will be fully vested and exercisable four years after it was granted. Each replacement option granted to our executive vice president and senior vice presidents will ordinarily vest with respect to all shares underlying such option if both (i) the Company’s products have achieved gross sales of at least $100 million during any consecutive twelve month period (either directly by the Company or through its licenses) and (ii) the specific senior or executive vice president has remained employed by the Company for at least three years from the date of grant. For all replacement options, the recipient’s vesting and exercise rights are contingent upon the recipient’s continued employment through the applicable vesting date and subject to the other terms of the 2000 Incentive Plan and the applicable option award agreement. As is generally the case with respect to the option award agreements for options that were eligible for exchange pursuant to the stock option exchange program, the option award agreements for replacement options include provisions whereby the replacement options may be fully vested in connection with a “change in control” of the Company, as defined in the 2000 Incentive Plan.</w:t>
      </w:r>
    </w:p>
    <w:p>
      <w:pPr>
        <w:spacing w:after="0" w:line="80" w:lineRule="exact"/>
        <w:rPr>
          <w:sz w:val="20"/>
          <w:szCs w:val="20"/>
          <w:color w:val="auto"/>
        </w:rPr>
      </w:pPr>
    </w:p>
    <w:p>
      <w:pPr>
        <w:ind w:left="680" w:right="60" w:firstLine="398"/>
        <w:spacing w:after="0" w:line="252" w:lineRule="auto"/>
        <w:rPr>
          <w:sz w:val="20"/>
          <w:szCs w:val="20"/>
          <w:color w:val="auto"/>
        </w:rPr>
      </w:pPr>
      <w:r>
        <w:rPr>
          <w:rFonts w:ascii="Times New Roman" w:cs="Times New Roman" w:eastAsia="Times New Roman" w:hAnsi="Times New Roman"/>
          <w:sz w:val="17"/>
          <w:szCs w:val="17"/>
          <w:color w:val="auto"/>
        </w:rPr>
        <w:t>Under the stock option exchange program, each replacement option has a term equal to the greater of (i) the remaining term of the surrendered option it replaces and (ii) six years from the date of grant of the replacement option. This was intended to ensure that the employees who participated in the stock option exchange program would not derive any additional benefit from an extended option term unless the surrendered option had a remaining term of less than six years.</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83" w:name="page84"/>
    <w:bookmarkEnd w:id="8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i w:val="1"/>
          <w:iCs w:val="1"/>
          <w:color w:val="auto"/>
        </w:rPr>
        <w:t>b. Executive Stock Purchase Plan</w:t>
      </w:r>
    </w:p>
    <w:p>
      <w:pPr>
        <w:spacing w:after="0" w:line="119" w:lineRule="exact"/>
        <w:rPr>
          <w:sz w:val="20"/>
          <w:szCs w:val="20"/>
          <w:color w:val="auto"/>
        </w:rPr>
      </w:pPr>
    </w:p>
    <w:p>
      <w:pPr>
        <w:ind w:left="680" w:right="80" w:firstLine="398"/>
        <w:spacing w:after="0" w:line="248" w:lineRule="auto"/>
        <w:rPr>
          <w:sz w:val="20"/>
          <w:szCs w:val="20"/>
          <w:color w:val="auto"/>
        </w:rPr>
      </w:pPr>
      <w:r>
        <w:rPr>
          <w:rFonts w:ascii="Times New Roman" w:cs="Times New Roman" w:eastAsia="Times New Roman" w:hAnsi="Times New Roman"/>
          <w:sz w:val="17"/>
          <w:szCs w:val="17"/>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2005, there were 44,246 shares available for future grants under the Plan.</w:t>
      </w:r>
    </w:p>
    <w:p>
      <w:pPr>
        <w:spacing w:after="0" w:line="185" w:lineRule="exact"/>
        <w:rPr>
          <w:sz w:val="20"/>
          <w:szCs w:val="20"/>
          <w:color w:val="auto"/>
        </w:rPr>
      </w:pPr>
    </w:p>
    <w:p>
      <w:pPr>
        <w:ind w:left="1180" w:hanging="495"/>
        <w:spacing w:after="0"/>
        <w:tabs>
          <w:tab w:leader="none" w:pos="118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Savings Plan</w:t>
      </w:r>
    </w:p>
    <w:p>
      <w:pPr>
        <w:spacing w:after="0" w:line="119" w:lineRule="exact"/>
        <w:rPr>
          <w:sz w:val="20"/>
          <w:szCs w:val="20"/>
          <w:color w:val="auto"/>
        </w:rPr>
      </w:pPr>
    </w:p>
    <w:p>
      <w:pPr>
        <w:ind w:left="680" w:right="20" w:firstLine="398"/>
        <w:spacing w:after="0" w:line="248" w:lineRule="auto"/>
        <w:rPr>
          <w:sz w:val="20"/>
          <w:szCs w:val="20"/>
          <w:color w:val="auto"/>
        </w:rPr>
      </w:pPr>
      <w:r>
        <w:rPr>
          <w:rFonts w:ascii="Times New Roman" w:cs="Times New Roman" w:eastAsia="Times New Roman" w:hAnsi="Times New Roman"/>
          <w:sz w:val="17"/>
          <w:szCs w:val="17"/>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recorded Contribution expense of $2.0 million in 2005, $0.8 million in 2004, and $0.9 million in 2003; such amounts were accrued as liabilities at December 31, 2005, 2004, and 2003, respectively. During the first quarter of 2006, 2005, and 2004, the Company contributed 120,960, 90,385, and 64,333 shares, respectively, of Common Stock to the Savings Plan in satisfaction of these obligations.</w:t>
      </w:r>
    </w:p>
    <w:p>
      <w:pPr>
        <w:spacing w:after="0" w:line="185" w:lineRule="exact"/>
        <w:rPr>
          <w:sz w:val="20"/>
          <w:szCs w:val="20"/>
          <w:color w:val="auto"/>
        </w:rPr>
      </w:pPr>
    </w:p>
    <w:p>
      <w:pPr>
        <w:ind w:left="1180" w:hanging="495"/>
        <w:spacing w:after="0"/>
        <w:tabs>
          <w:tab w:leader="none" w:pos="118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19" w:lineRule="exact"/>
        <w:rPr>
          <w:sz w:val="20"/>
          <w:szCs w:val="20"/>
          <w:color w:val="auto"/>
        </w:rPr>
      </w:pPr>
    </w:p>
    <w:p>
      <w:pPr>
        <w:ind w:left="680" w:right="40" w:firstLine="398"/>
        <w:spacing w:after="0" w:line="252" w:lineRule="auto"/>
        <w:rPr>
          <w:sz w:val="20"/>
          <w:szCs w:val="20"/>
          <w:color w:val="auto"/>
        </w:rPr>
      </w:pPr>
      <w:r>
        <w:rPr>
          <w:rFonts w:ascii="Times New Roman" w:cs="Times New Roman" w:eastAsia="Times New Roman" w:hAnsi="Times New Roman"/>
          <w:sz w:val="17"/>
          <w:szCs w:val="17"/>
          <w:color w:val="auto"/>
        </w:rPr>
        <w:t>In 2005, 2004, and 2003, the Company recognized a net operating loss for tax purposes and, accordingly, no provision for income taxes has been recorded in the accompanying financial statements. There is no benefit for federal or state income taxes for the years ended December 31, 2005, 2004, and 2003 since the Company has incurred net operating losses for tax purposes since inception and established a valuation allowance equal to the total deferred tax asset.</w:t>
      </w:r>
    </w:p>
    <w:p>
      <w:pPr>
        <w:spacing w:after="0" w:line="8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tax effect of temporary differences, net operating loss carry-forwards, and research and experimental tax credit carry-forwards as of</w:t>
      </w:r>
    </w:p>
    <w:p>
      <w:pPr>
        <w:spacing w:after="0" w:line="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December 31, 2005 and 2004 was as follows: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2005</w:t>
            </w:r>
          </w:p>
        </w:tc>
        <w:tc>
          <w:tcPr>
            <w:tcW w:w="400" w:type="dxa"/>
            <w:vAlign w:val="bottom"/>
          </w:tcPr>
          <w:p>
            <w:pPr>
              <w:spacing w:after="0"/>
              <w:rPr>
                <w:sz w:val="13"/>
                <w:szCs w:val="13"/>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2004</w:t>
            </w:r>
          </w:p>
        </w:tc>
        <w:tc>
          <w:tcPr>
            <w:tcW w:w="100" w:type="dxa"/>
            <w:vAlign w:val="bottom"/>
          </w:tcPr>
          <w:p>
            <w:pPr>
              <w:spacing w:after="0"/>
              <w:rPr>
                <w:sz w:val="13"/>
                <w:szCs w:val="13"/>
                <w:color w:val="auto"/>
              </w:rPr>
            </w:pPr>
          </w:p>
        </w:tc>
      </w:tr>
      <w:tr>
        <w:trPr>
          <w:trHeight w:val="42"/>
        </w:trPr>
        <w:tc>
          <w:tcPr>
            <w:tcW w:w="7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  161,060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135,099</w:t>
            </w:r>
          </w:p>
        </w:tc>
      </w:tr>
      <w:tr>
        <w:trPr>
          <w:trHeight w:val="199"/>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Fixed assets</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12,873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9,772</w:t>
            </w:r>
          </w:p>
        </w:tc>
      </w:tr>
      <w:tr>
        <w:trPr>
          <w:trHeight w:val="199"/>
        </w:trPr>
        <w:tc>
          <w:tcPr>
            <w:tcW w:w="7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34,284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28,527</w:t>
            </w:r>
          </w:p>
        </w:tc>
      </w:tr>
      <w:tr>
        <w:trPr>
          <w:trHeight w:val="199"/>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experimental tax credit carry-forward</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23,074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20,772</w:t>
            </w:r>
          </w:p>
        </w:tc>
      </w:tr>
      <w:tr>
        <w:trPr>
          <w:trHeight w:val="199"/>
        </w:trPr>
        <w:tc>
          <w:tcPr>
            <w:tcW w:w="7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research and development costs</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24,015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28,559</w:t>
            </w:r>
          </w:p>
        </w:tc>
      </w:tr>
      <w:tr>
        <w:trPr>
          <w:trHeight w:val="199"/>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12,095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4,168</w:t>
            </w:r>
          </w:p>
        </w:tc>
      </w:tr>
      <w:tr>
        <w:trPr>
          <w:trHeight w:val="199"/>
        </w:trPr>
        <w:tc>
          <w:tcPr>
            <w:tcW w:w="7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Valuation allowance</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(267,401)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(226,897)</w:t>
            </w:r>
          </w:p>
        </w:tc>
      </w:tr>
      <w:tr>
        <w:trPr>
          <w:trHeight w:val="25"/>
        </w:trPr>
        <w:tc>
          <w:tcPr>
            <w:tcW w:w="7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78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680" w:right="420" w:firstLine="398"/>
        <w:spacing w:after="0" w:line="300" w:lineRule="auto"/>
        <w:rPr>
          <w:sz w:val="20"/>
          <w:szCs w:val="20"/>
          <w:color w:val="auto"/>
        </w:rPr>
      </w:pPr>
      <w:r>
        <w:rPr>
          <w:rFonts w:ascii="Times New Roman" w:cs="Times New Roman" w:eastAsia="Times New Roman" w:hAnsi="Times New Roman"/>
          <w:sz w:val="16"/>
          <w:szCs w:val="16"/>
          <w:color w:val="auto"/>
        </w:rPr>
        <w:t>The Company’s valuation allowance increased by $40.5 million in 2005, due primarily to an increase in the Company’s net operating loss carry-forward, and decreased by $14.2 million in 2004, due primarily to a reduction in the temporary difference related to deferred revenue.</w:t>
      </w: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84" w:name="page85"/>
    <w:bookmarkEnd w:id="8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10" w:lineRule="exact"/>
        <w:rPr>
          <w:sz w:val="20"/>
          <w:szCs w:val="20"/>
          <w:color w:val="auto"/>
        </w:rPr>
      </w:pPr>
    </w:p>
    <w:p>
      <w:pPr>
        <w:jc w:val="both"/>
        <w:ind w:left="680" w:right="120" w:firstLine="398"/>
        <w:spacing w:after="0" w:line="256" w:lineRule="auto"/>
        <w:rPr>
          <w:sz w:val="20"/>
          <w:szCs w:val="20"/>
          <w:color w:val="auto"/>
        </w:rPr>
      </w:pPr>
      <w:r>
        <w:rPr>
          <w:rFonts w:ascii="Times New Roman" w:cs="Times New Roman" w:eastAsia="Times New Roman" w:hAnsi="Times New Roman"/>
          <w:sz w:val="17"/>
          <w:szCs w:val="17"/>
          <w:color w:val="auto"/>
        </w:rPr>
        <w:t>For all years presented, the Company’s effective income tax rate is zero. The difference between the Company’s effective income tax rate and the Federal statutory rate of 34% is attributable to state tax benefits and tax credit carry-forwards offset by an increase in the deferred tax valuation allowance.</w:t>
      </w:r>
    </w:p>
    <w:p>
      <w:pPr>
        <w:spacing w:after="0" w:line="83" w:lineRule="exact"/>
        <w:rPr>
          <w:sz w:val="20"/>
          <w:szCs w:val="20"/>
          <w:color w:val="auto"/>
        </w:rPr>
      </w:pPr>
    </w:p>
    <w:p>
      <w:pPr>
        <w:ind w:left="680" w:right="60" w:firstLine="398"/>
        <w:spacing w:after="0" w:line="250" w:lineRule="auto"/>
        <w:rPr>
          <w:sz w:val="20"/>
          <w:szCs w:val="20"/>
          <w:color w:val="auto"/>
        </w:rPr>
      </w:pPr>
      <w:r>
        <w:rPr>
          <w:rFonts w:ascii="Times New Roman" w:cs="Times New Roman" w:eastAsia="Times New Roman" w:hAnsi="Times New Roman"/>
          <w:sz w:val="17"/>
          <w:szCs w:val="17"/>
          <w:color w:val="auto"/>
        </w:rPr>
        <w:t>As of December 31, 2005, the Company had available for tax purposes unused net operating loss carry-forwards of $404.8 million which will expire in various years from 2006 to 2025. The Company’s research and experimental tax credit carry-forwards expire in various years from 2006 to 2025.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83" w:lineRule="exact"/>
        <w:rPr>
          <w:sz w:val="20"/>
          <w:szCs w:val="20"/>
          <w:color w:val="auto"/>
        </w:rPr>
      </w:pPr>
    </w:p>
    <w:p>
      <w:pPr>
        <w:ind w:left="1180" w:hanging="495"/>
        <w:spacing w:after="0"/>
        <w:tabs>
          <w:tab w:leader="none" w:pos="118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Matters</w:t>
      </w:r>
    </w:p>
    <w:p>
      <w:pPr>
        <w:spacing w:after="0" w:line="119" w:lineRule="exact"/>
        <w:rPr>
          <w:sz w:val="20"/>
          <w:szCs w:val="20"/>
          <w:color w:val="auto"/>
        </w:rPr>
      </w:pPr>
    </w:p>
    <w:p>
      <w:pPr>
        <w:ind w:left="680" w:right="160" w:firstLine="398"/>
        <w:spacing w:after="0" w:line="269" w:lineRule="auto"/>
        <w:rPr>
          <w:sz w:val="20"/>
          <w:szCs w:val="20"/>
          <w:color w:val="auto"/>
        </w:rPr>
      </w:pPr>
      <w:r>
        <w:rPr>
          <w:rFonts w:ascii="Times New Roman" w:cs="Times New Roman" w:eastAsia="Times New Roman" w:hAnsi="Times New Roman"/>
          <w:sz w:val="16"/>
          <w:szCs w:val="16"/>
          <w:color w:val="auto"/>
        </w:rPr>
        <w:t>In May 2003, securities class action lawsuits were commenced against Regeneron and certain of the Company’s officers and directors in the United States District Court for the Southern District of New York. A consolidated amended class action complaint was filed in October 2003. The complaint, which was purported to be brought on behalf of a class consisting of investors in the Company’s publicly traded securities between March 28, 2000 and March 30, 2003, alleged that the defendants misstated or omitted material information concerning the safety and efficacy of AXOKINE, in violation of Sections 10(b) and 20(a) of the Securities and Exchange Act of 1934 and Rule 10b-5 promulgated thereunder.</w:t>
      </w:r>
    </w:p>
    <w:p>
      <w:pPr>
        <w:spacing w:after="0" w:line="75" w:lineRule="exact"/>
        <w:rPr>
          <w:sz w:val="20"/>
          <w:szCs w:val="20"/>
          <w:color w:val="auto"/>
        </w:rPr>
      </w:pPr>
    </w:p>
    <w:p>
      <w:pPr>
        <w:ind w:left="680" w:firstLine="398"/>
        <w:spacing w:after="0" w:line="248" w:lineRule="auto"/>
        <w:rPr>
          <w:sz w:val="20"/>
          <w:szCs w:val="20"/>
          <w:color w:val="auto"/>
        </w:rPr>
      </w:pPr>
      <w:r>
        <w:rPr>
          <w:rFonts w:ascii="Times New Roman" w:cs="Times New Roman" w:eastAsia="Times New Roman" w:hAnsi="Times New Roman"/>
          <w:sz w:val="17"/>
          <w:szCs w:val="17"/>
          <w:color w:val="auto"/>
        </w:rPr>
        <w:t>On November 14, 2005, the United States District Court for the Southern District of New York approved the terms of a settlement between plaintiffs and the Company settling all claims against the Company in this lawsuit. The settlement requires no payment by the Company or any of the individual defendants named in the lawsuit. The Company’s primary insurance carrier agreed to make the required payment under the settlement, the amount of which is immaterial to the Company. The settlement includes no admission of wrongdoing by the Company or any of the individual defendants. Separately, the plaintiffs and the individual defendants named in the lawsuit entered into a Stipulation of Voluntary Dismissal, which dismissed all claims against the individuals with prejudice.</w:t>
      </w:r>
    </w:p>
    <w:p>
      <w:pPr>
        <w:spacing w:after="0" w:line="92" w:lineRule="exact"/>
        <w:rPr>
          <w:sz w:val="20"/>
          <w:szCs w:val="20"/>
          <w:color w:val="auto"/>
        </w:rPr>
      </w:pPr>
    </w:p>
    <w:p>
      <w:pPr>
        <w:ind w:left="680" w:right="120" w:firstLine="398"/>
        <w:spacing w:after="0" w:line="268" w:lineRule="auto"/>
        <w:rPr>
          <w:sz w:val="20"/>
          <w:szCs w:val="20"/>
          <w:color w:val="auto"/>
        </w:rPr>
      </w:pPr>
      <w:r>
        <w:rPr>
          <w:rFonts w:ascii="Times New Roman" w:cs="Times New Roman" w:eastAsia="Times New Roman" w:hAnsi="Times New Roman"/>
          <w:sz w:val="17"/>
          <w:szCs w:val="17"/>
          <w:color w:val="auto"/>
        </w:rPr>
        <w:t>From time to time, the Company is a party to other legal proceedings in the course of the Company’s business. The Company does not expect any such other current legal proceedings to have a material adverse effect on the Company’s business or financial condition.</w:t>
      </w:r>
    </w:p>
    <w:p>
      <w:pPr>
        <w:spacing w:after="0" w:line="168" w:lineRule="exact"/>
        <w:rPr>
          <w:sz w:val="20"/>
          <w:szCs w:val="20"/>
          <w:color w:val="auto"/>
        </w:rPr>
      </w:pPr>
    </w:p>
    <w:p>
      <w:pPr>
        <w:ind w:left="1180" w:hanging="495"/>
        <w:spacing w:after="0"/>
        <w:tabs>
          <w:tab w:leader="none" w:pos="118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Income (Loss) Per Share</w:t>
      </w:r>
    </w:p>
    <w:p>
      <w:pPr>
        <w:spacing w:after="0" w:line="119" w:lineRule="exact"/>
        <w:rPr>
          <w:sz w:val="20"/>
          <w:szCs w:val="20"/>
          <w:color w:val="auto"/>
        </w:rPr>
      </w:pPr>
    </w:p>
    <w:p>
      <w:pPr>
        <w:ind w:left="680" w:right="40" w:firstLine="398"/>
        <w:spacing w:after="0" w:line="252" w:lineRule="auto"/>
        <w:rPr>
          <w:sz w:val="20"/>
          <w:szCs w:val="20"/>
          <w:color w:val="auto"/>
        </w:rPr>
      </w:pPr>
      <w:r>
        <w:rPr>
          <w:rFonts w:ascii="Times New Roman" w:cs="Times New Roman" w:eastAsia="Times New Roman" w:hAnsi="Times New Roman"/>
          <w:sz w:val="17"/>
          <w:szCs w:val="17"/>
          <w:color w:val="auto"/>
        </w:rPr>
        <w:t>The Company’s basic net income (loss) per share amounts have been computed by dividing net income (loss) by the weighted average number of Common and Class A shares outstanding. The diluted net income per share is based upon the weighted average number of shares of Common Stock and Class A Stock and the common stock equivalents outstanding when dilutive. In 2005 and 2003, the Company reported net losses and, therefore, no</w:t>
      </w: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580"/>
          </w:cols>
          <w:pgMar w:left="240" w:top="393" w:right="1079" w:bottom="1440" w:gutter="0" w:footer="0" w:header="0"/>
        </w:sectPr>
      </w:pPr>
    </w:p>
    <w:bookmarkStart w:id="85" w:name="page86"/>
    <w:bookmarkEnd w:id="8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297" w:lineRule="exact"/>
        <w:rPr>
          <w:sz w:val="20"/>
          <w:szCs w:val="20"/>
          <w:color w:val="auto"/>
        </w:rPr>
      </w:pPr>
    </w:p>
    <w:p>
      <w:pPr>
        <w:ind w:left="680" w:right="380"/>
        <w:spacing w:after="0" w:line="268" w:lineRule="auto"/>
        <w:rPr>
          <w:sz w:val="20"/>
          <w:szCs w:val="20"/>
          <w:color w:val="auto"/>
        </w:rPr>
      </w:pPr>
      <w:r>
        <w:rPr>
          <w:rFonts w:ascii="Times New Roman" w:cs="Times New Roman" w:eastAsia="Times New Roman" w:hAnsi="Times New Roman"/>
          <w:sz w:val="17"/>
          <w:szCs w:val="17"/>
          <w:color w:val="auto"/>
        </w:rPr>
        <w:t>common stock equivalents were included in the computation of diluted net loss per share since such inclusion would have been antidilutive. The calculations of basic and diluted net loss per share are as follows:</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2005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9"/>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1"/>
                <w:szCs w:val="11"/>
                <w:color w:val="auto"/>
              </w:rPr>
            </w:pPr>
          </w:p>
        </w:tc>
      </w:tr>
      <w:tr>
        <w:trPr>
          <w:trHeight w:val="42"/>
        </w:trPr>
        <w:tc>
          <w:tcPr>
            <w:tcW w:w="6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(Numerator)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(95,446)</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41,699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(107,458)</w:t>
            </w:r>
          </w:p>
        </w:tc>
      </w:tr>
      <w:tr>
        <w:trPr>
          <w:trHeight w:val="199"/>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Shares, in thousands (Denominator):</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Weighted-average shares for basic per share calculations</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55,950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55,419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50,490</w:t>
            </w:r>
          </w:p>
        </w:tc>
      </w:tr>
      <w:tr>
        <w:trPr>
          <w:trHeight w:val="199"/>
        </w:trPr>
        <w:tc>
          <w:tcPr>
            <w:tcW w:w="6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Effect of stock options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711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Effect of restricted stock awards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Adjusted weighted-average shares for diluted per share calculations</w:t>
            </w: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56,172</w:t>
            </w:r>
          </w:p>
        </w:tc>
        <w:tc>
          <w:tcPr>
            <w:tcW w:w="4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50,490</w:t>
            </w:r>
          </w:p>
        </w:tc>
        <w:tc>
          <w:tcPr>
            <w:tcW w:w="100" w:type="dxa"/>
            <w:vAlign w:val="bottom"/>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6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net income (loss) per share</w:t>
            </w: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7"/>
                <w:szCs w:val="17"/>
                <w:color w:val="auto"/>
              </w:rPr>
              <w:t>(1.71)</w:t>
            </w:r>
          </w:p>
        </w:tc>
        <w:tc>
          <w:tcPr>
            <w:tcW w:w="30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80"/>
              <w:spacing w:after="0" w:line="189" w:lineRule="exact"/>
              <w:rPr>
                <w:sz w:val="20"/>
                <w:szCs w:val="20"/>
                <w:color w:val="auto"/>
              </w:rPr>
            </w:pPr>
            <w:r>
              <w:rPr>
                <w:rFonts w:ascii="Times New Roman" w:cs="Times New Roman" w:eastAsia="Times New Roman" w:hAnsi="Times New Roman"/>
                <w:sz w:val="17"/>
                <w:szCs w:val="17"/>
                <w:color w:val="auto"/>
              </w:rPr>
              <w:t>0.75</w:t>
            </w:r>
          </w:p>
        </w:tc>
        <w:tc>
          <w:tcPr>
            <w:tcW w:w="1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(2.13)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0.74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(2.13)</w:t>
            </w:r>
          </w:p>
        </w:tc>
      </w:tr>
    </w:tbl>
    <w:p>
      <w:pPr>
        <w:spacing w:after="0" w:line="79" w:lineRule="exact"/>
        <w:rPr>
          <w:sz w:val="20"/>
          <w:szCs w:val="20"/>
          <w:color w:val="auto"/>
        </w:rPr>
      </w:pPr>
    </w:p>
    <w:p>
      <w:pPr>
        <w:ind w:left="680" w:right="200" w:firstLine="398"/>
        <w:spacing w:after="0" w:line="268" w:lineRule="auto"/>
        <w:rPr>
          <w:sz w:val="20"/>
          <w:szCs w:val="20"/>
          <w:color w:val="auto"/>
        </w:rPr>
      </w:pPr>
      <w:r>
        <w:rPr>
          <w:rFonts w:ascii="Times New Roman" w:cs="Times New Roman" w:eastAsia="Times New Roman" w:hAnsi="Times New Roman"/>
          <w:sz w:val="17"/>
          <w:szCs w:val="17"/>
          <w:color w:val="auto"/>
        </w:rPr>
        <w:t>Shares issuable upon the exercise of options and warrants, vesting of restricted stock awards, and conversion of convertible debt, which have been excluded from the diluted per share amounts because their effect would have been antidilutive, include the following:</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7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7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2005</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2004</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1"/>
                <w:szCs w:val="11"/>
                <w:color w:val="auto"/>
              </w:rPr>
            </w:pPr>
          </w:p>
        </w:tc>
      </w:tr>
      <w:tr>
        <w:trPr>
          <w:trHeight w:val="42"/>
        </w:trPr>
        <w:tc>
          <w:tcPr>
            <w:tcW w:w="7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9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and Warrants: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 average number, in thousands</w:t>
            </w: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8"/>
              </w:rPr>
              <w:t>13,299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8"/>
              </w:rPr>
              <w:t>10,110</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11,299</w:t>
            </w:r>
          </w:p>
        </w:tc>
      </w:tr>
      <w:tr>
        <w:trPr>
          <w:trHeight w:val="19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exercise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14.59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23.82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22.07</w:t>
            </w:r>
          </w:p>
        </w:tc>
      </w:tr>
      <w:tr>
        <w:trPr>
          <w:trHeight w:val="199"/>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number, in thousands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w:t>
            </w:r>
          </w:p>
        </w:tc>
      </w:tr>
      <w:tr>
        <w:trPr>
          <w:trHeight w:val="199"/>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Debt: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number, in thousands</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6,611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6,611</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6,611</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Conversion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30.25</w:t>
            </w:r>
          </w:p>
        </w:tc>
      </w:tr>
    </w:tbl>
    <w:p>
      <w:pPr>
        <w:spacing w:after="0" w:line="79" w:lineRule="exact"/>
        <w:rPr>
          <w:sz w:val="20"/>
          <w:szCs w:val="20"/>
          <w:color w:val="auto"/>
        </w:rPr>
      </w:pPr>
    </w:p>
    <w:p>
      <w:pPr>
        <w:jc w:val="both"/>
        <w:ind w:left="680" w:right="20" w:firstLine="398"/>
        <w:spacing w:after="0" w:line="256" w:lineRule="auto"/>
        <w:rPr>
          <w:sz w:val="20"/>
          <w:szCs w:val="20"/>
          <w:color w:val="auto"/>
        </w:rPr>
      </w:pPr>
      <w:r>
        <w:rPr>
          <w:rFonts w:ascii="Times New Roman" w:cs="Times New Roman" w:eastAsia="Times New Roman" w:hAnsi="Times New Roman"/>
          <w:sz w:val="17"/>
          <w:szCs w:val="17"/>
          <w:color w:val="auto"/>
        </w:rPr>
        <w:t>In connection with the Company’s stock option exchange program (see Note 14a), on January 5, 2005, eligible employees elected to exchange options with a total of 3,665,819 underlying shares of Common Stock, and the Company issued 1,997,840 replacement options with an exercise price of $8.50 per share.</w:t>
      </w:r>
    </w:p>
    <w:p>
      <w:pPr>
        <w:spacing w:after="0" w:line="178" w:lineRule="exact"/>
        <w:rPr>
          <w:sz w:val="20"/>
          <w:szCs w:val="20"/>
          <w:color w:val="auto"/>
        </w:rPr>
      </w:pPr>
    </w:p>
    <w:p>
      <w:pPr>
        <w:ind w:left="1180" w:hanging="495"/>
        <w:spacing w:after="0"/>
        <w:tabs>
          <w:tab w:leader="none" w:pos="118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Company’s operations are managed in two business segments: research and development, and contract manufacturing.</w:t>
      </w:r>
    </w:p>
    <w:p>
      <w:pPr>
        <w:spacing w:after="0" w:line="113" w:lineRule="exact"/>
        <w:rPr>
          <w:sz w:val="20"/>
          <w:szCs w:val="20"/>
          <w:color w:val="auto"/>
        </w:rPr>
      </w:pPr>
    </w:p>
    <w:p>
      <w:pPr>
        <w:ind w:left="680" w:right="80" w:firstLine="398"/>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Includes all activities related to the discovery of pharmaceutical products for the treatment of serious medical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and the development and commercialization of these discoveries. Also includes revenues and expenses related to (i) the development of manufacturing processes prior to commencing commercial production of a product under contract manufacturing arrangements and (ii) the supply of specified, ordered research materials using Regeneron-developed proprietary technology (see Note 12).</w:t>
      </w:r>
    </w:p>
    <w:p>
      <w:pPr>
        <w:spacing w:after="0" w:line="83" w:lineRule="exact"/>
        <w:rPr>
          <w:sz w:val="20"/>
          <w:szCs w:val="20"/>
          <w:color w:val="auto"/>
        </w:rPr>
      </w:pPr>
    </w:p>
    <w:p>
      <w:pPr>
        <w:ind w:left="680" w:right="160" w:firstLine="398"/>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Contract manufacturing: </w:t>
      </w:r>
      <w:r>
        <w:rPr>
          <w:rFonts w:ascii="Times New Roman" w:cs="Times New Roman" w:eastAsia="Times New Roman" w:hAnsi="Times New Roman"/>
          <w:sz w:val="17"/>
          <w:szCs w:val="17"/>
          <w:color w:val="auto"/>
        </w:rPr>
        <w:t>Includes all revenues and expenses related to the commercial production of products under contract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During 2005, 2004, and 2003, the Company produced Intermediate under the Merck Agreement (see Note 13).</w:t>
      </w:r>
    </w:p>
    <w:p>
      <w:pPr>
        <w:spacing w:after="0" w:line="3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86" w:name="page87"/>
    <w:bookmarkEnd w:id="8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The tables below present information about reported segments for the years ended December 31, 2005, 2004, and 2003:</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Research &amp;</w:t>
            </w:r>
          </w:p>
        </w:tc>
        <w:tc>
          <w:tcPr>
            <w:tcW w:w="100" w:type="dxa"/>
            <w:vAlign w:val="bottom"/>
          </w:tcPr>
          <w:p>
            <w:pPr>
              <w:spacing w:after="0"/>
              <w:rPr>
                <w:sz w:val="12"/>
                <w:szCs w:val="12"/>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Contract</w:t>
            </w: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Reconciling</w:t>
            </w:r>
          </w:p>
        </w:tc>
        <w:tc>
          <w:tcPr>
            <w:tcW w:w="16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12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100" w:type="dxa"/>
            <w:vAlign w:val="bottom"/>
          </w:tcPr>
          <w:p>
            <w:pPr>
              <w:spacing w:after="0"/>
              <w:rPr>
                <w:sz w:val="13"/>
                <w:szCs w:val="13"/>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160" w:type="dxa"/>
            <w:vAlign w:val="bottom"/>
          </w:tcPr>
          <w:p>
            <w:pPr>
              <w:spacing w:after="0"/>
              <w:rPr>
                <w:sz w:val="13"/>
                <w:szCs w:val="13"/>
                <w:color w:val="auto"/>
              </w:rPr>
            </w:pP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Items</w:t>
            </w: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8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2005: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52,447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13,746</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66,193</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14,461</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1,043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15,504</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21,492</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367</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21,859</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12,046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12,046</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Other contract income</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30,640</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30,640</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(97,970)</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4,189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(1,665)(2)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(95,446)</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4,667</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4,667</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95,645</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4,315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323,541(3)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423,501</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155,927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18,090</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174,017</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14,319</w:t>
            </w:r>
          </w:p>
        </w:tc>
        <w:tc>
          <w:tcPr>
            <w:tcW w:w="100" w:type="dxa"/>
            <w:vAlign w:val="bottom"/>
          </w:tcPr>
          <w:p>
            <w:pPr>
              <w:spacing w:after="0"/>
              <w:rPr>
                <w:sz w:val="17"/>
                <w:szCs w:val="17"/>
                <w:color w:val="auto"/>
              </w:rPr>
            </w:pPr>
          </w:p>
        </w:tc>
        <w:tc>
          <w:tcPr>
            <w:tcW w:w="14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1,043</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15,362</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2,543</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2,543</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12,049</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12,175</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contract income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42,750</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42,750</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45,395</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2,876</w:t>
            </w:r>
          </w:p>
        </w:tc>
        <w:tc>
          <w:tcPr>
            <w:tcW w:w="1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(6,572)(2)</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41,699</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5,972</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5,972</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111,038</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6,532</w:t>
            </w:r>
          </w:p>
        </w:tc>
        <w:tc>
          <w:tcPr>
            <w:tcW w:w="16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355,538(3)</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473,108</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2003: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47,366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10,131</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57,497</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11,894</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1,043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12,937</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2,562</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2,562</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11,771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11,932</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(103,604)</w:t>
            </w:r>
          </w:p>
        </w:tc>
        <w:tc>
          <w:tcPr>
            <w:tcW w:w="100" w:type="dxa"/>
            <w:vAlign w:val="bottom"/>
          </w:tcPr>
          <w:p>
            <w:pPr>
              <w:spacing w:after="0"/>
              <w:rPr>
                <w:sz w:val="17"/>
                <w:szCs w:val="17"/>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3,455</w:t>
            </w:r>
          </w:p>
        </w:tc>
        <w:tc>
          <w:tcPr>
            <w:tcW w:w="16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(7,309)(2)</w:t>
            </w:r>
          </w:p>
        </w:tc>
        <w:tc>
          <w:tcPr>
            <w:tcW w:w="1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(107,458)</w:t>
            </w:r>
          </w:p>
        </w:tc>
        <w:tc>
          <w:tcPr>
            <w:tcW w:w="0" w:type="dxa"/>
            <w:vAlign w:val="bottom"/>
          </w:tcPr>
          <w:p>
            <w:pPr>
              <w:spacing w:after="0"/>
              <w:rPr>
                <w:sz w:val="1"/>
                <w:szCs w:val="1"/>
                <w:color w:val="auto"/>
              </w:rPr>
            </w:pPr>
          </w:p>
        </w:tc>
      </w:tr>
      <w:tr>
        <w:trPr>
          <w:trHeight w:val="19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16,944</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16,944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92,369</w:t>
            </w:r>
          </w:p>
        </w:tc>
        <w:tc>
          <w:tcPr>
            <w:tcW w:w="1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12,889</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374,297(3)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479,555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67945</wp:posOffset>
            </wp:positionV>
            <wp:extent cx="82042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0420" cy="7620"/>
                    </a:xfrm>
                    <a:prstGeom prst="rect">
                      <a:avLst/>
                    </a:prstGeom>
                    <a:noFill/>
                  </pic:spPr>
                </pic:pic>
              </a:graphicData>
            </a:graphic>
          </wp:anchor>
        </w:drawing>
      </w:r>
    </w:p>
    <w:p>
      <w:pPr>
        <w:spacing w:after="0" w:line="146" w:lineRule="exact"/>
        <w:rPr>
          <w:sz w:val="20"/>
          <w:szCs w:val="20"/>
          <w:color w:val="auto"/>
        </w:rPr>
      </w:pPr>
    </w:p>
    <w:p>
      <w:pPr>
        <w:ind w:left="980" w:right="280" w:hanging="295"/>
        <w:spacing w:after="0" w:line="268" w:lineRule="auto"/>
        <w:tabs>
          <w:tab w:leader="none" w:pos="9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related to contract manufacturing is capitalized into inventory and included in contract manufacturing expense when the product is shipped.</w:t>
      </w:r>
    </w:p>
    <w:p>
      <w:pPr>
        <w:spacing w:after="0" w:line="10" w:lineRule="exact"/>
        <w:rPr>
          <w:rFonts w:ascii="Times New Roman" w:cs="Times New Roman" w:eastAsia="Times New Roman" w:hAnsi="Times New Roman"/>
          <w:sz w:val="17"/>
          <w:szCs w:val="17"/>
          <w:color w:val="auto"/>
        </w:rPr>
      </w:pPr>
    </w:p>
    <w:p>
      <w:pPr>
        <w:ind w:left="980" w:hanging="295"/>
        <w:spacing w:after="0"/>
        <w:tabs>
          <w:tab w:leader="none" w:pos="9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investment income net of interest expense related to convertible notes issued in October 2001 (see Note 11d).</w:t>
      </w:r>
    </w:p>
    <w:p>
      <w:pPr>
        <w:spacing w:after="0" w:line="52" w:lineRule="exact"/>
        <w:rPr>
          <w:rFonts w:ascii="Times New Roman" w:cs="Times New Roman" w:eastAsia="Times New Roman" w:hAnsi="Times New Roman"/>
          <w:sz w:val="17"/>
          <w:szCs w:val="17"/>
          <w:color w:val="auto"/>
        </w:rPr>
      </w:pPr>
    </w:p>
    <w:p>
      <w:pPr>
        <w:ind w:left="980" w:right="40" w:hanging="295"/>
        <w:spacing w:after="0" w:line="268" w:lineRule="auto"/>
        <w:tabs>
          <w:tab w:leader="none" w:pos="9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cash and cash equivalents, marketable securities, restricted marketable securities (where applicable), prepaid expenses and other current assets, and other assets.</w:t>
      </w: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20"/>
          </w:cols>
          <w:pgMar w:left="240" w:top="393" w:right="1039" w:bottom="1440" w:gutter="0" w:footer="0" w:header="0"/>
        </w:sectPr>
      </w:pPr>
    </w:p>
    <w:bookmarkStart w:id="87" w:name="page88"/>
    <w:bookmarkEnd w:id="8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3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REGENERON PHARMACEUTICALS, INC.</w:t>
      </w:r>
    </w:p>
    <w:p>
      <w:pPr>
        <w:spacing w:after="0" w:line="1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NOTES TO FINANCIAL STATEMENTS — (Continued)</w:t>
      </w:r>
    </w:p>
    <w:p>
      <w:pPr>
        <w:spacing w:after="0" w:line="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(Unless otherwise noted, dollars in thousands, except per share data)</w:t>
      </w:r>
    </w:p>
    <w:p>
      <w:pPr>
        <w:spacing w:after="0" w:line="306" w:lineRule="exact"/>
        <w:rPr>
          <w:sz w:val="20"/>
          <w:szCs w:val="20"/>
          <w:color w:val="auto"/>
        </w:rPr>
      </w:pPr>
    </w:p>
    <w:p>
      <w:pPr>
        <w:ind w:left="1180" w:hanging="495"/>
        <w:spacing w:after="0"/>
        <w:tabs>
          <w:tab w:leader="none" w:pos="118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Unaudited Quarterly Results</w:t>
      </w:r>
    </w:p>
    <w:p>
      <w:pPr>
        <w:spacing w:after="0" w:line="11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Summarized quarterly financial data for the years ended December 31, 2005 and 2004 are set forth in the following tables.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120" w:type="dxa"/>
            <w:vAlign w:val="bottom"/>
          </w:tcPr>
          <w:p>
            <w:pPr>
              <w:spacing w:after="0"/>
              <w:rPr>
                <w:sz w:val="12"/>
                <w:szCs w:val="12"/>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Second Quarter</w:t>
            </w:r>
          </w:p>
        </w:tc>
        <w:tc>
          <w:tcPr>
            <w:tcW w:w="120" w:type="dxa"/>
            <w:vAlign w:val="bottom"/>
          </w:tcPr>
          <w:p>
            <w:pPr>
              <w:spacing w:after="0"/>
              <w:rPr>
                <w:sz w:val="12"/>
                <w:szCs w:val="12"/>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Third Quarter</w:t>
            </w:r>
          </w:p>
        </w:tc>
        <w:tc>
          <w:tcPr>
            <w:tcW w:w="14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Fourth Quarter</w:t>
            </w:r>
          </w:p>
        </w:tc>
        <w:tc>
          <w:tcPr>
            <w:tcW w:w="800" w:type="dxa"/>
            <w:vAlign w:val="bottom"/>
          </w:tcPr>
          <w:p>
            <w:pPr>
              <w:spacing w:after="0"/>
              <w:rPr>
                <w:sz w:val="12"/>
                <w:szCs w:val="12"/>
                <w:color w:val="auto"/>
              </w:rPr>
            </w:pPr>
          </w:p>
        </w:tc>
      </w:tr>
      <w:tr>
        <w:trPr>
          <w:trHeight w:val="137"/>
        </w:trPr>
        <w:tc>
          <w:tcPr>
            <w:tcW w:w="6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8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20" w:type="dxa"/>
            <w:vAlign w:val="bottom"/>
          </w:tcPr>
          <w:p>
            <w:pPr>
              <w:spacing w:after="0"/>
              <w:rPr>
                <w:sz w:val="11"/>
                <w:szCs w:val="11"/>
                <w:color w:val="auto"/>
              </w:rPr>
            </w:pPr>
          </w:p>
        </w:tc>
        <w:tc>
          <w:tcPr>
            <w:tcW w:w="148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120" w:type="dxa"/>
            <w:vAlign w:val="bottom"/>
          </w:tcPr>
          <w:p>
            <w:pPr>
              <w:spacing w:after="0"/>
              <w:rPr>
                <w:sz w:val="11"/>
                <w:szCs w:val="11"/>
                <w:color w:val="auto"/>
              </w:rPr>
            </w:pPr>
          </w:p>
        </w:tc>
        <w:tc>
          <w:tcPr>
            <w:tcW w:w="13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1"/>
                <w:szCs w:val="11"/>
                <w:color w:val="auto"/>
              </w:rPr>
            </w:pPr>
          </w:p>
        </w:tc>
        <w:tc>
          <w:tcPr>
            <w:tcW w:w="148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Pr>
          <w:p>
            <w:pPr>
              <w:spacing w:after="0"/>
              <w:rPr>
                <w:sz w:val="11"/>
                <w:szCs w:val="11"/>
                <w:color w:val="auto"/>
              </w:rPr>
            </w:pPr>
          </w:p>
        </w:tc>
        <w:tc>
          <w:tcPr>
            <w:tcW w:w="13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2005</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2005</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2005</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2005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3"/>
        </w:trPr>
        <w:tc>
          <w:tcPr>
            <w:tcW w:w="6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5"/>
        </w:trPr>
        <w:tc>
          <w:tcPr>
            <w:tcW w:w="68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16,209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16,366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16,194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17,424</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(4,123)</w:t>
            </w:r>
          </w:p>
        </w:tc>
        <w:tc>
          <w:tcPr>
            <w:tcW w:w="1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(26,999)</w:t>
            </w:r>
          </w:p>
        </w:tc>
        <w:tc>
          <w:tcPr>
            <w:tcW w:w="12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(34,652)</w:t>
            </w:r>
          </w:p>
        </w:tc>
        <w:tc>
          <w:tcPr>
            <w:tcW w:w="1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(29,672)</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(0.53)</w:t>
            </w:r>
          </w:p>
        </w:tc>
        <w:tc>
          <w:tcPr>
            <w:tcW w:w="800" w:type="dxa"/>
            <w:vAlign w:val="bottom"/>
          </w:tcPr>
          <w:p>
            <w:pPr>
              <w:spacing w:after="0"/>
              <w:rPr>
                <w:sz w:val="17"/>
                <w:szCs w:val="17"/>
                <w:color w:val="auto"/>
              </w:rPr>
            </w:pPr>
          </w:p>
        </w:tc>
      </w:tr>
      <w:tr>
        <w:trPr>
          <w:trHeight w:val="338"/>
        </w:trPr>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First Quarter</w:t>
            </w:r>
          </w:p>
        </w:tc>
        <w:tc>
          <w:tcPr>
            <w:tcW w:w="12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Second Quarter</w:t>
            </w:r>
          </w:p>
        </w:tc>
        <w:tc>
          <w:tcPr>
            <w:tcW w:w="120" w:type="dxa"/>
            <w:vAlign w:val="bottom"/>
          </w:tcPr>
          <w:p>
            <w:pPr>
              <w:spacing w:after="0"/>
              <w:rPr>
                <w:sz w:val="24"/>
                <w:szCs w:val="24"/>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Third Quarter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Fourth Quarter</w:t>
            </w:r>
          </w:p>
        </w:tc>
        <w:tc>
          <w:tcPr>
            <w:tcW w:w="800" w:type="dxa"/>
            <w:vAlign w:val="bottom"/>
          </w:tcPr>
          <w:p>
            <w:pPr>
              <w:spacing w:after="0"/>
              <w:rPr>
                <w:sz w:val="24"/>
                <w:szCs w:val="24"/>
                <w:color w:val="auto"/>
              </w:rPr>
            </w:pPr>
          </w:p>
        </w:tc>
      </w:tr>
      <w:tr>
        <w:trPr>
          <w:trHeight w:val="137"/>
        </w:trPr>
        <w:tc>
          <w:tcPr>
            <w:tcW w:w="6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80"/>
              <w:spacing w:after="0" w:line="137"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20" w:type="dxa"/>
            <w:vAlign w:val="bottom"/>
          </w:tcPr>
          <w:p>
            <w:pPr>
              <w:spacing w:after="0"/>
              <w:rPr>
                <w:sz w:val="11"/>
                <w:szCs w:val="11"/>
                <w:color w:val="auto"/>
              </w:rPr>
            </w:pPr>
          </w:p>
        </w:tc>
        <w:tc>
          <w:tcPr>
            <w:tcW w:w="148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120" w:type="dxa"/>
            <w:vAlign w:val="bottom"/>
          </w:tcPr>
          <w:p>
            <w:pPr>
              <w:spacing w:after="0"/>
              <w:rPr>
                <w:sz w:val="11"/>
                <w:szCs w:val="11"/>
                <w:color w:val="auto"/>
              </w:rPr>
            </w:pPr>
          </w:p>
        </w:tc>
        <w:tc>
          <w:tcPr>
            <w:tcW w:w="13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Ended</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1"/>
                <w:szCs w:val="11"/>
                <w:color w:val="auto"/>
              </w:rPr>
            </w:pPr>
          </w:p>
        </w:tc>
        <w:tc>
          <w:tcPr>
            <w:tcW w:w="148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120" w:type="dxa"/>
            <w:vAlign w:val="bottom"/>
          </w:tcPr>
          <w:p>
            <w:pPr>
              <w:spacing w:after="0"/>
              <w:rPr>
                <w:sz w:val="11"/>
                <w:szCs w:val="11"/>
                <w:color w:val="auto"/>
              </w:rPr>
            </w:pPr>
          </w:p>
        </w:tc>
        <w:tc>
          <w:tcPr>
            <w:tcW w:w="13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1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2004</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2004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3"/>
        </w:trPr>
        <w:tc>
          <w:tcPr>
            <w:tcW w:w="6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5"/>
        </w:trPr>
        <w:tc>
          <w:tcPr>
            <w:tcW w:w="68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61,990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28,418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36,519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47,090</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64,532</w:t>
            </w:r>
          </w:p>
        </w:tc>
        <w:tc>
          <w:tcPr>
            <w:tcW w:w="1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(14,549)</w:t>
            </w:r>
          </w:p>
        </w:tc>
        <w:tc>
          <w:tcPr>
            <w:tcW w:w="12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(11,076)</w:t>
            </w:r>
          </w:p>
        </w:tc>
        <w:tc>
          <w:tcPr>
            <w:tcW w:w="1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2,792</w:t>
            </w:r>
          </w:p>
        </w:tc>
        <w:tc>
          <w:tcPr>
            <w:tcW w:w="800" w:type="dxa"/>
            <w:vAlign w:val="bottom"/>
          </w:tcPr>
          <w:p>
            <w:pPr>
              <w:spacing w:after="0"/>
              <w:rPr>
                <w:sz w:val="17"/>
                <w:szCs w:val="17"/>
                <w:color w:val="auto"/>
              </w:rPr>
            </w:pPr>
          </w:p>
        </w:tc>
      </w:tr>
      <w:tr>
        <w:trPr>
          <w:trHeight w:val="199"/>
        </w:trPr>
        <w:tc>
          <w:tcPr>
            <w:tcW w:w="68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net income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0.05</w:t>
            </w:r>
          </w:p>
        </w:tc>
        <w:tc>
          <w:tcPr>
            <w:tcW w:w="800" w:type="dxa"/>
            <w:vAlign w:val="bottom"/>
          </w:tcPr>
          <w:p>
            <w:pPr>
              <w:spacing w:after="0"/>
              <w:rPr>
                <w:sz w:val="17"/>
                <w:szCs w:val="17"/>
                <w:color w:val="auto"/>
              </w:rPr>
            </w:pPr>
          </w:p>
        </w:tc>
      </w:tr>
      <w:tr>
        <w:trPr>
          <w:trHeight w:val="216"/>
        </w:trPr>
        <w:tc>
          <w:tcPr>
            <w:tcW w:w="6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(0.20)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0.05</w:t>
            </w:r>
          </w:p>
        </w:tc>
        <w:tc>
          <w:tcPr>
            <w:tcW w:w="800" w:type="dxa"/>
            <w:vAlign w:val="bottom"/>
          </w:tcPr>
          <w:p>
            <w:pPr>
              <w:spacing w:after="0"/>
              <w:rPr>
                <w:sz w:val="18"/>
                <w:szCs w:val="18"/>
                <w:color w:val="auto"/>
              </w:rPr>
            </w:pPr>
          </w:p>
        </w:tc>
      </w:tr>
      <w:tr>
        <w:trPr>
          <w:trHeight w:val="555"/>
        </w:trPr>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F-35</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7"/>
        </w:trPr>
        <w:tc>
          <w:tcPr>
            <w:tcW w:w="680" w:type="dxa"/>
            <w:vAlign w:val="bottom"/>
            <w:tcBorders>
              <w:bottom w:val="single" w:sz="8" w:color="808080"/>
            </w:tcBorders>
          </w:tcPr>
          <w:p>
            <w:pPr>
              <w:spacing w:after="0"/>
              <w:rPr>
                <w:sz w:val="18"/>
                <w:szCs w:val="18"/>
                <w:color w:val="auto"/>
              </w:rPr>
            </w:pPr>
          </w:p>
        </w:tc>
        <w:tc>
          <w:tcPr>
            <w:tcW w:w="4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88" w:name="page89"/>
    <w:bookmarkEnd w:id="8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900" w:type="dxa"/>
            <w:vAlign w:val="bottom"/>
          </w:tcPr>
          <w:p>
            <w:pPr>
              <w:ind w:left="250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238"/>
        </w:trPr>
        <w:tc>
          <w:tcPr>
            <w:tcW w:w="17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7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40" w:type="dxa"/>
            <w:vAlign w:val="bottom"/>
            <w:gridSpan w:val="3"/>
            <w:vMerge w:val="continue"/>
          </w:tcPr>
          <w:p>
            <w:pPr>
              <w:spacing w:after="0"/>
              <w:rPr>
                <w:sz w:val="14"/>
                <w:szCs w:val="14"/>
                <w:color w:val="auto"/>
              </w:rPr>
            </w:pPr>
          </w:p>
        </w:tc>
        <w:tc>
          <w:tcPr>
            <w:tcW w:w="8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Restated Certificate of Incorporation of Regeneron Pharmaceuticals, Inc. as of June 21, 1991.</w:t>
            </w:r>
          </w:p>
        </w:tc>
        <w:tc>
          <w:tcPr>
            <w:tcW w:w="0" w:type="dxa"/>
            <w:vAlign w:val="bottom"/>
          </w:tcPr>
          <w:p>
            <w:pPr>
              <w:spacing w:after="0"/>
              <w:rPr>
                <w:sz w:val="1"/>
                <w:szCs w:val="1"/>
                <w:color w:val="auto"/>
              </w:rPr>
            </w:pPr>
          </w:p>
        </w:tc>
      </w:tr>
      <w:tr>
        <w:trPr>
          <w:trHeight w:val="199"/>
        </w:trPr>
        <w:tc>
          <w:tcPr>
            <w:tcW w:w="1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3.1.1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Certificate of Amendment of the Restated Certificate of Incorporation of Regeneron Pharmaceuticals, Inc., as of</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October 18, 1996.</w:t>
            </w:r>
          </w:p>
        </w:tc>
        <w:tc>
          <w:tcPr>
            <w:tcW w:w="0" w:type="dxa"/>
            <w:vAlign w:val="bottom"/>
          </w:tcPr>
          <w:p>
            <w:pPr>
              <w:spacing w:after="0"/>
              <w:rPr>
                <w:sz w:val="1"/>
                <w:szCs w:val="1"/>
                <w:color w:val="auto"/>
              </w:rPr>
            </w:pPr>
          </w:p>
        </w:tc>
      </w:tr>
      <w:tr>
        <w:trPr>
          <w:trHeight w:val="199"/>
        </w:trPr>
        <w:tc>
          <w:tcPr>
            <w:tcW w:w="1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3.1.2</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Certificate of Amendment of the Certificate of Incorporation of Regeneron Pharmaceuticals, Inc., as of December 17,</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2001.</w:t>
            </w:r>
          </w:p>
        </w:tc>
        <w:tc>
          <w:tcPr>
            <w:tcW w:w="0" w:type="dxa"/>
            <w:vAlign w:val="bottom"/>
          </w:tcPr>
          <w:p>
            <w:pPr>
              <w:spacing w:after="0"/>
              <w:rPr>
                <w:sz w:val="1"/>
                <w:szCs w:val="1"/>
                <w:color w:val="auto"/>
              </w:rPr>
            </w:pPr>
          </w:p>
        </w:tc>
      </w:tr>
      <w:tr>
        <w:trPr>
          <w:trHeight w:val="199"/>
        </w:trPr>
        <w:tc>
          <w:tcPr>
            <w:tcW w:w="17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By-Laws of the Company, currently in effect (amended through November 12, 2004).</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1990 Amended and Restated Long-Term Incentive Plan.</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10.2</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2000 Long-Term Incentive Plan.</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1 to 2000 Long-Term Incentive Plan, effective as of June 14, 2002.</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10.3.2</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2 to 2000 Long-Term Incentive Plan, effective as of December 20, 2002.</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10.3.3</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3 to 2000 Long-Term Incentive Plan, effective as of June 14, 2004.</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10.3.4</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4 to 2000 Long-Term Incentive Plan, effective as of November 15, 2004.</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10.3.5</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option agreement and related notice of grant for use in connection with the grant of options to the Registrant’s</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non-employee directors and named executive officers.</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10.3.6</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option agreement and related notice of grant for use in connection with the grant of options to the Registrant’s</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executive officers other than the named executive officers.</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10.3.7</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restricted stock award agreement and related notice of grant for use in connection with the grant of restricted</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 awards to the Registrant’s executive officers.</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Manufacturing Agreement dated as of September 18, 1995, between the Company and Merck &amp; Co., Inc.</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10.4.1*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1 to the Manufacturing Agreement between the Company and Merck &amp; Co., Inc., effective as of</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September 18, 1995.</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10.4.2*</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2 to the Manufacturing Agreement between the Company and Merck &amp; Co., Inc., effective as of</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October 24, 1996.</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10.4.3*</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3 to the Manufacturing Agreement between the Company and Merck &amp; Co., Inc., effective as of</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December 9, 1999.</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10.4.4*</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4 to the Manufacturing Agreement between the Company and Merck &amp; Co., Inc., effective as of</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July 18, 2002.</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10.4.5*</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5 to the Manufacturing Agreement between the Company and Merck &amp; Co., Inc., effective as of</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2005.</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10.5</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Rights Agreement, dated as of September 20, 1996, between Regeneron Pharmaceuticals, Inc. and Chase Mellon</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Shareholder Services LLC, as Rights Agent, including the form of Rights Certificate as Exhibit B thereto.</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10.6</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Employment Agreement, dated as of December 20, 2002, between the Company and Leonard S. Schleifer, M.D., Ph.D.</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10.7*</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Employment Agreement, dated as of December 31, 1998, between the Company and P. Roy Vagelos, M.D.</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10.8</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Regeneron Pharmaceuticals, Inc. Change in Control Severance Plan, effective as of February 1, 2006.</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10.9</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Indenture, dated as of October 17, 2001, between Regeneron Pharmaceuticals, Inc. and American Stock Transfer &amp; Trust</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Company, as trustee.</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10.10</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Registration Rights Agreement, dated as of October 17, 2001, among Regeneron Pharmaceuticals, Inc., Merrill Lynch &amp;</w:t>
            </w:r>
          </w:p>
        </w:tc>
        <w:tc>
          <w:tcPr>
            <w:tcW w:w="0" w:type="dxa"/>
            <w:vAlign w:val="bottom"/>
          </w:tcPr>
          <w:p>
            <w:pPr>
              <w:spacing w:after="0"/>
              <w:rPr>
                <w:sz w:val="1"/>
                <w:szCs w:val="1"/>
                <w:color w:val="auto"/>
              </w:rPr>
            </w:pPr>
          </w:p>
        </w:tc>
      </w:tr>
      <w:tr>
        <w:trPr>
          <w:trHeight w:val="199"/>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 Merrill Lynch, Pierce, Fenner &amp; Smith Incorporated, and Robertson Stephens, Inc.</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10.11*</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IL-1 License Agreement, dated June 26, 2002, by and among the Company, Immunex Corporation, and Amgen Inc.</w:t>
            </w:r>
          </w:p>
        </w:tc>
        <w:tc>
          <w:tcPr>
            <w:tcW w:w="0" w:type="dxa"/>
            <w:vAlign w:val="bottom"/>
          </w:tcPr>
          <w:p>
            <w:pPr>
              <w:spacing w:after="0"/>
              <w:rPr>
                <w:sz w:val="1"/>
                <w:szCs w:val="1"/>
                <w:color w:val="auto"/>
              </w:rPr>
            </w:pPr>
          </w:p>
        </w:tc>
      </w:tr>
      <w:tr>
        <w:trPr>
          <w:trHeight w:val="199"/>
        </w:trPr>
        <w:tc>
          <w:tcPr>
            <w:tcW w:w="17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10.12*</w:t>
            </w:r>
          </w:p>
        </w:tc>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Collaboration, License and Option Agreement, dated as of March 28, 2003, by and between Novartis Pharma AG,</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Novartis Pharmaceuticals Corporation, and the Company.</w:t>
            </w:r>
          </w:p>
        </w:tc>
        <w:tc>
          <w:tcPr>
            <w:tcW w:w="0" w:type="dxa"/>
            <w:vAlign w:val="bottom"/>
          </w:tcPr>
          <w:p>
            <w:pPr>
              <w:spacing w:after="0"/>
              <w:rPr>
                <w:sz w:val="1"/>
                <w:szCs w:val="1"/>
                <w:color w:val="auto"/>
              </w:rPr>
            </w:pPr>
          </w:p>
        </w:tc>
      </w:tr>
      <w:tr>
        <w:trPr>
          <w:trHeight w:val="207"/>
        </w:trPr>
        <w:tc>
          <w:tcPr>
            <w:tcW w:w="17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89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-5358130</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7246620</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89" w:name="page90"/>
    <w:bookmarkEnd w:id="8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85"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w:t>
            </w: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 Collaboration Agreement, dated as of September 5, 2003, by and between Aventis Pharmaceuticals Inc. and Regeneron</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Pharmaceuticals, Inc.</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10.13.1*</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Amendment No. 1 to Collaboration Agreement, by and between Aventis Pharmaceuticals Inc. and Regeneron</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Pharmaceuticals, Inc., effective as of December 31, 2004.</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10.13.2</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w:t>
            </w: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Amendment No. 2 to Collaboration Agreement, by and between Aventis Pharmaceuticals Inc. and Regeneron</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Pharmaceuticals, Inc., effective as of January 7, 2005.</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10.13.3*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Amendment No. 3 to Collaboration Agreement, by and between Aventis Pharmaceuticals Inc. and Regeneron</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Pharmaceuticals, Inc., effective as of December 21, 2005.</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10.13.4*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Amendment No. 4 to Collaboration Agreement, by and between sanofi-aventis U.S., LLC (successor in interest to</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Aventis Pharmaceuticals, Inc.) and Regeneron Pharmaceuticals, Inc., effective as of January 31, 2006.</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(q)</w:t>
            </w: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7"/>
              </w:rPr>
              <w:t>— Stock Purchase Agreement, dated as of September 5, 2003, by and between Aventis Pharmaceuticals Inc. and Regeneron</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Pharmaceuticals, Inc.</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19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Certification of CFO pursuant to Rule 13a-14(a) under the Securities and Exchange Act of 1934.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-2185035</wp:posOffset>
            </wp:positionV>
            <wp:extent cx="762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119" w:lineRule="exact"/>
        <w:rPr>
          <w:sz w:val="20"/>
          <w:szCs w:val="20"/>
          <w:color w:val="auto"/>
        </w:rPr>
      </w:pPr>
    </w:p>
    <w:p>
      <w:pPr>
        <w:ind w:left="1080" w:hanging="280"/>
        <w:spacing w:after="0"/>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Form 10-Q for Regeneron Pharmaceuticals, Inc. for the quarter ended June 30, 1991, filed August 13, 1991.</w:t>
      </w:r>
    </w:p>
    <w:p>
      <w:pPr>
        <w:spacing w:after="0" w:line="114" w:lineRule="exact"/>
        <w:rPr>
          <w:rFonts w:ascii="Times New Roman" w:cs="Times New Roman" w:eastAsia="Times New Roman" w:hAnsi="Times New Roman"/>
          <w:sz w:val="16"/>
          <w:szCs w:val="16"/>
          <w:color w:val="auto"/>
        </w:rPr>
      </w:pPr>
    </w:p>
    <w:p>
      <w:pPr>
        <w:ind w:left="1080" w:right="820" w:hanging="290"/>
        <w:spacing w:after="0" w:line="268"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September 30, 1996 filed November 5, 1996.</w:t>
      </w:r>
    </w:p>
    <w:p>
      <w:pPr>
        <w:spacing w:after="0" w:line="60" w:lineRule="exact"/>
        <w:rPr>
          <w:rFonts w:ascii="Times New Roman" w:cs="Times New Roman" w:eastAsia="Times New Roman" w:hAnsi="Times New Roman"/>
          <w:sz w:val="17"/>
          <w:szCs w:val="17"/>
          <w:color w:val="auto"/>
        </w:rPr>
      </w:pPr>
    </w:p>
    <w:p>
      <w:pPr>
        <w:ind w:left="1080" w:right="600" w:hanging="280"/>
        <w:spacing w:after="0" w:line="268"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fiscal year ended December 31, 2001, filed March 22, 2002.</w:t>
      </w:r>
    </w:p>
    <w:p>
      <w:pPr>
        <w:spacing w:after="0" w:line="60" w:lineRule="exact"/>
        <w:rPr>
          <w:rFonts w:ascii="Times New Roman" w:cs="Times New Roman" w:eastAsia="Times New Roman" w:hAnsi="Times New Roman"/>
          <w:sz w:val="17"/>
          <w:szCs w:val="17"/>
          <w:color w:val="auto"/>
        </w:rPr>
      </w:pPr>
    </w:p>
    <w:p>
      <w:pPr>
        <w:ind w:left="1080" w:right="600" w:hanging="290"/>
        <w:spacing w:after="0" w:line="268"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fiscal year ended December 31, 2004, filed March 11, 2005.</w:t>
      </w:r>
    </w:p>
    <w:p>
      <w:pPr>
        <w:spacing w:after="0" w:line="60" w:lineRule="exact"/>
        <w:rPr>
          <w:rFonts w:ascii="Times New Roman" w:cs="Times New Roman" w:eastAsia="Times New Roman" w:hAnsi="Times New Roman"/>
          <w:sz w:val="17"/>
          <w:szCs w:val="17"/>
          <w:color w:val="auto"/>
        </w:rPr>
      </w:pPr>
    </w:p>
    <w:p>
      <w:pPr>
        <w:ind w:left="1080" w:hanging="280"/>
        <w:spacing w:after="0"/>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Company’s registration statement on Form S-1 (file number 33-39043).</w:t>
      </w:r>
    </w:p>
    <w:p>
      <w:pPr>
        <w:spacing w:after="0" w:line="102" w:lineRule="exact"/>
        <w:rPr>
          <w:rFonts w:ascii="Times New Roman" w:cs="Times New Roman" w:eastAsia="Times New Roman" w:hAnsi="Times New Roman"/>
          <w:sz w:val="17"/>
          <w:szCs w:val="17"/>
          <w:color w:val="auto"/>
        </w:rPr>
      </w:pPr>
    </w:p>
    <w:p>
      <w:pPr>
        <w:ind w:left="1080" w:right="40" w:hanging="262"/>
        <w:spacing w:after="0" w:line="268"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quarter ended December 31, 2001, filed March 22, 2002.</w:t>
      </w:r>
    </w:p>
    <w:p>
      <w:pPr>
        <w:spacing w:after="0" w:line="60" w:lineRule="exact"/>
        <w:rPr>
          <w:rFonts w:ascii="Times New Roman" w:cs="Times New Roman" w:eastAsia="Times New Roman" w:hAnsi="Times New Roman"/>
          <w:sz w:val="17"/>
          <w:szCs w:val="17"/>
          <w:color w:val="auto"/>
        </w:rPr>
      </w:pPr>
    </w:p>
    <w:p>
      <w:pPr>
        <w:ind w:left="1080" w:right="560" w:hanging="290"/>
        <w:spacing w:after="0" w:line="268"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10-K for Regeneron Pharmaceuticals, Inc., for the fiscal year ended December 31, 2002, filed March 31, 2003.</w:t>
      </w:r>
    </w:p>
    <w:p>
      <w:pPr>
        <w:spacing w:after="0" w:line="60" w:lineRule="exact"/>
        <w:rPr>
          <w:rFonts w:ascii="Times New Roman" w:cs="Times New Roman" w:eastAsia="Times New Roman" w:hAnsi="Times New Roman"/>
          <w:sz w:val="17"/>
          <w:szCs w:val="17"/>
          <w:color w:val="auto"/>
        </w:rPr>
      </w:pPr>
    </w:p>
    <w:p>
      <w:pPr>
        <w:ind w:left="1080" w:hanging="290"/>
        <w:spacing w:after="0"/>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Form 10-Q for Regeneron Pharmaceuticals, Inc. for the quarter ended June 30, 2004, filed August 5, 2004.</w:t>
      </w:r>
    </w:p>
    <w:p>
      <w:pPr>
        <w:spacing w:after="0" w:line="114" w:lineRule="exact"/>
        <w:rPr>
          <w:rFonts w:ascii="Times New Roman" w:cs="Times New Roman" w:eastAsia="Times New Roman" w:hAnsi="Times New Roman"/>
          <w:sz w:val="16"/>
          <w:szCs w:val="16"/>
          <w:color w:val="auto"/>
        </w:rPr>
      </w:pPr>
    </w:p>
    <w:p>
      <w:pPr>
        <w:ind w:left="1080" w:hanging="253"/>
        <w:spacing w:after="0"/>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November 17, 2004.</w:t>
      </w:r>
    </w:p>
    <w:p>
      <w:pPr>
        <w:spacing w:after="0" w:line="102" w:lineRule="exact"/>
        <w:rPr>
          <w:rFonts w:ascii="Times New Roman" w:cs="Times New Roman" w:eastAsia="Times New Roman" w:hAnsi="Times New Roman"/>
          <w:sz w:val="17"/>
          <w:szCs w:val="17"/>
          <w:color w:val="auto"/>
        </w:rPr>
      </w:pPr>
    </w:p>
    <w:p>
      <w:pPr>
        <w:ind w:left="1080" w:hanging="253"/>
        <w:spacing w:after="0"/>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December 16, 2005.</w:t>
      </w:r>
    </w:p>
    <w:p>
      <w:pPr>
        <w:spacing w:after="0" w:line="102" w:lineRule="exact"/>
        <w:rPr>
          <w:rFonts w:ascii="Times New Roman" w:cs="Times New Roman" w:eastAsia="Times New Roman" w:hAnsi="Times New Roman"/>
          <w:sz w:val="17"/>
          <w:szCs w:val="17"/>
          <w:color w:val="auto"/>
        </w:rPr>
      </w:pPr>
    </w:p>
    <w:p>
      <w:pPr>
        <w:ind w:left="1080" w:hanging="290"/>
        <w:spacing w:after="0"/>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December 13, 2004.</w:t>
      </w:r>
    </w:p>
    <w:p>
      <w:pPr>
        <w:spacing w:after="0" w:line="102" w:lineRule="exact"/>
        <w:rPr>
          <w:rFonts w:ascii="Times New Roman" w:cs="Times New Roman" w:eastAsia="Times New Roman" w:hAnsi="Times New Roman"/>
          <w:sz w:val="17"/>
          <w:szCs w:val="17"/>
          <w:color w:val="auto"/>
        </w:rPr>
      </w:pPr>
    </w:p>
    <w:p>
      <w:pPr>
        <w:ind w:left="1080" w:right="780" w:hanging="253"/>
        <w:spacing w:after="0" w:line="268" w:lineRule="auto"/>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September 30, 1995, filed November 14, 1995.</w:t>
      </w:r>
    </w:p>
    <w:p>
      <w:pPr>
        <w:spacing w:after="0" w:line="60" w:lineRule="exact"/>
        <w:rPr>
          <w:rFonts w:ascii="Times New Roman" w:cs="Times New Roman" w:eastAsia="Times New Roman" w:hAnsi="Times New Roman"/>
          <w:sz w:val="17"/>
          <w:szCs w:val="17"/>
          <w:color w:val="auto"/>
        </w:rPr>
      </w:pPr>
    </w:p>
    <w:p>
      <w:pPr>
        <w:ind w:left="1080" w:hanging="336"/>
        <w:spacing w:after="0"/>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8-A for Regeneron Pharmaceuticals, Inc., filed October 15, 1996.</w:t>
      </w:r>
    </w:p>
    <w:p>
      <w:pPr>
        <w:spacing w:after="0" w:line="102" w:lineRule="exact"/>
        <w:rPr>
          <w:rFonts w:ascii="Times New Roman" w:cs="Times New Roman" w:eastAsia="Times New Roman" w:hAnsi="Times New Roman"/>
          <w:sz w:val="17"/>
          <w:szCs w:val="17"/>
          <w:color w:val="auto"/>
        </w:rPr>
      </w:pPr>
    </w:p>
    <w:p>
      <w:pPr>
        <w:ind w:left="1080" w:hanging="290"/>
        <w:spacing w:after="0"/>
        <w:tabs>
          <w:tab w:leader="none" w:pos="10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Company’s registration statement on Form S-3 (file number 333-74464).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249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90" w:name="page91"/>
    <w:bookmarkEnd w:id="9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92" w:lineRule="exact"/>
        <w:rPr>
          <w:sz w:val="20"/>
          <w:szCs w:val="20"/>
          <w:color w:val="auto"/>
        </w:rPr>
      </w:pPr>
    </w:p>
    <w:p>
      <w:pPr>
        <w:ind w:left="1080" w:hanging="290"/>
        <w:spacing w:after="0"/>
        <w:tabs>
          <w:tab w:leader="none" w:pos="10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Form 10-Q for Regeneron Pharmaceuticals, Inc. for the quarter ended June 30, 2002, filed August 13, 2002.</w:t>
      </w:r>
    </w:p>
    <w:p>
      <w:pPr>
        <w:spacing w:after="0" w:line="114" w:lineRule="exact"/>
        <w:rPr>
          <w:rFonts w:ascii="Times New Roman" w:cs="Times New Roman" w:eastAsia="Times New Roman" w:hAnsi="Times New Roman"/>
          <w:sz w:val="16"/>
          <w:szCs w:val="16"/>
          <w:color w:val="auto"/>
        </w:rPr>
      </w:pPr>
    </w:p>
    <w:p>
      <w:pPr>
        <w:ind w:left="1080" w:hanging="290"/>
        <w:spacing w:after="0"/>
        <w:tabs>
          <w:tab w:leader="none" w:pos="108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Form 10-Q for Regeneron Pharmaceuticals, Inc. for the quarter ended March 31, 2003, filed May 15, 2003.</w:t>
      </w:r>
    </w:p>
    <w:p>
      <w:pPr>
        <w:spacing w:after="0" w:line="114" w:lineRule="exact"/>
        <w:rPr>
          <w:rFonts w:ascii="Times New Roman" w:cs="Times New Roman" w:eastAsia="Times New Roman" w:hAnsi="Times New Roman"/>
          <w:sz w:val="16"/>
          <w:szCs w:val="16"/>
          <w:color w:val="auto"/>
        </w:rPr>
      </w:pPr>
    </w:p>
    <w:p>
      <w:pPr>
        <w:ind w:left="1080" w:right="780" w:hanging="290"/>
        <w:spacing w:after="0" w:line="268" w:lineRule="auto"/>
        <w:tabs>
          <w:tab w:leader="none" w:pos="10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10-Q for Regeneron Pharmaceuticals, Inc. for the quarter ended September 30, 2003, filed November 11, 2003.</w:t>
      </w:r>
    </w:p>
    <w:p>
      <w:pPr>
        <w:spacing w:after="0" w:line="60" w:lineRule="exact"/>
        <w:rPr>
          <w:rFonts w:ascii="Times New Roman" w:cs="Times New Roman" w:eastAsia="Times New Roman" w:hAnsi="Times New Roman"/>
          <w:sz w:val="17"/>
          <w:szCs w:val="17"/>
          <w:color w:val="auto"/>
        </w:rPr>
      </w:pPr>
    </w:p>
    <w:p>
      <w:pPr>
        <w:ind w:left="1080" w:hanging="262"/>
        <w:spacing w:after="0"/>
        <w:tabs>
          <w:tab w:leader="none" w:pos="10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January 11, 2005.</w:t>
      </w:r>
    </w:p>
    <w:p>
      <w:pPr>
        <w:spacing w:after="0" w:line="102" w:lineRule="exact"/>
        <w:rPr>
          <w:rFonts w:ascii="Times New Roman" w:cs="Times New Roman" w:eastAsia="Times New Roman" w:hAnsi="Times New Roman"/>
          <w:sz w:val="17"/>
          <w:szCs w:val="17"/>
          <w:color w:val="auto"/>
        </w:rPr>
      </w:pPr>
    </w:p>
    <w:p>
      <w:pPr>
        <w:ind w:left="1080" w:hanging="272"/>
        <w:spacing w:after="0"/>
        <w:tabs>
          <w:tab w:leader="none" w:pos="10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from the Form 8-K for Regeneron Pharmaceuticals, Inc., filed January 25, 2006.</w:t>
      </w:r>
    </w:p>
    <w:p>
      <w:pPr>
        <w:spacing w:after="0" w:line="202" w:lineRule="exact"/>
        <w:rPr>
          <w:rFonts w:ascii="Times New Roman" w:cs="Times New Roman" w:eastAsia="Times New Roman" w:hAnsi="Times New Roman"/>
          <w:sz w:val="17"/>
          <w:szCs w:val="17"/>
          <w:color w:val="auto"/>
        </w:rPr>
      </w:pPr>
    </w:p>
    <w:p>
      <w:pPr>
        <w:ind w:left="1080" w:right="40" w:hanging="29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-313690</wp:posOffset>
            </wp:positionV>
            <wp:extent cx="8204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0420" cy="7620"/>
                    </a:xfrm>
                    <a:prstGeom prst="rect">
                      <a:avLst/>
                    </a:prstGeom>
                    <a:noFill/>
                  </pic:spPr>
                </pic:pic>
              </a:graphicData>
            </a:graphic>
          </wp:anchor>
        </w:drawing>
      </w:r>
    </w:p>
    <w:p>
      <w:pPr>
        <w:sectPr>
          <w:pgSz w:w="11900" w:h="16838" w:orient="portrait"/>
          <w:cols w:equalWidth="0" w:num="1">
            <w:col w:w="10600"/>
          </w:cols>
          <w:pgMar w:left="240" w:top="393" w:right="1059" w:bottom="1440" w:gutter="0" w:footer="0" w:header="0"/>
        </w:sectPr>
      </w:pPr>
    </w:p>
    <w:bookmarkStart w:id="91" w:name="page92"/>
    <w:bookmarkEnd w:id="91"/>
    <w:p>
      <w:pPr>
        <w:jc w:val="right"/>
        <w:ind w:right="2459"/>
        <w:spacing w:after="0"/>
        <w:rPr>
          <w:sz w:val="20"/>
          <w:szCs w:val="20"/>
          <w:color w:val="auto"/>
        </w:rPr>
      </w:pPr>
      <w:r>
        <w:rPr>
          <w:rFonts w:ascii="Courier New" w:cs="Courier New" w:eastAsia="Courier New" w:hAnsi="Courier New"/>
          <w:sz w:val="16"/>
          <w:szCs w:val="16"/>
          <w:color w:val="auto"/>
        </w:rPr>
        <w:t>EXHIBIT 10.13.3</w:t>
      </w:r>
    </w:p>
    <w:p>
      <w:pPr>
        <w:spacing w:after="0" w:line="191"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THIRD AMENDMENT TO COLLABORATION AGREEMENT</w:t>
      </w:r>
    </w:p>
    <w:p>
      <w:pPr>
        <w:spacing w:after="0" w:line="191" w:lineRule="exact"/>
        <w:rPr>
          <w:sz w:val="20"/>
          <w:szCs w:val="20"/>
          <w:color w:val="auto"/>
        </w:rPr>
      </w:pPr>
    </w:p>
    <w:p>
      <w:pPr>
        <w:ind w:left="1" w:right="2459" w:firstLine="581"/>
        <w:spacing w:after="0" w:line="264" w:lineRule="auto"/>
        <w:rPr>
          <w:sz w:val="20"/>
          <w:szCs w:val="20"/>
          <w:color w:val="auto"/>
        </w:rPr>
      </w:pPr>
      <w:r>
        <w:rPr>
          <w:rFonts w:ascii="Courier New" w:cs="Courier New" w:eastAsia="Courier New" w:hAnsi="Courier New"/>
          <w:sz w:val="16"/>
          <w:szCs w:val="16"/>
          <w:color w:val="auto"/>
        </w:rPr>
        <w:t>This Third Amendment to Collaboration Agreement (this "Third Amendment") dated as of December 21, 2005, is by and between Regeneron Pharmaceuticals, Inc., a corporation organized and existing under the laws of the State of New York and having its principal office at 777 Old Saw Mill River Road, Tarrytown, New York 10591 ("Regeneron ") and Aventis Pharmaceuticals Inc., a corporation organized and existing under the laws of the State of Delaware and having a principal place of business at 200 Crossing Blvd., Bridgewater, New Jersey 08807 ("Aventis").</w:t>
      </w:r>
    </w:p>
    <w:p>
      <w:pPr>
        <w:spacing w:after="0" w:line="82"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jc w:val="both"/>
        <w:ind w:left="1" w:right="2559" w:firstLine="581"/>
        <w:spacing w:after="0" w:line="307" w:lineRule="auto"/>
        <w:rPr>
          <w:sz w:val="20"/>
          <w:szCs w:val="20"/>
          <w:color w:val="auto"/>
        </w:rPr>
      </w:pPr>
      <w:r>
        <w:rPr>
          <w:rFonts w:ascii="Courier New" w:cs="Courier New" w:eastAsia="Courier New" w:hAnsi="Courier New"/>
          <w:sz w:val="16"/>
          <w:szCs w:val="16"/>
          <w:color w:val="auto"/>
        </w:rPr>
        <w:t>WHEREAS, Regeneron and Aventis are Parties to a Collaboration Agreement, having an effective date of September 5, 2003, as amended on December 31, 2004, and January 7, 2005 (the "Collaboration Agreement"); and</w:t>
      </w:r>
    </w:p>
    <w:p>
      <w:pPr>
        <w:spacing w:after="0" w:line="50" w:lineRule="exact"/>
        <w:rPr>
          <w:sz w:val="20"/>
          <w:szCs w:val="20"/>
          <w:color w:val="auto"/>
        </w:rPr>
      </w:pPr>
    </w:p>
    <w:p>
      <w:pPr>
        <w:ind w:left="1" w:right="2559" w:firstLine="581"/>
        <w:spacing w:after="0" w:line="307" w:lineRule="auto"/>
        <w:rPr>
          <w:sz w:val="20"/>
          <w:szCs w:val="20"/>
          <w:color w:val="auto"/>
        </w:rPr>
      </w:pPr>
      <w:r>
        <w:rPr>
          <w:rFonts w:ascii="Courier New" w:cs="Courier New" w:eastAsia="Courier New" w:hAnsi="Courier New"/>
          <w:sz w:val="16"/>
          <w:szCs w:val="16"/>
          <w:color w:val="auto"/>
        </w:rPr>
        <w:t>WHEREAS, Regeneron and Aventis have determined that it is desirable to amend certain provisions of the Collaboration Agreement to include Japan in the Territory under the terms and conditions set forth herein.</w:t>
      </w:r>
    </w:p>
    <w:p>
      <w:pPr>
        <w:spacing w:after="0" w:line="50" w:lineRule="exact"/>
        <w:rPr>
          <w:sz w:val="20"/>
          <w:szCs w:val="20"/>
          <w:color w:val="auto"/>
        </w:rPr>
      </w:pPr>
    </w:p>
    <w:p>
      <w:pPr>
        <w:ind w:left="1" w:right="2459" w:firstLine="581"/>
        <w:spacing w:after="0" w:line="287" w:lineRule="auto"/>
        <w:rPr>
          <w:sz w:val="20"/>
          <w:szCs w:val="20"/>
          <w:color w:val="auto"/>
        </w:rPr>
      </w:pPr>
      <w:r>
        <w:rPr>
          <w:rFonts w:ascii="Courier New" w:cs="Courier New" w:eastAsia="Courier New" w:hAnsi="Courier New"/>
          <w:sz w:val="16"/>
          <w:szCs w:val="16"/>
          <w:color w:val="auto"/>
        </w:rPr>
        <w:t>NOW, THEREFORE, in consideration of the following mutual promises and obligations and for good and valuable consideration, the receipt and sufficiency of which are hereby acknowledged, the Parties, intending to be legally bound, hereby agree as follows:</w:t>
      </w:r>
    </w:p>
    <w:p>
      <w:pPr>
        <w:spacing w:after="0" w:line="65" w:lineRule="exact"/>
        <w:rPr>
          <w:sz w:val="20"/>
          <w:szCs w:val="20"/>
          <w:color w:val="auto"/>
        </w:rPr>
      </w:pPr>
    </w:p>
    <w:p>
      <w:pPr>
        <w:ind w:left="1" w:right="2459"/>
        <w:spacing w:after="0" w:line="367" w:lineRule="auto"/>
        <w:rPr>
          <w:sz w:val="20"/>
          <w:szCs w:val="20"/>
          <w:color w:val="auto"/>
        </w:rPr>
      </w:pPr>
      <w:r>
        <w:rPr>
          <w:rFonts w:ascii="Courier New" w:cs="Courier New" w:eastAsia="Courier New" w:hAnsi="Courier New"/>
          <w:sz w:val="16"/>
          <w:szCs w:val="16"/>
          <w:color w:val="auto"/>
        </w:rPr>
        <w:t>Capitalized terms used in this Third Amendment and not defined herein shall have the meanings ascribed to them in the Collaboration Agreement.</w:t>
      </w:r>
    </w:p>
    <w:p>
      <w:pPr>
        <w:spacing w:after="0" w:line="5" w:lineRule="exact"/>
        <w:rPr>
          <w:sz w:val="20"/>
          <w:szCs w:val="20"/>
          <w:color w:val="auto"/>
        </w:rPr>
      </w:pPr>
    </w:p>
    <w:p>
      <w:pPr>
        <w:ind w:left="581" w:right="2659" w:hanging="581"/>
        <w:spacing w:after="0" w:line="367" w:lineRule="auto"/>
        <w:tabs>
          <w:tab w:leader="none" w:pos="5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1. "DEFINITIONS". Article 1 of the Collaboration Agreement shall be amended as follows:</w:t>
      </w:r>
    </w:p>
    <w:p>
      <w:pPr>
        <w:spacing w:after="0" w:line="4" w:lineRule="exact"/>
        <w:rPr>
          <w:rFonts w:ascii="Courier New" w:cs="Courier New" w:eastAsia="Courier New" w:hAnsi="Courier New"/>
          <w:sz w:val="16"/>
          <w:szCs w:val="16"/>
          <w:color w:val="auto"/>
        </w:rPr>
      </w:pPr>
    </w:p>
    <w:p>
      <w:pPr>
        <w:ind w:left="581" w:right="2659" w:firstLine="1"/>
        <w:spacing w:after="0" w:line="287" w:lineRule="auto"/>
        <w:tabs>
          <w:tab w:leader="none" w:pos="96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1.2 "Additional Major Market Country" shall be amended by adding the words "Japan and" after the words "other than" and before the words "the Major Market Countries referred to in clause (i) of the definition thereof" therein.</w:t>
      </w:r>
    </w:p>
    <w:p>
      <w:pPr>
        <w:spacing w:after="0" w:line="64" w:lineRule="exact"/>
        <w:rPr>
          <w:rFonts w:ascii="Courier New" w:cs="Courier New" w:eastAsia="Courier New" w:hAnsi="Courier New"/>
          <w:sz w:val="16"/>
          <w:szCs w:val="16"/>
          <w:color w:val="auto"/>
        </w:rPr>
      </w:pPr>
    </w:p>
    <w:p>
      <w:pPr>
        <w:ind w:left="581" w:right="2459" w:firstLine="1"/>
        <w:spacing w:after="0" w:line="276" w:lineRule="auto"/>
        <w:tabs>
          <w:tab w:leader="none" w:pos="96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1.41 "Consolidated Net Profit/Loss Report" shall be amended by adding the following sentence at the end thereof. "This report shall also include, in reasonable detail, Net Sales in Japan, ******* (as defined in Section 9.1(b)), and the Japan Royalty Payment in sufficient detail to calculate the Japan True-Up for such calendar quarter."</w:t>
      </w:r>
    </w:p>
    <w:p>
      <w:pPr>
        <w:spacing w:after="0" w:line="75" w:lineRule="exact"/>
        <w:rPr>
          <w:rFonts w:ascii="Courier New" w:cs="Courier New" w:eastAsia="Courier New" w:hAnsi="Courier New"/>
          <w:sz w:val="16"/>
          <w:szCs w:val="16"/>
          <w:color w:val="auto"/>
        </w:rPr>
      </w:pPr>
    </w:p>
    <w:p>
      <w:pPr>
        <w:jc w:val="both"/>
        <w:ind w:left="581" w:right="2459" w:firstLine="1"/>
        <w:spacing w:after="0" w:line="307" w:lineRule="auto"/>
        <w:tabs>
          <w:tab w:leader="none" w:pos="96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1.53 "Develop" or "Development" shall be amended by adding the phrase "in the case of all countries in the Territory except Japan," after the reference to "(c)" therein.</w:t>
      </w:r>
    </w:p>
    <w:p>
      <w:pPr>
        <w:spacing w:after="0" w:line="5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298" w:right="1440" w:bottom="1440" w:gutter="0" w:footer="0" w:header="0"/>
        </w:sectPr>
      </w:pPr>
    </w:p>
    <w:bookmarkStart w:id="92" w:name="page93"/>
    <w:bookmarkEnd w:id="92"/>
    <w:p>
      <w:pPr>
        <w:ind w:left="581" w:right="3039" w:firstLine="1"/>
        <w:spacing w:after="0" w:line="367" w:lineRule="auto"/>
        <w:tabs>
          <w:tab w:leader="none" w:pos="96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1.158 "Territory" shall be amended by deleting the words ", excluding Japan" therein.</w:t>
      </w:r>
    </w:p>
    <w:p>
      <w:pPr>
        <w:spacing w:after="0" w:line="4" w:lineRule="exact"/>
        <w:rPr>
          <w:rFonts w:ascii="Courier New" w:cs="Courier New" w:eastAsia="Courier New" w:hAnsi="Courier New"/>
          <w:sz w:val="16"/>
          <w:szCs w:val="16"/>
          <w:color w:val="auto"/>
        </w:rPr>
      </w:pPr>
    </w:p>
    <w:p>
      <w:pPr>
        <w:ind w:left="581" w:right="2659" w:hanging="581"/>
        <w:spacing w:after="0" w:line="367" w:lineRule="auto"/>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2.6 "JAPAN". Section 2.6 of the Collaboration Agreement shall be deleted in its entirety.</w:t>
      </w:r>
    </w:p>
    <w:p>
      <w:pPr>
        <w:spacing w:after="0" w:line="4" w:lineRule="exact"/>
        <w:rPr>
          <w:rFonts w:ascii="Courier New" w:cs="Courier New" w:eastAsia="Courier New" w:hAnsi="Courier New"/>
          <w:sz w:val="16"/>
          <w:szCs w:val="16"/>
          <w:color w:val="auto"/>
        </w:rPr>
      </w:pPr>
    </w:p>
    <w:p>
      <w:pPr>
        <w:ind w:left="581" w:right="2659" w:hanging="581"/>
        <w:spacing w:after="0" w:line="276" w:lineRule="auto"/>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 "LICENSE GRANTS". Section 4.1 of the Collaboration Agreement shall be amended by deleting the reference to "(i)" therein and deleting the phrase "and (ii) the foregoing license grant shall not restrict or prohibit Regeneron's right to manufacture and supply Regeneron VEGF Products for importation into or use or sale in Japan."</w:t>
      </w:r>
    </w:p>
    <w:p>
      <w:pPr>
        <w:spacing w:after="0" w:line="75" w:lineRule="exact"/>
        <w:rPr>
          <w:rFonts w:ascii="Courier New" w:cs="Courier New" w:eastAsia="Courier New" w:hAnsi="Courier New"/>
          <w:sz w:val="16"/>
          <w:szCs w:val="16"/>
          <w:color w:val="auto"/>
        </w:rPr>
      </w:pPr>
    </w:p>
    <w:p>
      <w:pPr>
        <w:ind w:left="581" w:right="2559" w:hanging="581"/>
        <w:spacing w:after="0" w:line="287" w:lineRule="auto"/>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4.3 "SUBLICENSES; SUBCONTRACTING". Section 4.3 of the Collaboration Agreement shall be amended by adding the phrase "other than Japan" after the reference to the defined term "Rest of World Country" in clause (A) therein.</w:t>
      </w:r>
    </w:p>
    <w:p>
      <w:pPr>
        <w:spacing w:after="0" w:line="64" w:lineRule="exact"/>
        <w:rPr>
          <w:rFonts w:ascii="Courier New" w:cs="Courier New" w:eastAsia="Courier New" w:hAnsi="Courier New"/>
          <w:sz w:val="16"/>
          <w:szCs w:val="16"/>
          <w:color w:val="auto"/>
        </w:rPr>
      </w:pPr>
    </w:p>
    <w:p>
      <w:pPr>
        <w:ind w:left="581" w:right="2559" w:hanging="581"/>
        <w:spacing w:after="0" w:line="270" w:lineRule="auto"/>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6.5 "VEGF PRODUCT PRICING AND PRICING APPROVALS". Section 6.5 of the Collaboration Agreement shall be amended by adding ", Japan" immediately before the phrase "as well as the United States" in the final sentence therein. Section 6.5 of the Collaboration Agreement shall be further amended by adding the words "or Japan" at the end thereof after the reference to "the United States."</w:t>
      </w:r>
    </w:p>
    <w:p>
      <w:pPr>
        <w:spacing w:after="0" w:line="80"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9.1(a) "SHARING OF COLLABORATION PROFITS AND LOSSES". Section</w:t>
      </w:r>
    </w:p>
    <w:p>
      <w:pPr>
        <w:spacing w:after="0" w:line="35" w:lineRule="exact"/>
        <w:rPr>
          <w:rFonts w:ascii="Courier New" w:cs="Courier New" w:eastAsia="Courier New" w:hAnsi="Courier New"/>
          <w:sz w:val="16"/>
          <w:szCs w:val="16"/>
          <w:color w:val="auto"/>
        </w:rPr>
      </w:pPr>
    </w:p>
    <w:p>
      <w:pPr>
        <w:ind w:left="581" w:right="24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9.1(a) of the Collaboration Agreement shall be amended by adding the words "other than Japan" after the defined term "Rest of World Countries" therein. Section 9.1(a) shall be further amended by adding the following sentence at the end thereof: "In addition, in consideration of the license grants herein for VEGF Products in Japan, and subject to the other terms and conditions of this Agreement, Aventis shall pay to Regeneron as part of the Quarterly True-Up a royalty on Net Sales in Japan calculated in accordance with the formula described in Schedule 1A (the 'Japan Royalty Payment')."</w:t>
      </w:r>
    </w:p>
    <w:p>
      <w:pPr>
        <w:spacing w:after="0" w:line="93" w:lineRule="exact"/>
        <w:rPr>
          <w:rFonts w:ascii="Courier New" w:cs="Courier New" w:eastAsia="Courier New" w:hAnsi="Courier New"/>
          <w:sz w:val="16"/>
          <w:szCs w:val="16"/>
          <w:color w:val="auto"/>
        </w:rPr>
      </w:pPr>
    </w:p>
    <w:p>
      <w:pPr>
        <w:ind w:left="581" w:right="2659" w:hanging="581"/>
        <w:spacing w:after="0" w:line="252" w:lineRule="auto"/>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9.1(b) "SHARING OF COLLABORATION PROFITS AND LOSSES". Section 9.1(b) of the Collaboration Agreement shall be amended by adding the following sentences at the end thereof: "Notwithstanding the foregoing, Regeneron and Aventis shall each be responsible for paying fifty percent (50%) of all *********** incurred in accordance with the terms of this Agreement and the applicable Co-Development Budget, subject to the terms and conditions set forth in Schedules 1 and 1A. As used herein, the term</w:t>
      </w:r>
    </w:p>
    <w:p>
      <w:pPr>
        <w:spacing w:after="0" w:line="2" w:lineRule="exact"/>
        <w:rPr>
          <w:rFonts w:ascii="Courier New" w:cs="Courier New" w:eastAsia="Courier New" w:hAnsi="Courier New"/>
          <w:sz w:val="16"/>
          <w:szCs w:val="16"/>
          <w:color w:val="auto"/>
        </w:rPr>
      </w:pPr>
    </w:p>
    <w:p>
      <w:pPr>
        <w:ind w:left="5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shall mean Development Costs incurred by the Parties for JDC approved Clinical Trials conducted in Japan (and/or such other Asian countries as may be agreed upon by the Parties) in *********************</w:t>
      </w:r>
    </w:p>
    <w:p>
      <w:pPr>
        <w:spacing w:after="0" w:line="1" w:lineRule="exact"/>
        <w:rPr>
          <w:rFonts w:ascii="Courier New" w:cs="Courier New" w:eastAsia="Courier New" w:hAnsi="Courier New"/>
          <w:sz w:val="16"/>
          <w:szCs w:val="16"/>
          <w:color w:val="auto"/>
        </w:rPr>
      </w:pPr>
    </w:p>
    <w:p>
      <w:pPr>
        <w:ind w:left="5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581" w:right="2559" w:hanging="581"/>
        <w:spacing w:after="0" w:line="254" w:lineRule="auto"/>
        <w:tabs>
          <w:tab w:leader="none" w:pos="5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9.2 "PERIODIC REPORTS". Section 9.2(c) of the Collaboration Agreement shall be amended by adding "Japan," after the words "in Major Market Countries," in clause (ii) therein. Section 9.2(c) of the Collaboration Agreement shall be further amended by adding the words "and Japan" after the phrase "with respect to the United States" in clause</w:t>
      </w:r>
    </w:p>
    <w:p>
      <w:pPr>
        <w:spacing w:after="0" w:line="2" w:lineRule="exact"/>
        <w:rPr>
          <w:rFonts w:ascii="Courier New" w:cs="Courier New" w:eastAsia="Courier New" w:hAnsi="Courier New"/>
          <w:sz w:val="16"/>
          <w:szCs w:val="16"/>
          <w:color w:val="auto"/>
        </w:rPr>
      </w:pPr>
    </w:p>
    <w:p>
      <w:pPr>
        <w:ind w:left="581" w:right="2959" w:firstLine="1"/>
        <w:spacing w:after="0" w:line="327" w:lineRule="auto"/>
        <w:tabs>
          <w:tab w:leader="none" w:pos="1162"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therein. Section 9.2(c) of the Collaboration Agreement shall be further</w:t>
      </w:r>
    </w:p>
    <w:p>
      <w:pPr>
        <w:spacing w:after="0" w:line="3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46" w:right="1440" w:bottom="1440" w:gutter="0" w:footer="0" w:header="0"/>
        </w:sectPr>
      </w:pPr>
    </w:p>
    <w:bookmarkStart w:id="93" w:name="page94"/>
    <w:bookmarkEnd w:id="93"/>
    <w:p>
      <w:pPr>
        <w:ind w:left="581" w:right="2959"/>
        <w:spacing w:after="0" w:line="367" w:lineRule="auto"/>
        <w:rPr>
          <w:sz w:val="20"/>
          <w:szCs w:val="20"/>
          <w:color w:val="auto"/>
        </w:rPr>
      </w:pPr>
      <w:r>
        <w:rPr>
          <w:rFonts w:ascii="Courier New" w:cs="Courier New" w:eastAsia="Courier New" w:hAnsi="Courier New"/>
          <w:sz w:val="16"/>
          <w:szCs w:val="16"/>
          <w:color w:val="auto"/>
        </w:rPr>
        <w:t>amended by adding the words "and Japan" after the defined term "Major Market Countries" in clause (iv) therein.</w:t>
      </w:r>
    </w:p>
    <w:p>
      <w:pPr>
        <w:spacing w:after="0" w:line="5" w:lineRule="exact"/>
        <w:rPr>
          <w:sz w:val="20"/>
          <w:szCs w:val="20"/>
          <w:color w:val="auto"/>
        </w:rPr>
      </w:pPr>
    </w:p>
    <w:p>
      <w:pPr>
        <w:ind w:left="581" w:right="2559" w:hanging="581"/>
        <w:spacing w:after="0" w:line="287"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16.1(c) "CONFIDENTIAL PARTY INFORMATION". Section 16.1 of the Collaboration Agreement shall be amended by deleting paragraph (c) in its entirety and substituting the words "INTENTIONALLY BLANK" after the reference to "(c)" therein.</w:t>
      </w:r>
    </w:p>
    <w:p>
      <w:pPr>
        <w:spacing w:after="0" w:line="64" w:lineRule="exact"/>
        <w:rPr>
          <w:rFonts w:ascii="Courier New" w:cs="Courier New" w:eastAsia="Courier New" w:hAnsi="Courier New"/>
          <w:sz w:val="16"/>
          <w:szCs w:val="16"/>
          <w:color w:val="auto"/>
        </w:rPr>
      </w:pPr>
    </w:p>
    <w:p>
      <w:pPr>
        <w:ind w:left="581" w:right="2559" w:hanging="581"/>
        <w:spacing w:after="0" w:line="264"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17.1 "INDEMNITY AND INSURANCE". Section 17.1(a) of the Collaboration Agreement shall be amended by adding a reference to a "; or " after clause (ii) therein and inserting the following new clause (iii): "(iii) notwithstanding anything to the contrary in this Agreement, the Development or Commercialization of a VEGF Product in Japan under this Agreement, except to the extent that Damages arise out of the negligence, recklessness, bad faith or intentional wrongful acts, or omissions committed by Regeneron or its Affiliates."</w:t>
      </w:r>
    </w:p>
    <w:p>
      <w:pPr>
        <w:spacing w:after="0" w:line="82" w:lineRule="exact"/>
        <w:rPr>
          <w:rFonts w:ascii="Courier New" w:cs="Courier New" w:eastAsia="Courier New" w:hAnsi="Courier New"/>
          <w:sz w:val="16"/>
          <w:szCs w:val="16"/>
          <w:color w:val="auto"/>
        </w:rPr>
      </w:pPr>
    </w:p>
    <w:p>
      <w:pPr>
        <w:jc w:val="both"/>
        <w:ind w:left="581" w:right="2559" w:hanging="581"/>
        <w:spacing w:after="0" w:line="307"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I "QUARTERLY TRUE-UP". Schedule 1 of the Collaboration Agreement shall be deleted in its entirety and replaced with Schedule 1 attached to this Third Amendment, which is marked to reflect changes.</w:t>
      </w:r>
    </w:p>
    <w:p>
      <w:pPr>
        <w:spacing w:after="0" w:line="49" w:lineRule="exact"/>
        <w:rPr>
          <w:rFonts w:ascii="Courier New" w:cs="Courier New" w:eastAsia="Courier New" w:hAnsi="Courier New"/>
          <w:sz w:val="16"/>
          <w:szCs w:val="16"/>
          <w:color w:val="auto"/>
        </w:rPr>
      </w:pPr>
    </w:p>
    <w:p>
      <w:pPr>
        <w:jc w:val="both"/>
        <w:ind w:left="581" w:right="2559" w:hanging="581"/>
        <w:spacing w:after="0" w:line="367"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1A "JAPAN TRUE-UP". The Collaboration Agreement shall be amended by adding a new Schedule 1A in the form attached to this Third Amendment.</w:t>
      </w:r>
    </w:p>
    <w:p>
      <w:pPr>
        <w:spacing w:after="0" w:line="4" w:lineRule="exact"/>
        <w:rPr>
          <w:rFonts w:ascii="Courier New" w:cs="Courier New" w:eastAsia="Courier New" w:hAnsi="Courier New"/>
          <w:sz w:val="16"/>
          <w:szCs w:val="16"/>
          <w:color w:val="auto"/>
        </w:rPr>
      </w:pPr>
    </w:p>
    <w:p>
      <w:pPr>
        <w:ind w:left="581" w:right="2459" w:hanging="581"/>
        <w:spacing w:after="0" w:line="270"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UP-FRONT PAYMENT. In consideration for Regeneron's agreement to enter into this Third Amendment and extend the Territory to include Japan on the terms set forth herein, Aventis shall pay to Regeneron, on or before January 10, 2006, a non-refundable, non-creditable payment of Twenty-Five Million US Dollars (US$25,000,000.00) (which shall not be reduced by any withholding or similar taxes).</w:t>
      </w:r>
    </w:p>
    <w:p>
      <w:pPr>
        <w:spacing w:after="0" w:line="80" w:lineRule="exact"/>
        <w:rPr>
          <w:rFonts w:ascii="Courier New" w:cs="Courier New" w:eastAsia="Courier New" w:hAnsi="Courier New"/>
          <w:sz w:val="16"/>
          <w:szCs w:val="16"/>
          <w:color w:val="auto"/>
        </w:rPr>
      </w:pPr>
    </w:p>
    <w:p>
      <w:pPr>
        <w:jc w:val="both"/>
        <w:ind w:left="581" w:right="2459" w:hanging="581"/>
        <w:spacing w:after="0" w:line="307"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 "MILESTONE PAYMENTS". Schedule 2 of the Collaboration Agreement shall be amended by adding the milestones and milestone payments set forth in Schedule 2 attached to this Third Amendment.</w:t>
      </w:r>
    </w:p>
    <w:p>
      <w:pPr>
        <w:spacing w:after="0" w:line="49" w:lineRule="exact"/>
        <w:rPr>
          <w:rFonts w:ascii="Courier New" w:cs="Courier New" w:eastAsia="Courier New" w:hAnsi="Courier New"/>
          <w:sz w:val="16"/>
          <w:szCs w:val="16"/>
          <w:color w:val="auto"/>
        </w:rPr>
      </w:pPr>
    </w:p>
    <w:p>
      <w:pPr>
        <w:ind w:left="581" w:right="2759" w:hanging="581"/>
        <w:spacing w:after="0" w:line="287"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15.3(c) "JAPAN PATENT APPLICATIONS". Schedule 15.3(c) of the Collaboration Agreement shall be amended by adding the Regeneron Patent Applications set forth in Schedule 15.3(c) attached to this Third Amendment.</w:t>
      </w:r>
    </w:p>
    <w:p>
      <w:pPr>
        <w:spacing w:after="0" w:line="64" w:lineRule="exact"/>
        <w:rPr>
          <w:rFonts w:ascii="Courier New" w:cs="Courier New" w:eastAsia="Courier New" w:hAnsi="Courier New"/>
          <w:sz w:val="16"/>
          <w:szCs w:val="16"/>
          <w:color w:val="auto"/>
        </w:rPr>
      </w:pPr>
    </w:p>
    <w:p>
      <w:pPr>
        <w:ind w:left="581" w:right="2459" w:hanging="581"/>
        <w:spacing w:after="0" w:line="257" w:lineRule="auto"/>
        <w:tabs>
          <w:tab w:leader="none" w:pos="5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COMMERCIALIZATION. It is agreed that Regeneron shall not Co-Promote VEGF Products in Japan. However, notwithstanding anything to the contrary in the Collaboration Agreement, the Parties shall establish a Joint Country Commercialization Sub-Committee in Japan, which shall have the responsibilities set forth in Section 3.9(b). For the purpose of clarity, unless specifically delineated, Section 3.9(b) shall not be interpreted to include the responsibilities set forth in Section 3.9(a); either with respect to Joint Country Commercialization Sub-Committee in Japan or with respect to any Joint Country Commercialization Sub-Committee in each Rest of World Country. However, nothing in the preceding sentence shall limit or restrict any responsibilities included in sections of the Collaboration Agreement other than 3.9(b).</w:t>
      </w:r>
    </w:p>
    <w:p>
      <w:pPr>
        <w:spacing w:after="0" w:line="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646" w:right="1440" w:bottom="1440" w:gutter="0" w:footer="0" w:header="0"/>
        </w:sectPr>
      </w:pPr>
    </w:p>
    <w:bookmarkStart w:id="94" w:name="page95"/>
    <w:bookmarkEnd w:id="94"/>
    <w:p>
      <w:pPr>
        <w:ind w:left="581" w:right="2459" w:hanging="581"/>
        <w:spacing w:after="0" w:line="259" w:lineRule="auto"/>
        <w:tabs>
          <w:tab w:leader="none" w:pos="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JAPAN CO-DEVELOPMENT PLAN. The Parties acknowledge that finalization of a plan for Development of the VEGF Products in Japan (the "Japan Development Plan") will require close interaction between the Parties as well as</w:t>
      </w:r>
    </w:p>
    <w:p>
      <w:pPr>
        <w:spacing w:after="0" w:line="2" w:lineRule="exact"/>
        <w:rPr>
          <w:rFonts w:ascii="Courier New" w:cs="Courier New" w:eastAsia="Courier New" w:hAnsi="Courier New"/>
          <w:sz w:val="16"/>
          <w:szCs w:val="16"/>
          <w:color w:val="auto"/>
        </w:rPr>
      </w:pPr>
    </w:p>
    <w:p>
      <w:pPr>
        <w:ind w:left="581" w:right="245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Toward that end, the Parties shall each expend such necessary internal resources as required for timely finalization of the Japan Development Plan. The JDC shall finalize, and the JSC shall approve, the Japan Development Plan as soon as reasonably practicable following the date of this Third Amendment, which shall incorporate the activities, timelines, and budget included in Schedule 3 attached hereto unless otherwise mutually agreed to by the Parties. The Parties presently anticipate that it will be possible to finalize a Japan Development Plan within ********* of the date hereof. It is understood that the Development plan attached hereto is preliminary, and that the Scenarios outlined in the "Timelines and Costs" section are nonbinding. It is understood that, at present, Scenario 2 is the most probable scenario based upon regulatory approvals and current conditions in the Japan market. The JSC approved development plan for Japan shall be incorporated into and made a part of the Co-Development Plan.</w:t>
      </w:r>
    </w:p>
    <w:p>
      <w:pPr>
        <w:spacing w:after="0" w:line="96" w:lineRule="exact"/>
        <w:rPr>
          <w:rFonts w:ascii="Courier New" w:cs="Courier New" w:eastAsia="Courier New" w:hAnsi="Courier New"/>
          <w:sz w:val="16"/>
          <w:szCs w:val="16"/>
          <w:color w:val="auto"/>
        </w:rPr>
      </w:pPr>
    </w:p>
    <w:p>
      <w:pPr>
        <w:ind w:left="581" w:right="2459" w:hanging="581"/>
        <w:spacing w:after="0" w:line="287" w:lineRule="auto"/>
        <w:tabs>
          <w:tab w:leader="none" w:pos="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EFFECT. Except as specifically modified by this Third Amendment, all of the provisions of the Collaboration Agreement are hereby ratified and confirmed to be in full force and effect, and shall remain in full force and effect.</w:t>
      </w:r>
    </w:p>
    <w:p>
      <w:pPr>
        <w:spacing w:after="0" w:line="64" w:lineRule="exact"/>
        <w:rPr>
          <w:rFonts w:ascii="Courier New" w:cs="Courier New" w:eastAsia="Courier New" w:hAnsi="Courier New"/>
          <w:sz w:val="16"/>
          <w:szCs w:val="16"/>
          <w:color w:val="auto"/>
        </w:rPr>
      </w:pPr>
    </w:p>
    <w:p>
      <w:pPr>
        <w:ind w:left="581" w:right="2459" w:hanging="581"/>
        <w:spacing w:after="0" w:line="261" w:lineRule="auto"/>
        <w:tabs>
          <w:tab w:leader="none" w:pos="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SUCCESSORS AND ASSIGNS. The Collaboration Agreement, this Third Amendment, and any written agreements executed by both Parties pertaining to the subject matter therein, constitute the entire agreement between the Parties hereto with respect to subject matter hereof and thereof. Said documents supersede all other agreements and understandings between the Parties with respect to the subject matter hereof and thereof, whether written or oral. This Third Amendment shall be binding upon and shall inure to the benefit of the Parties and their respective heirs, administrators, executors, Affiliates, successors and permitted assigns.</w:t>
      </w:r>
    </w:p>
    <w:p>
      <w:pPr>
        <w:spacing w:after="0" w:line="89" w:lineRule="exact"/>
        <w:rPr>
          <w:rFonts w:ascii="Courier New" w:cs="Courier New" w:eastAsia="Courier New" w:hAnsi="Courier New"/>
          <w:sz w:val="16"/>
          <w:szCs w:val="16"/>
          <w:color w:val="auto"/>
        </w:rPr>
      </w:pPr>
    </w:p>
    <w:p>
      <w:pPr>
        <w:ind w:left="581" w:right="2659" w:hanging="581"/>
        <w:spacing w:after="0" w:line="307" w:lineRule="auto"/>
        <w:tabs>
          <w:tab w:leader="none" w:pos="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headings contained in this Third Amendment are for reference purposes only and shall not affect in any way the meaning or interpretation of this Third Amendment.</w:t>
      </w:r>
    </w:p>
    <w:p>
      <w:pPr>
        <w:spacing w:after="0" w:line="49" w:lineRule="exact"/>
        <w:rPr>
          <w:rFonts w:ascii="Courier New" w:cs="Courier New" w:eastAsia="Courier New" w:hAnsi="Courier New"/>
          <w:sz w:val="16"/>
          <w:szCs w:val="16"/>
          <w:color w:val="auto"/>
        </w:rPr>
      </w:pPr>
    </w:p>
    <w:p>
      <w:pPr>
        <w:ind w:left="581" w:right="2459" w:hanging="581"/>
        <w:spacing w:after="0" w:line="287" w:lineRule="auto"/>
        <w:tabs>
          <w:tab w:leader="none" w:pos="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Third Amendment may be executed in one or more counterparts, all of which shall be considered one and the same agreement, and shall become a binding agreement when one or more counterparts have been signed by each Party and delivered to the other Party.</w:t>
      </w:r>
    </w:p>
    <w:p>
      <w:pPr>
        <w:spacing w:after="0" w:line="64" w:lineRule="exact"/>
        <w:rPr>
          <w:rFonts w:ascii="Courier New" w:cs="Courier New" w:eastAsia="Courier New" w:hAnsi="Courier New"/>
          <w:sz w:val="16"/>
          <w:szCs w:val="16"/>
          <w:color w:val="auto"/>
        </w:rPr>
      </w:pPr>
    </w:p>
    <w:p>
      <w:pPr>
        <w:ind w:left="581" w:right="2459" w:hanging="581"/>
        <w:spacing w:after="0" w:line="258" w:lineRule="auto"/>
        <w:tabs>
          <w:tab w:leader="none" w:pos="5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Third Amendment shall be governed by the laws of the State of New York, without regard to its principles of conflicts of laws. Each Party hereby irrevocably and unconditionally consents to the exclusive jurisdiction of the courts of the State of New York, and the United States District Court for the Southern District of New York for any action, suit or proceeding arising out of or relating to this Third Amendment, waives any objections to such jurisdiction and venue and agrees not to commence any action, suit or proceeding relating to this Third Amendment except in such courts. This Third Amendment supersedes all prior understandings and agreements, whether written or oral, among the Parties hereto relating to the essence of this Third</w:t>
      </w:r>
    </w:p>
    <w:p>
      <w:pPr>
        <w:spacing w:after="0" w:line="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46" w:right="1440" w:bottom="1440" w:gutter="0" w:footer="0" w:header="0"/>
        </w:sectPr>
      </w:pPr>
    </w:p>
    <w:bookmarkStart w:id="95" w:name="page96"/>
    <w:bookmarkEnd w:id="95"/>
    <w:p>
      <w:pPr>
        <w:ind w:right="2859"/>
        <w:spacing w:after="0" w:line="287" w:lineRule="auto"/>
        <w:rPr>
          <w:sz w:val="20"/>
          <w:szCs w:val="20"/>
          <w:color w:val="auto"/>
        </w:rPr>
      </w:pPr>
      <w:r>
        <w:rPr>
          <w:rFonts w:ascii="Courier New" w:cs="Courier New" w:eastAsia="Courier New" w:hAnsi="Courier New"/>
          <w:sz w:val="16"/>
          <w:szCs w:val="16"/>
          <w:color w:val="auto"/>
        </w:rPr>
        <w:t>Amendment. If there is a direct conflict between the provisions of the Collaboration Agreement and this Third Amendment, this Third Amendment shall govern. This Third Amendment may be amended only by a written instrument executed by each of the Parties.</w:t>
      </w:r>
    </w:p>
    <w:p>
      <w:pPr>
        <w:spacing w:after="0" w:line="6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[SIGNATURES APPEAR ON FOLLOWING PAGE]</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639"/>
          </w:cols>
          <w:pgMar w:left="820" w:top="646" w:right="1440" w:bottom="1440" w:gutter="0" w:footer="0" w:header="0"/>
        </w:sectPr>
      </w:pPr>
    </w:p>
    <w:bookmarkStart w:id="96" w:name="page97"/>
    <w:bookmarkEnd w:id="96"/>
    <w:p>
      <w:pPr>
        <w:ind w:right="2459" w:firstLine="581"/>
        <w:spacing w:after="0" w:line="367" w:lineRule="auto"/>
        <w:rPr>
          <w:sz w:val="20"/>
          <w:szCs w:val="20"/>
          <w:color w:val="auto"/>
        </w:rPr>
      </w:pPr>
      <w:r>
        <w:rPr>
          <w:rFonts w:ascii="Courier New" w:cs="Courier New" w:eastAsia="Courier New" w:hAnsi="Courier New"/>
          <w:sz w:val="16"/>
          <w:szCs w:val="16"/>
          <w:color w:val="auto"/>
        </w:rPr>
        <w:t>IN WITNESS WHEREOF, each of the Parties has caused this Third Amendment to be executed as of the date hereof by a duly authorized corporate officer.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AVENTIS PHARMACEUTICALS INC.</w:t>
      </w:r>
    </w:p>
    <w:p>
      <w:pPr>
        <w:spacing w:after="0" w:line="191" w:lineRule="exact"/>
        <w:rPr>
          <w:sz w:val="20"/>
          <w:szCs w:val="20"/>
          <w:color w:val="auto"/>
        </w:rPr>
      </w:pPr>
    </w:p>
    <w:p>
      <w:pPr>
        <w:jc w:val="center"/>
        <w:ind w:right="-1420"/>
        <w:spacing w:after="0"/>
        <w:tabs>
          <w:tab w:leader="none" w:pos="180" w:val="left"/>
        </w:tabs>
        <w:rPr>
          <w:sz w:val="20"/>
          <w:szCs w:val="20"/>
          <w:color w:val="auto"/>
        </w:rPr>
      </w:pPr>
      <w:r>
        <w:rPr>
          <w:rFonts w:ascii="Courier New" w:cs="Courier New" w:eastAsia="Courier New" w:hAnsi="Courier New"/>
          <w:sz w:val="16"/>
          <w:szCs w:val="16"/>
          <w:color w:val="auto"/>
        </w:rPr>
        <w:t>By:</w:t>
        <w:tab/>
        <w:t>/s/ Juergen Lasowski</w:t>
      </w:r>
    </w:p>
    <w:p>
      <w:pPr>
        <w:spacing w:after="0" w:line="3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Name: Juergen Lasowski</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Vice President, Business</w:t>
      </w:r>
    </w:p>
    <w:p>
      <w:pPr>
        <w:spacing w:after="0" w:line="3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Development and Strategy</w:t>
      </w:r>
    </w:p>
    <w:p>
      <w:pPr>
        <w:spacing w:after="0" w:line="161" w:lineRule="exact"/>
        <w:rPr>
          <w:sz w:val="20"/>
          <w:szCs w:val="20"/>
          <w:color w:val="auto"/>
        </w:rPr>
      </w:pPr>
    </w:p>
    <w:p>
      <w:pPr>
        <w:ind w:left="3880"/>
        <w:spacing w:after="0"/>
        <w:tabs>
          <w:tab w:leader="none" w:pos="4540" w:val="left"/>
        </w:tabs>
        <w:rPr>
          <w:sz w:val="20"/>
          <w:szCs w:val="20"/>
          <w:color w:val="auto"/>
        </w:rPr>
      </w:pPr>
      <w:r>
        <w:rPr>
          <w:rFonts w:ascii="Courier New" w:cs="Courier New" w:eastAsia="Courier New" w:hAnsi="Courier New"/>
          <w:sz w:val="16"/>
          <w:szCs w:val="16"/>
          <w:color w:val="auto"/>
        </w:rPr>
        <w:t>Date:</w:t>
        <w:tab/>
        <w:t>December 21, 2005</w:t>
      </w:r>
    </w:p>
    <w:p>
      <w:pPr>
        <w:spacing w:after="0" w:line="191" w:lineRule="exact"/>
        <w:rPr>
          <w:sz w:val="20"/>
          <w:szCs w:val="20"/>
          <w:color w:val="auto"/>
        </w:rPr>
      </w:pPr>
    </w:p>
    <w:p>
      <w:pPr>
        <w:jc w:val="center"/>
        <w:ind w:right="-1420"/>
        <w:spacing w:after="0"/>
        <w:tabs>
          <w:tab w:leader="none" w:pos="180" w:val="left"/>
        </w:tabs>
        <w:rPr>
          <w:sz w:val="20"/>
          <w:szCs w:val="20"/>
          <w:color w:val="auto"/>
        </w:rPr>
      </w:pPr>
      <w:r>
        <w:rPr>
          <w:rFonts w:ascii="Courier New" w:cs="Courier New" w:eastAsia="Courier New" w:hAnsi="Courier New"/>
          <w:sz w:val="16"/>
          <w:szCs w:val="16"/>
          <w:color w:val="auto"/>
        </w:rPr>
        <w:t>By:</w:t>
        <w:tab/>
        <w:t>/s/ Gregory Irace</w:t>
      </w:r>
    </w:p>
    <w:p>
      <w:pPr>
        <w:spacing w:after="0" w:line="3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880"/>
        <w:spacing w:after="0"/>
        <w:tabs>
          <w:tab w:leader="none" w:pos="4540" w:val="left"/>
        </w:tabs>
        <w:rPr>
          <w:sz w:val="20"/>
          <w:szCs w:val="20"/>
          <w:color w:val="auto"/>
        </w:rPr>
      </w:pPr>
      <w:r>
        <w:rPr>
          <w:rFonts w:ascii="Courier New" w:cs="Courier New" w:eastAsia="Courier New" w:hAnsi="Courier New"/>
          <w:sz w:val="16"/>
          <w:szCs w:val="16"/>
          <w:color w:val="auto"/>
        </w:rPr>
        <w:t>Name:</w:t>
        <w:tab/>
        <w:t>Gregory Irace</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Title: Chief Financial Officer</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Date: December 21, 2005</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REGENERON PHARMACEUTICALS, INC.</w:t>
      </w:r>
    </w:p>
    <w:p>
      <w:pPr>
        <w:spacing w:after="0" w:line="191" w:lineRule="exact"/>
        <w:rPr>
          <w:sz w:val="20"/>
          <w:szCs w:val="20"/>
          <w:color w:val="auto"/>
        </w:rPr>
      </w:pPr>
    </w:p>
    <w:p>
      <w:pPr>
        <w:jc w:val="center"/>
        <w:ind w:right="-1420"/>
        <w:spacing w:after="0"/>
        <w:tabs>
          <w:tab w:leader="none" w:pos="180" w:val="left"/>
        </w:tabs>
        <w:rPr>
          <w:sz w:val="20"/>
          <w:szCs w:val="20"/>
          <w:color w:val="auto"/>
        </w:rPr>
      </w:pPr>
      <w:r>
        <w:rPr>
          <w:rFonts w:ascii="Courier New" w:cs="Courier New" w:eastAsia="Courier New" w:hAnsi="Courier New"/>
          <w:sz w:val="16"/>
          <w:szCs w:val="16"/>
          <w:color w:val="auto"/>
        </w:rPr>
        <w:t>By:</w:t>
        <w:tab/>
        <w:t>/s/ Murray Goldberg</w:t>
      </w:r>
    </w:p>
    <w:p>
      <w:pPr>
        <w:spacing w:after="0" w:line="3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880"/>
        <w:spacing w:after="0"/>
        <w:tabs>
          <w:tab w:leader="none" w:pos="45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Murray Goldberg</w:t>
      </w:r>
    </w:p>
    <w:p>
      <w:pPr>
        <w:spacing w:after="0" w:line="191" w:lineRule="exact"/>
        <w:rPr>
          <w:sz w:val="20"/>
          <w:szCs w:val="20"/>
          <w:color w:val="auto"/>
        </w:rPr>
      </w:pPr>
    </w:p>
    <w:p>
      <w:pPr>
        <w:ind w:left="3880"/>
        <w:spacing w:after="0"/>
        <w:tabs>
          <w:tab w:leader="none" w:pos="4640" w:val="left"/>
        </w:tabs>
        <w:rPr>
          <w:sz w:val="20"/>
          <w:szCs w:val="20"/>
          <w:color w:val="auto"/>
        </w:rPr>
      </w:pPr>
      <w:r>
        <w:rPr>
          <w:rFonts w:ascii="Courier New" w:cs="Courier New" w:eastAsia="Courier New" w:hAnsi="Courier New"/>
          <w:sz w:val="16"/>
          <w:szCs w:val="16"/>
          <w:color w:val="auto"/>
        </w:rPr>
        <w:t>Title:</w:t>
        <w:tab/>
        <w:t>SVP, Finance &amp; Administration</w:t>
      </w:r>
    </w:p>
    <w:p>
      <w:pPr>
        <w:spacing w:after="0" w:line="3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and CFO</w:t>
      </w:r>
    </w:p>
    <w:p>
      <w:pPr>
        <w:spacing w:after="0" w:line="161" w:lineRule="exact"/>
        <w:rPr>
          <w:sz w:val="20"/>
          <w:szCs w:val="20"/>
          <w:color w:val="auto"/>
        </w:rPr>
      </w:pPr>
    </w:p>
    <w:p>
      <w:pPr>
        <w:jc w:val="center"/>
        <w:ind w:right="139"/>
        <w:spacing w:after="0"/>
        <w:tabs>
          <w:tab w:leader="none" w:pos="180" w:val="left"/>
        </w:tabs>
        <w:rPr>
          <w:sz w:val="20"/>
          <w:szCs w:val="20"/>
          <w:color w:val="auto"/>
        </w:rPr>
      </w:pPr>
      <w:r>
        <w:rPr>
          <w:rFonts w:ascii="Courier New" w:cs="Courier New" w:eastAsia="Courier New" w:hAnsi="Courier New"/>
          <w:sz w:val="16"/>
          <w:szCs w:val="16"/>
          <w:color w:val="auto"/>
        </w:rPr>
        <w:t>Date:</w:t>
        <w:tab/>
        <w:t>December 21, 2005</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6" w:right="1440" w:bottom="1440" w:gutter="0" w:footer="0" w:header="0"/>
        </w:sectPr>
      </w:pPr>
    </w:p>
    <w:bookmarkStart w:id="97" w:name="page98"/>
    <w:bookmarkEnd w:id="97"/>
    <w:p>
      <w:pPr>
        <w:ind w:left="3400"/>
        <w:spacing w:after="0"/>
        <w:rPr>
          <w:sz w:val="20"/>
          <w:szCs w:val="20"/>
          <w:color w:val="auto"/>
        </w:rPr>
      </w:pPr>
      <w:r>
        <w:rPr>
          <w:rFonts w:ascii="Courier New" w:cs="Courier New" w:eastAsia="Courier New" w:hAnsi="Courier New"/>
          <w:sz w:val="16"/>
          <w:szCs w:val="16"/>
          <w:color w:val="auto"/>
        </w:rPr>
        <w:t>SCHEDULE 1</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Quarterly True-Up</w:t>
      </w:r>
    </w:p>
    <w:p>
      <w:pPr>
        <w:spacing w:after="0" w:line="191"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The true-up in a calendar quarter (the "Quarterly True-Up") shall be equal to the sum of the Major Market True-Up (as set forth in Part I), plus the Rest of World True-Up (as set forth in Part II), plus the Regeneron Development Reimbursement Amount (as set forth in Part III), plus the Japan True-Up (as set forth in Schedule 1A), less the Development Payment (commencing in the calendar quarter of the First Commercial Sale of a VEGF Product in any country in the Territory other than Japan) (as set forth in Part IV). In the event that the Quarterly True-Up is an amount greater than zero, such amount will be payable by Aventis to Regeneron in accordance with the terms set forth in Section 9.3. In the event that the Quarterly True-Up is an amount less than zero, the absolute value of such amount shall be payable by Regeneron to Aventis in accordance with the terms set forth in Section 9.3. An example of the Quarterly True-up is shown in Part V.</w:t>
      </w:r>
    </w:p>
    <w:p>
      <w:pPr>
        <w:spacing w:after="0" w:line="96"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I. MAJOR MARKET TRUE-UP</w:t>
      </w:r>
    </w:p>
    <w:p>
      <w:pPr>
        <w:spacing w:after="0" w:line="191" w:lineRule="exact"/>
        <w:rPr>
          <w:sz w:val="20"/>
          <w:szCs w:val="20"/>
          <w:color w:val="auto"/>
        </w:rPr>
      </w:pPr>
    </w:p>
    <w:p>
      <w:pPr>
        <w:ind w:right="2559"/>
        <w:spacing w:after="0" w:line="258" w:lineRule="auto"/>
        <w:rPr>
          <w:sz w:val="20"/>
          <w:szCs w:val="20"/>
          <w:color w:val="auto"/>
        </w:rPr>
      </w:pPr>
      <w:r>
        <w:rPr>
          <w:rFonts w:ascii="Courier New" w:cs="Courier New" w:eastAsia="Courier New" w:hAnsi="Courier New"/>
          <w:sz w:val="16"/>
          <w:szCs w:val="16"/>
          <w:color w:val="auto"/>
        </w:rPr>
        <w:t>The "Major Market True-Up" shall mean the Major Market Profit Split, plus 100% of Shared Promotion Expenses incurred by Regeneron. The "Major Market Profit Split" shall mean the product of (x) aggregate Net Sales in Major Market Countries less aggregate VEGF Product Expenses, and (y) .50. "VEGF Product Expenses" shall mean the sum of COGS and Shared Promotion Expenses incurred by both Parties for such calendar quarter. For the avoidance of doubt, the Major Market Profit Split shall apply independent of the detailing effort provided by either Party, such that, for example, if Regeneron provided none of the detailing efforts, it will still be entitled to 50% of the sum of aggregate Net Sales in the Major Market Countries less aggregate VEGF Product Expenses in Major Market Countries.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example of a calculation for a Major Market True-Up would be:</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4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Aggregate</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Aventis</w:t>
            </w:r>
          </w:p>
        </w:tc>
        <w:tc>
          <w:tcPr>
            <w:tcW w:w="1320" w:type="dxa"/>
            <w:vAlign w:val="bottom"/>
          </w:tcPr>
          <w:p>
            <w:pPr>
              <w:ind w:left="160"/>
              <w:spacing w:after="0"/>
              <w:rPr>
                <w:sz w:val="20"/>
                <w:szCs w:val="20"/>
                <w:color w:val="auto"/>
              </w:rPr>
            </w:pPr>
            <w:r>
              <w:rPr>
                <w:rFonts w:ascii="Courier New" w:cs="Courier New" w:eastAsia="Courier New" w:hAnsi="Courier New"/>
                <w:sz w:val="16"/>
                <w:szCs w:val="16"/>
                <w:color w:val="auto"/>
              </w:rPr>
              <w:t>Regeneron</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50%</w:t>
            </w:r>
          </w:p>
        </w:tc>
        <w:tc>
          <w:tcPr>
            <w:tcW w:w="1320" w:type="dxa"/>
            <w:vAlign w:val="bottom"/>
          </w:tcPr>
          <w:p>
            <w:pPr>
              <w:ind w:left="160"/>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Net Sales in Major Market Countries</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1000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VEGF Product Expenses:</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960" w:type="dxa"/>
            <w:vAlign w:val="bottom"/>
          </w:tcPr>
          <w:p>
            <w:pPr>
              <w:ind w:left="380"/>
              <w:spacing w:after="0"/>
              <w:rPr>
                <w:sz w:val="20"/>
                <w:szCs w:val="20"/>
                <w:color w:val="auto"/>
              </w:rPr>
            </w:pPr>
            <w:r>
              <w:rPr>
                <w:rFonts w:ascii="Courier New" w:cs="Courier New" w:eastAsia="Courier New" w:hAnsi="Courier New"/>
                <w:sz w:val="16"/>
                <w:szCs w:val="16"/>
                <w:color w:val="auto"/>
              </w:rPr>
              <w:t>COGS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960" w:type="dxa"/>
            <w:vAlign w:val="bottom"/>
          </w:tcPr>
          <w:p>
            <w:pPr>
              <w:ind w:left="380"/>
              <w:spacing w:after="0"/>
              <w:rPr>
                <w:sz w:val="20"/>
                <w:szCs w:val="20"/>
                <w:color w:val="auto"/>
              </w:rPr>
            </w:pPr>
            <w:r>
              <w:rPr>
                <w:rFonts w:ascii="Courier New" w:cs="Courier New" w:eastAsia="Courier New" w:hAnsi="Courier New"/>
                <w:sz w:val="16"/>
                <w:szCs w:val="16"/>
                <w:color w:val="auto"/>
              </w:rPr>
              <w:t>Shared Promotion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186"/>
        </w:trPr>
        <w:tc>
          <w:tcPr>
            <w:tcW w:w="36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income or expenses incurred</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3640" w:type="dxa"/>
            <w:vAlign w:val="bottom"/>
            <w:gridSpan w:val="2"/>
            <w:vMerge w:val="continue"/>
          </w:tcPr>
          <w:p>
            <w:pPr>
              <w:spacing w:after="0"/>
              <w:rPr>
                <w:sz w:val="23"/>
                <w:szCs w:val="23"/>
                <w:color w:val="auto"/>
              </w:rPr>
            </w:pP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400</w:t>
            </w: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500</w:t>
            </w:r>
          </w:p>
        </w:tc>
        <w:tc>
          <w:tcPr>
            <w:tcW w:w="13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373"/>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Major Market Profit-Split</w:t>
            </w:r>
          </w:p>
        </w:tc>
        <w:tc>
          <w:tcPr>
            <w:tcW w:w="1540" w:type="dxa"/>
            <w:vAlign w:val="bottom"/>
          </w:tcPr>
          <w:p>
            <w:pPr>
              <w:spacing w:after="0"/>
              <w:rPr>
                <w:sz w:val="24"/>
                <w:szCs w:val="24"/>
                <w:color w:val="auto"/>
              </w:rPr>
            </w:pPr>
          </w:p>
        </w:tc>
        <w:tc>
          <w:tcPr>
            <w:tcW w:w="11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w:t>
            </w:r>
          </w:p>
        </w:tc>
        <w:tc>
          <w:tcPr>
            <w:tcW w:w="0" w:type="dxa"/>
            <w:vAlign w:val="bottom"/>
          </w:tcPr>
          <w:p>
            <w:pPr>
              <w:spacing w:after="0"/>
              <w:rPr>
                <w:sz w:val="1"/>
                <w:szCs w:val="1"/>
                <w:color w:val="auto"/>
              </w:rPr>
            </w:pPr>
          </w:p>
        </w:tc>
      </w:tr>
      <w:tr>
        <w:trPr>
          <w:trHeight w:val="373"/>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Major Market True-Up</w:t>
            </w:r>
          </w:p>
        </w:tc>
        <w:tc>
          <w:tcPr>
            <w:tcW w:w="1540" w:type="dxa"/>
            <w:vAlign w:val="bottom"/>
          </w:tcPr>
          <w:p>
            <w:pPr>
              <w:spacing w:after="0"/>
              <w:rPr>
                <w:sz w:val="24"/>
                <w:szCs w:val="24"/>
                <w:color w:val="auto"/>
              </w:rPr>
            </w:pP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(300)</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300</w:t>
            </w:r>
          </w:p>
        </w:tc>
        <w:tc>
          <w:tcPr>
            <w:tcW w:w="0" w:type="dxa"/>
            <w:vAlign w:val="bottom"/>
          </w:tcPr>
          <w:p>
            <w:pPr>
              <w:spacing w:after="0"/>
              <w:rPr>
                <w:sz w:val="1"/>
                <w:szCs w:val="1"/>
                <w:color w:val="auto"/>
              </w:rPr>
            </w:pPr>
          </w:p>
        </w:tc>
      </w:tr>
      <w:tr>
        <w:trPr>
          <w:trHeight w:val="559"/>
        </w:trPr>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40" w:type="dxa"/>
            <w:vAlign w:val="bottom"/>
          </w:tcPr>
          <w:p>
            <w:pPr>
              <w:jc w:val="right"/>
              <w:ind w:right="1219"/>
              <w:spacing w:after="0"/>
              <w:rPr>
                <w:sz w:val="20"/>
                <w:szCs w:val="20"/>
                <w:color w:val="auto"/>
              </w:rPr>
            </w:pPr>
            <w:r>
              <w:rPr>
                <w:rFonts w:ascii="Courier New" w:cs="Courier New" w:eastAsia="Courier New" w:hAnsi="Courier New"/>
                <w:sz w:val="16"/>
                <w:szCs w:val="16"/>
                <w:color w:val="auto"/>
              </w:rPr>
              <w:t>7</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6" w:right="1440" w:bottom="1440" w:gutter="0" w:footer="0" w:header="0"/>
        </w:sectPr>
      </w:pPr>
    </w:p>
    <w:bookmarkStart w:id="98" w:name="page99"/>
    <w:bookmarkEnd w:id="98"/>
    <w:p>
      <w:pPr>
        <w:jc w:val="center"/>
        <w:ind w:right="2359"/>
        <w:spacing w:after="0"/>
        <w:rPr>
          <w:sz w:val="20"/>
          <w:szCs w:val="20"/>
          <w:color w:val="auto"/>
        </w:rPr>
      </w:pPr>
      <w:r>
        <w:rPr>
          <w:rFonts w:ascii="Courier New" w:cs="Courier New" w:eastAsia="Courier New" w:hAnsi="Courier New"/>
          <w:sz w:val="16"/>
          <w:szCs w:val="16"/>
          <w:color w:val="auto"/>
        </w:rPr>
        <w:t>II. REST OF WORLD TRUE-UP</w:t>
      </w:r>
    </w:p>
    <w:p>
      <w:pPr>
        <w:spacing w:after="0" w:line="191" w:lineRule="exact"/>
        <w:rPr>
          <w:sz w:val="20"/>
          <w:szCs w:val="20"/>
          <w:color w:val="auto"/>
        </w:rPr>
      </w:pPr>
    </w:p>
    <w:p>
      <w:pPr>
        <w:ind w:right="2559"/>
        <w:spacing w:after="0" w:line="276" w:lineRule="auto"/>
        <w:rPr>
          <w:sz w:val="20"/>
          <w:szCs w:val="20"/>
          <w:color w:val="auto"/>
        </w:rPr>
      </w:pPr>
      <w:r>
        <w:rPr>
          <w:rFonts w:ascii="Courier New" w:cs="Courier New" w:eastAsia="Courier New" w:hAnsi="Courier New"/>
          <w:sz w:val="16"/>
          <w:szCs w:val="16"/>
          <w:color w:val="auto"/>
        </w:rPr>
        <w:t>The "Rest of World True-Up" shall mean the Rest of World Profit Split plus 100% of Regeneron's Sales Force Costs and Regeneron's Medical Affairs Costs, in each case as it relates to a Rest of World Country. The "Rest of World Profit Split" shall mean the product of (x)**************************, (y) ***************** ******, and (z) .50.</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example of a calculation for a Rest of World True-Up would be:</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4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Aggregate</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Aventis</w:t>
            </w:r>
          </w:p>
        </w:tc>
        <w:tc>
          <w:tcPr>
            <w:tcW w:w="1160" w:type="dxa"/>
            <w:vAlign w:val="bottom"/>
          </w:tcPr>
          <w:p>
            <w:pPr>
              <w:ind w:left="180"/>
              <w:spacing w:after="0"/>
              <w:rPr>
                <w:sz w:val="20"/>
                <w:szCs w:val="20"/>
                <w:color w:val="auto"/>
              </w:rPr>
            </w:pPr>
            <w:r>
              <w:rPr>
                <w:rFonts w:ascii="Courier New" w:cs="Courier New" w:eastAsia="Courier New" w:hAnsi="Courier New"/>
                <w:sz w:val="16"/>
                <w:szCs w:val="16"/>
                <w:color w:val="auto"/>
              </w:rPr>
              <w:t>Regeneron</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50%</w:t>
            </w:r>
          </w:p>
        </w:tc>
        <w:tc>
          <w:tcPr>
            <w:tcW w:w="1160" w:type="dxa"/>
            <w:vAlign w:val="bottom"/>
          </w:tcPr>
          <w:p>
            <w:pPr>
              <w:ind w:left="180"/>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273"/>
        </w:trPr>
        <w:tc>
          <w:tcPr>
            <w:tcW w:w="3780" w:type="dxa"/>
            <w:vAlign w:val="bottom"/>
          </w:tcPr>
          <w:p>
            <w:pPr>
              <w:spacing w:after="0"/>
              <w:rPr>
                <w:sz w:val="23"/>
                <w:szCs w:val="23"/>
                <w:color w:val="auto"/>
              </w:rPr>
            </w:pP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Net Sales in Rest of World Countries</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780" w:type="dxa"/>
            <w:vAlign w:val="bottom"/>
          </w:tcPr>
          <w:p>
            <w:pPr>
              <w:spacing w:after="0"/>
              <w:rPr>
                <w:sz w:val="20"/>
                <w:szCs w:val="20"/>
                <w:color w:val="auto"/>
              </w:rPr>
            </w:pPr>
            <w:r>
              <w:rPr>
                <w:rFonts w:ascii="Courier New" w:cs="Courier New" w:eastAsia="Courier New" w:hAnsi="Courier New"/>
                <w:sz w:val="16"/>
                <w:szCs w:val="16"/>
                <w:color w:val="auto"/>
              </w:rPr>
              <w:t>Regeneron Sales Force Cost</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2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Regeneron Medical Affairs Cost</w:t>
            </w:r>
          </w:p>
        </w:tc>
        <w:tc>
          <w:tcPr>
            <w:tcW w:w="1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780" w:type="dxa"/>
            <w:vAlign w:val="bottom"/>
          </w:tcPr>
          <w:p>
            <w:pPr>
              <w:spacing w:after="0"/>
              <w:rPr>
                <w:sz w:val="20"/>
                <w:szCs w:val="20"/>
                <w:color w:val="auto"/>
              </w:rPr>
            </w:pPr>
            <w:r>
              <w:rPr>
                <w:rFonts w:ascii="Courier New" w:cs="Courier New" w:eastAsia="Courier New" w:hAnsi="Courier New"/>
                <w:sz w:val="16"/>
                <w:szCs w:val="16"/>
                <w:color w:val="auto"/>
              </w:rPr>
              <w:t>Rest of World Profit Split</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73"/>
        </w:trPr>
        <w:tc>
          <w:tcPr>
            <w:tcW w:w="3780" w:type="dxa"/>
            <w:vAlign w:val="bottom"/>
          </w:tcPr>
          <w:p>
            <w:pPr>
              <w:spacing w:after="0"/>
              <w:rPr>
                <w:sz w:val="23"/>
                <w:szCs w:val="23"/>
                <w:color w:val="auto"/>
              </w:rPr>
            </w:pP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Rest of World True-Up</w:t>
            </w:r>
          </w:p>
        </w:tc>
        <w:tc>
          <w:tcPr>
            <w:tcW w:w="1460" w:type="dxa"/>
            <w:vAlign w:val="bottom"/>
          </w:tcPr>
          <w:p>
            <w:pPr>
              <w:spacing w:after="0"/>
              <w:rPr>
                <w:sz w:val="24"/>
                <w:szCs w:val="24"/>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III. REGENERON DEVELOPMENT REIMBURSEMENT</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The "Regeneron Development Reimbursement Amount" shall mean the aggregate amount of Development Costs incurred by Regeneron anywhere in the Territory (including Japan) in such calendar quarter.</w:t>
      </w:r>
    </w:p>
    <w:p>
      <w:pPr>
        <w:spacing w:after="0" w:line="50"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6"/>
          <w:szCs w:val="16"/>
          <w:color w:val="auto"/>
        </w:rPr>
        <w:t>An example of the Regeneron Development Reimbursement Amount would be:</w:t>
      </w:r>
      <w:r>
        <w:rPr>
          <w:sz w:val="20"/>
          <w:szCs w:val="20"/>
          <w:color w:val="auto"/>
        </w:rPr>
        <w:tab/>
      </w:r>
      <w:r>
        <w:rPr>
          <w:rFonts w:ascii="Courier New" w:cs="Courier New" w:eastAsia="Courier New" w:hAnsi="Courier New"/>
          <w:sz w:val="15"/>
          <w:szCs w:val="15"/>
          <w:color w:val="auto"/>
        </w:rPr>
        <w:t>20</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IV. DEVELOPMENT PAYMENT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example of a calculation of Development Payment would be: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2240" w:type="dxa"/>
            <w:vAlign w:val="bottom"/>
            <w:vMerge w:val="restart"/>
          </w:tcPr>
          <w:p>
            <w:pPr>
              <w:ind w:left="1180"/>
              <w:spacing w:after="0"/>
              <w:rPr>
                <w:sz w:val="20"/>
                <w:szCs w:val="20"/>
                <w:color w:val="auto"/>
              </w:rPr>
            </w:pPr>
            <w:r>
              <w:rPr>
                <w:rFonts w:ascii="Courier New" w:cs="Courier New" w:eastAsia="Courier New" w:hAnsi="Courier New"/>
                <w:sz w:val="16"/>
                <w:szCs w:val="16"/>
                <w:color w:val="auto"/>
              </w:rPr>
              <w:t>Aggregate</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Aventis</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Regeneron</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50%</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273"/>
        </w:trPr>
        <w:tc>
          <w:tcPr>
            <w:tcW w:w="2800" w:type="dxa"/>
            <w:vAlign w:val="bottom"/>
          </w:tcPr>
          <w:p>
            <w:pPr>
              <w:spacing w:after="0"/>
              <w:rPr>
                <w:sz w:val="23"/>
                <w:szCs w:val="23"/>
                <w:color w:val="auto"/>
              </w:rPr>
            </w:pPr>
          </w:p>
        </w:tc>
        <w:tc>
          <w:tcPr>
            <w:tcW w:w="224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8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800" w:type="dxa"/>
            <w:vAlign w:val="bottom"/>
            <w:vMerge w:val="restart"/>
          </w:tcPr>
          <w:p>
            <w:pPr>
              <w:spacing w:after="0"/>
              <w:rPr>
                <w:sz w:val="20"/>
                <w:szCs w:val="20"/>
                <w:color w:val="auto"/>
              </w:rPr>
            </w:pPr>
            <w:r>
              <w:rPr>
                <w:rFonts w:ascii="Courier New" w:cs="Courier New" w:eastAsia="Courier New" w:hAnsi="Courier New"/>
                <w:sz w:val="16"/>
                <w:szCs w:val="16"/>
                <w:color w:val="auto"/>
              </w:rPr>
              <w:t>Development Payment</w:t>
            </w:r>
          </w:p>
        </w:tc>
        <w:tc>
          <w:tcPr>
            <w:tcW w:w="2240" w:type="dxa"/>
            <w:vAlign w:val="bottom"/>
          </w:tcPr>
          <w:p>
            <w:pPr>
              <w:ind w:left="1180"/>
              <w:spacing w:after="0"/>
              <w:rPr>
                <w:sz w:val="20"/>
                <w:szCs w:val="20"/>
                <w:color w:val="auto"/>
              </w:rPr>
            </w:pPr>
            <w:r>
              <w:rPr>
                <w:rFonts w:ascii="Courier New" w:cs="Courier New" w:eastAsia="Courier New" w:hAnsi="Courier New"/>
                <w:sz w:val="16"/>
                <w:szCs w:val="16"/>
                <w:color w:val="auto"/>
              </w:rPr>
              <w:t>-----</w:t>
            </w:r>
          </w:p>
        </w:tc>
        <w:tc>
          <w:tcPr>
            <w:tcW w:w="1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800" w:type="dxa"/>
            <w:vAlign w:val="bottom"/>
            <w:vMerge w:val="continue"/>
          </w:tcPr>
          <w:p>
            <w:pPr>
              <w:spacing w:after="0"/>
              <w:rPr>
                <w:sz w:val="23"/>
                <w:szCs w:val="23"/>
                <w:color w:val="auto"/>
              </w:rPr>
            </w:pPr>
          </w:p>
        </w:tc>
        <w:tc>
          <w:tcPr>
            <w:tcW w:w="2240" w:type="dxa"/>
            <w:vAlign w:val="bottom"/>
          </w:tcPr>
          <w:p>
            <w:pPr>
              <w:spacing w:after="0"/>
              <w:rPr>
                <w:sz w:val="23"/>
                <w:szCs w:val="23"/>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(10)</w:t>
            </w:r>
          </w:p>
        </w:tc>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559"/>
        </w:trPr>
        <w:tc>
          <w:tcPr>
            <w:tcW w:w="2800" w:type="dxa"/>
            <w:vAlign w:val="bottom"/>
          </w:tcPr>
          <w:p>
            <w:pPr>
              <w:spacing w:after="0"/>
              <w:rPr>
                <w:sz w:val="24"/>
                <w:szCs w:val="24"/>
                <w:color w:val="auto"/>
              </w:rPr>
            </w:pPr>
          </w:p>
        </w:tc>
        <w:tc>
          <w:tcPr>
            <w:tcW w:w="2240" w:type="dxa"/>
            <w:vAlign w:val="bottom"/>
          </w:tcPr>
          <w:p>
            <w:pPr>
              <w:ind w:left="980"/>
              <w:spacing w:after="0"/>
              <w:rPr>
                <w:sz w:val="20"/>
                <w:szCs w:val="20"/>
                <w:color w:val="auto"/>
              </w:rPr>
            </w:pPr>
            <w:r>
              <w:rPr>
                <w:rFonts w:ascii="Courier New" w:cs="Courier New" w:eastAsia="Courier New" w:hAnsi="Courier New"/>
                <w:sz w:val="16"/>
                <w:szCs w:val="16"/>
                <w:color w:val="auto"/>
              </w:rPr>
              <w:t>8</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05" w:right="1440"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20" w:type="dxa"/>
            <w:vAlign w:val="bottom"/>
          </w:tcPr>
          <w:p>
            <w:pPr>
              <w:ind w:left="280"/>
              <w:spacing w:after="0"/>
              <w:rPr>
                <w:sz w:val="20"/>
                <w:szCs w:val="20"/>
                <w:color w:val="auto"/>
              </w:rPr>
            </w:pPr>
            <w:r>
              <w:rPr>
                <w:rFonts w:ascii="Courier New" w:cs="Courier New" w:eastAsia="Courier New" w:hAnsi="Courier New"/>
                <w:sz w:val="16"/>
                <w:szCs w:val="16"/>
                <w:color w:val="auto"/>
              </w:rPr>
              <w:t>V. EXAMPLE OF QUARTERLY TRUE-UP</w:t>
            </w:r>
          </w:p>
        </w:tc>
        <w:tc>
          <w:tcPr>
            <w:tcW w:w="720" w:type="dxa"/>
            <w:vAlign w:val="bottom"/>
          </w:tcPr>
          <w:p>
            <w:pPr>
              <w:spacing w:after="0"/>
              <w:rPr>
                <w:sz w:val="23"/>
                <w:szCs w:val="23"/>
                <w:color w:val="auto"/>
              </w:rPr>
            </w:pP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An example of</w:t>
            </w:r>
          </w:p>
        </w:tc>
        <w:tc>
          <w:tcPr>
            <w:tcW w:w="4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 calculation of Quarterly True-up would be:</w:t>
            </w:r>
          </w:p>
        </w:tc>
        <w:tc>
          <w:tcPr>
            <w:tcW w:w="720" w:type="dxa"/>
            <w:vAlign w:val="bottom"/>
          </w:tcPr>
          <w:p>
            <w:pPr>
              <w:spacing w:after="0"/>
              <w:rPr>
                <w:sz w:val="24"/>
                <w:szCs w:val="24"/>
                <w:color w:val="auto"/>
              </w:rPr>
            </w:pPr>
          </w:p>
        </w:tc>
      </w:tr>
      <w:tr>
        <w:trPr>
          <w:trHeight w:val="37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Major Market True-up =</w:t>
            </w:r>
          </w:p>
        </w:tc>
        <w:tc>
          <w:tcPr>
            <w:tcW w:w="382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w:t>
            </w: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Rest of World</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True-up</w:t>
            </w: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w:t>
            </w: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Japan True-Up</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382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r>
      <w:tr>
        <w:trPr>
          <w:trHeight w:val="37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Regeneron Development</w:t>
            </w:r>
          </w:p>
        </w:tc>
        <w:tc>
          <w:tcPr>
            <w:tcW w:w="3820" w:type="dxa"/>
            <w:vAlign w:val="bottom"/>
          </w:tcPr>
          <w:p>
            <w:pPr>
              <w:spacing w:after="0"/>
              <w:rPr>
                <w:sz w:val="20"/>
                <w:szCs w:val="20"/>
                <w:color w:val="auto"/>
              </w:rPr>
            </w:pPr>
            <w:r>
              <w:rPr>
                <w:rFonts w:ascii="Courier New" w:cs="Courier New" w:eastAsia="Courier New" w:hAnsi="Courier New"/>
                <w:sz w:val="16"/>
                <w:szCs w:val="16"/>
                <w:color w:val="auto"/>
              </w:rPr>
              <w:t>Reimbursement Amount =</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r>
      <w:tr>
        <w:trPr>
          <w:trHeight w:val="37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Development Payment =</w:t>
            </w:r>
          </w:p>
        </w:tc>
        <w:tc>
          <w:tcPr>
            <w:tcW w:w="3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3"/>
        </w:trPr>
        <w:tc>
          <w:tcPr>
            <w:tcW w:w="2140" w:type="dxa"/>
            <w:vAlign w:val="bottom"/>
            <w:gridSpan w:val="2"/>
          </w:tcPr>
          <w:p>
            <w:pPr>
              <w:spacing w:after="0"/>
              <w:rPr>
                <w:sz w:val="20"/>
                <w:szCs w:val="20"/>
                <w:color w:val="auto"/>
              </w:rPr>
            </w:pPr>
            <w:r>
              <w:rPr>
                <w:rFonts w:ascii="Courier New" w:cs="Courier New" w:eastAsia="Courier New" w:hAnsi="Courier New"/>
                <w:sz w:val="16"/>
                <w:szCs w:val="16"/>
                <w:color w:val="auto"/>
              </w:rPr>
              <w:t>Quarterly True-up =</w:t>
            </w:r>
          </w:p>
        </w:tc>
        <w:tc>
          <w:tcPr>
            <w:tcW w:w="382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322</w:t>
            </w:r>
          </w:p>
        </w:tc>
      </w:tr>
    </w:tbl>
    <w:p>
      <w:pPr>
        <w:spacing w:after="0" w:line="100" w:lineRule="exact"/>
        <w:rPr>
          <w:sz w:val="20"/>
          <w:szCs w:val="20"/>
          <w:color w:val="auto"/>
        </w:rPr>
      </w:pPr>
    </w:p>
    <w:p>
      <w:pPr>
        <w:ind w:right="2759"/>
        <w:spacing w:after="0" w:line="367" w:lineRule="auto"/>
        <w:rPr>
          <w:sz w:val="20"/>
          <w:szCs w:val="20"/>
          <w:color w:val="auto"/>
        </w:rPr>
      </w:pPr>
      <w:r>
        <w:rPr>
          <w:rFonts w:ascii="Courier New" w:cs="Courier New" w:eastAsia="Courier New" w:hAnsi="Courier New"/>
          <w:sz w:val="16"/>
          <w:szCs w:val="16"/>
          <w:color w:val="auto"/>
        </w:rPr>
        <w:t>In this example, Aventis would pay Regeneron 322 in accordance with the terms set forth in Section 9.3.</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6" w:right="1440" w:bottom="1440" w:gutter="0" w:footer="0" w:header="0"/>
        </w:sectPr>
      </w:pPr>
    </w:p>
    <w:bookmarkStart w:id="100" w:name="page101"/>
    <w:bookmarkEnd w:id="100"/>
    <w:p>
      <w:pPr>
        <w:jc w:val="center"/>
        <w:ind w:right="2359"/>
        <w:spacing w:after="0"/>
        <w:rPr>
          <w:sz w:val="20"/>
          <w:szCs w:val="20"/>
          <w:color w:val="auto"/>
        </w:rPr>
      </w:pPr>
      <w:r>
        <w:rPr>
          <w:rFonts w:ascii="Courier New" w:cs="Courier New" w:eastAsia="Courier New" w:hAnsi="Courier New"/>
          <w:sz w:val="16"/>
          <w:szCs w:val="16"/>
          <w:color w:val="auto"/>
        </w:rPr>
        <w:t>SCHEDULE 1A</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Japan True-Up</w:t>
      </w:r>
    </w:p>
    <w:p>
      <w:pPr>
        <w:spacing w:after="0" w:line="191"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Commencing in the calendar quarter of the First Commercial Sale of a VEGF Product in Japan, the Quarterly True-Up shall include a potential payment to Regeneron (the "Japan True-Up"). The Japan True-Up shall equal the Japan Royalty Payment (as set forth in Part I), less ************* (as set forth in Part II). An example of a quarterly Japan True-Up is shown in Part III.</w:t>
      </w:r>
    </w:p>
    <w:p>
      <w:pPr>
        <w:spacing w:after="0" w:line="7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 JAPAN ROYALTY PAYMENT</w:t>
      </w:r>
    </w:p>
    <w:p>
      <w:pPr>
        <w:spacing w:after="0" w:line="191"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The Japan Royalty Payment shall equal the sum of (i) the Japan Royalty and (ii) **********. The "Japan Royalty" shall equal *******************************. The Japan Royalty Payment for a calendar quarter shall be calculated based on Net Sales in such calendar quarter using a royalty rate(s) ********************** in accordance with the formula set forth above.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set forth below:</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 in any calendar quarter shall equal ***********************</w:t>
      </w:r>
    </w:p>
    <w:p>
      <w:pPr>
        <w:spacing w:after="0" w:line="35" w:lineRule="exact"/>
        <w:rPr>
          <w:sz w:val="20"/>
          <w:szCs w:val="20"/>
          <w:color w:val="auto"/>
        </w:rPr>
      </w:pPr>
    </w:p>
    <w:p>
      <w:pPr>
        <w:ind w:right="3239"/>
        <w:spacing w:after="0" w:line="327" w:lineRule="auto"/>
        <w:rPr>
          <w:sz w:val="20"/>
          <w:szCs w:val="20"/>
          <w:color w:val="auto"/>
        </w:rPr>
      </w:pPr>
      <w:r>
        <w:rPr>
          <w:rFonts w:ascii="Courier New" w:cs="Courier New" w:eastAsia="Courier New" w:hAnsi="Courier New"/>
          <w:sz w:val="16"/>
          <w:szCs w:val="16"/>
          <w:color w:val="auto"/>
        </w:rPr>
        <w:t>****** for such calendar quarter. The ************ will be calculated as follows: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Examples of the calculation of the Japan Royalty Adjustment are shown in Section III below.</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II. ************</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420" w:hanging="483"/>
        <w:spacing w:after="0"/>
        <w:tabs>
          <w:tab w:leader="none" w:pos="2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EXAMPLES OF QUARTERLY JAPAN TRUE-UP</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Examples of calculations of a quarterly Japan True-Up would be:</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6" w:right="1440" w:bottom="1440" w:gutter="0" w:footer="0" w:header="0"/>
        </w:sectPr>
      </w:pPr>
    </w:p>
    <w:bookmarkStart w:id="101" w:name="page102"/>
    <w:bookmarkEnd w:id="101"/>
    <w:p>
      <w:pPr>
        <w:ind w:right="2859"/>
        <w:spacing w:after="0" w:line="367" w:lineRule="auto"/>
        <w:rPr>
          <w:sz w:val="20"/>
          <w:szCs w:val="20"/>
          <w:color w:val="auto"/>
        </w:rPr>
      </w:pPr>
      <w:r>
        <w:rPr>
          <w:rFonts w:ascii="Courier New" w:cs="Courier New" w:eastAsia="Courier New" w:hAnsi="Courier New"/>
          <w:sz w:val="16"/>
          <w:szCs w:val="16"/>
          <w:color w:val="auto"/>
        </w:rPr>
        <w:t>The Japan True-Up is included in the calculation of the Quarterly True-Up in accordance with Schedule 1.</w:t>
      </w:r>
    </w:p>
    <w:p>
      <w:pPr>
        <w:spacing w:after="0" w:line="5" w:lineRule="exact"/>
        <w:rPr>
          <w:sz w:val="20"/>
          <w:szCs w:val="20"/>
          <w:color w:val="auto"/>
        </w:rPr>
      </w:pPr>
    </w:p>
    <w:p>
      <w:pPr>
        <w:ind w:right="3139"/>
        <w:spacing w:after="0" w:line="367" w:lineRule="auto"/>
        <w:rPr>
          <w:sz w:val="20"/>
          <w:szCs w:val="20"/>
          <w:color w:val="auto"/>
        </w:rPr>
      </w:pPr>
      <w:r>
        <w:rPr>
          <w:rFonts w:ascii="Courier New" w:cs="Courier New" w:eastAsia="Courier New" w:hAnsi="Courier New"/>
          <w:sz w:val="16"/>
          <w:szCs w:val="16"/>
          <w:color w:val="auto"/>
        </w:rPr>
        <w:t>For the avoidance of doubt, in no event shall the Japan True-Up require a payment from Regeneron to Aventis.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6" w:right="1440" w:bottom="1440" w:gutter="0" w:footer="0" w:header="0"/>
        </w:sectPr>
      </w:pPr>
    </w:p>
    <w:bookmarkStart w:id="102" w:name="page103"/>
    <w:bookmarkEnd w:id="102"/>
    <w:tbl>
      <w:tblPr>
        <w:tblLayout w:type="fixed"/>
        <w:tblInd w:w="1" w:type="dxa"/>
        <w:tblCellMar>
          <w:top w:w="0" w:type="dxa"/>
          <w:left w:w="0" w:type="dxa"/>
          <w:bottom w:w="0" w:type="dxa"/>
          <w:right w:w="0" w:type="dxa"/>
        </w:tblCellMar>
      </w:tblPr>
      <w:tr>
        <w:trPr>
          <w:trHeight w:val="273"/>
        </w:trPr>
        <w:tc>
          <w:tcPr>
            <w:tcW w:w="1460" w:type="dxa"/>
            <w:vAlign w:val="bottom"/>
          </w:tcPr>
          <w:p>
            <w:pPr>
              <w:spacing w:after="0"/>
              <w:rPr>
                <w:sz w:val="23"/>
                <w:szCs w:val="23"/>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SCHEDULE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r>
      <w:tr>
        <w:trPr>
          <w:trHeight w:val="373"/>
        </w:trPr>
        <w:tc>
          <w:tcPr>
            <w:tcW w:w="14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Japan Milestone</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rPr>
              <w:t>Payments</w:t>
            </w:r>
          </w:p>
        </w:tc>
      </w:tr>
      <w:tr>
        <w:trPr>
          <w:trHeight w:val="473"/>
        </w:trPr>
        <w:tc>
          <w:tcPr>
            <w:tcW w:w="1460" w:type="dxa"/>
            <w:vAlign w:val="bottom"/>
          </w:tcPr>
          <w:p>
            <w:pPr>
              <w:spacing w:after="0"/>
              <w:rPr>
                <w:sz w:val="20"/>
                <w:szCs w:val="20"/>
                <w:color w:val="auto"/>
              </w:rPr>
            </w:pPr>
            <w:r>
              <w:rPr>
                <w:rFonts w:ascii="Courier New" w:cs="Courier New" w:eastAsia="Courier New" w:hAnsi="Courier New"/>
                <w:sz w:val="16"/>
                <w:szCs w:val="16"/>
                <w:color w:val="auto"/>
              </w:rPr>
              <w:t>MILESTONE</w:t>
            </w:r>
          </w:p>
        </w:tc>
        <w:tc>
          <w:tcPr>
            <w:tcW w:w="27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73"/>
        </w:trPr>
        <w:tc>
          <w:tcPr>
            <w:tcW w:w="14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6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87"/>
        </w:trPr>
        <w:tc>
          <w:tcPr>
            <w:tcW w:w="14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10</w:t>
            </w:r>
          </w:p>
        </w:tc>
        <w:tc>
          <w:tcPr>
            <w:tcW w:w="2760" w:type="dxa"/>
            <w:vAlign w:val="bottom"/>
          </w:tcPr>
          <w:p>
            <w:pPr>
              <w:ind w:left="380"/>
              <w:spacing w:after="0"/>
              <w:rPr>
                <w:sz w:val="20"/>
                <w:szCs w:val="20"/>
                <w:color w:val="auto"/>
              </w:rPr>
            </w:pPr>
            <w:r>
              <w:rPr>
                <w:rFonts w:ascii="Courier New" w:cs="Courier New" w:eastAsia="Courier New" w:hAnsi="Courier New"/>
                <w:sz w:val="16"/>
                <w:szCs w:val="16"/>
                <w:color w:val="auto"/>
              </w:rPr>
              <w:t>US$**********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14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11</w:t>
            </w:r>
          </w:p>
        </w:tc>
        <w:tc>
          <w:tcPr>
            <w:tcW w:w="2760" w:type="dxa"/>
            <w:vAlign w:val="bottom"/>
          </w:tcPr>
          <w:p>
            <w:pPr>
              <w:ind w:left="380"/>
              <w:spacing w:after="0"/>
              <w:rPr>
                <w:sz w:val="20"/>
                <w:szCs w:val="20"/>
                <w:color w:val="auto"/>
              </w:rPr>
            </w:pPr>
            <w:r>
              <w:rPr>
                <w:rFonts w:ascii="Courier New" w:cs="Courier New" w:eastAsia="Courier New" w:hAnsi="Courier New"/>
                <w:sz w:val="16"/>
                <w:szCs w:val="16"/>
                <w:color w:val="auto"/>
              </w:rPr>
              <w:t>US$**********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14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12</w:t>
            </w:r>
          </w:p>
        </w:tc>
        <w:tc>
          <w:tcPr>
            <w:tcW w:w="2760" w:type="dxa"/>
            <w:vAlign w:val="bottom"/>
          </w:tcPr>
          <w:p>
            <w:pPr>
              <w:ind w:left="380"/>
              <w:spacing w:after="0"/>
              <w:rPr>
                <w:sz w:val="20"/>
                <w:szCs w:val="20"/>
                <w:color w:val="auto"/>
              </w:rPr>
            </w:pPr>
            <w:r>
              <w:rPr>
                <w:rFonts w:ascii="Courier New" w:cs="Courier New" w:eastAsia="Courier New" w:hAnsi="Courier New"/>
                <w:sz w:val="16"/>
                <w:szCs w:val="16"/>
                <w:color w:val="auto"/>
              </w:rPr>
              <w:t>US$**********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14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13</w:t>
            </w:r>
          </w:p>
        </w:tc>
        <w:tc>
          <w:tcPr>
            <w:tcW w:w="2760" w:type="dxa"/>
            <w:vAlign w:val="bottom"/>
          </w:tcPr>
          <w:p>
            <w:pPr>
              <w:ind w:left="380"/>
              <w:spacing w:after="0"/>
              <w:rPr>
                <w:sz w:val="20"/>
                <w:szCs w:val="20"/>
                <w:color w:val="auto"/>
              </w:rPr>
            </w:pPr>
            <w:r>
              <w:rPr>
                <w:rFonts w:ascii="Courier New" w:cs="Courier New" w:eastAsia="Courier New" w:hAnsi="Courier New"/>
                <w:sz w:val="16"/>
                <w:szCs w:val="16"/>
                <w:color w:val="auto"/>
              </w:rPr>
              <w:t>US$**********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273"/>
        </w:trPr>
        <w:tc>
          <w:tcPr>
            <w:tcW w:w="146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14</w:t>
            </w:r>
          </w:p>
        </w:tc>
        <w:tc>
          <w:tcPr>
            <w:tcW w:w="2760" w:type="dxa"/>
            <w:vAlign w:val="bottom"/>
          </w:tcPr>
          <w:p>
            <w:pPr>
              <w:ind w:left="380"/>
              <w:spacing w:after="0"/>
              <w:rPr>
                <w:sz w:val="20"/>
                <w:szCs w:val="20"/>
                <w:color w:val="auto"/>
              </w:rPr>
            </w:pPr>
            <w:r>
              <w:rPr>
                <w:rFonts w:ascii="Courier New" w:cs="Courier New" w:eastAsia="Courier New" w:hAnsi="Courier New"/>
                <w:sz w:val="16"/>
                <w:szCs w:val="16"/>
                <w:color w:val="auto"/>
              </w:rPr>
              <w:t>US$**********</w:t>
            </w:r>
          </w:p>
        </w:tc>
        <w:tc>
          <w:tcPr>
            <w:tcW w:w="198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bl>
    <w:p>
      <w:pPr>
        <w:spacing w:after="0" w:line="287" w:lineRule="exact"/>
        <w:rPr>
          <w:sz w:val="20"/>
          <w:szCs w:val="20"/>
          <w:color w:val="auto"/>
        </w:rPr>
      </w:pPr>
    </w:p>
    <w:p>
      <w:pPr>
        <w:ind w:left="3781" w:right="5279" w:hanging="3781"/>
        <w:spacing w:after="0" w:line="614" w:lineRule="auto"/>
        <w:tabs>
          <w:tab w:leader="none" w:pos="19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avoidance of doubt,*********************. 12</w:t>
      </w:r>
    </w:p>
    <w:p>
      <w:pPr>
        <w:sectPr>
          <w:pgSz w:w="11900" w:h="16838" w:orient="portrait"/>
          <w:cols w:equalWidth="0" w:num="1">
            <w:col w:w="10220"/>
          </w:cols>
          <w:pgMar w:left="239" w:top="646" w:right="1440" w:bottom="1440" w:gutter="0" w:footer="0" w:header="0"/>
        </w:sectPr>
      </w:pPr>
    </w:p>
    <w:bookmarkStart w:id="103" w:name="page104"/>
    <w:bookmarkEnd w:id="103"/>
    <w:p>
      <w:pPr>
        <w:jc w:val="center"/>
        <w:ind w:right="3679"/>
        <w:spacing w:after="0"/>
        <w:rPr>
          <w:sz w:val="20"/>
          <w:szCs w:val="20"/>
          <w:color w:val="auto"/>
        </w:rPr>
      </w:pPr>
      <w:r>
        <w:rPr>
          <w:rFonts w:ascii="Courier New" w:cs="Courier New" w:eastAsia="Courier New" w:hAnsi="Courier New"/>
          <w:sz w:val="16"/>
          <w:szCs w:val="16"/>
          <w:color w:val="auto"/>
        </w:rPr>
        <w:t>SCHEDULE 3</w:t>
      </w:r>
    </w:p>
    <w:p>
      <w:pPr>
        <w:spacing w:after="0" w:line="19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Japan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646" w:right="1440" w:bottom="1440" w:gutter="0" w:footer="0" w:header="0"/>
        </w:sectPr>
      </w:pPr>
    </w:p>
    <w:bookmarkStart w:id="104" w:name="page105"/>
    <w:bookmarkEnd w:id="104"/>
    <w:p>
      <w:pPr>
        <w:ind w:left="3100"/>
        <w:spacing w:after="0"/>
        <w:rPr>
          <w:sz w:val="20"/>
          <w:szCs w:val="20"/>
          <w:color w:val="auto"/>
        </w:rPr>
      </w:pPr>
      <w:r>
        <w:rPr>
          <w:rFonts w:ascii="Courier New" w:cs="Courier New" w:eastAsia="Courier New" w:hAnsi="Courier New"/>
          <w:sz w:val="16"/>
          <w:szCs w:val="16"/>
          <w:color w:val="auto"/>
        </w:rPr>
        <w:t>SCHEDULE 15.3(c)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20" w:type="dxa"/>
            <w:vAlign w:val="bottom"/>
          </w:tcPr>
          <w:p>
            <w:pPr>
              <w:spacing w:after="0"/>
              <w:rPr>
                <w:sz w:val="23"/>
                <w:szCs w:val="23"/>
                <w:color w:val="auto"/>
              </w:rPr>
            </w:pPr>
          </w:p>
        </w:tc>
        <w:tc>
          <w:tcPr>
            <w:tcW w:w="4600" w:type="dxa"/>
            <w:vAlign w:val="bottom"/>
            <w:gridSpan w:val="3"/>
          </w:tcPr>
          <w:p>
            <w:pPr>
              <w:ind w:left="920"/>
              <w:spacing w:after="0"/>
              <w:rPr>
                <w:sz w:val="20"/>
                <w:szCs w:val="20"/>
                <w:color w:val="auto"/>
              </w:rPr>
            </w:pPr>
            <w:r>
              <w:rPr>
                <w:rFonts w:ascii="Courier New" w:cs="Courier New" w:eastAsia="Courier New" w:hAnsi="Courier New"/>
                <w:sz w:val="16"/>
                <w:szCs w:val="16"/>
                <w:color w:val="auto"/>
              </w:rPr>
              <w:t>Regeneron's Japan Patent Applications</w:t>
            </w:r>
          </w:p>
        </w:tc>
        <w:tc>
          <w:tcPr>
            <w:tcW w:w="18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PCT</w:t>
            </w:r>
          </w:p>
        </w:tc>
        <w:tc>
          <w:tcPr>
            <w:tcW w:w="1160" w:type="dxa"/>
            <w:vAlign w:val="bottom"/>
          </w:tcPr>
          <w:p>
            <w:pPr>
              <w:spacing w:after="0"/>
              <w:rPr>
                <w:sz w:val="24"/>
                <w:szCs w:val="24"/>
                <w:color w:val="auto"/>
              </w:rPr>
            </w:pPr>
          </w:p>
        </w:tc>
        <w:tc>
          <w:tcPr>
            <w:tcW w:w="1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Japanese National</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84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Phase</w:t>
            </w:r>
          </w:p>
        </w:tc>
        <w:tc>
          <w:tcPr>
            <w:tcW w:w="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20" w:type="dxa"/>
            <w:vAlign w:val="bottom"/>
            <w:vMerge w:val="restart"/>
          </w:tcPr>
          <w:p>
            <w:pPr>
              <w:spacing w:after="0"/>
              <w:rPr>
                <w:sz w:val="20"/>
                <w:szCs w:val="20"/>
                <w:color w:val="auto"/>
              </w:rPr>
            </w:pPr>
            <w:r>
              <w:rPr>
                <w:rFonts w:ascii="Courier New" w:cs="Courier New" w:eastAsia="Courier New" w:hAnsi="Courier New"/>
                <w:sz w:val="16"/>
                <w:szCs w:val="16"/>
                <w:color w:val="auto"/>
              </w:rPr>
              <w:t>Case</w:t>
            </w:r>
          </w:p>
        </w:tc>
        <w:tc>
          <w:tcPr>
            <w:tcW w:w="1780" w:type="dxa"/>
            <w:vAlign w:val="bottom"/>
          </w:tcPr>
          <w:p>
            <w:pPr>
              <w:spacing w:after="0"/>
              <w:rPr>
                <w:sz w:val="16"/>
                <w:szCs w:val="16"/>
                <w:color w:val="auto"/>
              </w:rPr>
            </w:pPr>
          </w:p>
        </w:tc>
        <w:tc>
          <w:tcPr>
            <w:tcW w:w="6880" w:type="dxa"/>
            <w:vAlign w:val="bottom"/>
            <w:gridSpan w:val="5"/>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780" w:type="dxa"/>
            <w:vAlign w:val="bottom"/>
            <w:vMerge w:val="restart"/>
          </w:tcPr>
          <w:p>
            <w:pPr>
              <w:ind w:left="720"/>
              <w:spacing w:after="0"/>
              <w:rPr>
                <w:sz w:val="20"/>
                <w:szCs w:val="20"/>
                <w:color w:val="auto"/>
              </w:rPr>
            </w:pPr>
            <w:r>
              <w:rPr>
                <w:rFonts w:ascii="Courier New" w:cs="Courier New" w:eastAsia="Courier New" w:hAnsi="Courier New"/>
                <w:sz w:val="16"/>
                <w:szCs w:val="16"/>
                <w:color w:val="auto"/>
              </w:rPr>
              <w:t>Title</w:t>
            </w:r>
          </w:p>
        </w:tc>
        <w:tc>
          <w:tcPr>
            <w:tcW w:w="1660" w:type="dxa"/>
            <w:vAlign w:val="bottom"/>
            <w:vMerge w:val="restart"/>
          </w:tcPr>
          <w:p>
            <w:pPr>
              <w:ind w:left="400"/>
              <w:spacing w:after="0"/>
              <w:rPr>
                <w:sz w:val="20"/>
                <w:szCs w:val="20"/>
                <w:color w:val="auto"/>
              </w:rPr>
            </w:pPr>
            <w:r>
              <w:rPr>
                <w:rFonts w:ascii="Courier New" w:cs="Courier New" w:eastAsia="Courier New" w:hAnsi="Courier New"/>
                <w:sz w:val="16"/>
                <w:szCs w:val="16"/>
                <w:color w:val="auto"/>
              </w:rPr>
              <w:t>Appln. No.</w:t>
            </w:r>
          </w:p>
        </w:tc>
        <w:tc>
          <w:tcPr>
            <w:tcW w:w="1160" w:type="dxa"/>
            <w:vAlign w:val="bottom"/>
          </w:tcPr>
          <w:p>
            <w:pPr>
              <w:jc w:val="center"/>
              <w:ind w:right="339"/>
              <w:spacing w:after="0"/>
              <w:rPr>
                <w:sz w:val="20"/>
                <w:szCs w:val="20"/>
                <w:color w:val="auto"/>
              </w:rPr>
            </w:pPr>
            <w:r>
              <w:rPr>
                <w:rFonts w:ascii="Courier New" w:cs="Courier New" w:eastAsia="Courier New" w:hAnsi="Courier New"/>
                <w:sz w:val="16"/>
                <w:szCs w:val="16"/>
                <w:color w:val="auto"/>
              </w:rPr>
              <w:t>Filing</w:t>
            </w:r>
          </w:p>
        </w:tc>
        <w:tc>
          <w:tcPr>
            <w:tcW w:w="184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Priority Date</w:t>
            </w:r>
          </w:p>
        </w:tc>
        <w:tc>
          <w:tcPr>
            <w:tcW w:w="9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Status</w:t>
            </w:r>
          </w:p>
        </w:tc>
        <w:tc>
          <w:tcPr>
            <w:tcW w:w="126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Appln. No.</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17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16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Date</w:t>
            </w:r>
          </w:p>
        </w:tc>
        <w:tc>
          <w:tcPr>
            <w:tcW w:w="18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78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6" w:right="1440" w:bottom="1440" w:gutter="0" w:footer="0" w:header="0"/>
        </w:sectPr>
      </w:pPr>
    </w:p>
    <w:bookmarkStart w:id="105" w:name="page106"/>
    <w:bookmarkEnd w:id="105"/>
    <w:p>
      <w:pPr>
        <w:jc w:val="right"/>
        <w:ind w:right="2459"/>
        <w:spacing w:after="0"/>
        <w:rPr>
          <w:sz w:val="20"/>
          <w:szCs w:val="20"/>
          <w:color w:val="auto"/>
        </w:rPr>
      </w:pPr>
      <w:r>
        <w:rPr>
          <w:rFonts w:ascii="Courier New" w:cs="Courier New" w:eastAsia="Courier New" w:hAnsi="Courier New"/>
          <w:sz w:val="16"/>
          <w:szCs w:val="16"/>
          <w:color w:val="auto"/>
        </w:rPr>
        <w:t>EXHIBIT 10.13.4</w:t>
      </w:r>
    </w:p>
    <w:p>
      <w:pPr>
        <w:spacing w:after="0" w:line="191"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FOURTH AMENDMENT TO COLLABORATION AGREEMENT</w:t>
      </w:r>
    </w:p>
    <w:p>
      <w:pPr>
        <w:spacing w:after="0" w:line="191" w:lineRule="exact"/>
        <w:rPr>
          <w:sz w:val="20"/>
          <w:szCs w:val="20"/>
          <w:color w:val="auto"/>
        </w:rPr>
      </w:pPr>
    </w:p>
    <w:p>
      <w:pPr>
        <w:ind w:left="1" w:right="2459" w:firstLine="581"/>
        <w:spacing w:after="0" w:line="261" w:lineRule="auto"/>
        <w:rPr>
          <w:sz w:val="20"/>
          <w:szCs w:val="20"/>
          <w:color w:val="auto"/>
        </w:rPr>
      </w:pPr>
      <w:r>
        <w:rPr>
          <w:rFonts w:ascii="Courier New" w:cs="Courier New" w:eastAsia="Courier New" w:hAnsi="Courier New"/>
          <w:sz w:val="16"/>
          <w:szCs w:val="16"/>
          <w:color w:val="auto"/>
        </w:rPr>
        <w:t>This Fourth Amendment to Collaboration Agreement (this "Fourth Amendment") dated as of January 31, 2006 (the "Fourth Amendment Effective Date"), is by and between Regeneron Pharmaceuticals, Inc., a corporation organized and existing under the laws of the State of New York and having its principal office at 777 Old Saw Mill River Road, Tarrytown, New York 10591 ("Regeneron ") and sanofi-aventis U. S., LLC, (successor in interest to Aventis Pharmaceuticals Inc.), a limited liability company organized and existing under the laws of the State of Delaware and having a principal place of business at 200 Crossing Blvd., Bridgewater, New Jersey 08807 ("Aventis").</w:t>
      </w:r>
    </w:p>
    <w:p>
      <w:pPr>
        <w:spacing w:after="0" w:line="89"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jc w:val="both"/>
        <w:ind w:left="1" w:right="2559" w:firstLine="581"/>
        <w:spacing w:after="0" w:line="307" w:lineRule="auto"/>
        <w:rPr>
          <w:sz w:val="20"/>
          <w:szCs w:val="20"/>
          <w:color w:val="auto"/>
        </w:rPr>
      </w:pPr>
      <w:r>
        <w:rPr>
          <w:rFonts w:ascii="Courier New" w:cs="Courier New" w:eastAsia="Courier New" w:hAnsi="Courier New"/>
          <w:sz w:val="16"/>
          <w:szCs w:val="16"/>
          <w:color w:val="auto"/>
        </w:rPr>
        <w:t>WHEREAS, Regeneron and Aventis are Parties to a Collaboration Agreement, having an Effective Date of September 5, 2003, as amended on December 31, 2004, January 7, 2005, and December 21, 2005 (the "Collaboration Agreement"); and</w:t>
      </w:r>
    </w:p>
    <w:p>
      <w:pPr>
        <w:spacing w:after="0" w:line="50" w:lineRule="exact"/>
        <w:rPr>
          <w:sz w:val="20"/>
          <w:szCs w:val="20"/>
          <w:color w:val="auto"/>
        </w:rPr>
      </w:pPr>
    </w:p>
    <w:p>
      <w:pPr>
        <w:jc w:val="both"/>
        <w:ind w:left="1" w:right="2859" w:firstLine="581"/>
        <w:spacing w:after="0" w:line="307" w:lineRule="auto"/>
        <w:rPr>
          <w:sz w:val="20"/>
          <w:szCs w:val="20"/>
          <w:color w:val="auto"/>
        </w:rPr>
      </w:pPr>
      <w:r>
        <w:rPr>
          <w:rFonts w:ascii="Courier New" w:cs="Courier New" w:eastAsia="Courier New" w:hAnsi="Courier New"/>
          <w:sz w:val="16"/>
          <w:szCs w:val="16"/>
          <w:color w:val="auto"/>
        </w:rPr>
        <w:t>WHEREAS, Regeneron and Aventis have determined that it is desirable to amend certain provisions of the Collaboration Agreement and document further agreements between them as set forth herein.</w:t>
      </w:r>
    </w:p>
    <w:p>
      <w:pPr>
        <w:spacing w:after="0" w:line="50" w:lineRule="exact"/>
        <w:rPr>
          <w:sz w:val="20"/>
          <w:szCs w:val="20"/>
          <w:color w:val="auto"/>
        </w:rPr>
      </w:pPr>
    </w:p>
    <w:p>
      <w:pPr>
        <w:ind w:left="1" w:right="2459" w:firstLine="581"/>
        <w:spacing w:after="0" w:line="287" w:lineRule="auto"/>
        <w:rPr>
          <w:sz w:val="20"/>
          <w:szCs w:val="20"/>
          <w:color w:val="auto"/>
        </w:rPr>
      </w:pPr>
      <w:r>
        <w:rPr>
          <w:rFonts w:ascii="Courier New" w:cs="Courier New" w:eastAsia="Courier New" w:hAnsi="Courier New"/>
          <w:sz w:val="16"/>
          <w:szCs w:val="16"/>
          <w:color w:val="auto"/>
        </w:rPr>
        <w:t>NOW, THEREFORE, in consideration of the following mutual promises and obligations and for good and valuable consideration, the receipt and sufficiency of which are hereby acknowledged, the Parties, intending to be legally bound, hereby agree as follows:</w:t>
      </w:r>
    </w:p>
    <w:p>
      <w:pPr>
        <w:spacing w:after="0" w:line="65" w:lineRule="exact"/>
        <w:rPr>
          <w:sz w:val="20"/>
          <w:szCs w:val="20"/>
          <w:color w:val="auto"/>
        </w:rPr>
      </w:pPr>
    </w:p>
    <w:p>
      <w:pPr>
        <w:ind w:left="1" w:right="2859"/>
        <w:spacing w:after="0" w:line="367" w:lineRule="auto"/>
        <w:rPr>
          <w:sz w:val="20"/>
          <w:szCs w:val="20"/>
          <w:color w:val="auto"/>
        </w:rPr>
      </w:pPr>
      <w:r>
        <w:rPr>
          <w:rFonts w:ascii="Courier New" w:cs="Courier New" w:eastAsia="Courier New" w:hAnsi="Courier New"/>
          <w:sz w:val="16"/>
          <w:szCs w:val="16"/>
          <w:color w:val="auto"/>
        </w:rPr>
        <w:t>Capitalized terms used in this Fourth Amendment and not defined herein shall have the meanings ascribed to them in the Collaboration Agreement.</w:t>
      </w:r>
    </w:p>
    <w:p>
      <w:pPr>
        <w:spacing w:after="0" w:line="5" w:lineRule="exact"/>
        <w:rPr>
          <w:sz w:val="20"/>
          <w:szCs w:val="20"/>
          <w:color w:val="auto"/>
        </w:rPr>
      </w:pPr>
    </w:p>
    <w:p>
      <w:pPr>
        <w:ind w:left="1" w:right="2459" w:hanging="1"/>
        <w:spacing w:after="0" w:line="367" w:lineRule="auto"/>
        <w:tabs>
          <w:tab w:leader="none" w:pos="29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NEWLY CREATED INTELLECTUAL PROPERTY. Article 4 of the Collaboration Agreement shall be amended by adding a new Section 4.6 at the end thereof as follows:</w:t>
      </w:r>
    </w:p>
    <w:p>
      <w:pPr>
        <w:spacing w:after="0" w:line="5" w:lineRule="exact"/>
        <w:rPr>
          <w:sz w:val="20"/>
          <w:szCs w:val="20"/>
          <w:color w:val="auto"/>
        </w:rPr>
      </w:pPr>
    </w:p>
    <w:p>
      <w:pPr>
        <w:ind w:left="1741" w:right="2459" w:firstLine="581"/>
        <w:spacing w:after="0" w:line="256" w:lineRule="auto"/>
        <w:rPr>
          <w:sz w:val="20"/>
          <w:szCs w:val="20"/>
          <w:color w:val="auto"/>
        </w:rPr>
      </w:pPr>
      <w:r>
        <w:rPr>
          <w:rFonts w:ascii="Courier New" w:cs="Courier New" w:eastAsia="Courier New" w:hAnsi="Courier New"/>
          <w:sz w:val="16"/>
          <w:szCs w:val="16"/>
          <w:color w:val="auto"/>
        </w:rPr>
        <w:t>"4.6 Newly Created Intellectual Property. In addition to the other licenses granted under this Article 4 and subject to the other terms and conditions of this Agreement, to the extent permitted under any relevant Third Party agreement, each Party grants to the other Party and its Affiliates the perpetual, royalty-free, paid-up, non-exclusive, worldwide right and license, with the right to grant sublicenses, to use and practice for any and all purposes: (i) all intellectual property (including, without limitation, Know-How, Patents and Patent Applications and copyrights) other than Excluded Rights discovered, invented, authored or otherwise created by it (or its Affiliate) after the Fourth Amendment Effective Date directly in connection with the</w:t>
      </w:r>
    </w:p>
    <w:p>
      <w:pPr>
        <w:spacing w:after="0" w:line="9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0"/>
          </w:cols>
          <w:pgMar w:left="239" w:top="298" w:right="1440" w:bottom="1440" w:gutter="0" w:footer="0" w:header="0"/>
        </w:sectPr>
      </w:pPr>
    </w:p>
    <w:bookmarkStart w:id="106" w:name="page107"/>
    <w:bookmarkEnd w:id="106"/>
    <w:p>
      <w:pPr>
        <w:ind w:left="1741" w:right="2559"/>
        <w:spacing w:after="0" w:line="253" w:lineRule="auto"/>
        <w:rPr>
          <w:sz w:val="20"/>
          <w:szCs w:val="20"/>
          <w:color w:val="auto"/>
        </w:rPr>
      </w:pPr>
      <w:r>
        <w:rPr>
          <w:rFonts w:ascii="Courier New" w:cs="Courier New" w:eastAsia="Courier New" w:hAnsi="Courier New"/>
          <w:sz w:val="16"/>
          <w:szCs w:val="16"/>
          <w:color w:val="auto"/>
        </w:rPr>
        <w:t>performance of the research activities approved by the JRC and/or the clinical development activities approved by the JDC, in each case, as included in the Co-Development Plans, and (ii) the Patents and Know-How identified on Schedule I to the Fourth Amendment (which were discovered or otherwise created by Regeneron (either solely or with Third Party collaborators) directly in connection with the performance of the Co-Development Plans prior to the Fourth Amendment Effective Date). As used above, the term "Excluded Rights" shall mean any Patents or Know-How claiming or covering the composition (including any formulation) of a VEGF Product, including without limitation, a VEGF Trap Product. For the avoidance of doubt, nothing in this Section 4.6 shall be construed to grant either Party any license to Patents or Know-How of the other Party discovered, invented, authored or otherwise created by it outside the performance of the research activities approved by the JRC and/or the clinical development activities approved by the JDC, in each case, as included in Co-Development Plans."</w:t>
      </w:r>
    </w:p>
    <w:p>
      <w:pPr>
        <w:spacing w:after="0" w:line="97" w:lineRule="exact"/>
        <w:rPr>
          <w:sz w:val="20"/>
          <w:szCs w:val="20"/>
          <w:color w:val="auto"/>
        </w:rPr>
      </w:pPr>
    </w:p>
    <w:p>
      <w:pPr>
        <w:ind w:left="581" w:right="2459" w:hanging="581"/>
        <w:spacing w:after="0" w:line="266" w:lineRule="auto"/>
        <w:tabs>
          <w:tab w:leader="none" w:pos="5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DOCUMENTATION OF COLLABORATION ACTIVITIES. In recognition of the importance of proper documentation for the purposes of determining inventorship under United States patent and copyright laws as well as the laws of the State of New York with regard to Know How, the Parties agree to jointly establish standard operating procedures within ninety (90) days of the Fourth Amendment Effective Date related to the documentation of Collaboration activities carried out by the Parties.</w:t>
      </w:r>
    </w:p>
    <w:p>
      <w:pPr>
        <w:spacing w:after="0" w:line="84" w:lineRule="exact"/>
        <w:rPr>
          <w:rFonts w:ascii="Courier New" w:cs="Courier New" w:eastAsia="Courier New" w:hAnsi="Courier New"/>
          <w:sz w:val="16"/>
          <w:szCs w:val="16"/>
          <w:color w:val="auto"/>
        </w:rPr>
      </w:pPr>
    </w:p>
    <w:p>
      <w:pPr>
        <w:ind w:left="581" w:right="2459" w:hanging="581"/>
        <w:spacing w:after="0" w:line="287" w:lineRule="auto"/>
        <w:tabs>
          <w:tab w:leader="none" w:pos="5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AMENDMENT TO COLLABORATION AGREEMENT. Section 19.8 of the Collaboration Agreement is hereby amended by adding a reference to Section "4.6" in the correct numerical order in the parenthetical phrase therein beginning "(including, without limitation, Sections 2.7. . .)."</w:t>
      </w:r>
    </w:p>
    <w:p>
      <w:pPr>
        <w:spacing w:after="0" w:line="64" w:lineRule="exact"/>
        <w:rPr>
          <w:rFonts w:ascii="Courier New" w:cs="Courier New" w:eastAsia="Courier New" w:hAnsi="Courier New"/>
          <w:sz w:val="16"/>
          <w:szCs w:val="16"/>
          <w:color w:val="auto"/>
        </w:rPr>
      </w:pPr>
    </w:p>
    <w:p>
      <w:pPr>
        <w:ind w:left="581" w:right="2459" w:hanging="581"/>
        <w:spacing w:after="0" w:line="287" w:lineRule="auto"/>
        <w:tabs>
          <w:tab w:leader="none" w:pos="5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EFFECT. Except as specifically modified by this Fourth Amendment, all of the provisions of the Collaboration Agreement are hereby ratified and confirmed to be in full force and effect, and shall remain in full force and effect.</w:t>
      </w:r>
    </w:p>
    <w:p>
      <w:pPr>
        <w:spacing w:after="0" w:line="64" w:lineRule="exact"/>
        <w:rPr>
          <w:rFonts w:ascii="Courier New" w:cs="Courier New" w:eastAsia="Courier New" w:hAnsi="Courier New"/>
          <w:sz w:val="16"/>
          <w:szCs w:val="16"/>
          <w:color w:val="auto"/>
        </w:rPr>
      </w:pPr>
    </w:p>
    <w:p>
      <w:pPr>
        <w:ind w:left="581" w:right="2459" w:hanging="581"/>
        <w:spacing w:after="0" w:line="261" w:lineRule="auto"/>
        <w:tabs>
          <w:tab w:leader="none" w:pos="5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SUCCESSORS AND ASSIGNS. The Collaboration Agreement, this Fourth Amendment, and any written agreements executed by both Parties pertaining to the subject matter therein, constitute the entire agreement between the Parties hereto with respect to subject matter hereof and thereof. Said documents supersede all other agreements and understandings between the Parties with respect to the subject matter hereof and thereof, whether written or oral. This Fourth Amendment shall be binding upon and shall inure to the benefit of the Parties and their respective heirs, administrators, executors, Affiliates, successors and permitted assigns.</w:t>
      </w:r>
    </w:p>
    <w:p>
      <w:pPr>
        <w:spacing w:after="0" w:line="8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646" w:right="1440" w:bottom="1440" w:gutter="0" w:footer="0" w:header="0"/>
        </w:sectPr>
      </w:pPr>
    </w:p>
    <w:bookmarkStart w:id="107" w:name="page108"/>
    <w:bookmarkEnd w:id="107"/>
    <w:p>
      <w:pPr>
        <w:ind w:left="581" w:right="2559" w:hanging="581"/>
        <w:spacing w:after="0" w:line="307" w:lineRule="auto"/>
        <w:tabs>
          <w:tab w:leader="none" w:pos="5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headings contained in this Fourth Amendment are for reference purposes only and shall not affect in any way the meaning or interpretation of the Fourth Amendment.</w:t>
      </w:r>
    </w:p>
    <w:p>
      <w:pPr>
        <w:spacing w:after="0" w:line="49" w:lineRule="exact"/>
        <w:rPr>
          <w:rFonts w:ascii="Courier New" w:cs="Courier New" w:eastAsia="Courier New" w:hAnsi="Courier New"/>
          <w:sz w:val="16"/>
          <w:szCs w:val="16"/>
          <w:color w:val="auto"/>
        </w:rPr>
      </w:pPr>
    </w:p>
    <w:p>
      <w:pPr>
        <w:ind w:left="581" w:right="2459" w:hanging="581"/>
        <w:spacing w:after="0" w:line="287" w:lineRule="auto"/>
        <w:tabs>
          <w:tab w:leader="none" w:pos="5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Fourth Amendment may be executed in one or more counterparts, all of which shall be considered one and the same agreement, and shall become a binding agreement when one or more counterparts have been signed by each Party and delivered to the other Party.</w:t>
      </w:r>
    </w:p>
    <w:p>
      <w:pPr>
        <w:spacing w:after="0" w:line="64" w:lineRule="exact"/>
        <w:rPr>
          <w:rFonts w:ascii="Courier New" w:cs="Courier New" w:eastAsia="Courier New" w:hAnsi="Courier New"/>
          <w:sz w:val="16"/>
          <w:szCs w:val="16"/>
          <w:color w:val="auto"/>
        </w:rPr>
      </w:pPr>
    </w:p>
    <w:p>
      <w:pPr>
        <w:ind w:left="581" w:right="2459" w:hanging="581"/>
        <w:spacing w:after="0" w:line="255" w:lineRule="auto"/>
        <w:tabs>
          <w:tab w:leader="none" w:pos="5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Fourth Amendment shall be governed by the laws of the State of New York, without regard to its principles of conflicts of laws. Each Party hereby irrevocably and unconditionally consents to the exclusive jurisdiction of the courts of the State of New York, and the United States District Court for the Southern District of New York for any action, suit or proceeding arising out of or relating to this Fourth Amendment, waives any objections to such jurisdiction and venue and agrees not to commence any action, suit or proceeding relating to this Fourth Amendment except in such courts. This Fourth Amendment supersedes all prior understandings and agreements, whether written or oral, among the Parties hereto relating to the essence of this Fourth Amendment. If there is a direct conflict between the provisions of the Collaboration Agreement and this Fourth Amendment, this Fourth Amendment shall govern. This Fourth Amendment may be amended only by a written instrument executed by each of the Parties.</w:t>
      </w:r>
    </w:p>
    <w:p>
      <w:pPr>
        <w:spacing w:after="0" w:line="93"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[SIGNATURES APPEAR ON FOLLOWING PAGE]</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646" w:right="1440" w:bottom="1440" w:gutter="0" w:footer="0" w:header="0"/>
        </w:sectPr>
      </w:pPr>
    </w:p>
    <w:bookmarkStart w:id="108" w:name="page109"/>
    <w:bookmarkEnd w:id="108"/>
    <w:p>
      <w:pPr>
        <w:ind w:right="2659" w:firstLine="581"/>
        <w:spacing w:after="0" w:line="367" w:lineRule="auto"/>
        <w:rPr>
          <w:sz w:val="20"/>
          <w:szCs w:val="20"/>
          <w:color w:val="auto"/>
        </w:rPr>
      </w:pPr>
      <w:r>
        <w:rPr>
          <w:rFonts w:ascii="Courier New" w:cs="Courier New" w:eastAsia="Courier New" w:hAnsi="Courier New"/>
          <w:sz w:val="16"/>
          <w:szCs w:val="16"/>
          <w:color w:val="auto"/>
        </w:rPr>
        <w:t>IN WITNESS WHEREOF, each of the Parties has caused this Fourth Amendment to be executed as of the date hereof by a duly authorized corporate officer.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SANOFI-AVENTIS U.S., LLC</w:t>
      </w:r>
    </w:p>
    <w:p>
      <w:pPr>
        <w:spacing w:after="0" w:line="191" w:lineRule="exact"/>
        <w:rPr>
          <w:sz w:val="20"/>
          <w:szCs w:val="20"/>
          <w:color w:val="auto"/>
        </w:rPr>
      </w:pPr>
    </w:p>
    <w:p>
      <w:pPr>
        <w:ind w:left="3000"/>
        <w:spacing w:after="0"/>
        <w:tabs>
          <w:tab w:leader="none" w:pos="3460" w:val="left"/>
        </w:tabs>
        <w:rPr>
          <w:sz w:val="20"/>
          <w:szCs w:val="20"/>
          <w:color w:val="auto"/>
        </w:rPr>
      </w:pPr>
      <w:r>
        <w:rPr>
          <w:rFonts w:ascii="Courier New" w:cs="Courier New" w:eastAsia="Courier New" w:hAnsi="Courier New"/>
          <w:sz w:val="16"/>
          <w:szCs w:val="16"/>
          <w:color w:val="auto"/>
        </w:rPr>
        <w:t>By:</w:t>
        <w:tab/>
        <w:t>/s/ Larry Baugh</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000"/>
        <w:spacing w:after="0"/>
        <w:tabs>
          <w:tab w:leader="none" w:pos="3660" w:val="left"/>
        </w:tabs>
        <w:rPr>
          <w:sz w:val="20"/>
          <w:szCs w:val="20"/>
          <w:color w:val="auto"/>
        </w:rPr>
      </w:pPr>
      <w:r>
        <w:rPr>
          <w:rFonts w:ascii="Courier New" w:cs="Courier New" w:eastAsia="Courier New" w:hAnsi="Courier New"/>
          <w:sz w:val="16"/>
          <w:szCs w:val="16"/>
          <w:color w:val="auto"/>
        </w:rPr>
        <w:t>Name:</w:t>
        <w:tab/>
        <w:t>Larry Baugh</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Title: Site Director</w:t>
      </w:r>
    </w:p>
    <w:p>
      <w:pPr>
        <w:spacing w:after="0" w:line="191" w:lineRule="exact"/>
        <w:rPr>
          <w:sz w:val="20"/>
          <w:szCs w:val="20"/>
          <w:color w:val="auto"/>
        </w:rPr>
      </w:pPr>
    </w:p>
    <w:p>
      <w:pPr>
        <w:ind w:left="3000"/>
        <w:spacing w:after="0"/>
        <w:tabs>
          <w:tab w:leader="none" w:pos="3660" w:val="left"/>
        </w:tabs>
        <w:rPr>
          <w:sz w:val="20"/>
          <w:szCs w:val="20"/>
          <w:color w:val="auto"/>
        </w:rPr>
      </w:pPr>
      <w:r>
        <w:rPr>
          <w:rFonts w:ascii="Courier New" w:cs="Courier New" w:eastAsia="Courier New" w:hAnsi="Courier New"/>
          <w:sz w:val="16"/>
          <w:szCs w:val="16"/>
          <w:color w:val="auto"/>
        </w:rPr>
        <w:t>Date:</w:t>
        <w:tab/>
        <w:t>February 1, 2006</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 /s/ Gregory Irace</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Name: Gregory Irace</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Title: Senior Vice President &amp; Chief Financial</w:t>
      </w:r>
    </w:p>
    <w:p>
      <w:pPr>
        <w:spacing w:after="0" w:line="3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Officer</w:t>
      </w:r>
    </w:p>
    <w:p>
      <w:pPr>
        <w:spacing w:after="0" w:line="16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Date: February 1, 2006</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REGENERON PHARMACEUTICALS, INC.</w:t>
      </w:r>
    </w:p>
    <w:p>
      <w:pPr>
        <w:spacing w:after="0" w:line="191" w:lineRule="exact"/>
        <w:rPr>
          <w:sz w:val="20"/>
          <w:szCs w:val="20"/>
          <w:color w:val="auto"/>
        </w:rPr>
      </w:pPr>
    </w:p>
    <w:p>
      <w:pPr>
        <w:ind w:left="3000"/>
        <w:spacing w:after="0"/>
        <w:tabs>
          <w:tab w:leader="none" w:pos="38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Murray Goldberg</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Name: Murray Goldberg</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Title: SVP, Finance &amp; Administration and CFO</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Date: January 31, 2006</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46" w:right="1440" w:bottom="1440" w:gutter="0" w:footer="0" w:header="0"/>
        </w:sectPr>
      </w:pPr>
    </w:p>
    <w:bookmarkStart w:id="109" w:name="page110"/>
    <w:bookmarkEnd w:id="109"/>
    <w:p>
      <w:pPr>
        <w:jc w:val="center"/>
        <w:ind w:right="3659"/>
        <w:spacing w:after="0"/>
        <w:rPr>
          <w:sz w:val="20"/>
          <w:szCs w:val="20"/>
          <w:color w:val="auto"/>
        </w:rPr>
      </w:pPr>
      <w:r>
        <w:rPr>
          <w:rFonts w:ascii="Courier New" w:cs="Courier New" w:eastAsia="Courier New" w:hAnsi="Courier New"/>
          <w:sz w:val="16"/>
          <w:szCs w:val="16"/>
          <w:color w:val="auto"/>
        </w:rPr>
        <w:t>SCHEDULE I</w:t>
      </w:r>
    </w:p>
    <w:p>
      <w:pPr>
        <w:spacing w:after="0" w:line="19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832" w:right="1440" w:bottom="1440" w:gutter="0" w:footer="0" w:header="0"/>
        </w:sectPr>
      </w:pPr>
    </w:p>
    <w:bookmarkStart w:id="110" w:name="page111"/>
    <w:bookmarkEnd w:id="110"/>
    <w:tbl>
      <w:tblPr>
        <w:tblLayout w:type="fixed"/>
        <w:tblInd w:w="1" w:type="dxa"/>
        <w:tblCellMar>
          <w:top w:w="0" w:type="dxa"/>
          <w:left w:w="0" w:type="dxa"/>
          <w:bottom w:w="0" w:type="dxa"/>
          <w:right w:w="0" w:type="dxa"/>
        </w:tblCellMar>
      </w:tblPr>
      <w:tr>
        <w:trPr>
          <w:trHeight w:val="273"/>
        </w:trPr>
        <w:tc>
          <w:tcPr>
            <w:tcW w:w="5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4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EXHIBIT 12.1</w:t>
            </w: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5720" w:type="dxa"/>
            <w:vAlign w:val="bottom"/>
          </w:tcPr>
          <w:p>
            <w:pPr>
              <w:ind w:left="2420"/>
              <w:spacing w:after="0"/>
              <w:rPr>
                <w:sz w:val="20"/>
                <w:szCs w:val="20"/>
                <w:color w:val="auto"/>
              </w:rPr>
            </w:pPr>
            <w:r>
              <w:rPr>
                <w:rFonts w:ascii="Courier New" w:cs="Courier New" w:eastAsia="Courier New" w:hAnsi="Courier New"/>
                <w:sz w:val="16"/>
                <w:szCs w:val="16"/>
                <w:color w:val="auto"/>
              </w:rPr>
              <w:t>REGENERON PHARMACEUTICALS, INC.</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020" w:type="dxa"/>
            <w:vAlign w:val="bottom"/>
            <w:gridSpan w:val="3"/>
          </w:tcPr>
          <w:p>
            <w:pPr>
              <w:ind w:left="1060"/>
              <w:spacing w:after="0"/>
              <w:rPr>
                <w:sz w:val="20"/>
                <w:szCs w:val="20"/>
                <w:color w:val="auto"/>
              </w:rPr>
            </w:pPr>
            <w:r>
              <w:rPr>
                <w:rFonts w:ascii="Courier New" w:cs="Courier New" w:eastAsia="Courier New" w:hAnsi="Courier New"/>
                <w:sz w:val="16"/>
                <w:szCs w:val="16"/>
                <w:color w:val="auto"/>
              </w:rPr>
              <w:t>COMPUTATION OF RATIO OF EARNINGS TO COMBINED FIXED CHARGES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720" w:type="dxa"/>
            <w:vAlign w:val="bottom"/>
          </w:tcPr>
          <w:p>
            <w:pPr>
              <w:ind w:left="2800"/>
              <w:spacing w:after="0"/>
              <w:rPr>
                <w:sz w:val="20"/>
                <w:szCs w:val="20"/>
                <w:color w:val="auto"/>
              </w:rPr>
            </w:pPr>
            <w:r>
              <w:rPr>
                <w:rFonts w:ascii="Courier New" w:cs="Courier New" w:eastAsia="Courier New" w:hAnsi="Courier New"/>
                <w:sz w:val="16"/>
                <w:szCs w:val="16"/>
                <w:color w:val="auto"/>
              </w:rPr>
              <w:t>(Dollars in thousands)</w:t>
            </w:r>
          </w:p>
        </w:tc>
        <w:tc>
          <w:tcPr>
            <w:tcW w:w="4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6"/>
        </w:trPr>
        <w:tc>
          <w:tcPr>
            <w:tcW w:w="5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5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3"/>
              </w:rPr>
              <w:t>2001</w:t>
            </w:r>
          </w:p>
        </w:tc>
        <w:tc>
          <w:tcPr>
            <w:tcW w:w="2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2004</w:t>
            </w:r>
          </w:p>
        </w:tc>
        <w:tc>
          <w:tcPr>
            <w:tcW w:w="240" w:type="dxa"/>
            <w:vAlign w:val="bottom"/>
          </w:tcPr>
          <w:p>
            <w:pPr>
              <w:spacing w:after="0"/>
              <w:rPr>
                <w:sz w:val="16"/>
                <w:szCs w:val="16"/>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2005</w:t>
            </w:r>
          </w:p>
        </w:tc>
        <w:tc>
          <w:tcPr>
            <w:tcW w:w="0" w:type="dxa"/>
            <w:vAlign w:val="bottom"/>
          </w:tcPr>
          <w:p>
            <w:pPr>
              <w:spacing w:after="0"/>
              <w:rPr>
                <w:sz w:val="1"/>
                <w:szCs w:val="1"/>
                <w:color w:val="auto"/>
              </w:rPr>
            </w:pPr>
          </w:p>
        </w:tc>
      </w:tr>
      <w:tr>
        <w:trPr>
          <w:trHeight w:val="273"/>
        </w:trPr>
        <w:tc>
          <w:tcPr>
            <w:tcW w:w="5720" w:type="dxa"/>
            <w:vAlign w:val="bottom"/>
          </w:tcPr>
          <w:p>
            <w:pPr>
              <w:spacing w:after="0"/>
              <w:rPr>
                <w:sz w:val="23"/>
                <w:szCs w:val="23"/>
                <w:color w:val="auto"/>
              </w:rPr>
            </w:pP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continuing operations</w:t>
            </w:r>
          </w:p>
        </w:tc>
        <w:tc>
          <w:tcPr>
            <w:tcW w:w="1300" w:type="dxa"/>
            <w:vAlign w:val="bottom"/>
            <w:gridSpan w:val="2"/>
            <w:vMerge w:val="restart"/>
          </w:tcPr>
          <w:p>
            <w:pPr>
              <w:jc w:val="right"/>
              <w:ind w:right="59"/>
              <w:spacing w:after="0"/>
              <w:rPr>
                <w:sz w:val="20"/>
                <w:szCs w:val="20"/>
                <w:color w:val="auto"/>
              </w:rPr>
            </w:pPr>
            <w:r>
              <w:rPr>
                <w:rFonts w:ascii="Courier New" w:cs="Courier New" w:eastAsia="Courier New" w:hAnsi="Courier New"/>
                <w:sz w:val="16"/>
                <w:szCs w:val="16"/>
                <w:color w:val="auto"/>
              </w:rPr>
              <w:t>$(75,178)</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9"/>
              </w:rPr>
              <w:t>(124,350)</w:t>
            </w:r>
          </w:p>
        </w:tc>
        <w:tc>
          <w:tcPr>
            <w:tcW w:w="120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$(107,395)</w:t>
            </w:r>
          </w:p>
        </w:tc>
        <w:tc>
          <w:tcPr>
            <w:tcW w:w="3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7"/>
              </w:rPr>
              <w:t>41,565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(95,456)</w:t>
            </w:r>
          </w:p>
        </w:tc>
        <w:tc>
          <w:tcPr>
            <w:tcW w:w="0" w:type="dxa"/>
            <w:vAlign w:val="bottom"/>
          </w:tcPr>
          <w:p>
            <w:pPr>
              <w:spacing w:after="0"/>
              <w:rPr>
                <w:sz w:val="1"/>
                <w:szCs w:val="1"/>
                <w:color w:val="auto"/>
              </w:rPr>
            </w:pPr>
          </w:p>
        </w:tc>
      </w:tr>
      <w:tr>
        <w:trPr>
          <w:trHeight w:val="186"/>
        </w:trPr>
        <w:tc>
          <w:tcPr>
            <w:tcW w:w="5720" w:type="dxa"/>
            <w:vAlign w:val="bottom"/>
          </w:tcPr>
          <w:p>
            <w:pPr>
              <w:ind w:left="780"/>
              <w:spacing w:after="0"/>
              <w:rPr>
                <w:sz w:val="20"/>
                <w:szCs w:val="20"/>
                <w:color w:val="auto"/>
              </w:rPr>
            </w:pPr>
            <w:r>
              <w:rPr>
                <w:rFonts w:ascii="Courier New" w:cs="Courier New" w:eastAsia="Courier New" w:hAnsi="Courier New"/>
                <w:sz w:val="16"/>
                <w:szCs w:val="16"/>
                <w:color w:val="auto"/>
              </w:rPr>
              <w:t>before income (loss) from equity investee</w:t>
            </w:r>
          </w:p>
        </w:tc>
        <w:tc>
          <w:tcPr>
            <w:tcW w:w="130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Fixed charges</w:t>
            </w:r>
          </w:p>
        </w:tc>
        <w:tc>
          <w:tcPr>
            <w:tcW w:w="48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3,888</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13,685</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14,108</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14,060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13,687</w:t>
            </w:r>
          </w:p>
        </w:tc>
        <w:tc>
          <w:tcPr>
            <w:tcW w:w="0" w:type="dxa"/>
            <w:vAlign w:val="bottom"/>
          </w:tcPr>
          <w:p>
            <w:pPr>
              <w:spacing w:after="0"/>
              <w:rPr>
                <w:sz w:val="1"/>
                <w:szCs w:val="1"/>
                <w:color w:val="auto"/>
              </w:rPr>
            </w:pPr>
          </w:p>
        </w:tc>
      </w:tr>
      <w:tr>
        <w:trPr>
          <w:trHeight w:val="186"/>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capitalized interest</w:t>
            </w:r>
          </w:p>
        </w:tc>
        <w:tc>
          <w:tcPr>
            <w:tcW w:w="48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78</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0" w:type="dxa"/>
            <w:vAlign w:val="bottom"/>
          </w:tcPr>
          <w:p>
            <w:pPr>
              <w:spacing w:after="0"/>
              <w:rPr>
                <w:sz w:val="1"/>
                <w:szCs w:val="1"/>
                <w:color w:val="auto"/>
              </w:rPr>
            </w:pPr>
          </w:p>
        </w:tc>
      </w:tr>
      <w:tr>
        <w:trPr>
          <w:trHeight w:val="186"/>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Interest capitalized</w:t>
            </w:r>
          </w:p>
        </w:tc>
        <w:tc>
          <w:tcPr>
            <w:tcW w:w="48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(276)</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5720" w:type="dxa"/>
            <w:vAlign w:val="bottom"/>
          </w:tcPr>
          <w:p>
            <w:pPr>
              <w:spacing w:after="0"/>
              <w:rPr>
                <w:sz w:val="23"/>
                <w:szCs w:val="23"/>
                <w:color w:val="auto"/>
              </w:rPr>
            </w:pPr>
          </w:p>
        </w:tc>
        <w:tc>
          <w:tcPr>
            <w:tcW w:w="5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Adjusted earnings</w:t>
            </w:r>
          </w:p>
        </w:tc>
        <w:tc>
          <w:tcPr>
            <w:tcW w:w="13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$(71,290)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(110,887)</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$(93,530)</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55,703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(81,691)</w:t>
            </w:r>
          </w:p>
        </w:tc>
        <w:tc>
          <w:tcPr>
            <w:tcW w:w="0" w:type="dxa"/>
            <w:vAlign w:val="bottom"/>
          </w:tcPr>
          <w:p>
            <w:pPr>
              <w:spacing w:after="0"/>
              <w:rPr>
                <w:sz w:val="1"/>
                <w:szCs w:val="1"/>
                <w:color w:val="auto"/>
              </w:rPr>
            </w:pPr>
          </w:p>
        </w:tc>
      </w:tr>
      <w:tr>
        <w:trPr>
          <w:trHeight w:val="273"/>
        </w:trPr>
        <w:tc>
          <w:tcPr>
            <w:tcW w:w="5720" w:type="dxa"/>
            <w:vAlign w:val="bottom"/>
          </w:tcPr>
          <w:p>
            <w:pPr>
              <w:spacing w:after="0"/>
              <w:rPr>
                <w:sz w:val="23"/>
                <w:szCs w:val="23"/>
                <w:color w:val="auto"/>
              </w:rPr>
            </w:pPr>
          </w:p>
        </w:tc>
        <w:tc>
          <w:tcPr>
            <w:tcW w:w="5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4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2,657</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11,859</w:t>
            </w:r>
          </w:p>
        </w:tc>
        <w:tc>
          <w:tcPr>
            <w:tcW w:w="12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$ 11,932</w:t>
            </w:r>
          </w:p>
        </w:tc>
        <w:tc>
          <w:tcPr>
            <w:tcW w:w="34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w w:val="97"/>
              </w:rPr>
              <w:t>12,175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12,046</w:t>
            </w:r>
          </w:p>
        </w:tc>
        <w:tc>
          <w:tcPr>
            <w:tcW w:w="0" w:type="dxa"/>
            <w:vAlign w:val="bottom"/>
          </w:tcPr>
          <w:p>
            <w:pPr>
              <w:spacing w:after="0"/>
              <w:rPr>
                <w:sz w:val="1"/>
                <w:szCs w:val="1"/>
                <w:color w:val="auto"/>
              </w:rPr>
            </w:pPr>
          </w:p>
        </w:tc>
      </w:tr>
      <w:tr>
        <w:trPr>
          <w:trHeight w:val="186"/>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Interest capitalized</w:t>
            </w:r>
          </w:p>
        </w:tc>
        <w:tc>
          <w:tcPr>
            <w:tcW w:w="48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222</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276</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720" w:type="dxa"/>
            <w:vAlign w:val="bottom"/>
          </w:tcPr>
          <w:p>
            <w:pPr>
              <w:ind w:left="200"/>
              <w:spacing w:after="0"/>
              <w:rPr>
                <w:sz w:val="20"/>
                <w:szCs w:val="20"/>
                <w:color w:val="auto"/>
              </w:rPr>
            </w:pPr>
            <w:r>
              <w:rPr>
                <w:rFonts w:ascii="Courier New" w:cs="Courier New" w:eastAsia="Courier New" w:hAnsi="Courier New"/>
                <w:sz w:val="16"/>
                <w:szCs w:val="16"/>
                <w:color w:val="auto"/>
              </w:rPr>
              <w:t>Assumed interest component of rental charges</w:t>
            </w:r>
          </w:p>
        </w:tc>
        <w:tc>
          <w:tcPr>
            <w:tcW w:w="48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1,231</w:t>
            </w:r>
          </w:p>
        </w:tc>
        <w:tc>
          <w:tcPr>
            <w:tcW w:w="2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1,604</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1,900</w:t>
            </w:r>
          </w:p>
        </w:tc>
        <w:tc>
          <w:tcPr>
            <w:tcW w:w="34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1,885</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1,641</w:t>
            </w:r>
          </w:p>
        </w:tc>
        <w:tc>
          <w:tcPr>
            <w:tcW w:w="0" w:type="dxa"/>
            <w:vAlign w:val="bottom"/>
          </w:tcPr>
          <w:p>
            <w:pPr>
              <w:spacing w:after="0"/>
              <w:rPr>
                <w:sz w:val="1"/>
                <w:szCs w:val="1"/>
                <w:color w:val="auto"/>
              </w:rPr>
            </w:pPr>
          </w:p>
        </w:tc>
      </w:tr>
      <w:tr>
        <w:trPr>
          <w:trHeight w:val="186"/>
        </w:trPr>
        <w:tc>
          <w:tcPr>
            <w:tcW w:w="5720" w:type="dxa"/>
            <w:vAlign w:val="bottom"/>
            <w:vMerge w:val="restart"/>
          </w:tcPr>
          <w:p>
            <w:pPr>
              <w:spacing w:after="0"/>
              <w:rPr>
                <w:sz w:val="20"/>
                <w:szCs w:val="20"/>
                <w:color w:val="auto"/>
              </w:rPr>
            </w:pPr>
            <w:r>
              <w:rPr>
                <w:rFonts w:ascii="Courier New" w:cs="Courier New" w:eastAsia="Courier New" w:hAnsi="Courier New"/>
                <w:sz w:val="16"/>
                <w:szCs w:val="16"/>
                <w:color w:val="auto"/>
              </w:rPr>
              <w:t>Total fixed charges</w:t>
            </w:r>
          </w:p>
        </w:tc>
        <w:tc>
          <w:tcPr>
            <w:tcW w:w="5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720" w:type="dxa"/>
            <w:vAlign w:val="bottom"/>
            <w:vMerge w:val="continue"/>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3,888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13,685</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$ 14,108</w:t>
            </w:r>
          </w:p>
        </w:tc>
        <w:tc>
          <w:tcPr>
            <w:tcW w:w="3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14,060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13,687</w:t>
            </w:r>
          </w:p>
        </w:tc>
        <w:tc>
          <w:tcPr>
            <w:tcW w:w="0" w:type="dxa"/>
            <w:vAlign w:val="bottom"/>
          </w:tcPr>
          <w:p>
            <w:pPr>
              <w:spacing w:after="0"/>
              <w:rPr>
                <w:sz w:val="1"/>
                <w:szCs w:val="1"/>
                <w:color w:val="auto"/>
              </w:rPr>
            </w:pPr>
          </w:p>
        </w:tc>
      </w:tr>
      <w:tr>
        <w:trPr>
          <w:trHeight w:val="273"/>
        </w:trPr>
        <w:tc>
          <w:tcPr>
            <w:tcW w:w="5720" w:type="dxa"/>
            <w:vAlign w:val="bottom"/>
          </w:tcPr>
          <w:p>
            <w:pPr>
              <w:spacing w:after="0"/>
              <w:rPr>
                <w:sz w:val="23"/>
                <w:szCs w:val="23"/>
                <w:color w:val="auto"/>
              </w:rPr>
            </w:pPr>
          </w:p>
        </w:tc>
        <w:tc>
          <w:tcPr>
            <w:tcW w:w="5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480" w:type="dxa"/>
            <w:vAlign w:val="bottom"/>
          </w:tcPr>
          <w:p>
            <w:pPr>
              <w:spacing w:after="0"/>
              <w:rPr>
                <w:sz w:val="24"/>
                <w:szCs w:val="24"/>
                <w:color w:val="auto"/>
              </w:rPr>
            </w:pPr>
          </w:p>
        </w:tc>
        <w:tc>
          <w:tcPr>
            <w:tcW w:w="8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w:t>
            </w:r>
          </w:p>
        </w:tc>
        <w:tc>
          <w:tcPr>
            <w:tcW w:w="24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(A)</w:t>
            </w:r>
          </w:p>
        </w:tc>
        <w:tc>
          <w:tcPr>
            <w:tcW w:w="34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3.96</w:t>
            </w:r>
          </w:p>
        </w:tc>
        <w:tc>
          <w:tcPr>
            <w:tcW w:w="240" w:type="dxa"/>
            <w:vAlign w:val="bottom"/>
          </w:tcPr>
          <w:p>
            <w:pPr>
              <w:spacing w:after="0"/>
              <w:rPr>
                <w:sz w:val="24"/>
                <w:szCs w:val="24"/>
                <w:color w:val="auto"/>
              </w:rPr>
            </w:pP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581" w:right="4160" w:hanging="581"/>
        <w:spacing w:after="0" w:line="287" w:lineRule="auto"/>
        <w:tabs>
          <w:tab w:leader="none" w:pos="5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the registrant's losses for the years ended December 31, 2001, 2002, 2003, and 2005, the ratio coverage was less than 1:1. To achieve a coverage ratio of 1:1, the registrant must generate additional earnings of the amounts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81"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82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6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spacing w:after="0"/>
              <w:rPr>
                <w:sz w:val="16"/>
                <w:szCs w:val="16"/>
                <w:color w:val="auto"/>
              </w:rPr>
            </w:pPr>
          </w:p>
        </w:tc>
        <w:tc>
          <w:tcPr>
            <w:tcW w:w="2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2002</w:t>
            </w:r>
          </w:p>
        </w:tc>
        <w:tc>
          <w:tcPr>
            <w:tcW w:w="13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2005</w:t>
            </w:r>
          </w:p>
        </w:tc>
      </w:tr>
      <w:tr>
        <w:trPr>
          <w:trHeight w:val="273"/>
        </w:trPr>
        <w:tc>
          <w:tcPr>
            <w:tcW w:w="3640" w:type="dxa"/>
            <w:vAlign w:val="bottom"/>
          </w:tcPr>
          <w:p>
            <w:pPr>
              <w:spacing w:after="0"/>
              <w:rPr>
                <w:sz w:val="23"/>
                <w:szCs w:val="23"/>
                <w:color w:val="auto"/>
              </w:rPr>
            </w:pPr>
          </w:p>
        </w:tc>
        <w:tc>
          <w:tcPr>
            <w:tcW w:w="2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Coverage deficiency</w:t>
            </w:r>
          </w:p>
        </w:tc>
        <w:tc>
          <w:tcPr>
            <w:tcW w:w="27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$75,178</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$124,572</w:t>
            </w:r>
          </w:p>
        </w:tc>
        <w:tc>
          <w:tcPr>
            <w:tcW w:w="13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$107,638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$95,378</w:t>
            </w:r>
          </w:p>
        </w:tc>
      </w:tr>
    </w:tbl>
    <w:p>
      <w:pPr>
        <w:sectPr>
          <w:pgSz w:w="11900" w:h="16838" w:orient="portrait"/>
          <w:cols w:equalWidth="0" w:num="1">
            <w:col w:w="11521"/>
          </w:cols>
          <w:pgMar w:left="239" w:top="298" w:right="139" w:bottom="1440" w:gutter="0" w:footer="0" w:header="0"/>
        </w:sectPr>
      </w:pPr>
    </w:p>
    <w:bookmarkStart w:id="111" w:name="page112"/>
    <w:bookmarkEnd w:id="111"/>
    <w:p>
      <w:pPr>
        <w:jc w:val="right"/>
        <w:ind w:right="2459"/>
        <w:spacing w:after="0"/>
        <w:rPr>
          <w:sz w:val="20"/>
          <w:szCs w:val="20"/>
          <w:color w:val="auto"/>
        </w:rPr>
      </w:pPr>
      <w:r>
        <w:rPr>
          <w:rFonts w:ascii="Courier New" w:cs="Courier New" w:eastAsia="Courier New" w:hAnsi="Courier New"/>
          <w:sz w:val="16"/>
          <w:szCs w:val="16"/>
          <w:color w:val="auto"/>
        </w:rPr>
        <w:t>EXHIBIT 23.1</w:t>
      </w:r>
    </w:p>
    <w:p>
      <w:pPr>
        <w:spacing w:after="0" w:line="37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191" w:lineRule="exact"/>
        <w:rPr>
          <w:sz w:val="20"/>
          <w:szCs w:val="20"/>
          <w:color w:val="auto"/>
        </w:rPr>
      </w:pPr>
    </w:p>
    <w:p>
      <w:pPr>
        <w:ind w:right="2559"/>
        <w:spacing w:after="0" w:line="259"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S-8 (Nos.33-50480, 33-85330, 33-97176, 333-33891, 333-80663, 333-61132, 333-97375, and 333-119257) and on Form S-3 (Nos. 333-74464 and</w:t>
      </w:r>
    </w:p>
    <w:p>
      <w:pPr>
        <w:spacing w:after="0" w:line="2" w:lineRule="exact"/>
        <w:rPr>
          <w:sz w:val="20"/>
          <w:szCs w:val="20"/>
          <w:color w:val="auto"/>
        </w:rPr>
      </w:pPr>
    </w:p>
    <w:p>
      <w:pPr>
        <w:ind w:right="2459"/>
        <w:spacing w:after="0" w:line="273" w:lineRule="auto"/>
        <w:rPr>
          <w:sz w:val="20"/>
          <w:szCs w:val="20"/>
          <w:color w:val="auto"/>
        </w:rPr>
      </w:pPr>
      <w:r>
        <w:rPr>
          <w:rFonts w:ascii="Courier New" w:cs="Courier New" w:eastAsia="Courier New" w:hAnsi="Courier New"/>
          <w:sz w:val="16"/>
          <w:szCs w:val="16"/>
          <w:color w:val="auto"/>
        </w:rPr>
        <w:t>333-121225) of Regeneron Pharmaceuticals, Inc., of our report dated February 27, 2006 relating to the financial statements, management's assessment of the effectiveness of internal control over financial reporting and the effectiveness of internal control over financial reporting, which appears in this Form 10-K.</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27, 2006</w:t>
      </w:r>
    </w:p>
    <w:p>
      <w:pPr>
        <w:sectPr>
          <w:pgSz w:w="11900" w:h="16838" w:orient="portrait"/>
          <w:cols w:equalWidth="0" w:num="1">
            <w:col w:w="10219"/>
          </w:cols>
          <w:pgMar w:left="240" w:top="857" w:right="1440" w:bottom="1440" w:gutter="0" w:footer="0" w:header="0"/>
        </w:sectPr>
      </w:pPr>
    </w:p>
    <w:bookmarkStart w:id="112" w:name="page113"/>
    <w:bookmarkEnd w:id="112"/>
    <w:p>
      <w:pPr>
        <w:jc w:val="right"/>
        <w:ind w:right="2459"/>
        <w:spacing w:after="0"/>
        <w:rPr>
          <w:sz w:val="20"/>
          <w:szCs w:val="20"/>
          <w:color w:val="auto"/>
        </w:rPr>
      </w:pPr>
      <w:r>
        <w:rPr>
          <w:rFonts w:ascii="Courier New" w:cs="Courier New" w:eastAsia="Courier New" w:hAnsi="Courier New"/>
          <w:sz w:val="16"/>
          <w:szCs w:val="16"/>
          <w:color w:val="auto"/>
        </w:rPr>
        <w:t>Exhibit 31.1</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CERTIFICATION OF CEO PURSUANT TO</w:t>
      </w:r>
    </w:p>
    <w:p>
      <w:pPr>
        <w:spacing w:after="0" w:line="35"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RULE 13A-14(A) UNDER THE SECURITIES EXCHANGE ACT</w:t>
      </w:r>
    </w:p>
    <w:p>
      <w:pPr>
        <w:spacing w:after="0" w:line="5"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OF 1934, AS ADOPTED PURSUANT TO</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SECTION 302 OF THE SARBANES-OXLEY ACT OF 2002</w:t>
      </w:r>
    </w:p>
    <w:p>
      <w:pPr>
        <w:spacing w:after="0" w:line="34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Leonard S. Schleifer, certify that:</w:t>
      </w:r>
    </w:p>
    <w:p>
      <w:pPr>
        <w:spacing w:after="0" w:line="191" w:lineRule="exact"/>
        <w:rPr>
          <w:sz w:val="20"/>
          <w:szCs w:val="20"/>
          <w:color w:val="auto"/>
        </w:rPr>
      </w:pPr>
    </w:p>
    <w:p>
      <w:pPr>
        <w:ind w:left="881" w:right="3539" w:hanging="881"/>
        <w:spacing w:after="0" w:line="367" w:lineRule="auto"/>
        <w:tabs>
          <w:tab w:leader="none" w:pos="8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Regeneron Pharmaceuticals, Inc.;</w:t>
      </w:r>
    </w:p>
    <w:p>
      <w:pPr>
        <w:spacing w:after="0" w:line="4" w:lineRule="exact"/>
        <w:rPr>
          <w:rFonts w:ascii="Courier New" w:cs="Courier New" w:eastAsia="Courier New" w:hAnsi="Courier New"/>
          <w:sz w:val="16"/>
          <w:szCs w:val="16"/>
          <w:color w:val="auto"/>
        </w:rPr>
      </w:pPr>
    </w:p>
    <w:p>
      <w:pPr>
        <w:ind w:left="881" w:right="2459" w:hanging="881"/>
        <w:spacing w:after="0" w:line="276" w:lineRule="auto"/>
        <w:tabs>
          <w:tab w:leader="none" w:pos="8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Courier New" w:cs="Courier New" w:eastAsia="Courier New" w:hAnsi="Courier New"/>
          <w:sz w:val="16"/>
          <w:szCs w:val="16"/>
          <w:color w:val="auto"/>
        </w:rPr>
      </w:pPr>
    </w:p>
    <w:p>
      <w:pPr>
        <w:ind w:left="881" w:right="2659" w:hanging="881"/>
        <w:spacing w:after="0" w:line="276" w:lineRule="auto"/>
        <w:tabs>
          <w:tab w:leader="none" w:pos="8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5" w:lineRule="exact"/>
        <w:rPr>
          <w:rFonts w:ascii="Courier New" w:cs="Courier New" w:eastAsia="Courier New" w:hAnsi="Courier New"/>
          <w:sz w:val="16"/>
          <w:szCs w:val="16"/>
          <w:color w:val="auto"/>
        </w:rPr>
      </w:pPr>
    </w:p>
    <w:p>
      <w:pPr>
        <w:jc w:val="both"/>
        <w:ind w:left="881" w:right="2859" w:hanging="881"/>
        <w:spacing w:after="0" w:line="256" w:lineRule="auto"/>
        <w:tabs>
          <w:tab w:leader="none" w:pos="8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13a-15(f) and 15d-15(f)) for the registrant and have:</w:t>
      </w:r>
    </w:p>
    <w:p>
      <w:pPr>
        <w:spacing w:after="0" w:line="161" w:lineRule="exact"/>
        <w:rPr>
          <w:rFonts w:ascii="Courier New" w:cs="Courier New" w:eastAsia="Courier New" w:hAnsi="Courier New"/>
          <w:sz w:val="16"/>
          <w:szCs w:val="16"/>
          <w:color w:val="auto"/>
        </w:rPr>
      </w:pPr>
    </w:p>
    <w:p>
      <w:pPr>
        <w:ind w:left="1741" w:right="2459" w:hanging="869"/>
        <w:spacing w:after="0" w:line="266" w:lineRule="auto"/>
        <w:tabs>
          <w:tab w:leader="none" w:pos="174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84" w:lineRule="exact"/>
        <w:rPr>
          <w:rFonts w:ascii="Courier New" w:cs="Courier New" w:eastAsia="Courier New" w:hAnsi="Courier New"/>
          <w:sz w:val="16"/>
          <w:szCs w:val="16"/>
          <w:color w:val="auto"/>
        </w:rPr>
      </w:pPr>
    </w:p>
    <w:p>
      <w:pPr>
        <w:ind w:left="1741" w:right="2459" w:hanging="869"/>
        <w:spacing w:after="0" w:line="270" w:lineRule="auto"/>
        <w:tabs>
          <w:tab w:leader="none" w:pos="174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0" w:lineRule="exact"/>
        <w:rPr>
          <w:rFonts w:ascii="Courier New" w:cs="Courier New" w:eastAsia="Courier New" w:hAnsi="Courier New"/>
          <w:sz w:val="16"/>
          <w:szCs w:val="16"/>
          <w:color w:val="auto"/>
        </w:rPr>
      </w:pPr>
    </w:p>
    <w:p>
      <w:pPr>
        <w:ind w:left="1741" w:right="2459" w:hanging="869"/>
        <w:spacing w:after="0" w:line="276" w:lineRule="auto"/>
        <w:tabs>
          <w:tab w:leader="none" w:pos="174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75" w:lineRule="exact"/>
        <w:rPr>
          <w:rFonts w:ascii="Courier New" w:cs="Courier New" w:eastAsia="Courier New" w:hAnsi="Courier New"/>
          <w:sz w:val="16"/>
          <w:szCs w:val="16"/>
          <w:color w:val="auto"/>
        </w:rPr>
      </w:pPr>
    </w:p>
    <w:p>
      <w:pPr>
        <w:ind w:left="1741" w:right="2459" w:hanging="869"/>
        <w:spacing w:after="0" w:line="266" w:lineRule="auto"/>
        <w:tabs>
          <w:tab w:leader="none" w:pos="174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Courier New" w:cs="Courier New" w:eastAsia="Courier New" w:hAnsi="Courier New"/>
          <w:sz w:val="16"/>
          <w:szCs w:val="16"/>
          <w:color w:val="auto"/>
        </w:rPr>
      </w:pPr>
    </w:p>
    <w:p>
      <w:pPr>
        <w:ind w:left="881" w:right="2659" w:hanging="881"/>
        <w:spacing w:after="0" w:line="276" w:lineRule="auto"/>
        <w:tabs>
          <w:tab w:leader="none" w:pos="8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Courier New" w:cs="Courier New" w:eastAsia="Courier New" w:hAnsi="Courier New"/>
          <w:sz w:val="16"/>
          <w:szCs w:val="16"/>
          <w:color w:val="auto"/>
        </w:rPr>
      </w:pPr>
    </w:p>
    <w:p>
      <w:pPr>
        <w:ind w:left="1741" w:right="2559" w:hanging="869"/>
        <w:spacing w:after="0" w:line="276" w:lineRule="auto"/>
        <w:tabs>
          <w:tab w:leader="none" w:pos="174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Courier New" w:cs="Courier New" w:eastAsia="Courier New" w:hAnsi="Courier New"/>
          <w:sz w:val="16"/>
          <w:szCs w:val="16"/>
          <w:color w:val="auto"/>
        </w:rPr>
      </w:pPr>
    </w:p>
    <w:p>
      <w:pPr>
        <w:ind w:left="1741" w:right="2659" w:hanging="869"/>
        <w:spacing w:after="0" w:line="307" w:lineRule="auto"/>
        <w:tabs>
          <w:tab w:leader="none" w:pos="174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0"/>
          </w:cols>
          <w:pgMar w:left="239" w:top="671" w:right="1440" w:bottom="670" w:gutter="0" w:footer="0" w:header="0"/>
        </w:sectPr>
      </w:pPr>
    </w:p>
    <w:p>
      <w:pPr>
        <w:spacing w:after="0" w:line="5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February 28, 2006</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LEONARD S. SCHLEIFER</w:t>
      </w:r>
    </w:p>
    <w:p>
      <w:pPr>
        <w:spacing w:after="0" w:line="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Leonard S. Schleifer, M.D., Ph.D.</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3061" w:space="720"/>
            <w:col w:w="6439"/>
          </w:cols>
          <w:pgMar w:left="239" w:top="671" w:right="1440" w:bottom="670" w:gutter="0" w:footer="0" w:header="0"/>
          <w:type w:val="continuous"/>
        </w:sectPr>
      </w:pPr>
    </w:p>
    <w:bookmarkStart w:id="113" w:name="page114"/>
    <w:bookmarkEnd w:id="113"/>
    <w:p>
      <w:pPr>
        <w:jc w:val="right"/>
        <w:ind w:right="2459"/>
        <w:spacing w:after="0"/>
        <w:rPr>
          <w:sz w:val="20"/>
          <w:szCs w:val="20"/>
          <w:color w:val="auto"/>
        </w:rPr>
      </w:pPr>
      <w:r>
        <w:rPr>
          <w:rFonts w:ascii="Courier New" w:cs="Courier New" w:eastAsia="Courier New" w:hAnsi="Courier New"/>
          <w:sz w:val="16"/>
          <w:szCs w:val="16"/>
          <w:color w:val="auto"/>
        </w:rPr>
        <w:t>Exhibit 31.2</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CERTIFICATION OF CFO PURSUANT TO</w:t>
      </w:r>
    </w:p>
    <w:p>
      <w:pPr>
        <w:spacing w:after="0" w:line="35"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RULE 13A-14(A) UNDER THE SECURITIES EXCHANGE ACT</w:t>
      </w:r>
    </w:p>
    <w:p>
      <w:pPr>
        <w:spacing w:after="0" w:line="5"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OF 1934, AS ADOPTED PURSUANT TO</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SECTION 302 OF THE SARBANES-OXLEY ACT OF 2002</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Murray A. Goldberg, certify that:</w:t>
      </w:r>
    </w:p>
    <w:p>
      <w:pPr>
        <w:spacing w:after="0" w:line="191" w:lineRule="exact"/>
        <w:rPr>
          <w:sz w:val="20"/>
          <w:szCs w:val="20"/>
          <w:color w:val="auto"/>
        </w:rPr>
      </w:pPr>
    </w:p>
    <w:p>
      <w:pPr>
        <w:ind w:left="881" w:right="3539" w:hanging="881"/>
        <w:spacing w:after="0" w:line="367" w:lineRule="auto"/>
        <w:tabs>
          <w:tab w:leader="none" w:pos="8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Regeneron Pharmaceuticals, Inc.;</w:t>
      </w:r>
    </w:p>
    <w:p>
      <w:pPr>
        <w:spacing w:after="0" w:line="4" w:lineRule="exact"/>
        <w:rPr>
          <w:rFonts w:ascii="Courier New" w:cs="Courier New" w:eastAsia="Courier New" w:hAnsi="Courier New"/>
          <w:sz w:val="16"/>
          <w:szCs w:val="16"/>
          <w:color w:val="auto"/>
        </w:rPr>
      </w:pPr>
    </w:p>
    <w:p>
      <w:pPr>
        <w:ind w:left="881" w:right="2459" w:hanging="881"/>
        <w:spacing w:after="0" w:line="276" w:lineRule="auto"/>
        <w:tabs>
          <w:tab w:leader="none" w:pos="8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5" w:lineRule="exact"/>
        <w:rPr>
          <w:rFonts w:ascii="Courier New" w:cs="Courier New" w:eastAsia="Courier New" w:hAnsi="Courier New"/>
          <w:sz w:val="16"/>
          <w:szCs w:val="16"/>
          <w:color w:val="auto"/>
        </w:rPr>
      </w:pPr>
    </w:p>
    <w:p>
      <w:pPr>
        <w:ind w:left="881" w:right="2659" w:hanging="881"/>
        <w:spacing w:after="0" w:line="276" w:lineRule="auto"/>
        <w:tabs>
          <w:tab w:leader="none" w:pos="8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75" w:lineRule="exact"/>
        <w:rPr>
          <w:rFonts w:ascii="Courier New" w:cs="Courier New" w:eastAsia="Courier New" w:hAnsi="Courier New"/>
          <w:sz w:val="16"/>
          <w:szCs w:val="16"/>
          <w:color w:val="auto"/>
        </w:rPr>
      </w:pPr>
    </w:p>
    <w:p>
      <w:pPr>
        <w:jc w:val="both"/>
        <w:ind w:left="881" w:right="2859" w:hanging="881"/>
        <w:spacing w:after="0" w:line="256" w:lineRule="auto"/>
        <w:tabs>
          <w:tab w:leader="none" w:pos="8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2"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13a-15(f) and 15d-15(f)) for the registrant and have:</w:t>
      </w:r>
    </w:p>
    <w:p>
      <w:pPr>
        <w:spacing w:after="0" w:line="161" w:lineRule="exact"/>
        <w:rPr>
          <w:rFonts w:ascii="Courier New" w:cs="Courier New" w:eastAsia="Courier New" w:hAnsi="Courier New"/>
          <w:sz w:val="16"/>
          <w:szCs w:val="16"/>
          <w:color w:val="auto"/>
        </w:rPr>
      </w:pPr>
    </w:p>
    <w:p>
      <w:pPr>
        <w:ind w:left="1741" w:right="2459" w:hanging="869"/>
        <w:spacing w:after="0" w:line="266" w:lineRule="auto"/>
        <w:tabs>
          <w:tab w:leader="none" w:pos="174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84" w:lineRule="exact"/>
        <w:rPr>
          <w:rFonts w:ascii="Courier New" w:cs="Courier New" w:eastAsia="Courier New" w:hAnsi="Courier New"/>
          <w:sz w:val="16"/>
          <w:szCs w:val="16"/>
          <w:color w:val="auto"/>
        </w:rPr>
      </w:pPr>
    </w:p>
    <w:p>
      <w:pPr>
        <w:ind w:left="1741" w:right="2459" w:hanging="869"/>
        <w:spacing w:after="0" w:line="270" w:lineRule="auto"/>
        <w:tabs>
          <w:tab w:leader="none" w:pos="174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80" w:lineRule="exact"/>
        <w:rPr>
          <w:rFonts w:ascii="Courier New" w:cs="Courier New" w:eastAsia="Courier New" w:hAnsi="Courier New"/>
          <w:sz w:val="16"/>
          <w:szCs w:val="16"/>
          <w:color w:val="auto"/>
        </w:rPr>
      </w:pPr>
    </w:p>
    <w:p>
      <w:pPr>
        <w:ind w:left="1741" w:right="2459" w:hanging="869"/>
        <w:spacing w:after="0" w:line="276" w:lineRule="auto"/>
        <w:tabs>
          <w:tab w:leader="none" w:pos="174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75" w:lineRule="exact"/>
        <w:rPr>
          <w:rFonts w:ascii="Courier New" w:cs="Courier New" w:eastAsia="Courier New" w:hAnsi="Courier New"/>
          <w:sz w:val="16"/>
          <w:szCs w:val="16"/>
          <w:color w:val="auto"/>
        </w:rPr>
      </w:pPr>
    </w:p>
    <w:p>
      <w:pPr>
        <w:ind w:left="1741" w:right="2459" w:hanging="869"/>
        <w:spacing w:after="0" w:line="266" w:lineRule="auto"/>
        <w:tabs>
          <w:tab w:leader="none" w:pos="174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Courier New" w:cs="Courier New" w:eastAsia="Courier New" w:hAnsi="Courier New"/>
          <w:sz w:val="16"/>
          <w:szCs w:val="16"/>
          <w:color w:val="auto"/>
        </w:rPr>
      </w:pPr>
    </w:p>
    <w:p>
      <w:pPr>
        <w:ind w:left="881" w:right="2659" w:hanging="881"/>
        <w:spacing w:after="0" w:line="276" w:lineRule="auto"/>
        <w:tabs>
          <w:tab w:leader="none" w:pos="8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5" w:lineRule="exact"/>
        <w:rPr>
          <w:rFonts w:ascii="Courier New" w:cs="Courier New" w:eastAsia="Courier New" w:hAnsi="Courier New"/>
          <w:sz w:val="16"/>
          <w:szCs w:val="16"/>
          <w:color w:val="auto"/>
        </w:rPr>
      </w:pPr>
    </w:p>
    <w:p>
      <w:pPr>
        <w:ind w:left="1741" w:right="2559" w:hanging="869"/>
        <w:spacing w:after="0" w:line="276" w:lineRule="auto"/>
        <w:tabs>
          <w:tab w:leader="none" w:pos="174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Courier New" w:cs="Courier New" w:eastAsia="Courier New" w:hAnsi="Courier New"/>
          <w:sz w:val="16"/>
          <w:szCs w:val="16"/>
          <w:color w:val="auto"/>
        </w:rPr>
      </w:pPr>
    </w:p>
    <w:p>
      <w:pPr>
        <w:ind w:left="1741" w:right="2659" w:hanging="869"/>
        <w:spacing w:after="0" w:line="307" w:lineRule="auto"/>
        <w:tabs>
          <w:tab w:leader="none" w:pos="1741"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20"/>
          </w:cols>
          <w:pgMar w:left="239" w:top="671" w:right="1440" w:bottom="297" w:gutter="0" w:footer="0" w:header="0"/>
        </w:sectPr>
      </w:pPr>
    </w:p>
    <w:p>
      <w:pPr>
        <w:spacing w:after="0" w:line="23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February 28, 2006</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MURRAY A. GOLDBERG</w:t>
      </w:r>
    </w:p>
    <w:p>
      <w:pPr>
        <w:spacing w:after="0" w:line="3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Murray A. Goldberg</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Senior Vice President, Finance &amp; Administration,</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Chief Financial Officer, Treasurer, and Assistant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2">
            <w:col w:w="2221" w:space="400"/>
            <w:col w:w="7599"/>
          </w:cols>
          <w:pgMar w:left="239" w:top="671" w:right="1440" w:bottom="297" w:gutter="0" w:footer="0" w:header="0"/>
          <w:type w:val="continuous"/>
        </w:sectPr>
      </w:pPr>
    </w:p>
    <w:bookmarkStart w:id="114" w:name="page115"/>
    <w:bookmarkEnd w:id="114"/>
    <w:p>
      <w:pPr>
        <w:jc w:val="right"/>
        <w:ind w:right="2459"/>
        <w:spacing w:after="0"/>
        <w:rPr>
          <w:sz w:val="20"/>
          <w:szCs w:val="20"/>
          <w:color w:val="auto"/>
        </w:rPr>
      </w:pPr>
      <w:r>
        <w:rPr>
          <w:rFonts w:ascii="Courier New" w:cs="Courier New" w:eastAsia="Courier New" w:hAnsi="Courier New"/>
          <w:sz w:val="16"/>
          <w:szCs w:val="16"/>
          <w:color w:val="auto"/>
        </w:rPr>
        <w:t>EXHIBIT 32</w:t>
      </w:r>
    </w:p>
    <w:p>
      <w:pPr>
        <w:spacing w:after="0" w:line="378"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CERTIFICATION OF CEO AND CFO PURSUANT TO</w:t>
      </w:r>
    </w:p>
    <w:p>
      <w:pPr>
        <w:spacing w:after="0" w:line="3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18 U.S.C. SECTION 1350,</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AS ADOPTED PURSUANT TO</w:t>
      </w:r>
    </w:p>
    <w:p>
      <w:pPr>
        <w:spacing w:after="0" w:line="5"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161" w:lineRule="exact"/>
        <w:rPr>
          <w:sz w:val="20"/>
          <w:szCs w:val="20"/>
          <w:color w:val="auto"/>
        </w:rPr>
      </w:pPr>
    </w:p>
    <w:p>
      <w:pPr>
        <w:ind w:left="1" w:right="2459"/>
        <w:spacing w:after="0" w:line="266" w:lineRule="auto"/>
        <w:rPr>
          <w:sz w:val="20"/>
          <w:szCs w:val="20"/>
          <w:color w:val="auto"/>
        </w:rPr>
      </w:pPr>
      <w:r>
        <w:rPr>
          <w:rFonts w:ascii="Courier New" w:cs="Courier New" w:eastAsia="Courier New" w:hAnsi="Courier New"/>
          <w:sz w:val="16"/>
          <w:szCs w:val="16"/>
          <w:color w:val="auto"/>
        </w:rPr>
        <w:t>In connection with the Annual Report of Regeneron Pharmaceuticals, Inc. (the "Company") on Form 10-K for the year ended December 31, 2005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85" w:lineRule="exact"/>
        <w:rPr>
          <w:sz w:val="20"/>
          <w:szCs w:val="20"/>
          <w:color w:val="auto"/>
        </w:rPr>
      </w:pPr>
    </w:p>
    <w:p>
      <w:pPr>
        <w:ind w:left="1" w:right="2459" w:firstLine="871"/>
        <w:spacing w:after="0" w:line="367" w:lineRule="auto"/>
        <w:tabs>
          <w:tab w:leader="none" w:pos="155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4" w:lineRule="exact"/>
        <w:rPr>
          <w:rFonts w:ascii="Courier New" w:cs="Courier New" w:eastAsia="Courier New" w:hAnsi="Courier New"/>
          <w:sz w:val="16"/>
          <w:szCs w:val="16"/>
          <w:color w:val="auto"/>
        </w:rPr>
      </w:pPr>
    </w:p>
    <w:p>
      <w:pPr>
        <w:ind w:left="1" w:right="2559" w:firstLine="871"/>
        <w:spacing w:after="0" w:line="307" w:lineRule="auto"/>
        <w:tabs>
          <w:tab w:leader="none" w:pos="155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Leonard S. Schleifer</w:t>
      </w:r>
    </w:p>
    <w:p>
      <w:pPr>
        <w:spacing w:after="0" w:line="35" w:lineRule="exact"/>
        <w:rPr>
          <w:sz w:val="20"/>
          <w:szCs w:val="20"/>
          <w:color w:val="auto"/>
        </w:rPr>
      </w:pPr>
    </w:p>
    <w:p>
      <w:pPr>
        <w:ind w:left="201" w:hanging="201"/>
        <w:spacing w:after="0"/>
        <w:tabs>
          <w:tab w:leader="none" w:pos="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019"/>
        <w:spacing w:after="0" w:line="28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Chief Executive Officer February 28, 2006</w:t>
      </w:r>
    </w:p>
    <w:p>
      <w:pPr>
        <w:spacing w:after="0" w:line="200" w:lineRule="exact"/>
        <w:rPr>
          <w:sz w:val="20"/>
          <w:szCs w:val="20"/>
          <w:color w:val="auto"/>
        </w:rPr>
      </w:pPr>
    </w:p>
    <w:p>
      <w:pPr>
        <w:spacing w:after="0" w:line="23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Murray A. Goldberg</w:t>
      </w:r>
    </w:p>
    <w:p>
      <w:pPr>
        <w:spacing w:after="0" w:line="35" w:lineRule="exact"/>
        <w:rPr>
          <w:sz w:val="20"/>
          <w:szCs w:val="20"/>
          <w:color w:val="auto"/>
        </w:rPr>
      </w:pPr>
    </w:p>
    <w:p>
      <w:pPr>
        <w:ind w:left="201" w:hanging="201"/>
        <w:spacing w:after="0"/>
        <w:tabs>
          <w:tab w:leader="none" w:pos="20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999"/>
        <w:spacing w:after="0" w:line="28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Murray A. Goldberg Chief Financial Officer February 28, 2006</w:t>
      </w:r>
    </w:p>
    <w:sectPr>
      <w:pgSz w:w="11900" w:h="16838" w:orient="portrait"/>
      <w:cols w:equalWidth="0" w:num="1">
        <w:col w:w="10220"/>
      </w:cols>
      <w:pgMar w:left="239" w:top="8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lowerRoman"/>
      <w:start w:val="2"/>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6"/>
    </w:lvl>
    <w:lvl w:ilvl="1">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decimal"/>
      <w:start w:val="2"/>
    </w:lvl>
  </w:abstractNum>
  <w:abstractNum w:abstractNumId="15">
    <w:nsid w:val="5E884ADC"/>
    <w:multiLevelType w:val="hybridMultilevel"/>
    <w:lvl w:ilvl="0">
      <w:lvlJc w:val="left"/>
      <w:lvlText w:val="(%1)"/>
      <w:numFmt w:val="lowerRoman"/>
      <w:start w:val="3"/>
    </w:lvl>
  </w:abstractNum>
  <w:abstractNum w:abstractNumId="16">
    <w:nsid w:val="51EAD36B"/>
    <w:multiLevelType w:val="hybridMultilevel"/>
    <w:lvl w:ilvl="0">
      <w:lvlJc w:val="left"/>
      <w:lvlText w:val="%1."/>
      <w:numFmt w:val="decimal"/>
      <w:start w:val="3"/>
    </w:lvl>
  </w:abstractNum>
  <w:abstractNum w:abstractNumId="17">
    <w:nsid w:val="2D517796"/>
    <w:multiLevelType w:val="hybridMultilevel"/>
    <w:lvl w:ilvl="0">
      <w:lvlJc w:val="left"/>
      <w:lvlText w:val="%1."/>
      <w:numFmt w:val="decimal"/>
      <w:start w:val="4"/>
    </w:lvl>
  </w:abstractNum>
  <w:abstractNum w:abstractNumId="18">
    <w:nsid w:val="580BD78F"/>
    <w:multiLevelType w:val="hybridMultilevel"/>
    <w:lvl w:ilvl="0">
      <w:lvlJc w:val="left"/>
      <w:lvlText w:val="%1."/>
      <w:numFmt w:val="decimal"/>
      <w:start w:val="6"/>
    </w:lvl>
  </w:abstractNum>
  <w:abstractNum w:abstractNumId="19">
    <w:nsid w:val="153EA438"/>
    <w:multiLevelType w:val="hybridMultilevel"/>
    <w:lvl w:ilvl="0">
      <w:lvlJc w:val="left"/>
      <w:lvlText w:val="%1."/>
      <w:numFmt w:val="decimal"/>
      <w:start w:val="8"/>
    </w:lvl>
  </w:abstractNum>
  <w:abstractNum w:abstractNumId="20">
    <w:nsid w:val="3855585C"/>
    <w:multiLevelType w:val="hybridMultilevel"/>
    <w:lvl w:ilvl="0">
      <w:lvlJc w:val="left"/>
      <w:lvlText w:val="%1."/>
      <w:numFmt w:val="decimal"/>
      <w:start w:val="10"/>
    </w:lvl>
  </w:abstractNum>
  <w:abstractNum w:abstractNumId="21">
    <w:nsid w:val="70A64E2A"/>
    <w:multiLevelType w:val="hybridMultilevel"/>
    <w:lvl w:ilvl="0">
      <w:lvlJc w:val="left"/>
      <w:lvlText w:val="%1."/>
      <w:numFmt w:val="decimal"/>
      <w:start w:val="11"/>
    </w:lvl>
    <w:lvl w:ilvl="1">
      <w:lvlJc w:val="left"/>
      <w:lvlText w:val="%2"/>
      <w:numFmt w:val="lowerLetter"/>
      <w:start w:val="1"/>
    </w:lvl>
  </w:abstractNum>
  <w:abstractNum w:abstractNumId="22">
    <w:nsid w:val="6A2342EC"/>
    <w:multiLevelType w:val="hybridMultilevel"/>
    <w:lvl w:ilvl="0">
      <w:lvlJc w:val="left"/>
      <w:lvlText w:val="%1."/>
      <w:numFmt w:val="lowerLetter"/>
      <w:start w:val="3"/>
    </w:lvl>
  </w:abstractNum>
  <w:abstractNum w:abstractNumId="23">
    <w:nsid w:val="2A487CB0"/>
    <w:multiLevelType w:val="hybridMultilevel"/>
    <w:lvl w:ilvl="0">
      <w:lvlJc w:val="left"/>
      <w:lvlText w:val="%1."/>
      <w:numFmt w:val="lowerLetter"/>
      <w:start w:val="4"/>
    </w:lvl>
  </w:abstractNum>
  <w:abstractNum w:abstractNumId="24">
    <w:nsid w:val="1D4ED43B"/>
    <w:multiLevelType w:val="hybridMultilevel"/>
    <w:lvl w:ilvl="0">
      <w:lvlJc w:val="left"/>
      <w:lvlText w:val="%1."/>
      <w:numFmt w:val="lowerLetter"/>
      <w:start w:val="5"/>
    </w:lvl>
  </w:abstractNum>
  <w:abstractNum w:abstractNumId="25">
    <w:nsid w:val="725A06FB"/>
    <w:multiLevelType w:val="hybridMultilevel"/>
    <w:lvl w:ilvl="0">
      <w:lvlJc w:val="left"/>
      <w:lvlText w:val="%1."/>
      <w:numFmt w:val="decimal"/>
      <w:start w:val="12"/>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2"/>
    </w:lvl>
  </w:abstractNum>
  <w:abstractNum w:abstractNumId="28">
    <w:nsid w:val="7A6D8D3C"/>
    <w:multiLevelType w:val="hybridMultilevel"/>
    <w:lvl w:ilvl="0">
      <w:lvlJc w:val="left"/>
      <w:lvlText w:val="%1."/>
      <w:numFmt w:val="lowerLetter"/>
      <w:start w:val="3"/>
    </w:lvl>
  </w:abstractNum>
  <w:abstractNum w:abstractNumId="29">
    <w:nsid w:val="4B588F54"/>
    <w:multiLevelType w:val="hybridMultilevel"/>
    <w:lvl w:ilvl="0">
      <w:lvlJc w:val="left"/>
      <w:lvlText w:val="%1."/>
      <w:numFmt w:val="lowerLetter"/>
      <w:start w:val="4"/>
    </w:lvl>
  </w:abstractNum>
  <w:abstractNum w:abstractNumId="30">
    <w:nsid w:val="542289EC"/>
    <w:multiLevelType w:val="hybridMultilevel"/>
    <w:lvl w:ilvl="0">
      <w:lvlJc w:val="left"/>
      <w:lvlText w:val="%1."/>
      <w:numFmt w:val="lowerLetter"/>
      <w:start w:val="5"/>
    </w:lvl>
  </w:abstractNum>
  <w:abstractNum w:abstractNumId="31">
    <w:nsid w:val="6DE91B18"/>
    <w:multiLevelType w:val="hybridMultilevel"/>
    <w:lvl w:ilvl="0">
      <w:lvlJc w:val="left"/>
      <w:lvlText w:val="%1."/>
      <w:numFmt w:val="lowerLetter"/>
      <w:start w:val="6"/>
    </w:lvl>
  </w:abstractNum>
  <w:abstractNum w:abstractNumId="32">
    <w:nsid w:val="38437FDB"/>
    <w:multiLevelType w:val="hybridMultilevel"/>
    <w:lvl w:ilvl="0">
      <w:lvlJc w:val="left"/>
      <w:lvlText w:val="%1."/>
      <w:numFmt w:val="decimal"/>
      <w:start w:val="13"/>
    </w:lvl>
  </w:abstractNum>
  <w:abstractNum w:abstractNumId="33">
    <w:nsid w:val="7644A45C"/>
    <w:multiLevelType w:val="hybridMultilevel"/>
    <w:lvl w:ilvl="0">
      <w:lvlJc w:val="left"/>
      <w:lvlText w:val="(%1)"/>
      <w:numFmt w:val="lowerRoman"/>
      <w:start w:val="3"/>
    </w:lvl>
  </w:abstractNum>
  <w:abstractNum w:abstractNumId="34">
    <w:nsid w:val="32FFF902"/>
    <w:multiLevelType w:val="hybridMultilevel"/>
    <w:lvl w:ilvl="0">
      <w:lvlJc w:val="left"/>
      <w:lvlText w:val="%1."/>
      <w:numFmt w:val="decimal"/>
      <w:start w:val="14"/>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decimal"/>
      <w:start w:val="15"/>
    </w:lvl>
  </w:abstractNum>
  <w:abstractNum w:abstractNumId="38">
    <w:nsid w:val="3DC240FB"/>
    <w:multiLevelType w:val="hybridMultilevel"/>
    <w:lvl w:ilvl="0">
      <w:lvlJc w:val="left"/>
      <w:lvlText w:val="%1."/>
      <w:numFmt w:val="decimal"/>
      <w:start w:val="16"/>
    </w:lvl>
  </w:abstractNum>
  <w:abstractNum w:abstractNumId="39">
    <w:nsid w:val="1BA026FA"/>
    <w:multiLevelType w:val="hybridMultilevel"/>
    <w:lvl w:ilvl="0">
      <w:lvlJc w:val="left"/>
      <w:lvlText w:val="%1."/>
      <w:numFmt w:val="decimal"/>
      <w:start w:val="17"/>
    </w:lvl>
  </w:abstractNum>
  <w:abstractNum w:abstractNumId="40">
    <w:nsid w:val="79A1DEAA"/>
    <w:multiLevelType w:val="hybridMultilevel"/>
    <w:lvl w:ilvl="0">
      <w:lvlJc w:val="left"/>
      <w:lvlText w:val="%1."/>
      <w:numFmt w:val="decimal"/>
      <w:start w:val="18"/>
    </w:lvl>
  </w:abstractNum>
  <w:abstractNum w:abstractNumId="41">
    <w:nsid w:val="75C6C33A"/>
    <w:multiLevelType w:val="hybridMultilevel"/>
    <w:lvl w:ilvl="0">
      <w:lvlJc w:val="left"/>
      <w:lvlText w:val="%1."/>
      <w:numFmt w:val="decimal"/>
      <w:start w:val="19"/>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20"/>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
      <w:numFmt w:val="bullet"/>
      <w:start w:val="1"/>
    </w:lvl>
    <w:lvl w:ilvl="1">
      <w:lvlJc w:val="left"/>
      <w:lvlText w:val="(%2)"/>
      <w:numFmt w:val="lowerLetter"/>
      <w:start w:val="15"/>
    </w:lvl>
  </w:abstractNum>
  <w:abstractNum w:abstractNumId="46">
    <w:nsid w:val="4F4EF005"/>
    <w:multiLevelType w:val="hybridMultilevel"/>
    <w:lvl w:ilvl="0">
      <w:lvlJc w:val="left"/>
      <w:lvlText w:val="%1."/>
      <w:numFmt w:val="decimal"/>
      <w:start w:val="1"/>
    </w:lvl>
    <w:lvl w:ilvl="1">
      <w:lvlJc w:val="left"/>
      <w:lvlText w:val="(%2)"/>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4"/>
    </w:lvl>
  </w:abstractNum>
  <w:abstractNum w:abstractNumId="48">
    <w:nsid w:val="649BB77C"/>
    <w:multiLevelType w:val="hybridMultilevel"/>
    <w:lvl w:ilvl="0">
      <w:lvlJc w:val="left"/>
      <w:lvlText w:val="%1."/>
      <w:numFmt w:val="decimal"/>
      <w:start w:val="2"/>
    </w:lvl>
    <w:lvl w:ilvl="1">
      <w:lvlJc w:val="left"/>
      <w:lvlText w:val="(%2)"/>
      <w:numFmt w:val="lowerLetter"/>
      <w:start w:val="61"/>
    </w:lvl>
  </w:abstractNum>
  <w:abstractNum w:abstractNumId="49">
    <w:nsid w:val="275AC794"/>
    <w:multiLevelType w:val="hybridMultilevel"/>
    <w:lvl w:ilvl="0">
      <w:lvlJc w:val="left"/>
      <w:lvlText w:val="%1."/>
      <w:numFmt w:val="decimal"/>
      <w:start w:val="9"/>
    </w:lvl>
  </w:abstractNum>
  <w:abstractNum w:abstractNumId="50">
    <w:nsid w:val="39386575"/>
    <w:multiLevelType w:val="hybridMultilevel"/>
    <w:lvl w:ilvl="0">
      <w:lvlJc w:val="left"/>
      <w:lvlText w:val="%1."/>
      <w:numFmt w:val="decimal"/>
      <w:start w:val="17"/>
    </w:lvl>
  </w:abstractNum>
  <w:abstractNum w:abstractNumId="51">
    <w:nsid w:val="1CF10FD8"/>
    <w:multiLevelType w:val="hybridMultilevel"/>
    <w:lvl w:ilvl="0">
      <w:lvlJc w:val="left"/>
      <w:lvlText w:val="%1."/>
      <w:numFmt w:val="upperLetter"/>
      <w:start w:val="6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2"/>
    </w:lvl>
  </w:abstractNum>
  <w:abstractNum w:abstractNumId="55">
    <w:nsid w:val="354FE9F9"/>
    <w:multiLevelType w:val="hybridMultilevel"/>
    <w:lvl w:ilvl="0">
      <w:lvlJc w:val="left"/>
      <w:lvlText w:val="%1."/>
      <w:numFmt w:val="decimal"/>
      <w:start w:val="6"/>
    </w:lvl>
  </w:abstractNum>
  <w:abstractNum w:abstractNumId="56">
    <w:nsid w:val="15B5AF5C"/>
    <w:multiLevelType w:val="hybridMultilevel"/>
    <w:lvl w:ilvl="0">
      <w:lvlJc w:val="left"/>
      <w:lvlText w:val="(%1)"/>
      <w:numFmt w:val="upperLetter"/>
      <w:start w:val="1"/>
    </w:lvl>
  </w:abstractNum>
  <w:abstractNum w:abstractNumId="57">
    <w:nsid w:val="741226BB"/>
    <w:multiLevelType w:val="hybridMultilevel"/>
    <w:lvl w:ilvl="0">
      <w:lvlJc w:val="left"/>
      <w:lvlText w:val="%1."/>
      <w:numFmt w:val="decimal"/>
      <w:start w:val="1"/>
    </w:lvl>
    <w:lvl w:ilvl="1">
      <w:lvlJc w:val="left"/>
      <w:lvlText w:val="%2)"/>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2019-12-20T02:53:43Z</dcterms:created>
  <dcterms:modified xsi:type="dcterms:W3CDTF">2019-12-20T02:53:43Z</dcterms:modified>
</cp:coreProperties>
</file>