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9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24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Date of Report (Date of earliest event reported): August 3, 2023 (August 3, 2023)</w:t>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REGENERON PHARMACEUTICALS, INC.</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94" w:lineRule="exact"/>
        <w:rPr>
          <w:sz w:val="24"/>
          <w:szCs w:val="24"/>
          <w:color w:val="auto"/>
        </w:rPr>
      </w:pPr>
    </w:p>
    <w:tbl>
      <w:tblPr>
        <w:tblLayout w:type="fixed"/>
        <w:tblInd w:w="1000" w:type="dxa"/>
        <w:tblCellMar>
          <w:top w:w="0" w:type="dxa"/>
          <w:left w:w="0" w:type="dxa"/>
          <w:bottom w:w="0" w:type="dxa"/>
          <w:right w:w="0" w:type="dxa"/>
        </w:tblCellMar>
      </w:tblPr>
      <w:tr>
        <w:trPr>
          <w:trHeight w:val="261"/>
        </w:trPr>
        <w:tc>
          <w:tcPr>
            <w:tcW w:w="3180" w:type="dxa"/>
            <w:vAlign w:val="bottom"/>
          </w:tcPr>
          <w:p>
            <w:pPr>
              <w:jc w:val="center"/>
              <w:ind w:right="579"/>
              <w:spacing w:after="0"/>
              <w:rPr>
                <w:sz w:val="20"/>
                <w:szCs w:val="20"/>
                <w:color w:val="auto"/>
              </w:rPr>
            </w:pPr>
            <w:r>
              <w:rPr>
                <w:rFonts w:ascii="Arial" w:cs="Arial" w:eastAsia="Arial" w:hAnsi="Arial"/>
                <w:sz w:val="18"/>
                <w:szCs w:val="18"/>
                <w:b w:val="1"/>
                <w:bCs w:val="1"/>
                <w:color w:val="auto"/>
                <w:w w:val="92"/>
              </w:rPr>
              <w:t>New York</w:t>
            </w:r>
          </w:p>
        </w:tc>
        <w:tc>
          <w:tcPr>
            <w:tcW w:w="3000" w:type="dxa"/>
            <w:vAlign w:val="bottom"/>
          </w:tcPr>
          <w:p>
            <w:pPr>
              <w:jc w:val="right"/>
              <w:ind w:right="1079"/>
              <w:spacing w:after="0"/>
              <w:rPr>
                <w:sz w:val="20"/>
                <w:szCs w:val="20"/>
                <w:color w:val="auto"/>
              </w:rPr>
            </w:pPr>
            <w:r>
              <w:rPr>
                <w:rFonts w:ascii="Arial" w:cs="Arial" w:eastAsia="Arial" w:hAnsi="Arial"/>
                <w:sz w:val="18"/>
                <w:szCs w:val="18"/>
                <w:b w:val="1"/>
                <w:bCs w:val="1"/>
                <w:color w:val="auto"/>
              </w:rPr>
              <w:t>000-19034</w:t>
            </w:r>
          </w:p>
        </w:tc>
        <w:tc>
          <w:tcPr>
            <w:tcW w:w="2860" w:type="dxa"/>
            <w:vAlign w:val="bottom"/>
          </w:tcPr>
          <w:p>
            <w:pPr>
              <w:jc w:val="right"/>
              <w:ind w:right="539"/>
              <w:spacing w:after="0"/>
              <w:rPr>
                <w:sz w:val="20"/>
                <w:szCs w:val="20"/>
                <w:color w:val="auto"/>
              </w:rPr>
            </w:pPr>
            <w:r>
              <w:rPr>
                <w:rFonts w:ascii="Arial" w:cs="Arial" w:eastAsia="Arial" w:hAnsi="Arial"/>
                <w:sz w:val="18"/>
                <w:szCs w:val="18"/>
                <w:b w:val="1"/>
                <w:bCs w:val="1"/>
                <w:color w:val="auto"/>
              </w:rPr>
              <w:t>13-3444607</w:t>
            </w:r>
          </w:p>
        </w:tc>
      </w:tr>
      <w:tr>
        <w:trPr>
          <w:trHeight w:val="190"/>
        </w:trPr>
        <w:tc>
          <w:tcPr>
            <w:tcW w:w="3180" w:type="dxa"/>
            <w:vAlign w:val="bottom"/>
          </w:tcPr>
          <w:p>
            <w:pPr>
              <w:jc w:val="center"/>
              <w:ind w:right="579"/>
              <w:spacing w:after="0"/>
              <w:rPr>
                <w:sz w:val="20"/>
                <w:szCs w:val="20"/>
                <w:color w:val="auto"/>
              </w:rPr>
            </w:pPr>
            <w:r>
              <w:rPr>
                <w:rFonts w:ascii="Arial" w:cs="Arial" w:eastAsia="Arial" w:hAnsi="Arial"/>
                <w:sz w:val="14"/>
                <w:szCs w:val="14"/>
                <w:color w:val="auto"/>
                <w:w w:val="95"/>
              </w:rPr>
              <w:t>(State or other jurisdiction of incorporation)</w:t>
            </w:r>
          </w:p>
        </w:tc>
        <w:tc>
          <w:tcPr>
            <w:tcW w:w="3000" w:type="dxa"/>
            <w:vAlign w:val="bottom"/>
          </w:tcPr>
          <w:p>
            <w:pPr>
              <w:jc w:val="center"/>
              <w:ind w:right="39"/>
              <w:spacing w:after="0"/>
              <w:rPr>
                <w:sz w:val="20"/>
                <w:szCs w:val="20"/>
                <w:color w:val="auto"/>
              </w:rPr>
            </w:pPr>
            <w:r>
              <w:rPr>
                <w:rFonts w:ascii="Arial" w:cs="Arial" w:eastAsia="Arial" w:hAnsi="Arial"/>
                <w:sz w:val="14"/>
                <w:szCs w:val="14"/>
                <w:color w:val="auto"/>
                <w:w w:val="96"/>
              </w:rPr>
              <w:t>(Commission File Number)</w:t>
            </w:r>
          </w:p>
        </w:tc>
        <w:tc>
          <w:tcPr>
            <w:tcW w:w="2860" w:type="dxa"/>
            <w:vAlign w:val="bottom"/>
          </w:tcPr>
          <w:p>
            <w:pPr>
              <w:jc w:val="center"/>
              <w:ind w:left="679"/>
              <w:spacing w:after="0"/>
              <w:rPr>
                <w:sz w:val="20"/>
                <w:szCs w:val="20"/>
                <w:color w:val="auto"/>
              </w:rPr>
            </w:pPr>
            <w:r>
              <w:rPr>
                <w:rFonts w:ascii="Arial" w:cs="Arial" w:eastAsia="Arial" w:hAnsi="Arial"/>
                <w:sz w:val="14"/>
                <w:szCs w:val="14"/>
                <w:color w:val="auto"/>
                <w:w w:val="97"/>
              </w:rPr>
              <w:t>(I.R.S. Employer Identification No.)</w:t>
            </w:r>
          </w:p>
        </w:tc>
      </w:tr>
    </w:tbl>
    <w:p>
      <w:pPr>
        <w:spacing w:after="0" w:line="1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777 Old Saw Mill River Road, Tarrytown, New York 10591-6707</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0" w:lineRule="exact"/>
        <w:rPr>
          <w:sz w:val="24"/>
          <w:szCs w:val="24"/>
          <w:color w:val="auto"/>
        </w:rPr>
      </w:pP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8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7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3"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i w:val="1"/>
                <w:iCs w:val="1"/>
                <w:color w:val="auto"/>
                <w:w w:val="90"/>
              </w:rPr>
              <w:t>Title of each class</w:t>
            </w:r>
          </w:p>
        </w:tc>
        <w:tc>
          <w:tcPr>
            <w:tcW w:w="2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i w:val="1"/>
                <w:iCs w:val="1"/>
                <w:color w:val="auto"/>
                <w:w w:val="91"/>
              </w:rPr>
              <w:t>Trading Symbol(s)</w:t>
            </w:r>
          </w:p>
        </w:tc>
        <w:tc>
          <w:tcPr>
            <w:tcW w:w="600" w:type="dxa"/>
            <w:vAlign w:val="bottom"/>
          </w:tcPr>
          <w:p>
            <w:pPr>
              <w:spacing w:after="0"/>
              <w:rPr>
                <w:sz w:val="18"/>
                <w:szCs w:val="18"/>
                <w:color w:val="auto"/>
              </w:rPr>
            </w:pPr>
          </w:p>
        </w:tc>
        <w:tc>
          <w:tcPr>
            <w:tcW w:w="3780" w:type="dxa"/>
            <w:vAlign w:val="bottom"/>
            <w:gridSpan w:val="2"/>
          </w:tcPr>
          <w:p>
            <w:pPr>
              <w:jc w:val="center"/>
              <w:ind w:left="530"/>
              <w:spacing w:after="0"/>
              <w:rPr>
                <w:sz w:val="20"/>
                <w:szCs w:val="20"/>
                <w:color w:val="auto"/>
              </w:rPr>
            </w:pPr>
            <w:r>
              <w:rPr>
                <w:rFonts w:ascii="Arial" w:cs="Arial" w:eastAsia="Arial" w:hAnsi="Arial"/>
                <w:sz w:val="18"/>
                <w:szCs w:val="18"/>
                <w:i w:val="1"/>
                <w:iCs w:val="1"/>
                <w:color w:val="auto"/>
                <w:w w:val="88"/>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264"/>
        </w:trPr>
        <w:tc>
          <w:tcPr>
            <w:tcW w:w="44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9"/>
              </w:rPr>
              <w:t>Common Stock - par value $.001 per share</w:t>
            </w: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9"/>
              </w:rPr>
              <w:t>REGN</w:t>
            </w:r>
          </w:p>
        </w:tc>
        <w:tc>
          <w:tcPr>
            <w:tcW w:w="620" w:type="dxa"/>
            <w:vAlign w:val="bottom"/>
          </w:tcPr>
          <w:p>
            <w:pPr>
              <w:spacing w:after="0"/>
              <w:rPr>
                <w:sz w:val="22"/>
                <w:szCs w:val="22"/>
                <w:color w:val="auto"/>
              </w:rPr>
            </w:pP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323"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1144270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On August 3, 2023, Regeneron Pharmaceuticals, Inc. issued a press release announcing its financial and operating results for the quarter ended June 30, 2023. A copy of the press release is being furnished to the Securities and Exchange Commission as Exhibit 99.1 to this Current Report on Form 8-K and is incorporated by reference to this Item 2.02.</w:t>
      </w:r>
    </w:p>
    <w:p>
      <w:pPr>
        <w:spacing w:after="0" w:line="211" w:lineRule="exact"/>
        <w:rPr>
          <w:sz w:val="20"/>
          <w:szCs w:val="20"/>
          <w:color w:val="auto"/>
        </w:rPr>
      </w:pPr>
    </w:p>
    <w:p>
      <w:pPr>
        <w:ind w:right="540" w:firstLine="243"/>
        <w:spacing w:after="0" w:line="286" w:lineRule="auto"/>
        <w:rPr>
          <w:sz w:val="20"/>
          <w:szCs w:val="20"/>
          <w:color w:val="auto"/>
        </w:rPr>
      </w:pPr>
      <w:r>
        <w:rPr>
          <w:rFonts w:ascii="Arial" w:cs="Arial" w:eastAsia="Arial" w:hAnsi="Arial"/>
          <w:sz w:val="17"/>
          <w:szCs w:val="17"/>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200" w:lineRule="exact"/>
        <w:rPr>
          <w:sz w:val="20"/>
          <w:szCs w:val="20"/>
          <w:color w:val="auto"/>
        </w:rPr>
      </w:pPr>
    </w:p>
    <w:p>
      <w:pPr>
        <w:spacing w:after="0" w:line="23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Press Release, dated August 3, 2023, Reporting Second Quarter 2023 Financial and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5" w:lineRule="exact"/>
        <w:rPr>
          <w:sz w:val="20"/>
          <w:szCs w:val="20"/>
          <w:color w:val="auto"/>
        </w:rPr>
      </w:pPr>
    </w:p>
    <w:tbl>
      <w:tblPr>
        <w:tblLayout w:type="fixed"/>
        <w:tblInd w:w="252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Date: August 3, 2023</w:t>
            </w:r>
          </w:p>
        </w:tc>
        <w:tc>
          <w:tcPr>
            <w:tcW w:w="6040" w:type="dxa"/>
            <w:vAlign w:val="bottom"/>
            <w:gridSpan w:val="2"/>
          </w:tcPr>
          <w:p>
            <w:pPr>
              <w:ind w:left="420"/>
              <w:spacing w:after="0"/>
              <w:rPr>
                <w:sz w:val="20"/>
                <w:szCs w:val="20"/>
                <w:color w:val="auto"/>
              </w:rPr>
            </w:pPr>
            <w:r>
              <w:rPr>
                <w:rFonts w:ascii="Arial" w:cs="Arial" w:eastAsia="Arial" w:hAnsi="Arial"/>
                <w:sz w:val="18"/>
                <w:szCs w:val="18"/>
                <w:color w:val="auto"/>
              </w:rPr>
              <w:t>REGENERON PHARMACEUTICALS, INC.</w:t>
            </w:r>
          </w:p>
        </w:tc>
      </w:tr>
      <w:tr>
        <w:trPr>
          <w:trHeight w:val="513"/>
        </w:trPr>
        <w:tc>
          <w:tcPr>
            <w:tcW w:w="19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Joseph J. LaRosa</w:t>
            </w:r>
          </w:p>
        </w:tc>
      </w:tr>
      <w:tr>
        <w:trPr>
          <w:trHeight w:val="222"/>
        </w:trPr>
        <w:tc>
          <w:tcPr>
            <w:tcW w:w="1940" w:type="dxa"/>
            <w:vAlign w:val="bottom"/>
          </w:tcPr>
          <w:p>
            <w:pPr>
              <w:spacing w:after="0"/>
              <w:rPr>
                <w:sz w:val="19"/>
                <w:szCs w:val="19"/>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30"/>
        </w:trPr>
        <w:tc>
          <w:tcPr>
            <w:tcW w:w="1940" w:type="dxa"/>
            <w:vAlign w:val="bottom"/>
          </w:tcPr>
          <w:p>
            <w:pPr>
              <w:spacing w:after="0"/>
              <w:rPr>
                <w:sz w:val="20"/>
                <w:szCs w:val="20"/>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bl>
    <w:p>
      <w:pPr>
        <w:sectPr>
          <w:pgSz w:w="11900" w:h="16838" w:orient="portrait"/>
          <w:cols w:equalWidth="0" w:num="1">
            <w:col w:w="10520"/>
          </w:cols>
          <w:pgMar w:left="320" w:top="89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02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20574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99060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2023 Financial and Operating Results</w:t>
      </w:r>
    </w:p>
    <w:p>
      <w:pPr>
        <w:spacing w:after="0" w:line="19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2023 revenues increased 11% to $3.16 billion versus second quarter 2022</w:t>
      </w:r>
    </w:p>
    <w:p>
      <w:pPr>
        <w:spacing w:after="0" w:line="25" w:lineRule="exact"/>
        <w:rPr>
          <w:rFonts w:ascii="Arial" w:cs="Arial" w:eastAsia="Arial" w:hAnsi="Arial"/>
          <w:sz w:val="22"/>
          <w:szCs w:val="22"/>
          <w:i w:val="1"/>
          <w:iCs w:val="1"/>
          <w:color w:val="auto"/>
        </w:rPr>
      </w:pPr>
    </w:p>
    <w:p>
      <w:pPr>
        <w:ind w:left="340" w:right="680" w:hanging="332"/>
        <w:spacing w:after="0" w:line="214"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2023 Dupixent</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global net sales (recorded by Sanofi) increased 33% to $2.79 billion versus second quarter 2022</w:t>
      </w:r>
    </w:p>
    <w:p>
      <w:pPr>
        <w:ind w:left="340" w:hanging="332"/>
        <w:spacing w:after="0" w:line="19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2023 EYLEA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U.S. net sales were $1.50 billion</w:t>
      </w:r>
    </w:p>
    <w:p>
      <w:pPr>
        <w:ind w:left="340" w:hanging="332"/>
        <w:spacing w:after="0" w:line="181"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2023 GAAP diluted EPS of $8.50 and non-GAAP diluted EPS</w:t>
      </w:r>
      <w:r>
        <w:rPr>
          <w:rFonts w:ascii="Arial" w:cs="Arial" w:eastAsia="Arial" w:hAnsi="Arial"/>
          <w:sz w:val="28"/>
          <w:szCs w:val="28"/>
          <w:i w:val="1"/>
          <w:iCs w:val="1"/>
          <w:color w:val="auto"/>
          <w:vertAlign w:val="superscript"/>
        </w:rPr>
        <w:t>(a)</w:t>
      </w:r>
      <w:r>
        <w:rPr>
          <w:rFonts w:ascii="Arial" w:cs="Arial" w:eastAsia="Arial" w:hAnsi="Arial"/>
          <w:sz w:val="22"/>
          <w:szCs w:val="22"/>
          <w:i w:val="1"/>
          <w:iCs w:val="1"/>
          <w:color w:val="auto"/>
        </w:rPr>
        <w:t xml:space="preserve"> of $10.24</w:t>
      </w:r>
    </w:p>
    <w:p>
      <w:pPr>
        <w:ind w:left="340" w:right="400" w:hanging="332"/>
        <w:spacing w:after="0" w:line="236"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Two-year results reported for aflibercept 8 mg from pivotal PHOTON trial demonstrated durable vision gains at extended dosing intervals in diabetic macular edema (DME)</w:t>
      </w:r>
    </w:p>
    <w:p>
      <w:pPr>
        <w:spacing w:after="0" w:line="2"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Aflibercept 8 mg BLA decision anticipated in third quarter 2023</w:t>
      </w:r>
    </w:p>
    <w:p>
      <w:pPr>
        <w:spacing w:after="0" w:line="234" w:lineRule="exact"/>
        <w:rPr>
          <w:sz w:val="20"/>
          <w:szCs w:val="20"/>
          <w:color w:val="auto"/>
        </w:rPr>
      </w:pPr>
    </w:p>
    <w:p>
      <w:pPr>
        <w:ind w:right="360"/>
        <w:spacing w:after="0" w:line="274" w:lineRule="auto"/>
        <w:rPr>
          <w:sz w:val="20"/>
          <w:szCs w:val="20"/>
          <w:color w:val="auto"/>
        </w:rPr>
      </w:pPr>
      <w:r>
        <w:rPr>
          <w:rFonts w:ascii="Arial" w:cs="Arial" w:eastAsia="Arial" w:hAnsi="Arial"/>
          <w:sz w:val="22"/>
          <w:szCs w:val="22"/>
          <w:b w:val="1"/>
          <w:bCs w:val="1"/>
          <w:color w:val="auto"/>
        </w:rPr>
        <w:t xml:space="preserve">Tarrytown, New York (August 3, 2023) -- </w:t>
      </w:r>
      <w:r>
        <w:rPr>
          <w:rFonts w:ascii="Arial" w:cs="Arial" w:eastAsia="Arial" w:hAnsi="Arial"/>
          <w:sz w:val="22"/>
          <w:szCs w:val="22"/>
          <w:color w:val="auto"/>
        </w:rPr>
        <w:t>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2023 and provided a business update.</w:t>
      </w:r>
    </w:p>
    <w:p>
      <w:pPr>
        <w:spacing w:after="0" w:line="18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 xml:space="preserve">"Regeneron delivered strong financial results in the second quarter of 2023 through increasingly diversified revenue streams, and we remain well-positioned for long-term growth," said Leonard S. Schleifer, M.D., Ph.D., Board Co-Chair, President and Chief Executive Officer of Regeneron. "In the past months, we have continued to advance our pipeline, in particular aflibercept </w:t>
      </w:r>
      <w:r>
        <w:rPr>
          <w:rFonts w:ascii="Arial" w:cs="Arial" w:eastAsia="Arial" w:hAnsi="Arial"/>
          <w:sz w:val="22"/>
          <w:szCs w:val="22"/>
          <w:color w:val="212121"/>
        </w:rPr>
        <w:t>8 mg which we are progressing towards a potential FDA decision in the third quarter</w:t>
      </w:r>
      <w:r>
        <w:rPr>
          <w:rFonts w:ascii="Arial" w:cs="Arial" w:eastAsia="Arial" w:hAnsi="Arial"/>
          <w:sz w:val="22"/>
          <w:szCs w:val="22"/>
          <w:color w:val="auto"/>
        </w:rPr>
        <w:t xml:space="preserve"> </w:t>
      </w:r>
      <w:r>
        <w:rPr>
          <w:rFonts w:ascii="Arial" w:cs="Arial" w:eastAsia="Arial" w:hAnsi="Arial"/>
          <w:sz w:val="22"/>
          <w:szCs w:val="22"/>
          <w:color w:val="212121"/>
        </w:rPr>
        <w:t>and for which we shared unprecedented two-year results in the pivotal PHOTON trial demonstrating durable vision gains at extended dosing intervals in patients with diabetic macular edema</w:t>
      </w:r>
      <w:r>
        <w:rPr>
          <w:rFonts w:ascii="Arial" w:cs="Arial" w:eastAsia="Arial" w:hAnsi="Arial"/>
          <w:sz w:val="22"/>
          <w:szCs w:val="22"/>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Q2 2023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Q2 2022</w:t>
            </w:r>
          </w:p>
        </w:tc>
        <w:tc>
          <w:tcPr>
            <w:tcW w:w="1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2,857</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11 %</w:t>
            </w:r>
          </w:p>
        </w:tc>
      </w:tr>
      <w:tr>
        <w:trPr>
          <w:trHeight w:val="254"/>
        </w:trPr>
        <w:tc>
          <w:tcPr>
            <w:tcW w:w="5040" w:type="dxa"/>
            <w:vAlign w:val="bottom"/>
          </w:tcPr>
          <w:p>
            <w:pPr>
              <w:ind w:left="20"/>
              <w:spacing w:after="0"/>
              <w:rPr>
                <w:sz w:val="20"/>
                <w:szCs w:val="20"/>
                <w:color w:val="auto"/>
              </w:rPr>
            </w:pPr>
            <w:r>
              <w:rPr>
                <w:rFonts w:ascii="Arial" w:cs="Arial" w:eastAsia="Arial" w:hAnsi="Arial"/>
                <w:sz w:val="20"/>
                <w:szCs w:val="20"/>
                <w:color w:val="auto"/>
              </w:rPr>
              <w:t>GAAP net income</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968</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852</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14 %</w:t>
            </w:r>
          </w:p>
        </w:tc>
      </w:tr>
      <w:tr>
        <w:trPr>
          <w:trHeight w:val="259"/>
        </w:trPr>
        <w:tc>
          <w:tcPr>
            <w:tcW w:w="5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net income per share - diluted</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14 %</w:t>
            </w:r>
          </w:p>
        </w:tc>
      </w:tr>
      <w:tr>
        <w:trPr>
          <w:trHeight w:val="243"/>
        </w:trPr>
        <w:tc>
          <w:tcPr>
            <w:tcW w:w="5040" w:type="dxa"/>
            <w:vAlign w:val="bottom"/>
          </w:tcPr>
          <w:p>
            <w:pPr>
              <w:ind w:left="20"/>
              <w:spacing w:after="0" w:line="242"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1,182</w:t>
            </w: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1,127</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5 %</w:t>
            </w:r>
          </w:p>
        </w:tc>
      </w:tr>
      <w:tr>
        <w:trPr>
          <w:trHeight w:val="257"/>
        </w:trPr>
        <w:tc>
          <w:tcPr>
            <w:tcW w:w="5040" w:type="dxa"/>
            <w:vAlign w:val="bottom"/>
            <w:shd w:val="clear" w:color="auto" w:fill="CCEEFF"/>
          </w:tcPr>
          <w:p>
            <w:pPr>
              <w:ind w:left="20"/>
              <w:spacing w:after="0" w:line="257" w:lineRule="exact"/>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(a)</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5 %</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4" w:name="page5"/>
    <w:bookmarkEnd w:id="4"/>
    <w:p>
      <w:pPr>
        <w:ind w:right="20"/>
        <w:spacing w:after="0" w:line="238" w:lineRule="auto"/>
        <w:rPr>
          <w:sz w:val="20"/>
          <w:szCs w:val="20"/>
          <w:color w:val="auto"/>
        </w:rPr>
      </w:pPr>
      <w:r>
        <w:rPr>
          <w:rFonts w:ascii="Arial" w:cs="Arial" w:eastAsia="Arial" w:hAnsi="Arial"/>
          <w:sz w:val="22"/>
          <w:szCs w:val="22"/>
          <w:color w:val="auto"/>
        </w:rPr>
        <w:t>"I am pleased with the performance of our business in the second quarter of 2023, including incremental pipeline progress and exceptional commercial execution," said Robert E. Landry, Executive Vice President, Finance and Chief Financial Officer of Regeneron. "We continue to prioritize internal investments while allocating additional capital to opportunistic share repurchases and potential business development."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Key Pipeline Progress</w:t>
      </w:r>
    </w:p>
    <w:p>
      <w:pPr>
        <w:spacing w:after="0" w:line="30" w:lineRule="exact"/>
        <w:rPr>
          <w:sz w:val="20"/>
          <w:szCs w:val="20"/>
          <w:color w:val="auto"/>
        </w:rPr>
      </w:pPr>
    </w:p>
    <w:p>
      <w:pPr>
        <w:ind w:right="780"/>
        <w:spacing w:after="0" w:line="286" w:lineRule="auto"/>
        <w:rPr>
          <w:sz w:val="20"/>
          <w:szCs w:val="20"/>
          <w:color w:val="auto"/>
        </w:rPr>
      </w:pPr>
      <w:r>
        <w:rPr>
          <w:rFonts w:ascii="Arial" w:cs="Arial" w:eastAsia="Arial" w:hAnsi="Arial"/>
          <w:sz w:val="21"/>
          <w:szCs w:val="21"/>
          <w:color w:val="auto"/>
        </w:rPr>
        <w:t>Regeneron has approximately 35 product candidates in clinical development, including a number of marketed products for which it is investigating additional indications. Updates from the clinical pipeline include: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Aflibercept 8 mg</w:t>
      </w:r>
    </w:p>
    <w:p>
      <w:pPr>
        <w:spacing w:after="0" w:line="23" w:lineRule="exact"/>
        <w:rPr>
          <w:sz w:val="20"/>
          <w:szCs w:val="20"/>
          <w:color w:val="auto"/>
        </w:rPr>
      </w:pPr>
    </w:p>
    <w:p>
      <w:pPr>
        <w:ind w:left="340" w:right="80" w:hanging="332"/>
        <w:spacing w:after="0" w:line="257" w:lineRule="auto"/>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June 2023, the U.S. Food and Drug Administration (FDA) issued a Complete Response Letter (CRL) for the Biologics License Application (BLA) for aflibercept 8 mg for the treatment of patients with neovascular age-related macular degeneration (wet AMD), DME, and diabetic retinopathy (DR). The CRL was issued solely due to unresolved observations resulting from an FDA inspection at a third-party contract manufacturing organization, Catalent, that the Company engaged to complete vial-filling for aflibercept 8 mg. The CRL did not identify any issues with the aflibercept 8 mg clinical efficacy or safety profile, trial design, labeling, or drug substance manufacturing, and no additional clinical data or trials have been requested. The FDA has informed the Company and Catalent that certain manufacturing data and other information are required from Catalent to allow the FDA to approve aflibercept 8 mg; the Company expects that these data and information will be submitted to the FDA by mid-August 2023. The FDA has stated that it intends to prioritize the review of this submission, and therefore the Company anticipates the FDA will take action on the aflibercept 8 mg BLA during the third quarter of 2023.</w:t>
      </w:r>
    </w:p>
    <w:p>
      <w:pPr>
        <w:spacing w:after="0" w:line="4" w:lineRule="exact"/>
        <w:rPr>
          <w:rFonts w:ascii="Arial" w:cs="Arial" w:eastAsia="Arial" w:hAnsi="Arial"/>
          <w:sz w:val="21"/>
          <w:szCs w:val="21"/>
          <w:color w:val="auto"/>
        </w:rPr>
      </w:pPr>
    </w:p>
    <w:p>
      <w:pPr>
        <w:ind w:left="340" w:hanging="332"/>
        <w:spacing w:after="0" w:line="258" w:lineRule="auto"/>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In June 2023, the Company announced top-line, two-year (96 weeks) data for aflibercept 8 mg from the pivotal PHOTON trial in patients with DME. The longer-term data among aflibercept 8 mg patients who completed the trial demonstrated that the vast majority of patients were able to maintain or further extend the dosing intervals through two years. In addition, visual gains for aflibercept 8 mg remained consistent with those observed in the first year of the trial. In PHOTON, the safety of aflibercept 8 mg continued to be similar to EYLEA through two years and remained consistent with the known safety profile of EYLEA from previous clinical trials for DME. Results from the PHOTON study were presented at the American Society of Retina Specialists annual meeting in July 2023.</w:t>
      </w:r>
    </w:p>
    <w:p>
      <w:pPr>
        <w:spacing w:after="0" w:line="2" w:lineRule="exact"/>
        <w:rPr>
          <w:rFonts w:ascii="Arial" w:cs="Arial" w:eastAsia="Arial" w:hAnsi="Arial"/>
          <w:sz w:val="21"/>
          <w:szCs w:val="21"/>
          <w:color w:val="auto"/>
        </w:rPr>
      </w:pPr>
    </w:p>
    <w:p>
      <w:pPr>
        <w:ind w:left="340" w:right="30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two-year data from the pivotal PULSAR trial for aflibercept 8 mg in wet AMD continue to be expected in the third quarter of 2023.</w:t>
      </w:r>
    </w:p>
    <w:p>
      <w:pPr>
        <w:ind w:left="340" w:right="100" w:hanging="332"/>
        <w:spacing w:after="0" w:line="252"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May 2023, Bayer announced that it initiated a Phase 3 study to evaluate the efficacy and safety of aflibercept 8 mg at extended dosing intervals compared to the standard of care, EYLEA, in macular edema following retinal vein occlusion (RVO).</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2"/>
          <w:szCs w:val="22"/>
          <w:color w:val="auto"/>
        </w:rPr>
        <w:t xml:space="preserve"> (dupilumab)</w:t>
      </w:r>
    </w:p>
    <w:p>
      <w:pPr>
        <w:spacing w:after="0" w:line="20" w:lineRule="exact"/>
        <w:rPr>
          <w:sz w:val="20"/>
          <w:szCs w:val="20"/>
          <w:color w:val="auto"/>
        </w:rPr>
      </w:pPr>
    </w:p>
    <w:p>
      <w:pPr>
        <w:ind w:left="340" w:right="80" w:hanging="332"/>
        <w:spacing w:after="0" w:line="244"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FDA granted Breakthrough Therapy designation for uncontrolled COPD with an eosiniphilic phenotype based on the positive results of the Phase 3 BOREAS study. Based on ongoing discussions with the FDA, the Company expects that in addition to the BOREAS study results, data from the replicate Phase 3 NOTUS study will be needed to support an sBLA, and such data requirements remain under discussion with the FDA. The Company expects final results for the NOTUS study in mid-2024.</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ind w:left="340" w:right="100" w:hanging="332"/>
        <w:spacing w:after="0" w:line="250"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 xml:space="preserve">The Company and Sanofi presented positive Phase 3 results from the BOREAS trial in adults currently on maximal standard-of-care inhaled therapy (triple therapy) with uncontrolled COPD and evidence of type 2 inflammation at the 2023 American Thoracic Society International Conference. The results were also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w:t>
      </w:r>
    </w:p>
    <w:p>
      <w:pPr>
        <w:spacing w:after="0" w:line="1" w:lineRule="exact"/>
        <w:rPr>
          <w:rFonts w:ascii="Arial" w:cs="Arial" w:eastAsia="Arial" w:hAnsi="Arial"/>
          <w:sz w:val="22"/>
          <w:szCs w:val="22"/>
          <w:color w:val="auto"/>
        </w:rPr>
      </w:pPr>
    </w:p>
    <w:p>
      <w:pPr>
        <w:ind w:left="34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June 2023, the Ministry of Health, Labour and Welfare (MHLW) in Japan approved Dupixent for the treatment of adult patients with prurigo nodularis.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Oncology Programs</w:t>
      </w:r>
    </w:p>
    <w:p>
      <w:pPr>
        <w:spacing w:after="0" w:line="20" w:lineRule="exact"/>
        <w:rPr>
          <w:sz w:val="20"/>
          <w:szCs w:val="20"/>
          <w:color w:val="auto"/>
        </w:rPr>
      </w:pPr>
    </w:p>
    <w:p>
      <w:pPr>
        <w:ind w:left="340" w:right="200" w:hanging="332"/>
        <w:spacing w:after="0" w:line="235"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announced promising data from three independent expansion cohorts of a Phase 1 trial for fianlimab, an antibody to LAG-3, in combination with Libtayo</w:t>
      </w:r>
      <w:r>
        <w:rPr>
          <w:rFonts w:ascii="Arial" w:cs="Arial" w:eastAsia="Arial" w:hAnsi="Arial"/>
          <w:sz w:val="28"/>
          <w:szCs w:val="28"/>
          <w:color w:val="auto"/>
          <w:vertAlign w:val="superscript"/>
        </w:rPr>
        <w:t>®</w:t>
      </w:r>
      <w:r>
        <w:rPr>
          <w:rFonts w:ascii="Arial" w:cs="Arial" w:eastAsia="Arial" w:hAnsi="Arial"/>
          <w:sz w:val="22"/>
          <w:szCs w:val="22"/>
          <w:color w:val="auto"/>
        </w:rPr>
        <w:t xml:space="preserve"> (cemiplimab) in adults with advanced melanoma, which were also presented at the 2023 American Society of Clinical Oncology (ASCO) Annual Meeting. These results demonstrated that the combination led to clinically meaningful and durable results across multiple advanced melanoma patient populations. The safety profile of the combination was generally consistent with the safety profile of Libtayo monotherapy and other anti-PD-(L)1 agents, except for higher rates of adrenal insufficiency, which were successfully managed with steroid replacement.</w:t>
      </w:r>
    </w:p>
    <w:p>
      <w:pPr>
        <w:spacing w:after="0" w:line="7" w:lineRule="exact"/>
        <w:rPr>
          <w:rFonts w:ascii="Arial" w:cs="Arial" w:eastAsia="Arial" w:hAnsi="Arial"/>
          <w:sz w:val="22"/>
          <w:szCs w:val="22"/>
          <w:color w:val="auto"/>
        </w:rPr>
      </w:pPr>
    </w:p>
    <w:p>
      <w:pPr>
        <w:ind w:left="340" w:right="640" w:hanging="332"/>
        <w:spacing w:after="0" w:line="259" w:lineRule="auto"/>
        <w:tabs>
          <w:tab w:leader="none" w:pos="34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Company also presented updated positive data from two expansion dose cohorts from a pivotal trial for linvoseltamab, a bispecific antibody targeting BCMA and CD3, in patients with heavily pre-treated, relapsed/refractory multiple myeloma at the ASCO Annual Meeting. No new safety signals were identified.</w:t>
      </w:r>
    </w:p>
    <w:p>
      <w:pPr>
        <w:spacing w:after="0" w:line="1" w:lineRule="exact"/>
        <w:rPr>
          <w:rFonts w:ascii="Arial" w:cs="Arial" w:eastAsia="Arial" w:hAnsi="Arial"/>
          <w:sz w:val="21"/>
          <w:szCs w:val="21"/>
          <w:color w:val="auto"/>
        </w:rPr>
      </w:pPr>
    </w:p>
    <w:p>
      <w:pPr>
        <w:ind w:left="340" w:right="40" w:hanging="332"/>
        <w:spacing w:after="0" w:line="246"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is investigating multiple CD28 costimulatory bispecific antibodies, including PSMAxCD28, EGFRxCD28, MUC16xCD28, and CD22xCD28, in ongoing Phase 1 trials in a variety of tumor settings in combination with Libtayo, or in combination with corresponding CD3 bispecifics. In the ongoing study of REGN5678, a costimulatory bispecific antibody targeting PSMA and CD28 in advanced prostate cancer, the Company has observed antitumor activity in combination with Libtayo as well as with REGN5678 monotherapy. In the Libtayo combination cohort, there have now been two immune-mediated Grade 5 adverse events (death), including one in July 2023. As a result, the Company has discontinued enrollment of patients receiving the combination of REGN5678 and full-dose Libtayo, and plans to explore REGN5678 combinations with lower doses of Libtayo. The Company also plans to enroll patients in a REGN5678 monotherapy cohort, as well as in combination with other immunotherapy modalities. Other costimulatory bispecific development programs continue their respective dose-escalation studies.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Itepekimab</w:t>
      </w:r>
      <w:r>
        <w:rPr>
          <w:rFonts w:ascii="Arial" w:cs="Arial" w:eastAsia="Arial" w:hAnsi="Arial"/>
          <w:sz w:val="22"/>
          <w:szCs w:val="22"/>
          <w:color w:val="auto"/>
        </w:rPr>
        <w:t>, an antibody to IL-33</w:t>
      </w:r>
    </w:p>
    <w:p>
      <w:pPr>
        <w:spacing w:after="0" w:line="6" w:lineRule="exact"/>
        <w:rPr>
          <w:sz w:val="20"/>
          <w:szCs w:val="20"/>
          <w:color w:val="auto"/>
        </w:rPr>
      </w:pPr>
    </w:p>
    <w:p>
      <w:pPr>
        <w:ind w:left="340" w:right="140" w:hanging="332"/>
        <w:spacing w:after="0" w:line="231" w:lineRule="auto"/>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Phase 3 program investigating itepekimab in patients with COPD who are former smokers passed a recent interim futility analysis. The analysis was conducted by an Independent Data Monitoring Committee, and the Company and Sanofi remain blinded to the data. Results from the AERIFY-1 and AERIFY-2 studies are expected to be reported in 2025.</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Corporate Update</w:t>
      </w:r>
    </w:p>
    <w:p>
      <w:pPr>
        <w:spacing w:after="0" w:line="30" w:lineRule="exact"/>
        <w:rPr>
          <w:sz w:val="20"/>
          <w:szCs w:val="20"/>
          <w:color w:val="auto"/>
        </w:rPr>
      </w:pPr>
    </w:p>
    <w:p>
      <w:pPr>
        <w:ind w:left="340" w:right="80" w:hanging="332"/>
        <w:spacing w:after="0" w:line="227"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United States Supreme Court issued a unanimous opinion, ending a nearly decade-long patent dispute related to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The decision affirms the United States Court of Appeals for the Federal Circuit’s opinion, which held that Amgen’s asserted U.S. PCSK9 patent claims were invalid.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00"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Second Quarter 2023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500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Q2 2023</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Q2 2022</w:t>
            </w:r>
          </w:p>
        </w:tc>
        <w:tc>
          <w:tcPr>
            <w:tcW w:w="100" w:type="dxa"/>
            <w:vAlign w:val="bottom"/>
          </w:tcPr>
          <w:p>
            <w:pPr>
              <w:spacing w:after="0"/>
              <w:rPr>
                <w:sz w:val="23"/>
                <w:szCs w:val="23"/>
                <w:color w:val="auto"/>
              </w:rPr>
            </w:pPr>
          </w:p>
        </w:tc>
        <w:tc>
          <w:tcPr>
            <w:tcW w:w="150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 Change</w:t>
            </w:r>
          </w:p>
        </w:tc>
      </w:tr>
      <w:tr>
        <w:trPr>
          <w:trHeight w:val="237"/>
        </w:trPr>
        <w:tc>
          <w:tcPr>
            <w:tcW w:w="500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product sales:</w:t>
            </w: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54"/>
        </w:trPr>
        <w:tc>
          <w:tcPr>
            <w:tcW w:w="5000" w:type="dxa"/>
            <w:vAlign w:val="bottom"/>
          </w:tcPr>
          <w:p>
            <w:pPr>
              <w:ind w:left="240"/>
              <w:spacing w:after="0"/>
              <w:rPr>
                <w:sz w:val="20"/>
                <w:szCs w:val="20"/>
                <w:color w:val="auto"/>
              </w:rPr>
            </w:pPr>
            <w:r>
              <w:rPr>
                <w:rFonts w:ascii="Arial" w:cs="Arial" w:eastAsia="Arial" w:hAnsi="Arial"/>
                <w:sz w:val="20"/>
                <w:szCs w:val="20"/>
                <w:color w:val="auto"/>
              </w:rPr>
              <w:t>EYLEA - U.S.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1,500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1,621</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(7 %)</w:t>
            </w:r>
          </w:p>
        </w:tc>
      </w:tr>
      <w:tr>
        <w:trPr>
          <w:trHeight w:val="246"/>
        </w:trPr>
        <w:tc>
          <w:tcPr>
            <w:tcW w:w="5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Libtayo - U.S.</w:t>
            </w: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43 %</w:t>
            </w:r>
          </w:p>
        </w:tc>
      </w:tr>
      <w:tr>
        <w:trPr>
          <w:trHeight w:val="254"/>
        </w:trPr>
        <w:tc>
          <w:tcPr>
            <w:tcW w:w="5000" w:type="dxa"/>
            <w:vAlign w:val="bottom"/>
          </w:tcPr>
          <w:p>
            <w:pPr>
              <w:ind w:left="240"/>
              <w:spacing w:after="0"/>
              <w:rPr>
                <w:sz w:val="20"/>
                <w:szCs w:val="20"/>
                <w:color w:val="auto"/>
              </w:rPr>
            </w:pPr>
            <w:r>
              <w:rPr>
                <w:rFonts w:ascii="Arial" w:cs="Arial" w:eastAsia="Arial" w:hAnsi="Arial"/>
                <w:sz w:val="20"/>
                <w:szCs w:val="20"/>
                <w:color w:val="auto"/>
              </w:rPr>
              <w:t>Libtayo - ROW</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6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r>
      <w:tr>
        <w:trPr>
          <w:trHeight w:val="259"/>
        </w:trPr>
        <w:tc>
          <w:tcPr>
            <w:tcW w:w="5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Praluent - U.S.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32 %</w:t>
            </w:r>
          </w:p>
        </w:tc>
      </w:tr>
      <w:tr>
        <w:trPr>
          <w:trHeight w:val="243"/>
        </w:trPr>
        <w:tc>
          <w:tcPr>
            <w:tcW w:w="5000" w:type="dxa"/>
            <w:vAlign w:val="bottom"/>
          </w:tcPr>
          <w:p>
            <w:pPr>
              <w:ind w:left="240"/>
              <w:spacing w:after="0" w:line="243" w:lineRule="exact"/>
              <w:rPr>
                <w:sz w:val="20"/>
                <w:szCs w:val="20"/>
                <w:color w:val="auto"/>
              </w:rPr>
            </w:pPr>
            <w:r>
              <w:rPr>
                <w:rFonts w:ascii="Arial" w:cs="Arial" w:eastAsia="Arial" w:hAnsi="Arial"/>
                <w:sz w:val="20"/>
                <w:szCs w:val="20"/>
                <w:color w:val="auto"/>
              </w:rPr>
              <w:t>Evkeeza</w:t>
            </w:r>
            <w:r>
              <w:rPr>
                <w:rFonts w:ascii="Arial" w:cs="Arial" w:eastAsia="Arial" w:hAnsi="Arial"/>
                <w:sz w:val="28"/>
                <w:szCs w:val="28"/>
                <w:b w:val="1"/>
                <w:bCs w:val="1"/>
                <w:color w:val="auto"/>
                <w:vertAlign w:val="superscript"/>
              </w:rPr>
              <w:t>®</w:t>
            </w:r>
            <w:r>
              <w:rPr>
                <w:rFonts w:ascii="Arial" w:cs="Arial" w:eastAsia="Arial" w:hAnsi="Arial"/>
                <w:sz w:val="20"/>
                <w:szCs w:val="20"/>
                <w:color w:val="auto"/>
              </w:rPr>
              <w:t xml:space="preserve"> - U.S.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73 %</w:t>
            </w:r>
          </w:p>
        </w:tc>
      </w:tr>
      <w:tr>
        <w:trPr>
          <w:trHeight w:val="257"/>
        </w:trPr>
        <w:tc>
          <w:tcPr>
            <w:tcW w:w="5000" w:type="dxa"/>
            <w:vAlign w:val="bottom"/>
            <w:tcBorders>
              <w:bottom w:val="single" w:sz="8" w:color="CCEEFF"/>
            </w:tcBorders>
            <w:shd w:val="clear" w:color="auto" w:fill="CCEEFF"/>
          </w:tcPr>
          <w:p>
            <w:pPr>
              <w:ind w:left="240"/>
              <w:spacing w:after="0" w:line="257" w:lineRule="exact"/>
              <w:rPr>
                <w:sz w:val="20"/>
                <w:szCs w:val="20"/>
                <w:color w:val="auto"/>
              </w:rPr>
            </w:pPr>
            <w:r>
              <w:rPr>
                <w:rFonts w:ascii="Arial" w:cs="Arial" w:eastAsia="Arial" w:hAnsi="Arial"/>
                <w:sz w:val="20"/>
                <w:szCs w:val="20"/>
                <w:color w:val="auto"/>
              </w:rPr>
              <w:t>Inmazeb</w:t>
            </w:r>
            <w:r>
              <w:rPr>
                <w:rFonts w:ascii="Arial" w:cs="Arial" w:eastAsia="Arial" w:hAnsi="Arial"/>
                <w:sz w:val="25"/>
                <w:szCs w:val="25"/>
                <w:color w:val="auto"/>
                <w:vertAlign w:val="superscript"/>
              </w:rPr>
              <w:t>®</w:t>
            </w:r>
            <w:r>
              <w:rPr>
                <w:rFonts w:ascii="Arial" w:cs="Arial" w:eastAsia="Arial" w:hAnsi="Arial"/>
                <w:sz w:val="20"/>
                <w:szCs w:val="20"/>
                <w:color w:val="auto"/>
              </w:rPr>
              <w:t xml:space="preserve"> - U.S.</w:t>
            </w: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47"/>
        </w:trPr>
        <w:tc>
          <w:tcPr>
            <w:tcW w:w="5000" w:type="dxa"/>
            <w:vAlign w:val="bottom"/>
          </w:tcPr>
          <w:p>
            <w:pPr>
              <w:ind w:left="20"/>
              <w:spacing w:after="0"/>
              <w:rPr>
                <w:sz w:val="20"/>
                <w:szCs w:val="20"/>
                <w:color w:val="auto"/>
              </w:rPr>
            </w:pPr>
            <w:r>
              <w:rPr>
                <w:rFonts w:ascii="Arial" w:cs="Arial" w:eastAsia="Arial" w:hAnsi="Arial"/>
                <w:sz w:val="20"/>
                <w:szCs w:val="20"/>
                <w:color w:val="auto"/>
              </w:rPr>
              <w:t>Total net product sales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1,754</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1 %</w:t>
            </w:r>
          </w:p>
        </w:tc>
      </w:tr>
      <w:tr>
        <w:trPr>
          <w:trHeight w:val="84"/>
        </w:trPr>
        <w:tc>
          <w:tcPr>
            <w:tcW w:w="50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254"/>
        </w:trPr>
        <w:tc>
          <w:tcPr>
            <w:tcW w:w="5000" w:type="dxa"/>
            <w:vAlign w:val="bottom"/>
          </w:tcPr>
          <w:p>
            <w:pPr>
              <w:ind w:left="20"/>
              <w:spacing w:after="0"/>
              <w:rPr>
                <w:sz w:val="20"/>
                <w:szCs w:val="20"/>
                <w:color w:val="auto"/>
              </w:rPr>
            </w:pPr>
            <w:r>
              <w:rPr>
                <w:rFonts w:ascii="Arial" w:cs="Arial" w:eastAsia="Arial" w:hAnsi="Arial"/>
                <w:sz w:val="20"/>
                <w:szCs w:val="20"/>
                <w:color w:val="auto"/>
              </w:rPr>
              <w:t>Collaboration revenue:</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9"/>
        </w:trPr>
        <w:tc>
          <w:tcPr>
            <w:tcW w:w="5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Sanofi</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39 %</w:t>
            </w:r>
          </w:p>
        </w:tc>
      </w:tr>
      <w:tr>
        <w:trPr>
          <w:trHeight w:val="243"/>
        </w:trPr>
        <w:tc>
          <w:tcPr>
            <w:tcW w:w="5000" w:type="dxa"/>
            <w:vAlign w:val="bottom"/>
          </w:tcPr>
          <w:p>
            <w:pPr>
              <w:ind w:left="240"/>
              <w:spacing w:after="0"/>
              <w:rPr>
                <w:sz w:val="20"/>
                <w:szCs w:val="20"/>
                <w:color w:val="auto"/>
              </w:rPr>
            </w:pPr>
            <w:r>
              <w:rPr>
                <w:rFonts w:ascii="Arial" w:cs="Arial" w:eastAsia="Arial" w:hAnsi="Arial"/>
                <w:sz w:val="20"/>
                <w:szCs w:val="20"/>
                <w:color w:val="auto"/>
              </w:rPr>
              <w:t>Bayer</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358</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5 %</w:t>
            </w:r>
          </w:p>
        </w:tc>
      </w:tr>
      <w:tr>
        <w:trPr>
          <w:trHeight w:val="257"/>
        </w:trPr>
        <w:tc>
          <w:tcPr>
            <w:tcW w:w="50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w:t>
            </w:r>
          </w:p>
        </w:tc>
        <w:tc>
          <w:tcPr>
            <w:tcW w:w="1600" w:type="dxa"/>
            <w:vAlign w:val="bottom"/>
            <w:gridSpan w:val="2"/>
            <w:shd w:val="clear" w:color="auto" w:fill="CCEEFF"/>
          </w:tcPr>
          <w:p>
            <w:pPr>
              <w:jc w:val="right"/>
              <w:ind w:right="21"/>
              <w:spacing w:after="0"/>
              <w:rPr>
                <w:sz w:val="20"/>
                <w:szCs w:val="20"/>
                <w:color w:val="auto"/>
              </w:rPr>
            </w:pPr>
            <w:r>
              <w:rPr>
                <w:rFonts w:ascii="Arial" w:cs="Arial" w:eastAsia="Arial" w:hAnsi="Arial"/>
                <w:sz w:val="20"/>
                <w:szCs w:val="20"/>
                <w:color w:val="auto"/>
              </w:rPr>
              <w:t>*</w:t>
            </w:r>
          </w:p>
        </w:tc>
      </w:tr>
      <w:tr>
        <w:trPr>
          <w:trHeight w:val="257"/>
        </w:trPr>
        <w:tc>
          <w:tcPr>
            <w:tcW w:w="5000" w:type="dxa"/>
            <w:vAlign w:val="bottom"/>
          </w:tcPr>
          <w:p>
            <w:pPr>
              <w:ind w:left="20"/>
              <w:spacing w:after="0"/>
              <w:rPr>
                <w:sz w:val="20"/>
                <w:szCs w:val="20"/>
                <w:color w:val="auto"/>
              </w:rPr>
            </w:pPr>
            <w:r>
              <w:rPr>
                <w:rFonts w:ascii="Arial" w:cs="Arial" w:eastAsia="Arial" w:hAnsi="Arial"/>
                <w:sz w:val="20"/>
                <w:szCs w:val="20"/>
                <w:color w:val="auto"/>
              </w:rPr>
              <w:t>Other revenue</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59</w:t>
            </w:r>
          </w:p>
        </w:tc>
        <w:tc>
          <w:tcPr>
            <w:tcW w:w="1600" w:type="dxa"/>
            <w:vAlign w:val="bottom"/>
            <w:gridSpan w:val="2"/>
          </w:tcPr>
          <w:p>
            <w:pPr>
              <w:jc w:val="right"/>
              <w:spacing w:after="0"/>
              <w:rPr>
                <w:sz w:val="20"/>
                <w:szCs w:val="20"/>
                <w:color w:val="auto"/>
              </w:rPr>
            </w:pPr>
            <w:r>
              <w:rPr>
                <w:rFonts w:ascii="Arial" w:cs="Arial" w:eastAsia="Arial" w:hAnsi="Arial"/>
                <w:sz w:val="20"/>
                <w:szCs w:val="20"/>
                <w:color w:val="auto"/>
              </w:rPr>
              <w:t>17 %</w:t>
            </w:r>
          </w:p>
        </w:tc>
      </w:tr>
      <w:tr>
        <w:trPr>
          <w:trHeight w:val="262"/>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3,158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ind w:left="360" w:hanging="11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6"/>
          <w:szCs w:val="16"/>
          <w:color w:val="auto"/>
        </w:rPr>
        <w:t>Percentage not meaningful.</w:t>
      </w:r>
    </w:p>
    <w:p>
      <w:pPr>
        <w:spacing w:after="0" w:line="240" w:lineRule="exact"/>
        <w:rPr>
          <w:sz w:val="20"/>
          <w:szCs w:val="20"/>
          <w:color w:val="auto"/>
        </w:rPr>
      </w:pPr>
    </w:p>
    <w:p>
      <w:pPr>
        <w:jc w:val="both"/>
        <w:ind w:right="80"/>
        <w:spacing w:after="0" w:line="288" w:lineRule="auto"/>
        <w:rPr>
          <w:sz w:val="20"/>
          <w:szCs w:val="20"/>
          <w:color w:val="auto"/>
        </w:rPr>
      </w:pPr>
      <w:r>
        <w:rPr>
          <w:rFonts w:ascii="Arial" w:cs="Arial" w:eastAsia="Arial" w:hAnsi="Arial"/>
          <w:sz w:val="21"/>
          <w:szCs w:val="21"/>
          <w:color w:val="auto"/>
        </w:rPr>
        <w:t>Net product sales of EYLEA in the U.S. decreased in the second quarter of 2023, compared to the second quarter of 2022, primarily due to a lower net selling price driven by changing market dynamics, including increased competition.</w:t>
      </w:r>
    </w:p>
    <w:p>
      <w:pPr>
        <w:spacing w:after="0" w:line="82"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Sanofi collaboration revenue increased in the second quarter of 2023, compared to the second quarter of 2022, primarily due to the Company's share of profits from commercialization of antibodies, which were $751 million in the second quarter of 2023, compared to $497 million in the second quarter of 2022. The change in the Company's share of profits from commercialization of antibodies was driven by higher profits associated with an increase in Dupixent sales.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20"/>
                <w:szCs w:val="20"/>
                <w:b w:val="1"/>
                <w:bCs w:val="1"/>
                <w:color w:val="auto"/>
              </w:rPr>
              <w:t>GAAP</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20"/>
                <w:szCs w:val="20"/>
                <w:b w:val="1"/>
                <w:bCs w:val="1"/>
                <w:color w:val="auto"/>
              </w:rPr>
              <w:t>Non-GAAP</w:t>
            </w:r>
            <w:r>
              <w:rPr>
                <w:rFonts w:ascii="Arial" w:cs="Arial" w:eastAsia="Arial" w:hAnsi="Arial"/>
                <w:sz w:val="25"/>
                <w:szCs w:val="25"/>
                <w:b w:val="1"/>
                <w:bCs w:val="1"/>
                <w:color w:val="auto"/>
                <w:vertAlign w:val="superscript"/>
              </w:rPr>
              <w:t>(a)</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6"/>
              </w:rPr>
              <w:t>Q2 2023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6"/>
              </w:rPr>
              <w:t>Q2 2022</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 Change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6"/>
              </w:rPr>
              <w:t>Q2 2023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w w:val="96"/>
              </w:rPr>
              <w:t>Q2 2022</w:t>
            </w:r>
          </w:p>
        </w:tc>
        <w:tc>
          <w:tcPr>
            <w:tcW w:w="120" w:type="dxa"/>
            <w:vAlign w:val="bottom"/>
          </w:tcPr>
          <w:p>
            <w:pPr>
              <w:spacing w:after="0"/>
              <w:rPr>
                <w:sz w:val="21"/>
                <w:szCs w:val="21"/>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20"/>
                <w:szCs w:val="20"/>
                <w:b w:val="1"/>
                <w:bCs w:val="1"/>
                <w:color w:val="auto"/>
              </w:rPr>
              <w:t>% Change</w:t>
            </w: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Research and development (R&amp;D)</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1,085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37 %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690</w:t>
            </w:r>
          </w:p>
        </w:tc>
        <w:tc>
          <w:tcPr>
            <w:tcW w:w="1300" w:type="dxa"/>
            <w:vAlign w:val="bottom"/>
            <w:gridSpan w:val="2"/>
            <w:shd w:val="clear" w:color="auto" w:fill="CCEEFF"/>
          </w:tcPr>
          <w:p>
            <w:pPr>
              <w:jc w:val="center"/>
              <w:ind w:left="701"/>
              <w:spacing w:after="0"/>
              <w:rPr>
                <w:sz w:val="20"/>
                <w:szCs w:val="20"/>
                <w:color w:val="auto"/>
              </w:rPr>
            </w:pPr>
            <w:r>
              <w:rPr>
                <w:rFonts w:ascii="Arial" w:cs="Arial" w:eastAsia="Arial" w:hAnsi="Arial"/>
                <w:sz w:val="20"/>
                <w:szCs w:val="20"/>
                <w:color w:val="auto"/>
              </w:rPr>
              <w:t>41 %</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line="199" w:lineRule="exact"/>
              <w:rPr>
                <w:sz w:val="20"/>
                <w:szCs w:val="20"/>
                <w:color w:val="auto"/>
              </w:rPr>
            </w:pPr>
            <w:r>
              <w:rPr>
                <w:rFonts w:ascii="Arial" w:cs="Arial" w:eastAsia="Arial" w:hAnsi="Arial"/>
                <w:sz w:val="20"/>
                <w:szCs w:val="20"/>
                <w:color w:val="auto"/>
              </w:rPr>
              <w:t>Acquired in-process research and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040" w:type="dxa"/>
            <w:vAlign w:val="bottom"/>
          </w:tcPr>
          <w:p>
            <w:pPr>
              <w:ind w:left="180"/>
              <w:spacing w:after="0"/>
              <w:rPr>
                <w:sz w:val="20"/>
                <w:szCs w:val="20"/>
                <w:color w:val="auto"/>
              </w:rPr>
            </w:pPr>
            <w:r>
              <w:rPr>
                <w:rFonts w:ascii="Arial" w:cs="Arial" w:eastAsia="Arial" w:hAnsi="Arial"/>
                <w:sz w:val="20"/>
                <w:szCs w:val="20"/>
                <w:color w:val="auto"/>
              </w:rPr>
              <w:t>development (IPR&amp;D)</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197</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180" w:type="dxa"/>
            <w:vAlign w:val="bottom"/>
          </w:tcPr>
          <w:p>
            <w:pPr>
              <w:jc w:val="center"/>
              <w:ind w:left="5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20"/>
                <w:szCs w:val="20"/>
                <w:color w:val="auto"/>
              </w:rPr>
              <w:t>Selling, general, and administrative (SG&amp;A)</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652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37 %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418</w:t>
            </w:r>
          </w:p>
        </w:tc>
        <w:tc>
          <w:tcPr>
            <w:tcW w:w="1300" w:type="dxa"/>
            <w:vAlign w:val="bottom"/>
            <w:gridSpan w:val="2"/>
            <w:shd w:val="clear" w:color="auto" w:fill="CCEEFF"/>
          </w:tcPr>
          <w:p>
            <w:pPr>
              <w:jc w:val="center"/>
              <w:ind w:left="701"/>
              <w:spacing w:after="0"/>
              <w:rPr>
                <w:sz w:val="20"/>
                <w:szCs w:val="20"/>
                <w:color w:val="auto"/>
              </w:rPr>
            </w:pPr>
            <w:r>
              <w:rPr>
                <w:rFonts w:ascii="Arial" w:cs="Arial" w:eastAsia="Arial" w:hAnsi="Arial"/>
                <w:sz w:val="20"/>
                <w:szCs w:val="20"/>
                <w:color w:val="auto"/>
              </w:rPr>
              <w:t>34 %</w:t>
            </w:r>
          </w:p>
        </w:tc>
        <w:tc>
          <w:tcPr>
            <w:tcW w:w="0" w:type="dxa"/>
            <w:vAlign w:val="bottom"/>
          </w:tcPr>
          <w:p>
            <w:pPr>
              <w:spacing w:after="0"/>
              <w:rPr>
                <w:sz w:val="1"/>
                <w:szCs w:val="1"/>
                <w:color w:val="auto"/>
              </w:rPr>
            </w:pPr>
          </w:p>
        </w:tc>
      </w:tr>
      <w:tr>
        <w:trPr>
          <w:trHeight w:val="254"/>
        </w:trPr>
        <w:tc>
          <w:tcPr>
            <w:tcW w:w="4040" w:type="dxa"/>
            <w:vAlign w:val="bottom"/>
          </w:tcPr>
          <w:p>
            <w:pPr>
              <w:ind w:left="20"/>
              <w:spacing w:after="0"/>
              <w:rPr>
                <w:sz w:val="20"/>
                <w:szCs w:val="20"/>
                <w:color w:val="auto"/>
              </w:rPr>
            </w:pPr>
            <w:r>
              <w:rPr>
                <w:rFonts w:ascii="Arial" w:cs="Arial" w:eastAsia="Arial" w:hAnsi="Arial"/>
                <w:sz w:val="20"/>
                <w:szCs w:val="20"/>
                <w:color w:val="auto"/>
              </w:rPr>
              <w:t>Cost of goods sold (COGS)</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192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149</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29 %</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163</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137</w:t>
            </w:r>
          </w:p>
        </w:tc>
        <w:tc>
          <w:tcPr>
            <w:tcW w:w="1300" w:type="dxa"/>
            <w:vAlign w:val="bottom"/>
            <w:gridSpan w:val="2"/>
          </w:tcPr>
          <w:p>
            <w:pPr>
              <w:jc w:val="center"/>
              <w:ind w:left="701"/>
              <w:spacing w:after="0"/>
              <w:rPr>
                <w:sz w:val="20"/>
                <w:szCs w:val="20"/>
                <w:color w:val="auto"/>
              </w:rPr>
            </w:pPr>
            <w:r>
              <w:rPr>
                <w:rFonts w:ascii="Arial" w:cs="Arial" w:eastAsia="Arial" w:hAnsi="Arial"/>
                <w:sz w:val="20"/>
                <w:szCs w:val="20"/>
                <w:color w:val="auto"/>
              </w:rPr>
              <w:t>19 %</w:t>
            </w:r>
          </w:p>
        </w:tc>
        <w:tc>
          <w:tcPr>
            <w:tcW w:w="0" w:type="dxa"/>
            <w:vAlign w:val="bottom"/>
          </w:tcPr>
          <w:p>
            <w:pPr>
              <w:spacing w:after="0"/>
              <w:rPr>
                <w:sz w:val="1"/>
                <w:szCs w:val="1"/>
                <w:color w:val="auto"/>
              </w:rPr>
            </w:pPr>
          </w:p>
        </w:tc>
      </w:tr>
      <w:tr>
        <w:trPr>
          <w:trHeight w:val="192"/>
        </w:trPr>
        <w:tc>
          <w:tcPr>
            <w:tcW w:w="404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Cost of collaboration and contract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213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148</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44 %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center"/>
              <w:ind w:left="5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manufacturing (COCM)</w:t>
            </w:r>
          </w:p>
        </w:tc>
        <w:tc>
          <w:tcPr>
            <w:tcW w:w="140" w:type="dxa"/>
            <w:vAlign w:val="bottom"/>
            <w:vMerge w:val="continue"/>
            <w:shd w:val="clear" w:color="auto" w:fill="CCEEFF"/>
          </w:tcPr>
          <w:p>
            <w:pPr>
              <w:spacing w:after="0"/>
              <w:rPr>
                <w:sz w:val="22"/>
                <w:szCs w:val="22"/>
                <w:color w:val="auto"/>
              </w:rPr>
            </w:pPr>
          </w:p>
        </w:tc>
        <w:tc>
          <w:tcPr>
            <w:tcW w:w="940" w:type="dxa"/>
            <w:vAlign w:val="bottom"/>
            <w:vMerge w:val="continue"/>
            <w:shd w:val="clear" w:color="auto" w:fill="CCEEFF"/>
          </w:tcPr>
          <w:p>
            <w:pPr>
              <w:spacing w:after="0"/>
              <w:rPr>
                <w:sz w:val="22"/>
                <w:szCs w:val="22"/>
                <w:color w:val="auto"/>
              </w:rPr>
            </w:pPr>
          </w:p>
        </w:tc>
        <w:tc>
          <w:tcPr>
            <w:tcW w:w="240" w:type="dxa"/>
            <w:vAlign w:val="bottom"/>
            <w:gridSpan w:val="2"/>
            <w:vMerge w:val="continue"/>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340" w:type="dxa"/>
            <w:vAlign w:val="bottom"/>
            <w:gridSpan w:val="2"/>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040" w:type="dxa"/>
            <w:vAlign w:val="bottom"/>
          </w:tcPr>
          <w:p>
            <w:pPr>
              <w:ind w:left="20"/>
              <w:spacing w:after="0"/>
              <w:rPr>
                <w:sz w:val="20"/>
                <w:szCs w:val="20"/>
                <w:color w:val="auto"/>
              </w:rPr>
            </w:pPr>
            <w:r>
              <w:rPr>
                <w:rFonts w:ascii="Arial" w:cs="Arial" w:eastAsia="Arial" w:hAnsi="Arial"/>
                <w:sz w:val="20"/>
                <w:szCs w:val="20"/>
                <w:color w:val="auto"/>
              </w:rPr>
              <w:t>Other operating (income) expense, net</w:t>
            </w:r>
          </w:p>
        </w:tc>
        <w:tc>
          <w:tcPr>
            <w:tcW w:w="14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(17)</w:t>
            </w:r>
          </w:p>
        </w:tc>
        <w:tc>
          <w:tcPr>
            <w:tcW w:w="1340" w:type="dxa"/>
            <w:vAlign w:val="bottom"/>
            <w:gridSpan w:val="2"/>
          </w:tcPr>
          <w:p>
            <w:pPr>
              <w:jc w:val="right"/>
              <w:spacing w:after="0"/>
              <w:rPr>
                <w:sz w:val="20"/>
                <w:szCs w:val="20"/>
                <w:color w:val="auto"/>
              </w:rPr>
            </w:pPr>
            <w:r>
              <w:rPr>
                <w:rFonts w:ascii="Arial" w:cs="Arial" w:eastAsia="Arial" w:hAnsi="Arial"/>
                <w:sz w:val="20"/>
                <w:szCs w:val="20"/>
                <w:color w:val="auto"/>
              </w:rPr>
              <w:t>(94 %)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1"/>
                <w:szCs w:val="21"/>
                <w:color w:val="auto"/>
              </w:rPr>
            </w:pPr>
          </w:p>
        </w:tc>
        <w:tc>
          <w:tcPr>
            <w:tcW w:w="1180" w:type="dxa"/>
            <w:vAlign w:val="bottom"/>
          </w:tcPr>
          <w:p>
            <w:pPr>
              <w:jc w:val="center"/>
              <w:ind w:left="561"/>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00" w:hanging="11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240"/>
          </w:cols>
          <w:pgMar w:left="320" w:top="1039" w:right="339" w:bottom="1440" w:gutter="0" w:footer="0" w:header="0"/>
        </w:sectPr>
      </w:pPr>
    </w:p>
    <w:bookmarkStart w:id="7" w:name="page8"/>
    <w:bookmarkEnd w:id="7"/>
    <w:p>
      <w:pPr>
        <w:ind w:left="660" w:hanging="328"/>
        <w:spacing w:after="0" w:line="236"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GAAP and non-GAAP R&amp;D expenses increased in the second quarter of 2023, compared to the second quarter of 2022, driven by additional costs incurred in connection with higher headcount and headcount-related costs, the advancement of the Company's late-stage pipeline, the impact of the 2022 amendments to the Sanofi collaboration agreements, and increased manufacturing activity associated with the Company's earlier-stage product candidates.</w:t>
      </w:r>
    </w:p>
    <w:p>
      <w:pPr>
        <w:spacing w:after="0" w:line="52" w:lineRule="exact"/>
        <w:rPr>
          <w:rFonts w:ascii="Arial" w:cs="Arial" w:eastAsia="Arial" w:hAnsi="Arial"/>
          <w:sz w:val="22"/>
          <w:szCs w:val="22"/>
          <w:color w:val="auto"/>
        </w:rPr>
      </w:pPr>
    </w:p>
    <w:p>
      <w:pPr>
        <w:ind w:left="660" w:right="700" w:hanging="328"/>
        <w:spacing w:after="0" w:line="264"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Acquired IPR&amp;D in the second quarter of 2022 included a $195 million charge related to the Company's acquisition of Checkmate Pharmaceuticals, Inc.</w:t>
      </w:r>
    </w:p>
    <w:p>
      <w:pPr>
        <w:spacing w:after="0" w:line="37" w:lineRule="exact"/>
        <w:rPr>
          <w:rFonts w:ascii="Arial" w:cs="Arial" w:eastAsia="Arial" w:hAnsi="Arial"/>
          <w:sz w:val="22"/>
          <w:szCs w:val="22"/>
          <w:color w:val="auto"/>
        </w:rPr>
      </w:pPr>
    </w:p>
    <w:p>
      <w:pPr>
        <w:ind w:left="660" w:hanging="328"/>
        <w:spacing w:after="0" w:line="248"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GAAP and non-GAAP SG&amp;A expenses increased in the second quarter of 2023, compared to the second quarter of 2022, primarily due to an increase in commercialization-related expenses for Libtayo outside the U.S. (as effective July 1, 2022, the Company became solely responsible for the commercialization of Libtayo worldwide), higher headcount and headcount-related costs, and higher contributions to an independent not-for-profit patient assistance organization.</w:t>
      </w:r>
    </w:p>
    <w:p>
      <w:pPr>
        <w:spacing w:after="0" w:line="56" w:lineRule="exact"/>
        <w:rPr>
          <w:rFonts w:ascii="Arial" w:cs="Arial" w:eastAsia="Arial" w:hAnsi="Arial"/>
          <w:sz w:val="22"/>
          <w:szCs w:val="22"/>
          <w:color w:val="auto"/>
        </w:rPr>
      </w:pPr>
    </w:p>
    <w:p>
      <w:pPr>
        <w:ind w:left="660" w:right="180" w:hanging="328"/>
        <w:spacing w:after="0" w:line="264" w:lineRule="auto"/>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COCM expenses increased in the second quarter of 2023, compared to the second quarter of 2022, primarily due to the recognition of costs in connection with manufacturing commercial supplies of Dupixent.</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Financial Information</w:t>
      </w:r>
    </w:p>
    <w:p>
      <w:pPr>
        <w:spacing w:after="0" w:line="16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GAAP other income (expense) included the recognition of net unrealized losses on equity securities of $31 million in the second quarter of 2023, compared to $164 million in the second quarter of 2022. GAAP and Non-GAAP other income (expense) also included interest income of $118 million in the second quarter of 2023, compared to $28 million in the second quarter of 2022.</w:t>
      </w:r>
    </w:p>
    <w:p>
      <w:pPr>
        <w:spacing w:after="0" w:line="120" w:lineRule="exact"/>
        <w:rPr>
          <w:sz w:val="20"/>
          <w:szCs w:val="20"/>
          <w:color w:val="auto"/>
        </w:rPr>
      </w:pPr>
    </w:p>
    <w:p>
      <w:pPr>
        <w:ind w:right="240"/>
        <w:spacing w:after="0" w:line="254" w:lineRule="auto"/>
        <w:rPr>
          <w:sz w:val="20"/>
          <w:szCs w:val="20"/>
          <w:color w:val="auto"/>
        </w:rPr>
      </w:pPr>
      <w:r>
        <w:rPr>
          <w:rFonts w:ascii="Arial" w:cs="Arial" w:eastAsia="Arial" w:hAnsi="Arial"/>
          <w:sz w:val="22"/>
          <w:szCs w:val="22"/>
          <w:color w:val="auto"/>
        </w:rPr>
        <w:t>In the second quarter of 2023, the Company's GAAP effective tax rate (ETR) was 10.6%, compared to 11.5% in the second quarter of 2022. In the second quarter of 2023, the non-GAAP ETR was 12.2%, compared to 13.6% in the second quarter of 2022.</w:t>
      </w:r>
    </w:p>
    <w:p>
      <w:pPr>
        <w:spacing w:after="0" w:line="115" w:lineRule="exact"/>
        <w:rPr>
          <w:sz w:val="20"/>
          <w:szCs w:val="20"/>
          <w:color w:val="auto"/>
        </w:rPr>
      </w:pPr>
    </w:p>
    <w:p>
      <w:pPr>
        <w:ind w:right="440"/>
        <w:spacing w:after="0" w:line="254" w:lineRule="auto"/>
        <w:rPr>
          <w:sz w:val="20"/>
          <w:szCs w:val="20"/>
          <w:color w:val="auto"/>
        </w:rPr>
      </w:pPr>
      <w:r>
        <w:rPr>
          <w:rFonts w:ascii="Arial" w:cs="Arial" w:eastAsia="Arial" w:hAnsi="Arial"/>
          <w:sz w:val="22"/>
          <w:szCs w:val="22"/>
          <w:color w:val="auto"/>
        </w:rPr>
        <w:t>GAAP net income per diluted share was $8.50 in the second quarter of 2023, compared to $7.47 in the second quarter of 2022. Non-GAAP net income per diluted share was $10.24 in the second quarter of 2023, compared to $9.77 in the second quarter of 2022. A reconciliation of the Company's GAAP to non-GAAP results is included in Table 3 of this press release.</w:t>
      </w:r>
    </w:p>
    <w:p>
      <w:pPr>
        <w:spacing w:after="0" w:line="117" w:lineRule="exact"/>
        <w:rPr>
          <w:sz w:val="20"/>
          <w:szCs w:val="20"/>
          <w:color w:val="auto"/>
        </w:rPr>
      </w:pPr>
    </w:p>
    <w:p>
      <w:pPr>
        <w:jc w:val="both"/>
        <w:ind w:right="220"/>
        <w:spacing w:after="0" w:line="254" w:lineRule="auto"/>
        <w:rPr>
          <w:sz w:val="20"/>
          <w:szCs w:val="20"/>
          <w:color w:val="auto"/>
        </w:rPr>
      </w:pPr>
      <w:r>
        <w:rPr>
          <w:rFonts w:ascii="Arial" w:cs="Arial" w:eastAsia="Arial" w:hAnsi="Arial"/>
          <w:sz w:val="22"/>
          <w:szCs w:val="22"/>
          <w:color w:val="auto"/>
        </w:rPr>
        <w:t>During the second quarter of 2023, the Company repurchased shares of its common stock and recorded the cost of the shares, or $723 million, as Treasury Stock. As of June 30, 2023, an aggregate of $2.3 billion remained available for share repurchases under the Company's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2023 Financial Guidance</w:t>
      </w:r>
      <w:r>
        <w:rPr>
          <w:rFonts w:ascii="Arial" w:cs="Arial" w:eastAsia="Arial" w:hAnsi="Arial"/>
          <w:sz w:val="12"/>
          <w:szCs w:val="12"/>
          <w:b w:val="1"/>
          <w:bCs w:val="1"/>
          <w:i w:val="1"/>
          <w:iCs w:val="1"/>
          <w:color w:val="auto"/>
        </w:rPr>
        <w:t>(c)</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The Company's full year 2023 financial guidance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20" w:type="dxa"/>
            <w:vAlign w:val="bottom"/>
          </w:tcPr>
          <w:p>
            <w:pPr>
              <w:spacing w:after="0"/>
              <w:rPr>
                <w:sz w:val="24"/>
                <w:szCs w:val="24"/>
                <w:color w:val="auto"/>
              </w:rPr>
            </w:pPr>
          </w:p>
        </w:tc>
        <w:tc>
          <w:tcPr>
            <w:tcW w:w="4620" w:type="dxa"/>
            <w:vAlign w:val="bottom"/>
            <w:gridSpan w:val="3"/>
          </w:tcPr>
          <w:p>
            <w:pPr>
              <w:ind w:left="1600"/>
              <w:spacing w:after="0"/>
              <w:rPr>
                <w:sz w:val="20"/>
                <w:szCs w:val="20"/>
                <w:color w:val="auto"/>
              </w:rPr>
            </w:pPr>
            <w:r>
              <w:rPr>
                <w:rFonts w:ascii="Arial" w:cs="Arial" w:eastAsia="Arial" w:hAnsi="Arial"/>
                <w:sz w:val="20"/>
                <w:szCs w:val="20"/>
                <w:b w:val="1"/>
                <w:bCs w:val="1"/>
                <w:color w:val="auto"/>
              </w:rPr>
              <w:t>2023 Guidance</w:t>
            </w:r>
          </w:p>
        </w:tc>
      </w:tr>
      <w:tr>
        <w:trPr>
          <w:trHeight w:val="20"/>
        </w:trPr>
        <w:tc>
          <w:tcPr>
            <w:tcW w:w="46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50"/>
        </w:trPr>
        <w:tc>
          <w:tcPr>
            <w:tcW w:w="462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Prior</w:t>
            </w:r>
          </w:p>
        </w:tc>
        <w:tc>
          <w:tcPr>
            <w:tcW w:w="140" w:type="dxa"/>
            <w:vAlign w:val="bottom"/>
            <w:tcBorders>
              <w:bottom w:val="single" w:sz="8" w:color="CCEEFF"/>
            </w:tcBorders>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Updated</w:t>
            </w:r>
          </w:p>
        </w:tc>
      </w:tr>
      <w:tr>
        <w:trPr>
          <w:trHeight w:val="250"/>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$4.225–$4.465 billion</w:t>
            </w:r>
          </w:p>
        </w:tc>
        <w:tc>
          <w:tcPr>
            <w:tcW w:w="14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$4.315–$4.455 billion</w:t>
            </w:r>
          </w:p>
        </w:tc>
      </w:tr>
      <w:tr>
        <w:trPr>
          <w:trHeight w:val="270"/>
        </w:trPr>
        <w:tc>
          <w:tcPr>
            <w:tcW w:w="4620" w:type="dxa"/>
            <w:vAlign w:val="bottom"/>
          </w:tcPr>
          <w:p>
            <w:pPr>
              <w:ind w:left="20"/>
              <w:spacing w:after="0" w:line="270" w:lineRule="exact"/>
              <w:rPr>
                <w:sz w:val="20"/>
                <w:szCs w:val="20"/>
                <w:color w:val="auto"/>
              </w:rPr>
            </w:pPr>
            <w:r>
              <w:rPr>
                <w:rFonts w:ascii="Arial" w:cs="Arial" w:eastAsia="Arial" w:hAnsi="Arial"/>
                <w:sz w:val="20"/>
                <w:szCs w:val="20"/>
                <w:color w:val="auto"/>
              </w:rPr>
              <w:t>Non-GAAP R&amp;D</w:t>
            </w:r>
            <w:r>
              <w:rPr>
                <w:rFonts w:ascii="Arial" w:cs="Arial" w:eastAsia="Arial" w:hAnsi="Arial"/>
                <w:sz w:val="25"/>
                <w:szCs w:val="25"/>
                <w:color w:val="auto"/>
                <w:vertAlign w:val="superscript"/>
              </w:rPr>
              <w:t>(a)</w:t>
            </w:r>
          </w:p>
        </w:tc>
        <w:tc>
          <w:tcPr>
            <w:tcW w:w="2220" w:type="dxa"/>
            <w:vAlign w:val="bottom"/>
          </w:tcPr>
          <w:p>
            <w:pPr>
              <w:jc w:val="center"/>
              <w:spacing w:after="0"/>
              <w:rPr>
                <w:sz w:val="20"/>
                <w:szCs w:val="20"/>
                <w:color w:val="auto"/>
              </w:rPr>
            </w:pPr>
            <w:r>
              <w:rPr>
                <w:rFonts w:ascii="Arial" w:cs="Arial" w:eastAsia="Arial" w:hAnsi="Arial"/>
                <w:sz w:val="20"/>
                <w:szCs w:val="20"/>
                <w:color w:val="auto"/>
                <w:w w:val="98"/>
              </w:rPr>
              <w:t>$3.725–$3.925 billion</w:t>
            </w:r>
          </w:p>
        </w:tc>
        <w:tc>
          <w:tcPr>
            <w:tcW w:w="14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$3.825–$3.925 billion</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SG&amp;A</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$2.490–$2.680 billion</w:t>
            </w:r>
          </w:p>
        </w:tc>
        <w:tc>
          <w:tcPr>
            <w:tcW w:w="140" w:type="dxa"/>
            <w:vAlign w:val="bottom"/>
            <w:shd w:val="clear" w:color="auto" w:fill="CCEEFF"/>
          </w:tcPr>
          <w:p>
            <w:pPr>
              <w:spacing w:after="0"/>
              <w:rPr>
                <w:sz w:val="23"/>
                <w:szCs w:val="23"/>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$2.540–$2.680 billion</w:t>
            </w:r>
          </w:p>
        </w:tc>
      </w:tr>
      <w:tr>
        <w:trPr>
          <w:trHeight w:val="270"/>
        </w:trPr>
        <w:tc>
          <w:tcPr>
            <w:tcW w:w="4620" w:type="dxa"/>
            <w:vAlign w:val="bottom"/>
          </w:tcPr>
          <w:p>
            <w:pPr>
              <w:ind w:left="20"/>
              <w:spacing w:after="0" w:line="270"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(a)</w:t>
            </w:r>
          </w:p>
        </w:tc>
        <w:tc>
          <w:tcPr>
            <w:tcW w:w="2220" w:type="dxa"/>
            <w:vAlign w:val="bottom"/>
          </w:tcPr>
          <w:p>
            <w:pPr>
              <w:jc w:val="center"/>
              <w:spacing w:after="0"/>
              <w:rPr>
                <w:sz w:val="20"/>
                <w:szCs w:val="20"/>
                <w:color w:val="auto"/>
              </w:rPr>
            </w:pPr>
            <w:r>
              <w:rPr>
                <w:rFonts w:ascii="Arial" w:cs="Arial" w:eastAsia="Arial" w:hAnsi="Arial"/>
                <w:sz w:val="20"/>
                <w:szCs w:val="20"/>
                <w:color w:val="auto"/>
                <w:w w:val="98"/>
              </w:rPr>
              <w:t>$2.130–$2.280 billion</w:t>
            </w:r>
          </w:p>
        </w:tc>
        <w:tc>
          <w:tcPr>
            <w:tcW w:w="14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$2.180–$2.280 billion</w:t>
            </w:r>
          </w:p>
        </w:tc>
      </w:tr>
      <w:tr>
        <w:trPr>
          <w:trHeight w:val="270"/>
        </w:trPr>
        <w:tc>
          <w:tcPr>
            <w:tcW w:w="46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GAAP gross margin on net product sales</w:t>
            </w:r>
            <w:r>
              <w:rPr>
                <w:rFonts w:ascii="Arial" w:cs="Arial" w:eastAsia="Arial" w:hAnsi="Arial"/>
                <w:sz w:val="25"/>
                <w:szCs w:val="25"/>
                <w:color w:val="auto"/>
                <w:vertAlign w:val="superscript"/>
              </w:rPr>
              <w:t>(d)</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87%–89%</w:t>
            </w:r>
          </w:p>
        </w:tc>
        <w:tc>
          <w:tcPr>
            <w:tcW w:w="140" w:type="dxa"/>
            <w:vAlign w:val="bottom"/>
            <w:shd w:val="clear" w:color="auto" w:fill="CCEEFF"/>
          </w:tcPr>
          <w:p>
            <w:pPr>
              <w:spacing w:after="0"/>
              <w:rPr>
                <w:sz w:val="23"/>
                <w:szCs w:val="23"/>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20" w:type="dxa"/>
            <w:vAlign w:val="bottom"/>
          </w:tcPr>
          <w:p>
            <w:pPr>
              <w:ind w:left="20"/>
              <w:spacing w:after="0" w:line="270" w:lineRule="exact"/>
              <w:rPr>
                <w:sz w:val="20"/>
                <w:szCs w:val="20"/>
                <w:color w:val="auto"/>
              </w:rPr>
            </w:pPr>
            <w:r>
              <w:rPr>
                <w:rFonts w:ascii="Arial" w:cs="Arial" w:eastAsia="Arial" w:hAnsi="Arial"/>
                <w:sz w:val="20"/>
                <w:szCs w:val="20"/>
                <w:color w:val="auto"/>
              </w:rPr>
              <w:t>Non-GAAP gross margin on net product sales</w:t>
            </w:r>
            <w:r>
              <w:rPr>
                <w:rFonts w:ascii="Arial" w:cs="Arial" w:eastAsia="Arial" w:hAnsi="Arial"/>
                <w:sz w:val="25"/>
                <w:szCs w:val="25"/>
                <w:color w:val="auto"/>
                <w:vertAlign w:val="superscript"/>
              </w:rPr>
              <w:t>(a)(d)</w:t>
            </w:r>
          </w:p>
        </w:tc>
        <w:tc>
          <w:tcPr>
            <w:tcW w:w="2220" w:type="dxa"/>
            <w:vAlign w:val="bottom"/>
          </w:tcPr>
          <w:p>
            <w:pPr>
              <w:jc w:val="center"/>
              <w:spacing w:after="0"/>
              <w:rPr>
                <w:sz w:val="20"/>
                <w:szCs w:val="20"/>
                <w:color w:val="auto"/>
              </w:rPr>
            </w:pPr>
            <w:r>
              <w:rPr>
                <w:rFonts w:ascii="Arial" w:cs="Arial" w:eastAsia="Arial" w:hAnsi="Arial"/>
                <w:sz w:val="20"/>
                <w:szCs w:val="20"/>
                <w:color w:val="auto"/>
                <w:w w:val="98"/>
              </w:rPr>
              <w:t>89%–91%</w:t>
            </w:r>
          </w:p>
        </w:tc>
        <w:tc>
          <w:tcPr>
            <w:tcW w:w="14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2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COCM</w:t>
            </w:r>
            <w:r>
              <w:rPr>
                <w:rFonts w:ascii="Arial" w:cs="Arial" w:eastAsia="Arial" w:hAnsi="Arial"/>
                <w:sz w:val="25"/>
                <w:szCs w:val="25"/>
                <w:color w:val="auto"/>
                <w:vertAlign w:val="superscript"/>
              </w:rPr>
              <w:t>(e)*</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$820–$880 million</w:t>
            </w:r>
          </w:p>
        </w:tc>
        <w:tc>
          <w:tcPr>
            <w:tcW w:w="140" w:type="dxa"/>
            <w:vAlign w:val="bottom"/>
            <w:shd w:val="clear" w:color="auto" w:fill="CCEEFF"/>
          </w:tcPr>
          <w:p>
            <w:pPr>
              <w:spacing w:after="0"/>
              <w:rPr>
                <w:sz w:val="23"/>
                <w:szCs w:val="23"/>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Unchanged</w:t>
            </w:r>
          </w:p>
        </w:tc>
      </w:tr>
      <w:tr>
        <w:trPr>
          <w:trHeight w:val="270"/>
        </w:trPr>
        <w:tc>
          <w:tcPr>
            <w:tcW w:w="4620" w:type="dxa"/>
            <w:vAlign w:val="bottom"/>
          </w:tcPr>
          <w:p>
            <w:pPr>
              <w:ind w:left="20"/>
              <w:spacing w:after="0" w:line="270" w:lineRule="exact"/>
              <w:rPr>
                <w:sz w:val="20"/>
                <w:szCs w:val="20"/>
                <w:color w:val="auto"/>
              </w:rPr>
            </w:pPr>
            <w:r>
              <w:rPr>
                <w:rFonts w:ascii="Arial" w:cs="Arial" w:eastAsia="Arial" w:hAnsi="Arial"/>
                <w:sz w:val="20"/>
                <w:szCs w:val="20"/>
                <w:color w:val="auto"/>
              </w:rPr>
              <w:t>Capital expenditures</w:t>
            </w:r>
            <w:r>
              <w:rPr>
                <w:rFonts w:ascii="Arial" w:cs="Arial" w:eastAsia="Arial" w:hAnsi="Arial"/>
                <w:sz w:val="25"/>
                <w:szCs w:val="25"/>
                <w:color w:val="auto"/>
                <w:vertAlign w:val="superscript"/>
              </w:rPr>
              <w:t>*</w:t>
            </w:r>
          </w:p>
        </w:tc>
        <w:tc>
          <w:tcPr>
            <w:tcW w:w="2220" w:type="dxa"/>
            <w:vAlign w:val="bottom"/>
          </w:tcPr>
          <w:p>
            <w:pPr>
              <w:jc w:val="center"/>
              <w:spacing w:after="0"/>
              <w:rPr>
                <w:sz w:val="20"/>
                <w:szCs w:val="20"/>
                <w:color w:val="auto"/>
              </w:rPr>
            </w:pPr>
            <w:r>
              <w:rPr>
                <w:rFonts w:ascii="Arial" w:cs="Arial" w:eastAsia="Arial" w:hAnsi="Arial"/>
                <w:sz w:val="20"/>
                <w:szCs w:val="20"/>
                <w:color w:val="auto"/>
                <w:w w:val="98"/>
              </w:rPr>
              <w:t>$800–$900 million</w:t>
            </w:r>
          </w:p>
        </w:tc>
        <w:tc>
          <w:tcPr>
            <w:tcW w:w="14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20"/>
                <w:szCs w:val="20"/>
                <w:color w:val="auto"/>
                <w:w w:val="98"/>
              </w:rPr>
              <w:t>$760–$830 million</w:t>
            </w:r>
          </w:p>
        </w:tc>
      </w:tr>
      <w:tr>
        <w:trPr>
          <w:trHeight w:val="270"/>
        </w:trPr>
        <w:tc>
          <w:tcPr>
            <w:tcW w:w="46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effective tax rate</w:t>
            </w:r>
          </w:p>
        </w:tc>
        <w:tc>
          <w:tcPr>
            <w:tcW w:w="22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8%–10%</w:t>
            </w:r>
          </w:p>
        </w:tc>
        <w:tc>
          <w:tcPr>
            <w:tcW w:w="140" w:type="dxa"/>
            <w:vAlign w:val="bottom"/>
            <w:shd w:val="clear" w:color="auto" w:fill="CCEEFF"/>
          </w:tcPr>
          <w:p>
            <w:pPr>
              <w:spacing w:after="0"/>
              <w:rPr>
                <w:sz w:val="23"/>
                <w:szCs w:val="23"/>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8%–9%</w:t>
            </w:r>
          </w:p>
        </w:tc>
      </w:tr>
      <w:tr>
        <w:trPr>
          <w:trHeight w:val="337"/>
        </w:trPr>
        <w:tc>
          <w:tcPr>
            <w:tcW w:w="4620" w:type="dxa"/>
            <w:vAlign w:val="bottom"/>
          </w:tcPr>
          <w:p>
            <w:pPr>
              <w:ind w:left="20"/>
              <w:spacing w:after="0"/>
              <w:rPr>
                <w:sz w:val="20"/>
                <w:szCs w:val="20"/>
                <w:color w:val="auto"/>
              </w:rPr>
            </w:pPr>
            <w:r>
              <w:rPr>
                <w:rFonts w:ascii="Arial" w:cs="Arial" w:eastAsia="Arial" w:hAnsi="Arial"/>
                <w:sz w:val="20"/>
                <w:szCs w:val="20"/>
                <w:color w:val="auto"/>
              </w:rPr>
              <w:t>Non-GAAP effective tax rate</w:t>
            </w:r>
            <w:r>
              <w:rPr>
                <w:rFonts w:ascii="Arial" w:cs="Arial" w:eastAsia="Arial" w:hAnsi="Arial"/>
                <w:sz w:val="25"/>
                <w:szCs w:val="25"/>
                <w:color w:val="auto"/>
                <w:vertAlign w:val="superscript"/>
              </w:rPr>
              <w:t>(a)</w:t>
            </w:r>
          </w:p>
        </w:tc>
        <w:tc>
          <w:tcPr>
            <w:tcW w:w="2220" w:type="dxa"/>
            <w:vAlign w:val="bottom"/>
          </w:tcPr>
          <w:p>
            <w:pPr>
              <w:jc w:val="center"/>
              <w:spacing w:after="0"/>
              <w:rPr>
                <w:sz w:val="20"/>
                <w:szCs w:val="20"/>
                <w:color w:val="auto"/>
              </w:rPr>
            </w:pPr>
            <w:r>
              <w:rPr>
                <w:rFonts w:ascii="Arial" w:cs="Arial" w:eastAsia="Arial" w:hAnsi="Arial"/>
                <w:sz w:val="20"/>
                <w:szCs w:val="20"/>
                <w:color w:val="auto"/>
                <w:w w:val="98"/>
              </w:rPr>
              <w:t>10%–12%</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20"/>
                <w:szCs w:val="20"/>
                <w:color w:val="auto"/>
                <w:w w:val="96"/>
              </w:rPr>
              <w:t>10%–11%</w:t>
            </w:r>
          </w:p>
        </w:tc>
      </w:tr>
    </w:tbl>
    <w:p>
      <w:pPr>
        <w:spacing w:after="0" w:line="44" w:lineRule="exact"/>
        <w:rPr>
          <w:sz w:val="20"/>
          <w:szCs w:val="20"/>
          <w:color w:val="auto"/>
        </w:rPr>
      </w:pPr>
    </w:p>
    <w:p>
      <w:pPr>
        <w:ind w:left="300" w:hanging="11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6"/>
          <w:szCs w:val="16"/>
          <w:color w:val="auto"/>
        </w:rPr>
        <w:t>GAAP and non-GAAP amounts are equivalent as no non-GAAP adjustments have been or are expected to be recorded.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ectPr>
          <w:pgSz w:w="11900" w:h="16838" w:orient="portrait"/>
          <w:cols w:equalWidth="0" w:num="1">
            <w:col w:w="10139"/>
          </w:cols>
          <w:pgMar w:left="320" w:top="1039" w:right="1440"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A reconciliation of full year 2023 GAAP to non-GAAP financial guidance is included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6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Projected Range</w:t>
            </w: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961"/>
              <w:spacing w:after="0"/>
              <w:rPr>
                <w:sz w:val="20"/>
                <w:szCs w:val="20"/>
                <w:color w:val="auto"/>
              </w:rPr>
            </w:pPr>
            <w:r>
              <w:rPr>
                <w:rFonts w:ascii="Arial" w:cs="Arial" w:eastAsia="Arial" w:hAnsi="Arial"/>
                <w:sz w:val="20"/>
                <w:szCs w:val="20"/>
                <w:b w:val="1"/>
                <w:bCs w:val="1"/>
                <w:color w:val="auto"/>
              </w:rPr>
              <w:t>Low</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941"/>
              <w:spacing w:after="0"/>
              <w:rPr>
                <w:sz w:val="20"/>
                <w:szCs w:val="20"/>
                <w:color w:val="auto"/>
              </w:rPr>
            </w:pPr>
            <w:r>
              <w:rPr>
                <w:rFonts w:ascii="Arial" w:cs="Arial" w:eastAsia="Arial" w:hAnsi="Arial"/>
                <w:sz w:val="20"/>
                <w:szCs w:val="20"/>
                <w:b w:val="1"/>
                <w:bCs w:val="1"/>
                <w:color w:val="auto"/>
              </w:rPr>
              <w:t>High</w:t>
            </w:r>
          </w:p>
        </w:tc>
        <w:tc>
          <w:tcPr>
            <w:tcW w:w="0" w:type="dxa"/>
            <w:vAlign w:val="bottom"/>
          </w:tcPr>
          <w:p>
            <w:pPr>
              <w:spacing w:after="0"/>
              <w:rPr>
                <w:sz w:val="1"/>
                <w:szCs w:val="1"/>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R&amp;D</w:t>
            </w:r>
          </w:p>
        </w:tc>
        <w:tc>
          <w:tcPr>
            <w:tcW w:w="6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4,315</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4,455</w:t>
            </w:r>
          </w:p>
        </w:tc>
        <w:tc>
          <w:tcPr>
            <w:tcW w:w="0" w:type="dxa"/>
            <w:vAlign w:val="bottom"/>
          </w:tcPr>
          <w:p>
            <w:pPr>
              <w:spacing w:after="0"/>
              <w:rPr>
                <w:sz w:val="1"/>
                <w:szCs w:val="1"/>
                <w:color w:val="auto"/>
              </w:rPr>
            </w:pPr>
          </w:p>
        </w:tc>
      </w:tr>
      <w:tr>
        <w:trPr>
          <w:trHeight w:val="254"/>
        </w:trPr>
        <w:tc>
          <w:tcPr>
            <w:tcW w:w="536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480</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20"/>
                <w:szCs w:val="20"/>
                <w:color w:val="auto"/>
              </w:rPr>
              <w:t>510</w:t>
            </w:r>
          </w:p>
        </w:tc>
        <w:tc>
          <w:tcPr>
            <w:tcW w:w="0" w:type="dxa"/>
            <w:vAlign w:val="bottom"/>
          </w:tcPr>
          <w:p>
            <w:pPr>
              <w:spacing w:after="0"/>
              <w:rPr>
                <w:sz w:val="1"/>
                <w:szCs w:val="1"/>
                <w:color w:val="auto"/>
              </w:rPr>
            </w:pPr>
          </w:p>
        </w:tc>
      </w:tr>
      <w:tr>
        <w:trPr>
          <w:trHeight w:val="259"/>
        </w:trPr>
        <w:tc>
          <w:tcPr>
            <w:tcW w:w="5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w:t>
            </w:r>
          </w:p>
        </w:tc>
        <w:tc>
          <w:tcPr>
            <w:tcW w:w="10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20"/>
                <w:szCs w:val="20"/>
                <w:color w:val="auto"/>
              </w:rPr>
              <w:t>Non-GAAP R&amp;D</w:t>
            </w: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3,825</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3,925</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360" w:type="dxa"/>
            <w:vAlign w:val="bottom"/>
          </w:tcPr>
          <w:p>
            <w:pPr>
              <w:ind w:left="20"/>
              <w:spacing w:after="0"/>
              <w:rPr>
                <w:sz w:val="20"/>
                <w:szCs w:val="20"/>
                <w:color w:val="auto"/>
              </w:rPr>
            </w:pPr>
            <w:r>
              <w:rPr>
                <w:rFonts w:ascii="Arial" w:cs="Arial" w:eastAsia="Arial" w:hAnsi="Arial"/>
                <w:sz w:val="20"/>
                <w:szCs w:val="20"/>
                <w:color w:val="auto"/>
              </w:rPr>
              <w:t>GAAP SG&amp;A</w:t>
            </w:r>
          </w:p>
        </w:tc>
        <w:tc>
          <w:tcPr>
            <w:tcW w:w="600" w:type="dxa"/>
            <w:vAlign w:val="bottom"/>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Pr>
          <w:p>
            <w:pPr>
              <w:jc w:val="right"/>
              <w:spacing w:after="0"/>
              <w:rPr>
                <w:sz w:val="20"/>
                <w:szCs w:val="20"/>
                <w:color w:val="auto"/>
              </w:rPr>
            </w:pPr>
            <w:r>
              <w:rPr>
                <w:rFonts w:ascii="Arial" w:cs="Arial" w:eastAsia="Arial" w:hAnsi="Arial"/>
                <w:sz w:val="20"/>
                <w:szCs w:val="20"/>
                <w:color w:val="auto"/>
              </w:rPr>
              <w:t>2,540</w:t>
            </w:r>
          </w:p>
        </w:tc>
        <w:tc>
          <w:tcPr>
            <w:tcW w:w="980" w:type="dxa"/>
            <w:vAlign w:val="bottom"/>
            <w:gridSpan w:val="2"/>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Pr>
          <w:p>
            <w:pPr>
              <w:jc w:val="right"/>
              <w:spacing w:after="0"/>
              <w:rPr>
                <w:sz w:val="20"/>
                <w:szCs w:val="20"/>
                <w:color w:val="auto"/>
              </w:rPr>
            </w:pPr>
            <w:r>
              <w:rPr>
                <w:rFonts w:ascii="Arial" w:cs="Arial" w:eastAsia="Arial" w:hAnsi="Arial"/>
                <w:sz w:val="20"/>
                <w:szCs w:val="20"/>
                <w:color w:val="auto"/>
              </w:rPr>
              <w:t>2,680</w:t>
            </w:r>
          </w:p>
        </w:tc>
        <w:tc>
          <w:tcPr>
            <w:tcW w:w="0" w:type="dxa"/>
            <w:vAlign w:val="bottom"/>
          </w:tcPr>
          <w:p>
            <w:pPr>
              <w:spacing w:after="0"/>
              <w:rPr>
                <w:sz w:val="1"/>
                <w:szCs w:val="1"/>
                <w:color w:val="auto"/>
              </w:rPr>
            </w:pPr>
          </w:p>
        </w:tc>
      </w:tr>
      <w:tr>
        <w:trPr>
          <w:trHeight w:val="246"/>
        </w:trPr>
        <w:tc>
          <w:tcPr>
            <w:tcW w:w="5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320</w:t>
            </w: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47"/>
        </w:trPr>
        <w:tc>
          <w:tcPr>
            <w:tcW w:w="5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Non-GAAP SG&amp;A</w:t>
            </w:r>
          </w:p>
        </w:tc>
        <w:tc>
          <w:tcPr>
            <w:tcW w:w="600" w:type="dxa"/>
            <w:vAlign w:val="bottom"/>
            <w:tcBorders>
              <w:bottom w:val="single" w:sz="8" w:color="auto"/>
            </w:tcBorders>
            <w:shd w:val="clear" w:color="auto" w:fill="CCEEFF"/>
          </w:tcPr>
          <w:p>
            <w:pPr>
              <w:jc w:val="right"/>
              <w:ind w:right="381"/>
              <w:spacing w:after="0"/>
              <w:rPr>
                <w:sz w:val="20"/>
                <w:szCs w:val="20"/>
                <w:color w:val="auto"/>
              </w:rPr>
            </w:pPr>
            <w:r>
              <w:rPr>
                <w:rFonts w:ascii="Arial" w:cs="Arial" w:eastAsia="Arial" w:hAnsi="Arial"/>
                <w:sz w:val="20"/>
                <w:szCs w:val="20"/>
                <w:color w:val="auto"/>
                <w:w w:val="8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2,180</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2,280</w:t>
            </w:r>
          </w:p>
        </w:tc>
        <w:tc>
          <w:tcPr>
            <w:tcW w:w="0" w:type="dxa"/>
            <w:vAlign w:val="bottom"/>
          </w:tcPr>
          <w:p>
            <w:pPr>
              <w:spacing w:after="0"/>
              <w:rPr>
                <w:sz w:val="1"/>
                <w:szCs w:val="1"/>
                <w:color w:val="auto"/>
              </w:rPr>
            </w:pPr>
          </w:p>
        </w:tc>
      </w:tr>
      <w:tr>
        <w:trPr>
          <w:trHeight w:val="253"/>
        </w:trPr>
        <w:tc>
          <w:tcPr>
            <w:tcW w:w="5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GAAP gross margin on net product sales</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243"/>
        </w:trPr>
        <w:tc>
          <w:tcPr>
            <w:tcW w:w="5360" w:type="dxa"/>
            <w:vAlign w:val="bottom"/>
          </w:tcPr>
          <w:p>
            <w:pPr>
              <w:ind w:left="220"/>
              <w:spacing w:after="0"/>
              <w:rPr>
                <w:sz w:val="20"/>
                <w:szCs w:val="20"/>
                <w:color w:val="auto"/>
              </w:rPr>
            </w:pPr>
            <w:r>
              <w:rPr>
                <w:rFonts w:ascii="Arial" w:cs="Arial" w:eastAsia="Arial" w:hAnsi="Arial"/>
                <w:sz w:val="20"/>
                <w:szCs w:val="20"/>
                <w:color w:val="auto"/>
              </w:rPr>
              <w:t>Stock-based compensation expense</w:t>
            </w:r>
          </w:p>
        </w:tc>
        <w:tc>
          <w:tcPr>
            <w:tcW w:w="600" w:type="dxa"/>
            <w:vAlign w:val="bottom"/>
          </w:tcPr>
          <w:p>
            <w:pPr>
              <w:spacing w:after="0"/>
              <w:rPr>
                <w:sz w:val="21"/>
                <w:szCs w:val="21"/>
                <w:color w:val="auto"/>
              </w:rPr>
            </w:pPr>
          </w:p>
        </w:tc>
        <w:tc>
          <w:tcPr>
            <w:tcW w:w="1920" w:type="dxa"/>
            <w:vAlign w:val="bottom"/>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220"/>
              <w:spacing w:after="0"/>
              <w:rPr>
                <w:sz w:val="20"/>
                <w:szCs w:val="20"/>
                <w:color w:val="auto"/>
              </w:rPr>
            </w:pPr>
            <w:r>
              <w:rPr>
                <w:rFonts w:ascii="Arial" w:cs="Arial" w:eastAsia="Arial" w:hAnsi="Arial"/>
                <w:sz w:val="20"/>
                <w:szCs w:val="20"/>
                <w:color w:val="auto"/>
              </w:rPr>
              <w:t>Intangible asset amortization expense</w:t>
            </w: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4"/>
        </w:trPr>
        <w:tc>
          <w:tcPr>
            <w:tcW w:w="5360" w:type="dxa"/>
            <w:vAlign w:val="bottom"/>
          </w:tcPr>
          <w:p>
            <w:pPr>
              <w:ind w:left="220"/>
              <w:spacing w:after="0"/>
              <w:rPr>
                <w:sz w:val="20"/>
                <w:szCs w:val="20"/>
                <w:color w:val="auto"/>
              </w:rPr>
            </w:pPr>
            <w:r>
              <w:rPr>
                <w:rFonts w:ascii="Arial" w:cs="Arial" w:eastAsia="Arial" w:hAnsi="Arial"/>
                <w:sz w:val="20"/>
                <w:szCs w:val="20"/>
                <w:color w:val="auto"/>
              </w:rPr>
              <w:t>Acquisition-related integration costs</w:t>
            </w:r>
          </w:p>
        </w:tc>
        <w:tc>
          <w:tcPr>
            <w:tcW w:w="600" w:type="dxa"/>
            <w:vAlign w:val="bottom"/>
          </w:tcPr>
          <w:p>
            <w:pPr>
              <w:spacing w:after="0"/>
              <w:rPr>
                <w:sz w:val="22"/>
                <w:szCs w:val="22"/>
                <w:color w:val="auto"/>
              </w:rPr>
            </w:pPr>
          </w:p>
        </w:tc>
        <w:tc>
          <w:tcPr>
            <w:tcW w:w="1920" w:type="dxa"/>
            <w:vAlign w:val="bottom"/>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46"/>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Charges related to REGEN-COV</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rPr>
              <w:t>&lt;(1%)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&lt;(1%)</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20"/>
                <w:szCs w:val="20"/>
                <w:color w:val="auto"/>
              </w:rPr>
              <w:t>Non-GAAP gross margin on net product sales</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89%</w:t>
            </w: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263"/>
        </w:trPr>
        <w:tc>
          <w:tcPr>
            <w:tcW w:w="53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20"/>
                <w:szCs w:val="20"/>
                <w:color w:val="auto"/>
              </w:rPr>
              <w:t>GAAP ETR</w:t>
            </w:r>
          </w:p>
        </w:tc>
        <w:tc>
          <w:tcPr>
            <w:tcW w:w="600" w:type="dxa"/>
            <w:vAlign w:val="bottom"/>
          </w:tcPr>
          <w:p>
            <w:pPr>
              <w:spacing w:after="0"/>
              <w:rPr>
                <w:sz w:val="21"/>
                <w:szCs w:val="21"/>
                <w:color w:val="auto"/>
              </w:rPr>
            </w:pPr>
          </w:p>
        </w:tc>
        <w:tc>
          <w:tcPr>
            <w:tcW w:w="1920" w:type="dxa"/>
            <w:vAlign w:val="bottom"/>
          </w:tcPr>
          <w:p>
            <w:pPr>
              <w:jc w:val="right"/>
              <w:ind w:right="41"/>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jc w:val="right"/>
              <w:ind w:right="21"/>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ind w:left="220"/>
              <w:spacing w:after="0" w:line="199" w:lineRule="exact"/>
              <w:rPr>
                <w:sz w:val="20"/>
                <w:szCs w:val="20"/>
                <w:color w:val="auto"/>
              </w:rPr>
            </w:pPr>
            <w:r>
              <w:rPr>
                <w:rFonts w:ascii="Arial" w:cs="Arial" w:eastAsia="Arial" w:hAnsi="Arial"/>
                <w:sz w:val="20"/>
                <w:szCs w:val="20"/>
                <w:color w:val="auto"/>
              </w:rPr>
              <w:t>Income tax effect of GAAP to non-GAAP reconciling</w:t>
            </w:r>
          </w:p>
        </w:tc>
        <w:tc>
          <w:tcPr>
            <w:tcW w:w="600" w:type="dxa"/>
            <w:vAlign w:val="bottom"/>
            <w:shd w:val="clear" w:color="auto" w:fill="CCEEFF"/>
          </w:tcPr>
          <w:p>
            <w:pPr>
              <w:spacing w:after="0"/>
              <w:rPr>
                <w:sz w:val="17"/>
                <w:szCs w:val="17"/>
                <w:color w:val="auto"/>
              </w:rPr>
            </w:pPr>
          </w:p>
        </w:tc>
        <w:tc>
          <w:tcPr>
            <w:tcW w:w="192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4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47"/>
        </w:trPr>
        <w:tc>
          <w:tcPr>
            <w:tcW w:w="5360" w:type="dxa"/>
            <w:vAlign w:val="bottom"/>
            <w:shd w:val="clear" w:color="auto" w:fill="CCEEFF"/>
          </w:tcPr>
          <w:p>
            <w:pPr>
              <w:ind w:left="400"/>
              <w:spacing w:after="0"/>
              <w:rPr>
                <w:sz w:val="20"/>
                <w:szCs w:val="20"/>
                <w:color w:val="auto"/>
              </w:rPr>
            </w:pPr>
            <w:r>
              <w:rPr>
                <w:rFonts w:ascii="Arial" w:cs="Arial" w:eastAsia="Arial" w:hAnsi="Arial"/>
                <w:sz w:val="20"/>
                <w:szCs w:val="20"/>
                <w:color w:val="auto"/>
              </w:rPr>
              <w:t>items</w:t>
            </w:r>
          </w:p>
        </w:tc>
        <w:tc>
          <w:tcPr>
            <w:tcW w:w="6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20"/>
                <w:szCs w:val="20"/>
                <w:color w:val="auto"/>
              </w:rPr>
              <w:t>Non-GAAP ETR</w:t>
            </w:r>
          </w:p>
        </w:tc>
        <w:tc>
          <w:tcPr>
            <w:tcW w:w="6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10%</w:t>
            </w: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320" w:top="1049" w:right="1079" w:bottom="1440" w:gutter="0" w:footer="0" w:header="0"/>
        </w:sectPr>
      </w:pPr>
    </w:p>
    <w:bookmarkStart w:id="10" w:name="page11"/>
    <w:bookmarkEnd w:id="10"/>
    <w:p>
      <w:pPr>
        <w:ind w:left="414" w:hanging="414"/>
        <w:spacing w:after="0" w:line="207" w:lineRule="auto"/>
        <w:tabs>
          <w:tab w:leader="none" w:pos="414" w:val="left"/>
        </w:tabs>
        <w:numPr>
          <w:ilvl w:val="0"/>
          <w:numId w:val="13"/>
        </w:numPr>
        <w:rPr>
          <w:rFonts w:ascii="Arial" w:cs="Arial" w:eastAsia="Arial" w:hAnsi="Arial"/>
          <w:sz w:val="16"/>
          <w:szCs w:val="16"/>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This press release uses non-GAAP R&amp;D, non-GAAP SG&amp;A, non-GAAP COGS, non-GAAP gross margin on net product sales, non-GAAP other income (expense), net, non-GAAP ETR, non-GAAP net income, non-GAAP net income per share, total revenues excluding Ronapreve</w:t>
      </w:r>
      <w:r>
        <w:rPr>
          <w:rFonts w:ascii="Arial" w:cs="Arial" w:eastAsia="Arial" w:hAnsi="Arial"/>
          <w:sz w:val="25"/>
          <w:szCs w:val="25"/>
          <w:color w:val="auto"/>
          <w:vertAlign w:val="superscript"/>
        </w:rPr>
        <w:t>(b)</w:t>
      </w:r>
      <w:r>
        <w:rPr>
          <w:rFonts w:ascii="Arial" w:cs="Arial" w:eastAsia="Arial" w:hAnsi="Arial"/>
          <w:sz w:val="20"/>
          <w:szCs w:val="20"/>
          <w:color w:val="auto"/>
        </w:rPr>
        <w:t>,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spacing w:after="0" w:line="87" w:lineRule="exact"/>
        <w:rPr>
          <w:rFonts w:ascii="Arial" w:cs="Arial" w:eastAsia="Arial" w:hAnsi="Arial"/>
          <w:sz w:val="16"/>
          <w:szCs w:val="16"/>
          <w:color w:val="auto"/>
        </w:rPr>
      </w:pPr>
    </w:p>
    <w:p>
      <w:pPr>
        <w:ind w:left="414" w:right="140"/>
        <w:spacing w:after="0" w:line="224" w:lineRule="auto"/>
        <w:rPr>
          <w:rFonts w:ascii="Arial" w:cs="Arial" w:eastAsia="Arial" w:hAnsi="Arial"/>
          <w:sz w:val="16"/>
          <w:szCs w:val="16"/>
          <w:color w:val="auto"/>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acquisition-related integration costs).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the Company should be considered supplemental to, and not a substitute for, measures of financial performance prepared in accordance with GAAP.</w:t>
      </w:r>
    </w:p>
    <w:p>
      <w:pPr>
        <w:spacing w:after="0" w:line="99" w:lineRule="exact"/>
        <w:rPr>
          <w:rFonts w:ascii="Arial" w:cs="Arial" w:eastAsia="Arial" w:hAnsi="Arial"/>
          <w:sz w:val="16"/>
          <w:szCs w:val="16"/>
          <w:color w:val="auto"/>
        </w:rPr>
      </w:pPr>
    </w:p>
    <w:p>
      <w:pPr>
        <w:ind w:left="414" w:right="180" w:hanging="414"/>
        <w:spacing w:after="0" w:line="187" w:lineRule="auto"/>
        <w:tabs>
          <w:tab w:leader="none" w:pos="414" w:val="left"/>
        </w:tabs>
        <w:numPr>
          <w:ilvl w:val="0"/>
          <w:numId w:val="13"/>
        </w:numPr>
        <w:rPr>
          <w:rFonts w:ascii="Arial" w:cs="Arial" w:eastAsia="Arial" w:hAnsi="Arial"/>
          <w:sz w:val="16"/>
          <w:szCs w:val="16"/>
          <w:color w:val="auto"/>
        </w:rPr>
      </w:pPr>
      <w:r>
        <w:rPr>
          <w:rFonts w:ascii="Arial" w:cs="Arial" w:eastAsia="Arial" w:hAnsi="Arial"/>
          <w:sz w:val="20"/>
          <w:szCs w:val="20"/>
          <w:color w:val="auto"/>
        </w:rPr>
        <w:t>The casirivimab and imdevimab antibody cocktail for COVID-19 is known as REGEN-COV</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United States and Ronapreve</w:t>
      </w:r>
      <w:r>
        <w:rPr>
          <w:rFonts w:ascii="Arial" w:cs="Arial" w:eastAsia="Arial" w:hAnsi="Arial"/>
          <w:sz w:val="28"/>
          <w:szCs w:val="28"/>
          <w:color w:val="auto"/>
          <w:vertAlign w:val="superscript"/>
        </w:rPr>
        <w:t>™</w:t>
      </w:r>
      <w:r>
        <w:rPr>
          <w:rFonts w:ascii="Arial" w:cs="Arial" w:eastAsia="Arial" w:hAnsi="Arial"/>
          <w:sz w:val="20"/>
          <w:szCs w:val="20"/>
          <w:color w:val="auto"/>
        </w:rPr>
        <w:t xml:space="preserve"> in other countries. The Company records net product sales of REGEN-COV in the United States and Roche records net product sales of Ronapreve outside the United States.</w:t>
      </w:r>
    </w:p>
    <w:p>
      <w:pPr>
        <w:spacing w:after="0" w:line="88" w:lineRule="exact"/>
        <w:rPr>
          <w:rFonts w:ascii="Arial" w:cs="Arial" w:eastAsia="Arial" w:hAnsi="Arial"/>
          <w:sz w:val="16"/>
          <w:szCs w:val="16"/>
          <w:color w:val="auto"/>
        </w:rPr>
      </w:pPr>
    </w:p>
    <w:p>
      <w:pPr>
        <w:ind w:left="414" w:right="280" w:hanging="414"/>
        <w:spacing w:after="0" w:line="229" w:lineRule="auto"/>
        <w:tabs>
          <w:tab w:leader="none" w:pos="414" w:val="left"/>
        </w:tabs>
        <w:numPr>
          <w:ilvl w:val="0"/>
          <w:numId w:val="13"/>
        </w:numPr>
        <w:rPr>
          <w:rFonts w:ascii="Arial" w:cs="Arial" w:eastAsia="Arial" w:hAnsi="Arial"/>
          <w:sz w:val="16"/>
          <w:szCs w:val="16"/>
          <w:color w:val="auto"/>
        </w:rPr>
      </w:pPr>
      <w:r>
        <w:rPr>
          <w:rFonts w:ascii="Arial" w:cs="Arial" w:eastAsia="Arial" w:hAnsi="Arial"/>
          <w:sz w:val="20"/>
          <w:szCs w:val="20"/>
          <w:color w:val="auto"/>
        </w:rPr>
        <w:t>The Company's 2023 financial guidance does not assume the completion of any business development transactions not completed as of the date of this press release.</w:t>
      </w:r>
    </w:p>
    <w:p>
      <w:pPr>
        <w:spacing w:after="0" w:line="101" w:lineRule="exact"/>
        <w:rPr>
          <w:rFonts w:ascii="Arial" w:cs="Arial" w:eastAsia="Arial" w:hAnsi="Arial"/>
          <w:sz w:val="16"/>
          <w:szCs w:val="16"/>
          <w:color w:val="auto"/>
        </w:rPr>
      </w:pPr>
    </w:p>
    <w:p>
      <w:pPr>
        <w:ind w:left="414" w:right="220" w:hanging="414"/>
        <w:spacing w:after="0" w:line="229" w:lineRule="auto"/>
        <w:tabs>
          <w:tab w:leader="none" w:pos="414" w:val="left"/>
        </w:tabs>
        <w:numPr>
          <w:ilvl w:val="0"/>
          <w:numId w:val="13"/>
        </w:numPr>
        <w:rPr>
          <w:rFonts w:ascii="Arial" w:cs="Arial" w:eastAsia="Arial" w:hAnsi="Arial"/>
          <w:sz w:val="16"/>
          <w:szCs w:val="16"/>
          <w:color w:val="auto"/>
        </w:rPr>
      </w:pPr>
      <w:r>
        <w:rPr>
          <w:rFonts w:ascii="Arial" w:cs="Arial" w:eastAsia="Arial" w:hAnsi="Arial"/>
          <w:sz w:val="20"/>
          <w:szCs w:val="20"/>
          <w:color w:val="auto"/>
        </w:rPr>
        <w:t>Gross margin on net product sales represents gross profit expressed as a percentage of total net product sales recorded by the Company. Gross profit is calculated as net product sales less cost of goods sold.</w:t>
      </w:r>
    </w:p>
    <w:p>
      <w:pPr>
        <w:spacing w:after="0" w:line="101" w:lineRule="exact"/>
        <w:rPr>
          <w:rFonts w:ascii="Arial" w:cs="Arial" w:eastAsia="Arial" w:hAnsi="Arial"/>
          <w:sz w:val="16"/>
          <w:szCs w:val="16"/>
          <w:color w:val="auto"/>
        </w:rPr>
      </w:pPr>
    </w:p>
    <w:p>
      <w:pPr>
        <w:ind w:left="414" w:right="100" w:hanging="414"/>
        <w:spacing w:after="0" w:line="229" w:lineRule="auto"/>
        <w:tabs>
          <w:tab w:leader="none" w:pos="414" w:val="left"/>
        </w:tabs>
        <w:numPr>
          <w:ilvl w:val="0"/>
          <w:numId w:val="13"/>
        </w:numPr>
        <w:rPr>
          <w:rFonts w:ascii="Arial" w:cs="Arial" w:eastAsia="Arial" w:hAnsi="Arial"/>
          <w:sz w:val="16"/>
          <w:szCs w:val="16"/>
          <w:color w:val="auto"/>
        </w:rPr>
      </w:pPr>
      <w:r>
        <w:rPr>
          <w:rFonts w:ascii="Arial" w:cs="Arial" w:eastAsia="Arial" w:hAnsi="Arial"/>
          <w:sz w:val="20"/>
          <w:szCs w:val="20"/>
          <w:color w:val="auto"/>
        </w:rPr>
        <w:t>Corresponding reimbursements from collaborators and others for manufacturing of commercial supplies is recorded within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6985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74"/>
          </w:cols>
          <w:pgMar w:left="346" w:top="1094" w:right="3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Regeneron will host a conference call and simultaneous webcast to discuss its second quarter 2023 financial and operating results on Thursday, August 3, 2023,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Regeneron is a leading biotechnology company that invents, develops, and commercializes life-transforming medicines for people with serious diseases. Founded and led for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hematologic conditions, infectious diseases, and rare diseases.</w:t>
      </w:r>
    </w:p>
    <w:p>
      <w:pPr>
        <w:spacing w:after="0" w:line="120" w:lineRule="exact"/>
        <w:rPr>
          <w:sz w:val="20"/>
          <w:szCs w:val="20"/>
          <w:color w:val="auto"/>
        </w:rPr>
      </w:pPr>
    </w:p>
    <w:p>
      <w:pPr>
        <w:ind w:right="400"/>
        <w:spacing w:after="0" w:line="251" w:lineRule="auto"/>
        <w:rPr>
          <w:sz w:val="20"/>
          <w:szCs w:val="20"/>
          <w:color w:val="auto"/>
        </w:rPr>
      </w:pPr>
      <w:r>
        <w:rPr>
          <w:rFonts w:ascii="Arial" w:cs="Arial" w:eastAsia="Arial" w:hAnsi="Arial"/>
          <w:sz w:val="21"/>
          <w:szCs w:val="21"/>
          <w:color w:val="auto"/>
        </w:rPr>
        <w:t xml:space="preserve">Regeneron is accelerating and improving the traditional drug development process through its proprietary </w:t>
      </w:r>
      <w:r>
        <w:rPr>
          <w:rFonts w:ascii="Arial" w:cs="Arial" w:eastAsia="Arial" w:hAnsi="Arial"/>
          <w:sz w:val="21"/>
          <w:szCs w:val="21"/>
          <w:i w:val="1"/>
          <w:iCs w:val="1"/>
          <w:color w:val="auto"/>
        </w:rPr>
        <w:t>VelociSuite</w:t>
      </w:r>
      <w:r>
        <w:rPr>
          <w:rFonts w:ascii="Arial" w:cs="Arial" w:eastAsia="Arial" w:hAnsi="Arial"/>
          <w:sz w:val="27"/>
          <w:szCs w:val="27"/>
          <w:color w:val="auto"/>
          <w:vertAlign w:val="superscript"/>
        </w:rPr>
        <w:t>®</w:t>
      </w:r>
      <w:r>
        <w:rPr>
          <w:rFonts w:ascii="Arial" w:cs="Arial" w:eastAsia="Arial" w:hAnsi="Arial"/>
          <w:sz w:val="21"/>
          <w:szCs w:val="21"/>
          <w:i w:val="1"/>
          <w:iCs w:val="1"/>
          <w:color w:val="auto"/>
        </w:rPr>
        <w:t xml:space="preserve"> </w:t>
      </w:r>
      <w:r>
        <w:rPr>
          <w:rFonts w:ascii="Arial" w:cs="Arial" w:eastAsia="Arial" w:hAnsi="Arial"/>
          <w:sz w:val="21"/>
          <w:szCs w:val="21"/>
          <w:color w:val="auto"/>
        </w:rPr>
        <w:t>technologies, such as</w:t>
      </w:r>
      <w:r>
        <w:rPr>
          <w:rFonts w:ascii="Arial" w:cs="Arial" w:eastAsia="Arial" w:hAnsi="Arial"/>
          <w:sz w:val="21"/>
          <w:szCs w:val="21"/>
          <w:i w:val="1"/>
          <w:iCs w:val="1"/>
          <w:color w:val="auto"/>
        </w:rPr>
        <w:t xml:space="preserve"> VelocImmune</w:t>
      </w:r>
      <w:r>
        <w:rPr>
          <w:rFonts w:ascii="Arial" w:cs="Arial" w:eastAsia="Arial" w:hAnsi="Arial"/>
          <w:sz w:val="27"/>
          <w:szCs w:val="27"/>
          <w:color w:val="auto"/>
          <w:vertAlign w:val="superscript"/>
        </w:rPr>
        <w:t>®</w:t>
      </w:r>
      <w:r>
        <w:rPr>
          <w:rFonts w:ascii="Arial" w:cs="Arial" w:eastAsia="Arial" w:hAnsi="Arial"/>
          <w:sz w:val="21"/>
          <w:szCs w:val="21"/>
          <w:color w:val="auto"/>
        </w:rPr>
        <w:t>, which uses unique genetically humanized mice to produce</w:t>
      </w:r>
      <w:r>
        <w:rPr>
          <w:rFonts w:ascii="Arial" w:cs="Arial" w:eastAsia="Arial" w:hAnsi="Arial"/>
          <w:sz w:val="21"/>
          <w:szCs w:val="21"/>
          <w:i w:val="1"/>
          <w:iCs w:val="1"/>
          <w:color w:val="auto"/>
        </w:rPr>
        <w:t xml:space="preserve"> </w:t>
      </w:r>
      <w:r>
        <w:rPr>
          <w:rFonts w:ascii="Arial" w:cs="Arial" w:eastAsia="Arial" w:hAnsi="Arial"/>
          <w:sz w:val="21"/>
          <w:szCs w:val="21"/>
          <w:color w:val="auto"/>
        </w:rPr>
        <w:t>optimized fully human antibodies and bispecific antibodies, and through ambitious research initiatives such as the Regeneron Genetics Center</w:t>
      </w:r>
      <w:r>
        <w:rPr>
          <w:rFonts w:ascii="Arial" w:cs="Arial" w:eastAsia="Arial" w:hAnsi="Arial"/>
          <w:sz w:val="27"/>
          <w:szCs w:val="27"/>
          <w:color w:val="auto"/>
          <w:vertAlign w:val="superscript"/>
        </w:rPr>
        <w:t>®</w:t>
      </w:r>
      <w:r>
        <w:rPr>
          <w:rFonts w:ascii="Arial" w:cs="Arial" w:eastAsia="Arial" w:hAnsi="Arial"/>
          <w:sz w:val="21"/>
          <w:szCs w:val="21"/>
          <w:color w:val="auto"/>
        </w:rPr>
        <w:t>, which is conducting one of the largest genetics sequencing efforts in the world.</w:t>
      </w:r>
    </w:p>
    <w:p>
      <w:pPr>
        <w:spacing w:after="0" w:line="33" w:lineRule="exact"/>
        <w:rPr>
          <w:sz w:val="20"/>
          <w:szCs w:val="20"/>
          <w:color w:val="auto"/>
        </w:rPr>
      </w:pPr>
    </w:p>
    <w:p>
      <w:pPr>
        <w:ind w:right="600"/>
        <w:spacing w:after="0" w:line="371" w:lineRule="auto"/>
        <w:rPr>
          <w:sz w:val="20"/>
          <w:szCs w:val="20"/>
          <w:color w:val="auto"/>
        </w:rPr>
      </w:pPr>
      <w:r>
        <w:rPr>
          <w:rFonts w:ascii="Arial" w:cs="Arial" w:eastAsia="Arial" w:hAnsi="Arial"/>
          <w:sz w:val="22"/>
          <w:szCs w:val="22"/>
          <w:color w:val="auto"/>
        </w:rPr>
        <w:t xml:space="preserve">For additional information about Regeneron, please visit www.regeneron.com or follow Regeneron on LinkedIn. </w:t>
      </w:r>
      <w:r>
        <w:rPr>
          <w:rFonts w:ascii="Arial" w:cs="Arial" w:eastAsia="Arial" w:hAnsi="Arial"/>
          <w:sz w:val="22"/>
          <w:szCs w:val="22"/>
          <w:b w:val="1"/>
          <w:bCs w:val="1"/>
          <w:color w:val="auto"/>
        </w:rPr>
        <w:t>Forward-Looking Statements and Use of Digital Media</w:t>
      </w:r>
    </w:p>
    <w:p>
      <w:pPr>
        <w:spacing w:after="0" w:line="1" w:lineRule="exact"/>
        <w:rPr>
          <w:sz w:val="20"/>
          <w:szCs w:val="20"/>
          <w:color w:val="auto"/>
        </w:rPr>
      </w:pPr>
    </w:p>
    <w:p>
      <w:pPr>
        <w:ind w:right="40"/>
        <w:spacing w:after="0" w:line="224"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(aflibercept) Injection, Dupixent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(dupilumab), Libtayo</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(cemiplimab), 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Kevzara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(sarilumab), Evkeeza</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(evinacumab), aflibercept 8 mg,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039" w:right="359" w:bottom="1440" w:gutter="0" w:footer="0" w:header="0"/>
        </w:sectPr>
      </w:pPr>
    </w:p>
    <w:bookmarkStart w:id="12" w:name="page13"/>
    <w:bookmarkEnd w:id="12"/>
    <w:p>
      <w:pPr>
        <w:spacing w:after="0"/>
        <w:rPr>
          <w:sz w:val="20"/>
          <w:szCs w:val="20"/>
          <w:color w:val="auto"/>
        </w:rPr>
      </w:pPr>
      <w:r>
        <w:rPr>
          <w:rFonts w:ascii="Arial" w:cs="Arial" w:eastAsia="Arial" w:hAnsi="Arial"/>
          <w:sz w:val="21"/>
          <w:szCs w:val="21"/>
          <w:color w:val="auto"/>
        </w:rPr>
        <w:t>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(such as aflibercept 8 mg, including the timing of any action by the U.S. Food and Drug Administration on the Biologics License Application resubmission for aflibercept 8 mg);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and REGEN-COV</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(casirivimab and imdevimab)),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2022 and its Form 10-Q for the quarterly period ended June 30, 2023.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7" w:right="339" w:bottom="1440" w:gutter="0" w:footer="0" w:header="0"/>
        </w:sectPr>
      </w:pPr>
    </w:p>
    <w:bookmarkStart w:id="13" w:name="page14"/>
    <w:bookmarkEnd w:id="13"/>
    <w:p>
      <w:pPr>
        <w:spacing w:after="0" w:line="242"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(https://investor.regeneron.com) and its LinkedIn page (https://www.linkedin.com/company/regeneron-pharmaceuticals).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This press release and/or the financial results attached to this press release include amounts that are considered "non-GAAP financial measures" under SEC rules. As required, Regeneron has provided reconciliations of such non-GAAP financial measures.</w:t>
      </w: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w:t>
      </w:r>
    </w:p>
    <w:p>
      <w:pPr>
        <w:spacing w:after="0" w:line="2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080"/>
          </w:cols>
          <w:pgMar w:left="320" w:top="887" w:right="499" w:bottom="1440" w:gutter="0" w:footer="0" w:header="0"/>
        </w:sectPr>
      </w:pP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Ryan Crowe</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914-847-8790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ryan.crowe@regeneron.com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Christina Chan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914-847-8827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christina.chan@regeneron.com</w:t>
      </w:r>
    </w:p>
    <w:p>
      <w:pPr>
        <w:spacing w:after="0" w:line="200" w:lineRule="exact"/>
        <w:rPr>
          <w:sz w:val="20"/>
          <w:szCs w:val="20"/>
          <w:color w:val="auto"/>
        </w:rPr>
      </w:pPr>
    </w:p>
    <w:p>
      <w:pPr>
        <w:sectPr>
          <w:pgSz w:w="11900" w:h="16838" w:orient="portrait"/>
          <w:cols w:equalWidth="0" w:num="2">
            <w:col w:w="6100" w:space="720"/>
            <w:col w:w="4260"/>
          </w:cols>
          <w:pgMar w:left="320" w:top="887"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887" w:right="4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TABLE 1</w:t>
      </w:r>
    </w:p>
    <w:p>
      <w:pPr>
        <w:spacing w:after="0" w:line="248"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i w:val="1"/>
          <w:iCs w:val="1"/>
          <w:color w:val="auto"/>
        </w:rPr>
        <w:t>(In millions)</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41"/>
        </w:trPr>
        <w:tc>
          <w:tcPr>
            <w:tcW w:w="460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20"/>
              <w:spacing w:after="0"/>
              <w:rPr>
                <w:sz w:val="20"/>
                <w:szCs w:val="20"/>
                <w:color w:val="auto"/>
              </w:rPr>
            </w:pPr>
            <w:r>
              <w:rPr>
                <w:rFonts w:ascii="Arial" w:cs="Arial" w:eastAsia="Arial" w:hAnsi="Arial"/>
                <w:sz w:val="18"/>
                <w:szCs w:val="18"/>
                <w:color w:val="auto"/>
              </w:rPr>
              <w:t>Cash and marketable securities</w:t>
            </w:r>
          </w:p>
        </w:tc>
        <w:tc>
          <w:tcPr>
            <w:tcW w:w="2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15,254.9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14,334.1</w:t>
            </w: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5,328.7</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2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3,763.0</w:t>
            </w:r>
          </w:p>
        </w:tc>
        <w:tc>
          <w:tcPr>
            <w:tcW w:w="0" w:type="dxa"/>
            <w:vAlign w:val="bottom"/>
          </w:tcPr>
          <w:p>
            <w:pPr>
              <w:spacing w:after="0"/>
              <w:rPr>
                <w:sz w:val="1"/>
                <w:szCs w:val="1"/>
                <w:color w:val="auto"/>
              </w:rPr>
            </w:pPr>
          </w:p>
        </w:tc>
      </w:tr>
      <w:tr>
        <w:trPr>
          <w:trHeight w:val="229"/>
        </w:trPr>
        <w:tc>
          <w:tcPr>
            <w:tcW w:w="460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915.5</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2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1,723.7</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2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22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2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3,440.1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36"/>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 liabilities</w:t>
            </w:r>
          </w:p>
        </w:tc>
        <w:tc>
          <w:tcPr>
            <w:tcW w:w="2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w:t>
            </w:r>
          </w:p>
        </w:tc>
        <w:tc>
          <w:tcPr>
            <w:tcW w:w="2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1,981.4</w:t>
            </w:r>
          </w:p>
        </w:tc>
        <w:tc>
          <w:tcPr>
            <w:tcW w:w="0" w:type="dxa"/>
            <w:vAlign w:val="bottom"/>
          </w:tcPr>
          <w:p>
            <w:pPr>
              <w:spacing w:after="0"/>
              <w:rPr>
                <w:sz w:val="1"/>
                <w:szCs w:val="1"/>
                <w:color w:val="auto"/>
              </w:rPr>
            </w:pPr>
          </w:p>
        </w:tc>
      </w:tr>
      <w:tr>
        <w:trPr>
          <w:trHeight w:val="230"/>
        </w:trPr>
        <w:tc>
          <w:tcPr>
            <w:tcW w:w="460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2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24,017.9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0" w:type="dxa"/>
            <w:vAlign w:val="bottom"/>
          </w:tcPr>
          <w:p>
            <w:pPr>
              <w:spacing w:after="0"/>
              <w:rPr>
                <w:sz w:val="1"/>
                <w:szCs w:val="1"/>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29,214.5</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320" w:top="895" w:right="97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0" w:type="dxa"/>
            <w:vAlign w:val="bottom"/>
            <w:gridSpan w:val="3"/>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8720" w:type="dxa"/>
            <w:vAlign w:val="bottom"/>
            <w:gridSpan w:val="9"/>
          </w:tcPr>
          <w:p>
            <w:pPr>
              <w:jc w:val="center"/>
              <w:ind w:left="227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ind w:left="120"/>
              <w:spacing w:after="0" w:line="202" w:lineRule="exact"/>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39"/>
        </w:trPr>
        <w:tc>
          <w:tcPr>
            <w:tcW w:w="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27"/>
        </w:trPr>
        <w:tc>
          <w:tcPr>
            <w:tcW w:w="80" w:type="dxa"/>
            <w:vAlign w:val="bottom"/>
          </w:tcPr>
          <w:p>
            <w:pPr>
              <w:spacing w:after="0"/>
              <w:rPr>
                <w:sz w:val="19"/>
                <w:szCs w:val="19"/>
                <w:color w:val="auto"/>
              </w:rPr>
            </w:pPr>
          </w:p>
        </w:tc>
        <w:tc>
          <w:tcPr>
            <w:tcW w:w="376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1,772.1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3,440.1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3,393.0</w:t>
            </w: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Collaboration revenue</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2,276.1</w:t>
            </w:r>
          </w:p>
        </w:tc>
      </w:tr>
      <w:tr>
        <w:trPr>
          <w:trHeight w:val="243"/>
        </w:trPr>
        <w:tc>
          <w:tcPr>
            <w:tcW w:w="80" w:type="dxa"/>
            <w:vAlign w:val="bottom"/>
          </w:tcPr>
          <w:p>
            <w:pPr>
              <w:spacing w:after="0"/>
              <w:rPr>
                <w:sz w:val="21"/>
                <w:szCs w:val="21"/>
                <w:color w:val="auto"/>
              </w:rPr>
            </w:pPr>
          </w:p>
        </w:tc>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2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23"/>
        </w:trPr>
        <w:tc>
          <w:tcPr>
            <w:tcW w:w="8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2,857.2</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5,822.3</w:t>
            </w:r>
          </w:p>
        </w:tc>
      </w:tr>
      <w:tr>
        <w:trPr>
          <w:trHeight w:val="223"/>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r>
      <w:tr>
        <w:trPr>
          <w:trHeight w:val="237"/>
        </w:trPr>
        <w:tc>
          <w:tcPr>
            <w:tcW w:w="8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w w:val="93"/>
              </w:rPr>
              <w:t>Acquired in-process research and development</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225.1</w:t>
            </w:r>
          </w:p>
        </w:tc>
      </w:tr>
      <w:tr>
        <w:trPr>
          <w:trHeight w:val="236"/>
        </w:trPr>
        <w:tc>
          <w:tcPr>
            <w:tcW w:w="80" w:type="dxa"/>
            <w:vAlign w:val="bottom"/>
          </w:tcPr>
          <w:p>
            <w:pPr>
              <w:spacing w:after="0"/>
              <w:rPr>
                <w:sz w:val="20"/>
                <w:szCs w:val="20"/>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w:t>
            </w:r>
          </w:p>
        </w:tc>
      </w:tr>
      <w:tr>
        <w:trPr>
          <w:trHeight w:val="229"/>
        </w:trPr>
        <w:tc>
          <w:tcPr>
            <w:tcW w:w="80" w:type="dxa"/>
            <w:vAlign w:val="bottom"/>
          </w:tcPr>
          <w:p>
            <w:pPr>
              <w:spacing w:after="0"/>
              <w:rPr>
                <w:sz w:val="19"/>
                <w:szCs w:val="19"/>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356.5</w:t>
            </w:r>
          </w:p>
        </w:tc>
      </w:tr>
      <w:tr>
        <w:trPr>
          <w:trHeight w:val="243"/>
        </w:trPr>
        <w:tc>
          <w:tcPr>
            <w:tcW w:w="80" w:type="dxa"/>
            <w:vAlign w:val="bottom"/>
          </w:tcPr>
          <w:p>
            <w:pPr>
              <w:spacing w:after="0"/>
              <w:rPr>
                <w:sz w:val="21"/>
                <w:szCs w:val="21"/>
                <w:color w:val="auto"/>
              </w:rPr>
            </w:pPr>
          </w:p>
        </w:tc>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Cost of collaboration and contract manufacturing</w:t>
            </w:r>
          </w:p>
        </w:tc>
        <w:tc>
          <w:tcPr>
            <w:tcW w:w="2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w:t>
            </w:r>
          </w:p>
        </w:tc>
      </w:tr>
      <w:tr>
        <w:trPr>
          <w:trHeight w:val="229"/>
        </w:trPr>
        <w:tc>
          <w:tcPr>
            <w:tcW w:w="80" w:type="dxa"/>
            <w:vAlign w:val="bottom"/>
          </w:tcPr>
          <w:p>
            <w:pPr>
              <w:spacing w:after="0"/>
              <w:rPr>
                <w:sz w:val="19"/>
                <w:szCs w:val="19"/>
                <w:color w:val="auto"/>
              </w:rPr>
            </w:pPr>
          </w:p>
        </w:tc>
        <w:tc>
          <w:tcPr>
            <w:tcW w:w="3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operating (income) expense, net</w:t>
            </w:r>
          </w:p>
        </w:tc>
        <w:tc>
          <w:tcPr>
            <w:tcW w:w="2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80" w:type="dxa"/>
            <w:vAlign w:val="bottom"/>
          </w:tcPr>
          <w:p>
            <w:pPr>
              <w:spacing w:after="0"/>
              <w:rPr>
                <w:sz w:val="19"/>
                <w:szCs w:val="19"/>
                <w:color w:val="auto"/>
              </w:rPr>
            </w:pPr>
          </w:p>
        </w:tc>
        <w:tc>
          <w:tcPr>
            <w:tcW w:w="3760" w:type="dxa"/>
            <w:vAlign w:val="bottom"/>
            <w:tcBorders>
              <w:bottom w:val="single" w:sz="8" w:color="CCEEFF"/>
            </w:tcBorders>
            <w:shd w:val="clear" w:color="auto" w:fill="CCEEFF"/>
          </w:tcPr>
          <w:p>
            <w:pPr>
              <w:spacing w:after="0"/>
              <w:rPr>
                <w:sz w:val="19"/>
                <w:szCs w:val="19"/>
                <w:color w:val="auto"/>
              </w:rPr>
            </w:pPr>
          </w:p>
        </w:tc>
        <w:tc>
          <w:tcPr>
            <w:tcW w:w="24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3,453.9</w:t>
            </w:r>
          </w:p>
        </w:tc>
      </w:tr>
      <w:tr>
        <w:trPr>
          <w:trHeight w:val="263"/>
        </w:trPr>
        <w:tc>
          <w:tcPr>
            <w:tcW w:w="8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w:t>
            </w:r>
          </w:p>
        </w:tc>
      </w:tr>
      <w:tr>
        <w:trPr>
          <w:trHeight w:val="270"/>
        </w:trPr>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80" w:type="dxa"/>
            <w:vAlign w:val="bottom"/>
          </w:tcPr>
          <w:p>
            <w:pPr>
              <w:spacing w:after="0"/>
              <w:rPr>
                <w:sz w:val="20"/>
                <w:szCs w:val="20"/>
                <w:color w:val="auto"/>
              </w:rPr>
            </w:pPr>
          </w:p>
        </w:tc>
        <w:tc>
          <w:tcPr>
            <w:tcW w:w="37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36"/>
        </w:trPr>
        <w:tc>
          <w:tcPr>
            <w:tcW w:w="8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r>
      <w:tr>
        <w:trPr>
          <w:trHeight w:val="264"/>
        </w:trPr>
        <w:tc>
          <w:tcPr>
            <w:tcW w:w="80" w:type="dxa"/>
            <w:vAlign w:val="bottom"/>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2,024.3</w:t>
            </w:r>
          </w:p>
        </w:tc>
      </w:tr>
      <w:tr>
        <w:trPr>
          <w:trHeight w:val="270"/>
        </w:trPr>
        <w:tc>
          <w:tcPr>
            <w:tcW w:w="80" w:type="dxa"/>
            <w:vAlign w:val="bottom"/>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0" w:type="dxa"/>
            <w:vAlign w:val="bottom"/>
          </w:tcPr>
          <w:p>
            <w:pPr>
              <w:spacing w:after="0"/>
              <w:rPr>
                <w:sz w:val="21"/>
                <w:szCs w:val="21"/>
                <w:color w:val="auto"/>
              </w:rPr>
            </w:pPr>
          </w:p>
        </w:tc>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r>
      <w:tr>
        <w:trPr>
          <w:trHeight w:val="250"/>
        </w:trPr>
        <w:tc>
          <w:tcPr>
            <w:tcW w:w="80" w:type="dxa"/>
            <w:vAlign w:val="bottom"/>
          </w:tcPr>
          <w:p>
            <w:pPr>
              <w:spacing w:after="0"/>
              <w:rPr>
                <w:sz w:val="21"/>
                <w:szCs w:val="21"/>
                <w:color w:val="auto"/>
              </w:rPr>
            </w:pPr>
          </w:p>
        </w:tc>
        <w:tc>
          <w:tcPr>
            <w:tcW w:w="376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30"/>
        </w:trPr>
        <w:tc>
          <w:tcPr>
            <w:tcW w:w="80" w:type="dxa"/>
            <w:vAlign w:val="bottom"/>
          </w:tcPr>
          <w:p>
            <w:pPr>
              <w:spacing w:after="0"/>
              <w:rPr>
                <w:sz w:val="19"/>
                <w:szCs w:val="19"/>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968.4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1,825.6</w:t>
            </w:r>
          </w:p>
        </w:tc>
      </w:tr>
      <w:tr>
        <w:trPr>
          <w:trHeight w:val="20"/>
        </w:trPr>
        <w:tc>
          <w:tcPr>
            <w:tcW w:w="8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7"/>
        </w:trPr>
        <w:tc>
          <w:tcPr>
            <w:tcW w:w="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36"/>
        </w:trPr>
        <w:tc>
          <w:tcPr>
            <w:tcW w:w="80" w:type="dxa"/>
            <w:vAlign w:val="bottom"/>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r>
      <w:tr>
        <w:trPr>
          <w:trHeight w:val="270"/>
        </w:trPr>
        <w:tc>
          <w:tcPr>
            <w:tcW w:w="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80" w:type="dxa"/>
            <w:vAlign w:val="bottom"/>
          </w:tcPr>
          <w:p>
            <w:pPr>
              <w:spacing w:after="0"/>
              <w:rPr>
                <w:sz w:val="19"/>
                <w:szCs w:val="19"/>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8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w w:val="99"/>
              </w:rPr>
              <w:t>Weighted average shares outstanding - diluted</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20" w:top="895"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1"/>
        </w:trPr>
        <w:tc>
          <w:tcPr>
            <w:tcW w:w="80" w:type="dxa"/>
            <w:vAlign w:val="bottom"/>
          </w:tcPr>
          <w:p>
            <w:pPr>
              <w:spacing w:after="0"/>
              <w:rPr>
                <w:sz w:val="24"/>
                <w:szCs w:val="24"/>
                <w:color w:val="auto"/>
              </w:rPr>
            </w:pPr>
          </w:p>
        </w:tc>
        <w:tc>
          <w:tcPr>
            <w:tcW w:w="7360" w:type="dxa"/>
            <w:vAlign w:val="bottom"/>
            <w:gridSpan w:val="4"/>
          </w:tcPr>
          <w:p>
            <w:pPr>
              <w:jc w:val="center"/>
              <w:ind w:left="3630"/>
              <w:spacing w:after="0"/>
              <w:rPr>
                <w:sz w:val="20"/>
                <w:szCs w:val="20"/>
                <w:color w:val="auto"/>
              </w:rPr>
            </w:pPr>
            <w:r>
              <w:rPr>
                <w:rFonts w:ascii="Arial" w:cs="Arial" w:eastAsia="Arial" w:hAnsi="Arial"/>
                <w:sz w:val="18"/>
                <w:szCs w:val="18"/>
                <w:b w:val="1"/>
                <w:bCs w:val="1"/>
                <w:color w:val="auto"/>
              </w:rPr>
              <w:t>REGENERON PHARMACEUTICALS,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9860" w:type="dxa"/>
            <w:vAlign w:val="bottom"/>
            <w:gridSpan w:val="10"/>
          </w:tcPr>
          <w:p>
            <w:pPr>
              <w:jc w:val="center"/>
              <w:ind w:left="1130"/>
              <w:spacing w:after="0"/>
              <w:rPr>
                <w:sz w:val="20"/>
                <w:szCs w:val="20"/>
                <w:color w:val="auto"/>
              </w:rPr>
            </w:pPr>
            <w:r>
              <w:rPr>
                <w:rFonts w:ascii="Arial" w:cs="Arial" w:eastAsia="Arial" w:hAnsi="Arial"/>
                <w:sz w:val="18"/>
                <w:szCs w:val="18"/>
                <w:b w:val="1"/>
                <w:bCs w:val="1"/>
                <w:color w:val="auto"/>
              </w:rPr>
              <w:t>RECONCILIATION OF GAAP TO NON-GAAP FINANCIAL INFORMATION (Unaudited)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80" w:type="dxa"/>
            <w:vAlign w:val="bottom"/>
          </w:tcPr>
          <w:p>
            <w:pPr>
              <w:spacing w:after="0"/>
              <w:rPr>
                <w:sz w:val="20"/>
                <w:szCs w:val="20"/>
                <w:color w:val="auto"/>
              </w:rPr>
            </w:pPr>
          </w:p>
        </w:tc>
        <w:tc>
          <w:tcPr>
            <w:tcW w:w="7360" w:type="dxa"/>
            <w:vAlign w:val="bottom"/>
            <w:gridSpan w:val="4"/>
          </w:tcPr>
          <w:p>
            <w:pPr>
              <w:jc w:val="center"/>
              <w:ind w:left="3630"/>
              <w:spacing w:after="0"/>
              <w:rPr>
                <w:sz w:val="20"/>
                <w:szCs w:val="20"/>
                <w:color w:val="auto"/>
              </w:rPr>
            </w:pPr>
            <w:r>
              <w:rPr>
                <w:rFonts w:ascii="Arial" w:cs="Arial" w:eastAsia="Arial" w:hAnsi="Arial"/>
                <w:sz w:val="18"/>
                <w:szCs w:val="18"/>
                <w:b w:val="1"/>
                <w:bCs w:val="1"/>
                <w:i w:val="1"/>
                <w:iCs w:val="1"/>
                <w:color w:val="auto"/>
                <w:w w:val="87"/>
              </w:rPr>
              <w:t>(In millions, except per share data)</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3"/>
        </w:trPr>
        <w:tc>
          <w:tcPr>
            <w:tcW w:w="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29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rPr>
              <w:t>Six Months Ended</w:t>
            </w:r>
          </w:p>
        </w:tc>
      </w:tr>
      <w:tr>
        <w:trPr>
          <w:trHeight w:val="239"/>
        </w:trPr>
        <w:tc>
          <w:tcPr>
            <w:tcW w:w="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27"/>
        </w:trPr>
        <w:tc>
          <w:tcPr>
            <w:tcW w:w="8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8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R&amp;D</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r>
      <w:tr>
        <w:trPr>
          <w:trHeight w:val="237"/>
        </w:trPr>
        <w:tc>
          <w:tcPr>
            <w:tcW w:w="80" w:type="dxa"/>
            <w:vAlign w:val="bottom"/>
          </w:tcPr>
          <w:p>
            <w:pPr>
              <w:spacing w:after="0"/>
              <w:rPr>
                <w:sz w:val="20"/>
                <w:szCs w:val="20"/>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36"/>
        </w:trPr>
        <w:tc>
          <w:tcPr>
            <w:tcW w:w="80" w:type="dxa"/>
            <w:vAlign w:val="bottom"/>
          </w:tcPr>
          <w:p>
            <w:pPr>
              <w:spacing w:after="0"/>
              <w:rPr>
                <w:sz w:val="20"/>
                <w:szCs w:val="20"/>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integration costs</w:t>
            </w:r>
          </w:p>
        </w:tc>
        <w:tc>
          <w:tcPr>
            <w:tcW w:w="12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R&amp;D</w:t>
            </w:r>
          </w:p>
        </w:tc>
        <w:tc>
          <w:tcPr>
            <w:tcW w:w="1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1,441.4</w:t>
            </w:r>
          </w:p>
        </w:tc>
      </w:tr>
      <w:tr>
        <w:trPr>
          <w:trHeight w:val="20"/>
        </w:trPr>
        <w:tc>
          <w:tcPr>
            <w:tcW w:w="8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7"/>
        </w:trPr>
        <w:tc>
          <w:tcPr>
            <w:tcW w:w="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GAAP SG&amp;A</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476.3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1,253.1</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926.3</w:t>
            </w:r>
          </w:p>
        </w:tc>
      </w:tr>
      <w:tr>
        <w:trPr>
          <w:trHeight w:val="236"/>
        </w:trPr>
        <w:tc>
          <w:tcPr>
            <w:tcW w:w="80" w:type="dxa"/>
            <w:vAlign w:val="bottom"/>
          </w:tcPr>
          <w:p>
            <w:pPr>
              <w:spacing w:after="0"/>
              <w:rPr>
                <w:sz w:val="20"/>
                <w:szCs w:val="20"/>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30"/>
        </w:trPr>
        <w:tc>
          <w:tcPr>
            <w:tcW w:w="8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Acquisition-related integration costs</w:t>
            </w:r>
          </w:p>
        </w:tc>
        <w:tc>
          <w:tcPr>
            <w:tcW w:w="1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6"/>
        </w:trPr>
        <w:tc>
          <w:tcPr>
            <w:tcW w:w="80" w:type="dxa"/>
            <w:vAlign w:val="bottom"/>
          </w:tcPr>
          <w:p>
            <w:pPr>
              <w:spacing w:after="0"/>
              <w:rPr>
                <w:sz w:val="22"/>
                <w:szCs w:val="22"/>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w:t>
            </w:r>
          </w:p>
        </w:tc>
      </w:tr>
      <w:tr>
        <w:trPr>
          <w:trHeight w:val="20"/>
        </w:trPr>
        <w:tc>
          <w:tcPr>
            <w:tcW w:w="8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COGS</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r>
      <w:tr>
        <w:trPr>
          <w:trHeight w:val="229"/>
        </w:trPr>
        <w:tc>
          <w:tcPr>
            <w:tcW w:w="8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80" w:type="dxa"/>
            <w:vAlign w:val="bottom"/>
          </w:tcPr>
          <w:p>
            <w:pPr>
              <w:spacing w:after="0"/>
              <w:rPr>
                <w:sz w:val="21"/>
                <w:szCs w:val="21"/>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integration costs</w:t>
            </w: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Intangible asset amortization expense</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Charges related to REGEN-COV</w:t>
            </w: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37"/>
        </w:trPr>
        <w:tc>
          <w:tcPr>
            <w:tcW w:w="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COGS</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0"/>
        </w:trPr>
        <w:tc>
          <w:tcPr>
            <w:tcW w:w="8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GAAP other income (expense), net</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(344.1)</w:t>
            </w:r>
          </w:p>
        </w:tc>
      </w:tr>
      <w:tr>
        <w:trPr>
          <w:trHeight w:val="229"/>
        </w:trPr>
        <w:tc>
          <w:tcPr>
            <w:tcW w:w="8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income/expense: Losses (gains) on investments, net</w:t>
            </w: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w:t>
            </w:r>
          </w:p>
        </w:tc>
      </w:tr>
      <w:tr>
        <w:trPr>
          <w:trHeight w:val="237"/>
        </w:trPr>
        <w:tc>
          <w:tcPr>
            <w:tcW w:w="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other income (expense), net</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0"/>
        </w:trPr>
        <w:tc>
          <w:tcPr>
            <w:tcW w:w="8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80" w:type="dxa"/>
            <w:vAlign w:val="bottom"/>
          </w:tcPr>
          <w:p>
            <w:pPr>
              <w:spacing w:after="0"/>
              <w:rPr>
                <w:sz w:val="11"/>
                <w:szCs w:val="11"/>
                <w:color w:val="auto"/>
              </w:rPr>
            </w:pPr>
          </w:p>
        </w:tc>
        <w:tc>
          <w:tcPr>
            <w:tcW w:w="49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30"/>
        </w:trPr>
        <w:tc>
          <w:tcPr>
            <w:tcW w:w="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968.4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852.1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1,825.6</w:t>
            </w:r>
          </w:p>
        </w:tc>
      </w:tr>
      <w:tr>
        <w:trPr>
          <w:trHeight w:val="230"/>
        </w:trPr>
        <w:tc>
          <w:tcPr>
            <w:tcW w:w="80" w:type="dxa"/>
            <w:vAlign w:val="bottom"/>
          </w:tcPr>
          <w:p>
            <w:pPr>
              <w:spacing w:after="0"/>
              <w:rPr>
                <w:sz w:val="19"/>
                <w:szCs w:val="19"/>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of GAAP to non-GAAP reconciling items above</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w:t>
            </w:r>
          </w:p>
        </w:tc>
      </w:tr>
      <w:tr>
        <w:trPr>
          <w:trHeight w:val="243"/>
        </w:trPr>
        <w:tc>
          <w:tcPr>
            <w:tcW w:w="80" w:type="dxa"/>
            <w:vAlign w:val="bottom"/>
          </w:tcPr>
          <w:p>
            <w:pPr>
              <w:spacing w:after="0"/>
              <w:rPr>
                <w:sz w:val="21"/>
                <w:szCs w:val="21"/>
                <w:color w:val="auto"/>
              </w:rPr>
            </w:pPr>
          </w:p>
        </w:tc>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1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r>
      <w:tr>
        <w:trPr>
          <w:trHeight w:val="248"/>
        </w:trPr>
        <w:tc>
          <w:tcPr>
            <w:tcW w:w="80" w:type="dxa"/>
            <w:vAlign w:val="bottom"/>
          </w:tcPr>
          <w:p>
            <w:pPr>
              <w:spacing w:after="0"/>
              <w:rPr>
                <w:sz w:val="21"/>
                <w:szCs w:val="21"/>
                <w:color w:val="auto"/>
              </w:rPr>
            </w:pPr>
          </w:p>
        </w:tc>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2,444.5</w:t>
            </w:r>
          </w:p>
        </w:tc>
      </w:tr>
      <w:tr>
        <w:trPr>
          <w:trHeight w:val="20"/>
        </w:trPr>
        <w:tc>
          <w:tcPr>
            <w:tcW w:w="80" w:type="dxa"/>
            <w:vAlign w:val="bottom"/>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30"/>
        </w:trPr>
        <w:tc>
          <w:tcPr>
            <w:tcW w:w="8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r>
      <w:tr>
        <w:trPr>
          <w:trHeight w:val="237"/>
        </w:trPr>
        <w:tc>
          <w:tcPr>
            <w:tcW w:w="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20.32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168"/>
        </w:trPr>
        <w:tc>
          <w:tcPr>
            <w:tcW w:w="80" w:type="dxa"/>
            <w:vAlign w:val="bottom"/>
          </w:tcPr>
          <w:p>
            <w:pPr>
              <w:spacing w:after="0"/>
              <w:rPr>
                <w:sz w:val="14"/>
                <w:szCs w:val="14"/>
                <w:color w:val="auto"/>
              </w:rPr>
            </w:pPr>
          </w:p>
        </w:tc>
        <w:tc>
          <w:tcPr>
            <w:tcW w:w="4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8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863"/>
        </w:trPr>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89"/>
              </w:rPr>
              <w:t>14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80"/>
          </w:cols>
          <w:pgMar w:left="320" w:top="895" w:right="3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gridSpan w:val="9"/>
          </w:tcPr>
          <w:p>
            <w:pPr>
              <w:ind w:left="1520"/>
              <w:spacing w:after="0"/>
              <w:rPr>
                <w:sz w:val="20"/>
                <w:szCs w:val="20"/>
                <w:color w:val="auto"/>
              </w:rPr>
            </w:pPr>
            <w:r>
              <w:rPr>
                <w:rFonts w:ascii="Arial" w:cs="Arial" w:eastAsia="Arial" w:hAnsi="Arial"/>
                <w:sz w:val="18"/>
                <w:szCs w:val="18"/>
                <w:b w:val="1"/>
                <w:bCs w:val="1"/>
                <w:color w:val="auto"/>
              </w:rPr>
              <w:t xml:space="preserve">RECONCILIATION OF GAAP TO NON-GAAP FINANCIAL INFORMATION (Unaudited) </w:t>
            </w:r>
            <w:r>
              <w:rPr>
                <w:rFonts w:ascii="Arial" w:cs="Arial" w:eastAsia="Arial" w:hAnsi="Arial"/>
                <w:sz w:val="18"/>
                <w:szCs w:val="18"/>
                <w:b w:val="1"/>
                <w:bCs w:val="1"/>
                <w:i w:val="1"/>
                <w:iCs w:val="1"/>
                <w:color w:val="auto"/>
              </w:rPr>
              <w:t>(continued)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Three Months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39"/>
        </w:trPr>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Revenue reconciliation: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3,158.1</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2,857.2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6,320.2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5,822.3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Global gross profit payment from Roche in connection with sales of Ronapreve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excluding Ronapreve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3,161.9</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Effective tax rate reconciliation: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GAAP ETR</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effect of GAAP to non-GAAP reconciling items</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Non-GAAP ETR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Six Months Ended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Free cash flow reconciliation: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2,390.0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2,098.8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54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400" w:top="1134" w:right="3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TABLE 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0" w:type="dxa"/>
            <w:vAlign w:val="bottom"/>
          </w:tcPr>
          <w:p>
            <w:pPr>
              <w:spacing w:after="0"/>
              <w:rPr>
                <w:sz w:val="24"/>
                <w:szCs w:val="24"/>
                <w:color w:val="auto"/>
              </w:rPr>
            </w:pPr>
          </w:p>
        </w:tc>
        <w:tc>
          <w:tcPr>
            <w:tcW w:w="7360" w:type="dxa"/>
            <w:vAlign w:val="bottom"/>
            <w:gridSpan w:val="3"/>
          </w:tcPr>
          <w:p>
            <w:pPr>
              <w:jc w:val="center"/>
              <w:ind w:left="3630"/>
              <w:spacing w:after="0"/>
              <w:rPr>
                <w:sz w:val="20"/>
                <w:szCs w:val="20"/>
                <w:color w:val="auto"/>
              </w:rPr>
            </w:pPr>
            <w:r>
              <w:rPr>
                <w:rFonts w:ascii="Arial" w:cs="Arial" w:eastAsia="Arial" w:hAnsi="Arial"/>
                <w:sz w:val="18"/>
                <w:szCs w:val="18"/>
                <w:b w:val="1"/>
                <w:bCs w:val="1"/>
                <w:color w:val="auto"/>
              </w:rPr>
              <w:t>REGENERON PHARMACEUTICALS, INC.</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7360" w:type="dxa"/>
            <w:vAlign w:val="bottom"/>
            <w:gridSpan w:val="3"/>
          </w:tcPr>
          <w:p>
            <w:pPr>
              <w:jc w:val="center"/>
              <w:ind w:left="3650"/>
              <w:spacing w:after="0"/>
              <w:rPr>
                <w:sz w:val="20"/>
                <w:szCs w:val="20"/>
                <w:color w:val="auto"/>
              </w:rPr>
            </w:pPr>
            <w:r>
              <w:rPr>
                <w:rFonts w:ascii="Arial" w:cs="Arial" w:eastAsia="Arial" w:hAnsi="Arial"/>
                <w:sz w:val="18"/>
                <w:szCs w:val="18"/>
                <w:b w:val="1"/>
                <w:bCs w:val="1"/>
                <w:color w:val="auto"/>
                <w:w w:val="98"/>
              </w:rPr>
              <w:t>COLLABORATION REVENUE (Unaudited)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220" w:type="dxa"/>
            <w:vAlign w:val="bottom"/>
          </w:tcPr>
          <w:p>
            <w:pPr>
              <w:jc w:val="center"/>
              <w:ind w:left="4790"/>
              <w:spacing w:after="0"/>
              <w:rPr>
                <w:sz w:val="20"/>
                <w:szCs w:val="20"/>
                <w:color w:val="auto"/>
              </w:rPr>
            </w:pPr>
            <w:r>
              <w:rPr>
                <w:rFonts w:ascii="Arial" w:cs="Arial" w:eastAsia="Arial" w:hAnsi="Arial"/>
                <w:sz w:val="18"/>
                <w:szCs w:val="18"/>
                <w:b w:val="1"/>
                <w:bCs w:val="1"/>
                <w:i w:val="1"/>
                <w:iCs w:val="1"/>
                <w:color w:val="auto"/>
                <w:w w:val="93"/>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290"/>
              <w:spacing w:after="0" w:line="202" w:lineRule="exact"/>
              <w:rPr>
                <w:sz w:val="20"/>
                <w:szCs w:val="20"/>
                <w:color w:val="auto"/>
              </w:rPr>
            </w:pPr>
            <w:r>
              <w:rPr>
                <w:rFonts w:ascii="Arial" w:cs="Arial" w:eastAsia="Arial" w:hAnsi="Arial"/>
                <w:sz w:val="18"/>
                <w:szCs w:val="18"/>
                <w:b w:val="1"/>
                <w:bCs w:val="1"/>
                <w:color w:val="auto"/>
                <w:w w:val="97"/>
              </w:rPr>
              <w:t>Three Months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6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2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Sanofi collaboration revenue: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Antibody: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2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Regeneron's share of profits in connection with commercialization of</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751.1</w:t>
            </w:r>
          </w:p>
        </w:tc>
        <w:tc>
          <w:tcPr>
            <w:tcW w:w="4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36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1,387.6</w:t>
            </w:r>
          </w:p>
        </w:tc>
        <w:tc>
          <w:tcPr>
            <w:tcW w:w="4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antibodies</w:t>
            </w:r>
          </w:p>
        </w:tc>
        <w:tc>
          <w:tcPr>
            <w:tcW w:w="24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6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42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Sales-based milestones earned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Reimbursement for manufacturing of commercial supplies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Immuno-oncology: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6220" w:type="dxa"/>
            <w:vAlign w:val="bottom"/>
          </w:tcPr>
          <w:p>
            <w:pPr>
              <w:ind w:left="340"/>
              <w:spacing w:after="0" w:line="176" w:lineRule="exact"/>
              <w:rPr>
                <w:sz w:val="20"/>
                <w:szCs w:val="20"/>
                <w:color w:val="auto"/>
              </w:rPr>
            </w:pPr>
            <w:r>
              <w:rPr>
                <w:rFonts w:ascii="Arial" w:cs="Arial" w:eastAsia="Arial" w:hAnsi="Arial"/>
                <w:sz w:val="18"/>
                <w:szCs w:val="18"/>
                <w:color w:val="auto"/>
                <w:w w:val="96"/>
              </w:rPr>
              <w:t>Regeneron's share of profits in connection with commercialization of Libtayo</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220" w:type="dxa"/>
            <w:vAlign w:val="bottom"/>
          </w:tcPr>
          <w:p>
            <w:pPr>
              <w:ind w:left="500"/>
              <w:spacing w:after="0"/>
              <w:rPr>
                <w:sz w:val="20"/>
                <w:szCs w:val="20"/>
                <w:color w:val="auto"/>
              </w:rPr>
            </w:pPr>
            <w:r>
              <w:rPr>
                <w:rFonts w:ascii="Arial" w:cs="Arial" w:eastAsia="Arial" w:hAnsi="Arial"/>
                <w:sz w:val="18"/>
                <w:szCs w:val="18"/>
                <w:color w:val="auto"/>
              </w:rPr>
              <w:t>outside the United States</w:t>
            </w: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Reimbursement for manufacturing of ex-U.S. commercial supplies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Total Sanofi collaboration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1,308.4</w:t>
            </w: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6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62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9"/>
              </w:rPr>
              <w:t>Regeneron's share of profits in connection with commercialization of EYLEA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outside the United States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Reimbursement for manufacturing of ex-U.S. commercial supplies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One-time payment in connection with change in Japan arrangement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Arial" w:cs="Arial" w:eastAsia="Arial" w:hAnsi="Arial"/>
                <w:sz w:val="18"/>
                <w:szCs w:val="18"/>
                <w:i w:val="1"/>
                <w:iCs w:val="1"/>
                <w:color w:val="auto"/>
              </w:rPr>
              <w:t>Other collaboration revenue: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Global gross profit payment from Roche in connection with sales of Ronapreve</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Arial" w:cs="Arial" w:eastAsia="Arial" w:hAnsi="Arial"/>
                <w:sz w:val="18"/>
                <w:szCs w:val="18"/>
                <w:color w:val="auto"/>
              </w:rPr>
              <w:t>Total collaboration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320" w:top="895" w:right="3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TABLE 5</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gridSpan w:val="9"/>
          </w:tcPr>
          <w:p>
            <w:pPr>
              <w:jc w:val="center"/>
              <w:ind w:right="90"/>
              <w:spacing w:after="0"/>
              <w:rPr>
                <w:sz w:val="20"/>
                <w:szCs w:val="20"/>
                <w:color w:val="auto"/>
              </w:rPr>
            </w:pPr>
            <w:r>
              <w:rPr>
                <w:rFonts w:ascii="Arial" w:cs="Arial" w:eastAsia="Arial" w:hAnsi="Arial"/>
                <w:sz w:val="18"/>
                <w:szCs w:val="18"/>
                <w:b w:val="1"/>
                <w:bCs w:val="1"/>
                <w:color w:val="auto"/>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920" w:type="dxa"/>
            <w:vAlign w:val="bottom"/>
            <w:gridSpan w:val="18"/>
          </w:tcPr>
          <w:p>
            <w:pPr>
              <w:jc w:val="center"/>
              <w:ind w:right="110"/>
              <w:spacing w:after="0"/>
              <w:rPr>
                <w:sz w:val="20"/>
                <w:szCs w:val="20"/>
                <w:color w:val="auto"/>
              </w:rPr>
            </w:pPr>
            <w:r>
              <w:rPr>
                <w:rFonts w:ascii="Arial" w:cs="Arial" w:eastAsia="Arial" w:hAnsi="Arial"/>
                <w:sz w:val="18"/>
                <w:szCs w:val="18"/>
                <w:b w:val="1"/>
                <w:bCs w:val="1"/>
                <w:color w:val="auto"/>
                <w:w w:val="97"/>
              </w:rPr>
              <w:t>NET PRODUCT SALES OF REGENERON-DISCOVERED PRODUCTS (Unaudited)</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3"/>
              </w:rPr>
              <w:t>(In millions)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ROW</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3"/>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20" w:type="dxa"/>
            <w:vAlign w:val="bottom"/>
          </w:tcPr>
          <w:p>
            <w:pPr>
              <w:spacing w:after="0"/>
              <w:rPr>
                <w:sz w:val="21"/>
                <w:szCs w:val="21"/>
                <w:color w:val="auto"/>
              </w:rPr>
            </w:pPr>
          </w:p>
        </w:tc>
        <w:tc>
          <w:tcPr>
            <w:tcW w:w="1740" w:type="dxa"/>
            <w:vAlign w:val="bottom"/>
          </w:tcPr>
          <w:p>
            <w:pPr>
              <w:ind w:left="20"/>
              <w:spacing w:after="0" w:line="243"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2,105.2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2,789.4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1,582.1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2,091.8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20" w:type="dxa"/>
            <w:vAlign w:val="bottom"/>
          </w:tcPr>
          <w:p>
            <w:pPr>
              <w:spacing w:after="0"/>
              <w:rPr>
                <w:sz w:val="19"/>
                <w:szCs w:val="19"/>
                <w:color w:val="auto"/>
              </w:rPr>
            </w:pPr>
          </w:p>
        </w:tc>
        <w:tc>
          <w:tcPr>
            <w:tcW w:w="174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20" w:type="dxa"/>
            <w:vAlign w:val="bottom"/>
          </w:tcPr>
          <w:p>
            <w:pPr>
              <w:spacing w:after="0"/>
              <w:rPr>
                <w:sz w:val="21"/>
                <w:szCs w:val="21"/>
                <w:color w:val="auto"/>
              </w:rPr>
            </w:pPr>
          </w:p>
        </w:tc>
        <w:tc>
          <w:tcPr>
            <w:tcW w:w="17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20" w:type="dxa"/>
            <w:vAlign w:val="bottom"/>
          </w:tcPr>
          <w:p>
            <w:pPr>
              <w:spacing w:after="0"/>
              <w:rPr>
                <w:sz w:val="19"/>
                <w:szCs w:val="19"/>
                <w:color w:val="auto"/>
              </w:rPr>
            </w:pPr>
          </w:p>
        </w:tc>
        <w:tc>
          <w:tcPr>
            <w:tcW w:w="1740" w:type="dxa"/>
            <w:vAlign w:val="bottom"/>
          </w:tcPr>
          <w:p>
            <w:pPr>
              <w:ind w:left="20"/>
              <w:spacing w:after="0" w:line="230"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45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r>
      <w:tr>
        <w:trPr>
          <w:trHeight w:val="232"/>
        </w:trPr>
        <w:tc>
          <w:tcPr>
            <w:tcW w:w="20" w:type="dxa"/>
            <w:vAlign w:val="bottom"/>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ROW</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ROW</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(Total Sales)</w:t>
            </w:r>
          </w:p>
        </w:tc>
      </w:tr>
      <w:tr>
        <w:trPr>
          <w:trHeight w:val="227"/>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EYLEA</w:t>
            </w:r>
            <w:r>
              <w:rPr>
                <w:rFonts w:ascii="Arial" w:cs="Arial" w:eastAsia="Arial" w:hAnsi="Arial"/>
                <w:sz w:val="23"/>
                <w:szCs w:val="23"/>
                <w:color w:val="auto"/>
                <w:vertAlign w:val="superscript"/>
              </w:rPr>
              <w:t>(a)</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20" w:type="dxa"/>
            <w:vAlign w:val="bottom"/>
          </w:tcPr>
          <w:p>
            <w:pPr>
              <w:spacing w:after="0"/>
              <w:rPr>
                <w:sz w:val="19"/>
                <w:szCs w:val="19"/>
                <w:color w:val="auto"/>
              </w:rPr>
            </w:pPr>
          </w:p>
        </w:tc>
        <w:tc>
          <w:tcPr>
            <w:tcW w:w="1740" w:type="dxa"/>
            <w:vAlign w:val="bottom"/>
          </w:tcPr>
          <w:p>
            <w:pPr>
              <w:ind w:left="20"/>
              <w:spacing w:after="0" w:line="230" w:lineRule="exact"/>
              <w:rPr>
                <w:sz w:val="20"/>
                <w:szCs w:val="20"/>
                <w:color w:val="auto"/>
              </w:rPr>
            </w:pPr>
            <w:r>
              <w:rPr>
                <w:rFonts w:ascii="Arial" w:cs="Arial" w:eastAsia="Arial" w:hAnsi="Arial"/>
                <w:sz w:val="18"/>
                <w:szCs w:val="18"/>
                <w:color w:val="auto"/>
              </w:rPr>
              <w:t>Dupixent</w:t>
            </w:r>
            <w:r>
              <w:rPr>
                <w:rFonts w:ascii="Arial" w:cs="Arial" w:eastAsia="Arial" w:hAnsi="Arial"/>
                <w:sz w:val="23"/>
                <w:szCs w:val="23"/>
                <w:color w:val="auto"/>
                <w:vertAlign w:val="superscript"/>
              </w:rPr>
              <w:t>(b)</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5,274.4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2,907.7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3,902.2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20" w:type="dxa"/>
            <w:vAlign w:val="bottom"/>
          </w:tcPr>
          <w:p>
            <w:pPr>
              <w:spacing w:after="0"/>
              <w:rPr>
                <w:sz w:val="21"/>
                <w:szCs w:val="21"/>
                <w:color w:val="auto"/>
              </w:rPr>
            </w:pPr>
          </w:p>
        </w:tc>
        <w:tc>
          <w:tcPr>
            <w:tcW w:w="17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Libtayo</w:t>
            </w:r>
            <w:r>
              <w:rPr>
                <w:rFonts w:ascii="Arial" w:cs="Arial" w:eastAsia="Arial" w:hAnsi="Arial"/>
                <w:sz w:val="23"/>
                <w:szCs w:val="23"/>
                <w:color w:val="auto"/>
                <w:vertAlign w:val="superscript"/>
              </w:rPr>
              <w:t>(c)</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20" w:type="dxa"/>
            <w:vAlign w:val="bottom"/>
          </w:tcPr>
          <w:p>
            <w:pPr>
              <w:spacing w:after="0"/>
              <w:rPr>
                <w:sz w:val="19"/>
                <w:szCs w:val="19"/>
                <w:color w:val="auto"/>
              </w:rPr>
            </w:pPr>
          </w:p>
        </w:tc>
        <w:tc>
          <w:tcPr>
            <w:tcW w:w="1740" w:type="dxa"/>
            <w:vAlign w:val="bottom"/>
          </w:tcPr>
          <w:p>
            <w:pPr>
              <w:ind w:left="20"/>
              <w:spacing w:after="0" w:line="230" w:lineRule="exact"/>
              <w:rPr>
                <w:sz w:val="20"/>
                <w:szCs w:val="20"/>
                <w:color w:val="auto"/>
              </w:rPr>
            </w:pPr>
            <w:r>
              <w:rPr>
                <w:rFonts w:ascii="Arial" w:cs="Arial" w:eastAsia="Arial" w:hAnsi="Arial"/>
                <w:sz w:val="18"/>
                <w:szCs w:val="18"/>
                <w:color w:val="auto"/>
              </w:rPr>
              <w:t>Praluent</w:t>
            </w:r>
            <w:r>
              <w:rPr>
                <w:rFonts w:ascii="Arial" w:cs="Arial" w:eastAsia="Arial" w:hAnsi="Arial"/>
                <w:sz w:val="23"/>
                <w:szCs w:val="23"/>
                <w:color w:val="auto"/>
                <w:vertAlign w:val="superscript"/>
              </w:rPr>
              <w:t>(d)</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REGEN-COV</w:t>
            </w:r>
            <w:r>
              <w:rPr>
                <w:rFonts w:ascii="Arial" w:cs="Arial" w:eastAsia="Arial" w:hAnsi="Arial"/>
                <w:sz w:val="23"/>
                <w:szCs w:val="23"/>
                <w:color w:val="auto"/>
                <w:vertAlign w:val="superscript"/>
              </w:rPr>
              <w:t>(e)</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20" w:type="dxa"/>
            <w:vAlign w:val="bottom"/>
          </w:tcPr>
          <w:p>
            <w:pPr>
              <w:spacing w:after="0"/>
              <w:rPr>
                <w:sz w:val="21"/>
                <w:szCs w:val="21"/>
                <w:color w:val="auto"/>
              </w:rPr>
            </w:pPr>
          </w:p>
        </w:tc>
        <w:tc>
          <w:tcPr>
            <w:tcW w:w="1740" w:type="dxa"/>
            <w:vAlign w:val="bottom"/>
          </w:tcPr>
          <w:p>
            <w:pPr>
              <w:ind w:left="20"/>
              <w:spacing w:after="0" w:line="243" w:lineRule="exact"/>
              <w:rPr>
                <w:sz w:val="20"/>
                <w:szCs w:val="20"/>
                <w:color w:val="auto"/>
              </w:rPr>
            </w:pPr>
            <w:r>
              <w:rPr>
                <w:rFonts w:ascii="Arial" w:cs="Arial" w:eastAsia="Arial" w:hAnsi="Arial"/>
                <w:sz w:val="18"/>
                <w:szCs w:val="18"/>
                <w:color w:val="auto"/>
              </w:rPr>
              <w:t>Kevzara</w:t>
            </w:r>
            <w:r>
              <w:rPr>
                <w:rFonts w:ascii="Arial" w:cs="Arial" w:eastAsia="Arial" w:hAnsi="Arial"/>
                <w:sz w:val="23"/>
                <w:szCs w:val="23"/>
                <w:color w:val="auto"/>
                <w:vertAlign w:val="superscript"/>
              </w:rPr>
              <w:t>(b)</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20" w:type="dxa"/>
            <w:vAlign w:val="bottom"/>
          </w:tcPr>
          <w:p>
            <w:pPr>
              <w:spacing w:after="0"/>
              <w:rPr>
                <w:sz w:val="19"/>
                <w:szCs w:val="19"/>
                <w:color w:val="auto"/>
              </w:rPr>
            </w:pPr>
          </w:p>
        </w:tc>
        <w:tc>
          <w:tcPr>
            <w:tcW w:w="1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products</w:t>
            </w:r>
            <w:r>
              <w:rPr>
                <w:rFonts w:ascii="Arial" w:cs="Arial" w:eastAsia="Arial" w:hAnsi="Arial"/>
                <w:sz w:val="23"/>
                <w:szCs w:val="23"/>
                <w:color w:val="auto"/>
                <w:vertAlign w:val="superscript"/>
              </w:rPr>
              <w:t>(f)</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bl>
    <w:p>
      <w:pPr>
        <w:spacing w:after="0" w:line="98" w:lineRule="exact"/>
        <w:rPr>
          <w:sz w:val="20"/>
          <w:szCs w:val="20"/>
          <w:color w:val="auto"/>
        </w:rPr>
      </w:pPr>
    </w:p>
    <w:p>
      <w:pPr>
        <w:ind w:left="260" w:right="180" w:hanging="1"/>
        <w:spacing w:after="0" w:line="213" w:lineRule="auto"/>
        <w:tabs>
          <w:tab w:leader="none" w:pos="43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EYLEA in the United States. Bayer records net product sales of EYLEA outside the United States. The Company records its share of profits/losses in connection with sales of EYLEA outside the United States.</w:t>
      </w:r>
    </w:p>
    <w:p>
      <w:pPr>
        <w:spacing w:after="0" w:line="10" w:lineRule="exact"/>
        <w:rPr>
          <w:rFonts w:ascii="Arial" w:cs="Arial" w:eastAsia="Arial" w:hAnsi="Arial"/>
          <w:sz w:val="21"/>
          <w:szCs w:val="21"/>
          <w:color w:val="auto"/>
          <w:vertAlign w:val="superscript"/>
        </w:rPr>
      </w:pPr>
    </w:p>
    <w:p>
      <w:pPr>
        <w:ind w:left="260" w:right="300" w:hanging="1"/>
        <w:spacing w:after="0" w:line="213" w:lineRule="auto"/>
        <w:tabs>
          <w:tab w:leader="none" w:pos="43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Sanofi records global net product sales of Dupixent and Kevzara. The Company records its share of profits/losses in connection with global sales of Dupixent and Kevzara.</w:t>
      </w:r>
    </w:p>
    <w:p>
      <w:pPr>
        <w:spacing w:after="0" w:line="10" w:lineRule="exact"/>
        <w:rPr>
          <w:rFonts w:ascii="Arial" w:cs="Arial" w:eastAsia="Arial" w:hAnsi="Arial"/>
          <w:sz w:val="21"/>
          <w:szCs w:val="21"/>
          <w:color w:val="auto"/>
          <w:vertAlign w:val="superscript"/>
        </w:rPr>
      </w:pPr>
    </w:p>
    <w:p>
      <w:pPr>
        <w:ind w:left="260" w:right="20" w:hanging="1"/>
        <w:spacing w:after="0" w:line="220" w:lineRule="auto"/>
        <w:tabs>
          <w:tab w:leader="none" w:pos="43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for the six months ended June 30, 2023 is $6 million of first quarter 2023 net product sales recorded by Sanofi in connection with sales in certain markets outside the United States (Sanofi recorded net product sales in such markets during a transition period until inventory on hand as of July 1, 2022 had been sold through to the end customers).</w:t>
      </w:r>
    </w:p>
    <w:p>
      <w:pPr>
        <w:spacing w:after="0" w:line="10" w:lineRule="exact"/>
        <w:rPr>
          <w:rFonts w:ascii="Arial" w:cs="Arial" w:eastAsia="Arial" w:hAnsi="Arial"/>
          <w:sz w:val="21"/>
          <w:szCs w:val="21"/>
          <w:color w:val="auto"/>
          <w:vertAlign w:val="superscript"/>
        </w:rPr>
      </w:pPr>
    </w:p>
    <w:p>
      <w:pPr>
        <w:ind w:left="260" w:right="180" w:hanging="1"/>
        <w:spacing w:after="0" w:line="213" w:lineRule="auto"/>
        <w:tabs>
          <w:tab w:leader="none" w:pos="437"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Praluent in the United States. Sanofi records net product sales of Praluent outside the United States and pays the Company a royalty on such sales.</w:t>
      </w:r>
    </w:p>
    <w:p>
      <w:pPr>
        <w:spacing w:after="0" w:line="10" w:lineRule="exact"/>
        <w:rPr>
          <w:rFonts w:ascii="Arial" w:cs="Arial" w:eastAsia="Arial" w:hAnsi="Arial"/>
          <w:sz w:val="21"/>
          <w:szCs w:val="21"/>
          <w:color w:val="auto"/>
          <w:vertAlign w:val="superscript"/>
        </w:rPr>
      </w:pPr>
    </w:p>
    <w:p>
      <w:pPr>
        <w:ind w:left="260" w:right="220" w:hanging="1"/>
        <w:spacing w:after="0" w:line="213" w:lineRule="auto"/>
        <w:tabs>
          <w:tab w:leader="none" w:pos="43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Regeneron records net product sales of REGEN-COV in the United States and Roche records net product sales of Ronapreve outside the United States. The parties share gross profits from global sales of REGEN-COV and Ronapreve based on a pre-specified formula.</w:t>
      </w:r>
    </w:p>
    <w:p>
      <w:pPr>
        <w:spacing w:after="0" w:line="10" w:lineRule="exact"/>
        <w:rPr>
          <w:rFonts w:ascii="Arial" w:cs="Arial" w:eastAsia="Arial" w:hAnsi="Arial"/>
          <w:sz w:val="21"/>
          <w:szCs w:val="21"/>
          <w:color w:val="auto"/>
          <w:vertAlign w:val="superscript"/>
        </w:rPr>
      </w:pPr>
    </w:p>
    <w:p>
      <w:pPr>
        <w:ind w:left="260" w:right="180" w:hanging="1"/>
        <w:spacing w:after="0" w:line="184" w:lineRule="auto"/>
        <w:tabs>
          <w:tab w:leader="none" w:pos="417"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Included in this line item are products which are sold by the Company and others. Refer to "Second Quarter 2023 Financial Results" section above for a complete listing of net product sales recorded by the Company. Not included in this line item are net product sales of ARCALYST</w:t>
      </w:r>
      <w:r>
        <w:rPr>
          <w:rFonts w:ascii="Arial" w:cs="Arial" w:eastAsia="Arial" w:hAnsi="Arial"/>
          <w:sz w:val="21"/>
          <w:szCs w:val="21"/>
          <w:color w:val="auto"/>
          <w:vertAlign w:val="superscript"/>
        </w:rPr>
        <w:t>®</w:t>
      </w:r>
      <w:r>
        <w:rPr>
          <w:rFonts w:ascii="Arial" w:cs="Arial" w:eastAsia="Arial" w:hAnsi="Arial"/>
          <w:sz w:val="16"/>
          <w:szCs w:val="16"/>
          <w:color w:val="auto"/>
        </w:rPr>
        <w:t>, which are recorded by Kiniksa; net product sales of ARCALYST were $43 million for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sectPr>
      <w:pgSz w:w="11900" w:h="16838" w:orient="portrait"/>
      <w:cols w:equalWidth="0" w:num="1">
        <w:col w:w="11220"/>
      </w:cols>
      <w:pgMar w:left="320" w:top="89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2023-08-03T05:51:15Z</dcterms:created>
  <dcterms:modified xsi:type="dcterms:W3CDTF">2023-08-03T05:51:15Z</dcterms:modified>
</cp:coreProperties>
</file>