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325712d2_8k.htm"/>
      <w:bookmarkStart w:id="1" w:name="kstm2325712d2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309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Pursuant to Section 13 or 15(d) of </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Date of Report (Date of earliest event reported): September 8, 2023 (</w:t>
      </w:r>
      <w:bookmarkStart w:id="3" w:name="xdx_902_edei--DocumentPeriodEndDate_c202"/>
      <w:bookmarkEnd w:id="3"/>
      <w:r>
        <w:rPr>
          <w:rFonts w:ascii="Times New Roman;Times;Serif" w:hAnsi="Times New Roman;Times;Serif"/>
          <w:b/>
          <w:i w:val="false"/>
          <w:caps w:val="false"/>
          <w:smallCaps w:val="false"/>
          <w:sz w:val="24"/>
        </w:rPr>
        <w:t>September 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3"/>
      <w:bookmarkEnd w:id="4"/>
      <w:r>
        <w:rPr>
          <w:rFonts w:ascii="Times New Roman;Times;Serif" w:hAnsi="Times New Roman;Times;Serif"/>
          <w:b/>
          <w:i w:val="false"/>
          <w:caps w:val="false"/>
          <w:smallCaps w:val="false"/>
          <w:sz w:val="36"/>
        </w:rPr>
        <w:t>REGENERON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New York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p>
      <w:pPr>
        <w:pStyle w:val="TextBody"/>
        <w:bidi w:val="0"/>
        <w:spacing w:before="0" w:after="0"/>
        <w:ind w:left="0" w:right="0" w:hanging="0"/>
        <w:jc w:val="center"/>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475"/>
        <w:gridCol w:w="60"/>
        <w:gridCol w:w="1565"/>
      </w:tblGrid>
      <w:tr>
        <w:trPr/>
        <w:tc>
          <w:tcPr>
            <w:tcW w:w="4475" w:type="dxa"/>
            <w:tcBorders/>
            <w:vAlign w:val="center"/>
          </w:tcPr>
          <w:p>
            <w:pPr>
              <w:pStyle w:val="TableContents"/>
              <w:bidi w:val="0"/>
              <w:spacing w:before="0" w:after="283"/>
              <w:jc w:val="center"/>
              <w:rPr>
                <w:b/>
                <w:i w:val="false"/>
                <w:caps w:val="false"/>
                <w:smallCaps w:val="false"/>
                <w:sz w:val="20"/>
              </w:rPr>
            </w:pPr>
            <w:bookmarkStart w:id="6" w:name="xdx_906_edei--EntityFileNumber_c20230901"/>
            <w:bookmarkEnd w:id="6"/>
            <w:r>
              <w:rPr>
                <w:b/>
                <w:i w:val="false"/>
                <w:caps w:val="false"/>
                <w:smallCaps w:val="false"/>
                <w:sz w:val="20"/>
              </w:rPr>
              <w:t>000-19034</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7" w:name="xdx_907_edei--EntityTaxIdentificationNum"/>
            <w:bookmarkEnd w:id="7"/>
            <w:r>
              <w:rPr>
                <w:b/>
                <w:i w:val="false"/>
                <w:caps w:val="false"/>
                <w:smallCaps w:val="false"/>
                <w:sz w:val="20"/>
              </w:rPr>
              <w:t>13-3444607</w:t>
            </w:r>
          </w:p>
        </w:tc>
      </w:tr>
      <w:tr>
        <w:trPr/>
        <w:tc>
          <w:tcPr>
            <w:tcW w:w="44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4475"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b/>
                <w:i w:val="false"/>
                <w:caps w:val="false"/>
                <w:smallCaps w:val="false"/>
                <w:sz w:val="20"/>
              </w:rPr>
            </w:pPr>
            <w:bookmarkStart w:id="8" w:name="xdx_905_edei--EntityAddressAddressLine1_"/>
            <w:bookmarkEnd w:id="8"/>
            <w:r>
              <w:rPr>
                <w:b/>
                <w:i w:val="false"/>
                <w:caps w:val="false"/>
                <w:smallCaps w:val="false"/>
                <w:sz w:val="20"/>
              </w:rPr>
              <w:t xml:space="preserve">777 Old Saw Mill River Road, </w:t>
            </w:r>
            <w:bookmarkStart w:id="9" w:name="xdx_90E_edei--EntityAddressCityOrTown_c2"/>
            <w:bookmarkEnd w:id="9"/>
            <w:r>
              <w:rPr>
                <w:b/>
                <w:i w:val="false"/>
                <w:caps w:val="false"/>
                <w:smallCaps w:val="false"/>
                <w:sz w:val="20"/>
              </w:rPr>
              <w:t xml:space="preserve">Tarrytown, </w:t>
            </w:r>
            <w:bookmarkStart w:id="10" w:name="xdx_901_edei--EntityAddressStateOrProvin"/>
            <w:bookmarkEnd w:id="10"/>
            <w:r>
              <w:rPr>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11" w:name="xdx_903_edei--EntityAddressPostalZipCode"/>
            <w:bookmarkEnd w:id="11"/>
            <w:r>
              <w:rPr>
                <w:b/>
                <w:i w:val="false"/>
                <w:caps w:val="false"/>
                <w:smallCaps w:val="false"/>
                <w:sz w:val="20"/>
              </w:rPr>
              <w:t>10591-6707</w:t>
            </w:r>
          </w:p>
        </w:tc>
      </w:tr>
      <w:tr>
        <w:trPr/>
        <w:tc>
          <w:tcPr>
            <w:tcW w:w="447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3_edei--CityAreaCode_c20230901__20"/>
      <w:bookmarkEnd w:id="12"/>
      <w:r>
        <w:rPr>
          <w:rFonts w:ascii="Times New Roman;Times;Serif" w:hAnsi="Times New Roman;Times;Serif"/>
          <w:b/>
          <w:i w:val="false"/>
          <w:caps w:val="false"/>
          <w:smallCaps w:val="false"/>
          <w:sz w:val="20"/>
        </w:rPr>
        <w:t xml:space="preserve">914) </w:t>
      </w:r>
      <w:bookmarkStart w:id="13" w:name="xdx_90C_edei--LocalPhoneNumber_c20230901"/>
      <w:bookmarkEnd w:id="13"/>
      <w:r>
        <w:rPr>
          <w:rFonts w:ascii="Times New Roman;Times;Serif" w:hAnsi="Times New Roman;Times;Serif"/>
          <w:b/>
          <w:i w:val="false"/>
          <w:caps w:val="false"/>
          <w:smallCaps w:val="false"/>
          <w:sz w:val="20"/>
        </w:rPr>
        <w:t>847-7000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1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5" w:name="xdx_90E_edei--SolicitingMaterial_c202309"/>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6" w:name="xdx_90B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7" w:name="xdx_90E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28" w:type="dxa"/>
          <w:left w:w="0" w:type="dxa"/>
          <w:bottom w:w="28" w:type="dxa"/>
          <w:right w:w="108" w:type="dxa"/>
        </w:tblCellMar>
      </w:tblPr>
      <w:tblGrid>
        <w:gridCol w:w="3620"/>
        <w:gridCol w:w="1535"/>
        <w:gridCol w:w="3590"/>
      </w:tblGrid>
      <w:tr>
        <w:trPr/>
        <w:tc>
          <w:tcPr>
            <w:tcW w:w="362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Trading Symbol(s)</w:t>
            </w:r>
          </w:p>
        </w:tc>
        <w:tc>
          <w:tcPr>
            <w:tcW w:w="359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Name of each exchange on which registered</w:t>
            </w:r>
          </w:p>
        </w:tc>
      </w:tr>
      <w:tr>
        <w:trPr/>
        <w:tc>
          <w:tcPr>
            <w:tcW w:w="3620"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i w:val="false"/>
                <w:caps w:val="false"/>
                <w:smallCaps w:val="false"/>
                <w:sz w:val="20"/>
              </w:rPr>
            </w:pPr>
            <w:bookmarkStart w:id="18" w:name="xdx_90B_edei--Security12bTitle_c20230901"/>
            <w:bookmarkEnd w:id="18"/>
            <w:r>
              <w:rPr>
                <w:i w:val="false"/>
                <w:caps w:val="false"/>
                <w:smallCaps w:val="false"/>
                <w:sz w:val="20"/>
              </w:rPr>
              <w:t>Common Stock – par value $0.001 per share</w:t>
            </w:r>
          </w:p>
        </w:tc>
        <w:tc>
          <w:tcPr>
            <w:tcW w:w="1535"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19" w:name="xdx_90C_edei--TradingSymbol_c20230901__2"/>
            <w:bookmarkEnd w:id="19"/>
            <w:r>
              <w:rPr>
                <w:i w:val="false"/>
                <w:caps w:val="false"/>
                <w:smallCaps w:val="false"/>
                <w:sz w:val="20"/>
              </w:rPr>
              <w:t>REGN</w:t>
            </w:r>
          </w:p>
        </w:tc>
        <w:tc>
          <w:tcPr>
            <w:tcW w:w="3590"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20" w:name="xdx_902_edei--SecurityExchangeName_c2023"/>
            <w:bookmarkEnd w:id="20"/>
            <w:r>
              <w:rPr>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2"/>
        <w:gridCol w:w="9343"/>
      </w:tblGrid>
      <w:tr>
        <w:trPr/>
        <w:tc>
          <w:tcPr>
            <w:tcW w:w="862" w:type="dxa"/>
            <w:tcBorders/>
            <w:vAlign w:val="center"/>
          </w:tcPr>
          <w:p>
            <w:pPr>
              <w:pStyle w:val="TableContents"/>
              <w:bidi w:val="0"/>
              <w:spacing w:before="0" w:after="283"/>
              <w:jc w:val="left"/>
              <w:rPr>
                <w:b/>
                <w:sz w:val="20"/>
              </w:rPr>
            </w:pPr>
            <w:r>
              <w:rPr>
                <w:b/>
                <w:sz w:val="20"/>
              </w:rPr>
              <w:t>Item 5.02.</w:t>
            </w:r>
          </w:p>
        </w:tc>
        <w:tc>
          <w:tcPr>
            <w:tcW w:w="9343" w:type="dxa"/>
            <w:tcBorders/>
            <w:vAlign w:val="center"/>
          </w:tcPr>
          <w:p>
            <w:pPr>
              <w:pStyle w:val="TableContents"/>
              <w:bidi w:val="0"/>
              <w:spacing w:before="0" w:after="283"/>
              <w:jc w:val="left"/>
              <w:rPr>
                <w:b/>
                <w:sz w:val="20"/>
              </w:rPr>
            </w:pPr>
            <w:r>
              <w:rPr>
                <w:b/>
                <w:sz w:val="20"/>
              </w:rPr>
              <w:t xml:space="preserve">Departure of Directors or Certain Officers; Election of Directors; Appointment of Certain Officers; Compensatory Arrangements of Certain Officers.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Departure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September 1, 2023, Marc Tessier-Lavigne, Ph.D. notified Regeneron Pharmaceuticals, Inc. (“</w:t>
      </w:r>
      <w:r>
        <w:rPr>
          <w:rFonts w:ascii="Times New Roman;Times;Serif" w:hAnsi="Times New Roman;Times;Serif"/>
          <w:b w:val="false"/>
          <w:i w:val="false"/>
          <w:caps w:val="false"/>
          <w:smallCaps w:val="false"/>
          <w:sz w:val="20"/>
          <w:u w:val="single"/>
          <w:shd w:fill="FFFFFF" w:val="clear"/>
        </w:rPr>
        <w:t>Regeneron</w:t>
      </w:r>
      <w:r>
        <w:rPr>
          <w:rFonts w:ascii="Times New Roman;Times;Serif" w:hAnsi="Times New Roman;Times;Serif"/>
          <w:b w:val="false"/>
          <w:i w:val="false"/>
          <w:caps w:val="false"/>
          <w:smallCaps w:val="false"/>
          <w:sz w:val="20"/>
          <w:shd w:fill="FFFFFF" w:val="clear"/>
        </w:rPr>
        <w:t>” or the “</w:t>
      </w:r>
      <w:r>
        <w:rPr>
          <w:rFonts w:ascii="Times New Roman;Times;Serif" w:hAnsi="Times New Roman;Times;Serif"/>
          <w:b w:val="false"/>
          <w:i w:val="false"/>
          <w:caps w:val="false"/>
          <w:smallCaps w:val="false"/>
          <w:sz w:val="20"/>
          <w:u w:val="single"/>
          <w:shd w:fill="FFFFFF" w:val="clear"/>
        </w:rPr>
        <w:t>Company</w:t>
      </w:r>
      <w:r>
        <w:rPr>
          <w:rFonts w:ascii="Times New Roman;Times;Serif" w:hAnsi="Times New Roman;Times;Serif"/>
          <w:b w:val="false"/>
          <w:i w:val="false"/>
          <w:caps w:val="false"/>
          <w:smallCaps w:val="false"/>
          <w:sz w:val="20"/>
          <w:shd w:fill="FFFFFF" w:val="clear"/>
        </w:rPr>
        <w:t>”) of his decision to retire, effective as of that date, as a director of the Company. Dr. Tessier-Lavigne informed Regeneron that his decision to retire was due to potential conflicts that may arise as he becomes more involved with other companies and was not caused in whole or in part by a disagreement with Regeneron on any matter relating to Regeneron’s operations, policies, or practices.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Departure of Chief Financial Officer </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Robert E. Landry notified the Company of his intention to retire from his position as Executive Vice President, Finance and Chief Financial Officer of the Company in February 2024. Mr. Landry has served as Regeneron’s principal financial officer since 2013. The Company intends to appoint Christopher Fenimore, currently the Company’s Senior Vice President, Controller, to succeed Mr. Landry as Chief Financial Officer of the Company effective upon Mr. Landry’s retirement.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Directors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Regeneron’s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elected Kathryn Guarini, Ph.D. as a Class III director and David P. Schenkein, M.D. as a Class II director to fill the two vacancies on the Board. Drs. Guarino and Schenkein have also been appointed to serve on the Audit Committee of the Board and the Technology Committee of the Board, respectively. In accordance with the requirements of the New York Business Corporation Law, each of Drs. Guarino and Schenkein will hold office until the 2024 Annual Shareholder Meeting of the Company.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Drs. Guarino and Schenkein will receive compensation from the Company for their service as a director in accordance with the Company’s compensation practices for non-employee directors, as described under the caption “Compensation of Directors” in the Company’s definitive proxy statement filed on April 21, 2023.</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either of the newly elected directors and any person pursuant to which any such director was selected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75"/>
        <w:gridCol w:w="4655"/>
      </w:tblGrid>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REGENERON PHARMACEUTICALS, INC.</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J. LaRosa</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J. LaRosa</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707</Words>
  <Characters>3923</Characters>
  <CharactersWithSpaces>4630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