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pursuant to Rule No. 424(b)(3)</w:t>
      </w:r>
    </w:p>
    <w:p>
      <w:pPr>
        <w:jc w:val="right"/>
        <w:ind w:right="1779"/>
        <w:spacing w:after="0" w:line="238" w:lineRule="auto"/>
        <w:rPr>
          <w:sz w:val="20"/>
          <w:szCs w:val="20"/>
          <w:color w:val="auto"/>
        </w:rPr>
      </w:pPr>
      <w:r>
        <w:rPr>
          <w:rFonts w:ascii="Courier New" w:cs="Courier New" w:eastAsia="Courier New" w:hAnsi="Courier New"/>
          <w:sz w:val="18"/>
          <w:szCs w:val="18"/>
          <w:color w:val="auto"/>
        </w:rPr>
        <w:t>File Number 333-74464</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PROSPECTUS SUPPLEMENT NO. 7</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Regeneron Pharmaceuticals, Inc.</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$200,000,000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5.50% Convertible Senior Subordinated Notes due 2008</w:t>
      </w:r>
    </w:p>
    <w:p>
      <w:pPr>
        <w:jc w:val="center"/>
        <w:ind w:right="1779"/>
        <w:spacing w:after="0"/>
        <w:rPr>
          <w:sz w:val="20"/>
          <w:szCs w:val="20"/>
          <w:color w:val="auto"/>
        </w:rPr>
      </w:pPr>
      <w:r>
        <w:rPr>
          <w:rFonts w:ascii="Courier New" w:cs="Courier New" w:eastAsia="Courier New" w:hAnsi="Courier New"/>
          <w:sz w:val="18"/>
          <w:szCs w:val="18"/>
          <w:color w:val="auto"/>
        </w:rPr>
        <w:t>and Shares of Common Stock Issuable upon Conversion of the Notes</w:t>
      </w:r>
    </w:p>
    <w:p>
      <w:pPr>
        <w:spacing w:after="0" w:line="206" w:lineRule="exact"/>
        <w:rPr>
          <w:sz w:val="24"/>
          <w:szCs w:val="24"/>
          <w:color w:val="auto"/>
        </w:rPr>
      </w:pPr>
    </w:p>
    <w:p>
      <w:pPr>
        <w:ind w:right="1999" w:firstLine="632"/>
        <w:spacing w:after="0" w:line="237" w:lineRule="auto"/>
        <w:rPr>
          <w:sz w:val="20"/>
          <w:szCs w:val="20"/>
          <w:color w:val="auto"/>
        </w:rPr>
      </w:pPr>
      <w:r>
        <w:rPr>
          <w:rFonts w:ascii="Courier New" w:cs="Courier New" w:eastAsia="Courier New" w:hAnsi="Courier New"/>
          <w:sz w:val="18"/>
          <w:szCs w:val="18"/>
          <w:color w:val="auto"/>
        </w:rPr>
        <w:t>This prospectus supplement supplements the prospectus dated January 24, 2002 of Regeneron Pharmaceuticals, Inc. relating to the sale by certain of our securityholders (including their pledges, donees, assignees, transferees, successors and others who later hold any of the securityholders' interests) of up to $200,000,000 principal amount at maturity of notes and the shares of common stock issuable upon conversion of the notes. You should read this prospectus supplement in conjunction with the prospectus, and this prospectus supplement is qualified by reference to the prospectus, except to the extent that the information in this prospectus supplement supersedes the information contained in the prospectus.</w:t>
      </w:r>
    </w:p>
    <w:p>
      <w:pPr>
        <w:spacing w:after="0" w:line="215" w:lineRule="exact"/>
        <w:rPr>
          <w:sz w:val="24"/>
          <w:szCs w:val="24"/>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The table of selling securityholders contained in the prospectus is hereby modified to add as follows:</w:t>
      </w:r>
    </w:p>
    <w:p>
      <w:pPr>
        <w:spacing w:after="0" w:line="203" w:lineRule="exact"/>
        <w:rPr>
          <w:sz w:val="24"/>
          <w:szCs w:val="24"/>
          <w:color w:val="auto"/>
        </w:rPr>
      </w:pPr>
    </w:p>
    <w:p>
      <w:pPr>
        <w:jc w:val="center"/>
        <w:ind w:right="8959"/>
        <w:spacing w:after="0"/>
        <w:rPr>
          <w:sz w:val="20"/>
          <w:szCs w:val="20"/>
          <w:color w:val="auto"/>
        </w:rPr>
      </w:pPr>
      <w:r>
        <w:rPr>
          <w:rFonts w:ascii="Courier New" w:cs="Courier New" w:eastAsia="Courier New" w:hAnsi="Courier New"/>
          <w:sz w:val="18"/>
          <w:szCs w:val="18"/>
          <w:color w:val="auto"/>
        </w:rPr>
        <w:t>Name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Aggregate</w:t>
      </w:r>
    </w:p>
    <w:p>
      <w:pPr>
        <w:jc w:val="center"/>
        <w:ind w:right="8959"/>
        <w:spacing w:after="0"/>
        <w:rPr>
          <w:sz w:val="20"/>
          <w:szCs w:val="20"/>
          <w:color w:val="auto"/>
        </w:rPr>
      </w:pPr>
      <w:r>
        <w:rPr>
          <w:rFonts w:ascii="Courier New" w:cs="Courier New" w:eastAsia="Courier New" w:hAnsi="Courier New"/>
          <w:sz w:val="18"/>
          <w:szCs w:val="18"/>
          <w:color w:val="auto"/>
        </w:rPr>
        <w:t>Principal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Percentage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 -----</w:t>
      </w:r>
    </w:p>
    <w:p>
      <w:pPr>
        <w:jc w:val="center"/>
        <w:ind w:right="8959"/>
        <w:spacing w:after="0"/>
        <w:rPr>
          <w:sz w:val="20"/>
          <w:szCs w:val="20"/>
          <w:color w:val="auto"/>
        </w:rPr>
      </w:pPr>
      <w:r>
        <w:rPr>
          <w:rFonts w:ascii="Courier New" w:cs="Courier New" w:eastAsia="Courier New" w:hAnsi="Courier New"/>
          <w:sz w:val="18"/>
          <w:szCs w:val="18"/>
          <w:color w:val="auto"/>
        </w:rPr>
        <w:t>Amount at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Percentage</w:t>
      </w:r>
    </w:p>
    <w:p>
      <w:pPr>
        <w:jc w:val="center"/>
        <w:ind w:right="8959"/>
        <w:spacing w:after="0"/>
        <w:rPr>
          <w:sz w:val="20"/>
          <w:szCs w:val="20"/>
          <w:color w:val="auto"/>
        </w:rPr>
      </w:pPr>
      <w:r>
        <w:rPr>
          <w:rFonts w:ascii="Courier New" w:cs="Courier New" w:eastAsia="Courier New" w:hAnsi="Courier New"/>
          <w:sz w:val="18"/>
          <w:szCs w:val="18"/>
          <w:color w:val="auto"/>
        </w:rPr>
        <w:t>of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Shares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Maturity of</w:t>
      </w:r>
    </w:p>
    <w:p>
      <w:pPr>
        <w:jc w:val="center"/>
        <w:ind w:right="8959"/>
        <w:spacing w:after="0"/>
        <w:rPr>
          <w:sz w:val="20"/>
          <w:szCs w:val="20"/>
          <w:color w:val="auto"/>
        </w:rPr>
      </w:pPr>
      <w:r>
        <w:rPr>
          <w:rFonts w:ascii="Courier New" w:cs="Courier New" w:eastAsia="Courier New" w:hAnsi="Courier New"/>
          <w:sz w:val="18"/>
          <w:szCs w:val="18"/>
          <w:color w:val="auto"/>
        </w:rPr>
        <w:t>Notes Notes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that may</w:t>
      </w:r>
    </w:p>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 that</w:t>
      </w:r>
    </w:p>
    <w:p>
      <w:pPr>
        <w:jc w:val="center"/>
        <w:ind w:right="8959"/>
        <w:spacing w:after="0" w:line="238" w:lineRule="auto"/>
        <w:rPr>
          <w:sz w:val="20"/>
          <w:szCs w:val="20"/>
          <w:color w:val="auto"/>
        </w:rPr>
      </w:pPr>
      <w:r>
        <w:rPr>
          <w:rFonts w:ascii="Courier New" w:cs="Courier New" w:eastAsia="Courier New" w:hAnsi="Courier New"/>
          <w:sz w:val="18"/>
          <w:szCs w:val="18"/>
          <w:color w:val="auto"/>
        </w:rPr>
        <w:t>may be Sold</w:t>
      </w:r>
    </w:p>
    <w:p>
      <w:pPr>
        <w:jc w:val="center"/>
        <w:ind w:right="8959"/>
        <w:spacing w:after="0"/>
        <w:rPr>
          <w:sz w:val="20"/>
          <w:szCs w:val="20"/>
          <w:color w:val="auto"/>
        </w:rPr>
      </w:pPr>
      <w:r>
        <w:rPr>
          <w:rFonts w:ascii="Courier New" w:cs="Courier New" w:eastAsia="Courier New" w:hAnsi="Courier New"/>
          <w:sz w:val="18"/>
          <w:szCs w:val="18"/>
          <w:color w:val="auto"/>
        </w:rPr>
        <w:t>Outstanding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be Sold (1)</w:t>
      </w:r>
    </w:p>
    <w:p>
      <w:pPr>
        <w:jc w:val="center"/>
        <w:ind w:right="8959"/>
        <w:spacing w:after="0"/>
        <w:rPr>
          <w:sz w:val="20"/>
          <w:szCs w:val="20"/>
          <w:color w:val="auto"/>
        </w:rPr>
      </w:pPr>
      <w:r>
        <w:rPr>
          <w:rFonts w:ascii="Courier New" w:cs="Courier New" w:eastAsia="Courier New" w:hAnsi="Courier New"/>
          <w:sz w:val="18"/>
          <w:szCs w:val="18"/>
          <w:color w:val="auto"/>
        </w:rPr>
        <w:t>Outstanding</w:t>
      </w:r>
    </w:p>
    <w:p>
      <w:pPr>
        <w:ind w:left="480" w:hanging="423"/>
        <w:spacing w:after="0" w:line="237" w:lineRule="auto"/>
        <w:tabs>
          <w:tab w:leader="none" w:pos="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jc w:val="right"/>
        <w:ind w:left="320" w:right="9219" w:hanging="53"/>
        <w:spacing w:after="0" w:line="268" w:lineRule="auto"/>
        <w:tabs>
          <w:tab w:leader="none" w:pos="79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JP Morgan</w:t>
      </w:r>
    </w:p>
    <w:p>
      <w:pPr>
        <w:jc w:val="center"/>
        <w:ind w:right="8959"/>
        <w:spacing w:after="0" w:line="233" w:lineRule="auto"/>
        <w:rPr>
          <w:sz w:val="20"/>
          <w:szCs w:val="20"/>
          <w:color w:val="auto"/>
        </w:rPr>
      </w:pPr>
      <w:r>
        <w:rPr>
          <w:rFonts w:ascii="Courier New" w:cs="Courier New" w:eastAsia="Courier New" w:hAnsi="Courier New"/>
          <w:sz w:val="18"/>
          <w:szCs w:val="18"/>
          <w:color w:val="auto"/>
        </w:rPr>
        <w:t>Securities,</w:t>
      </w:r>
    </w:p>
    <w:p>
      <w:pPr>
        <w:jc w:val="center"/>
        <w:ind w:right="8959"/>
        <w:spacing w:after="0"/>
        <w:rPr>
          <w:sz w:val="20"/>
          <w:szCs w:val="20"/>
          <w:color w:val="auto"/>
        </w:rPr>
      </w:pPr>
      <w:r>
        <w:rPr>
          <w:rFonts w:ascii="Courier New" w:cs="Courier New" w:eastAsia="Courier New" w:hAnsi="Courier New"/>
          <w:sz w:val="18"/>
          <w:szCs w:val="18"/>
          <w:color w:val="auto"/>
        </w:rPr>
        <w:t>Inc.</w:t>
      </w:r>
    </w:p>
    <w:p>
      <w:pPr>
        <w:jc w:val="center"/>
        <w:ind w:right="8959"/>
        <w:spacing w:after="0" w:line="237" w:lineRule="auto"/>
        <w:rPr>
          <w:sz w:val="20"/>
          <w:szCs w:val="20"/>
          <w:color w:val="auto"/>
        </w:rPr>
      </w:pPr>
      <w:r>
        <w:rPr>
          <w:rFonts w:ascii="Courier New" w:cs="Courier New" w:eastAsia="Courier New" w:hAnsi="Courier New"/>
          <w:sz w:val="18"/>
          <w:szCs w:val="18"/>
          <w:color w:val="auto"/>
        </w:rPr>
        <w:t>1,505,000 *</w:t>
      </w:r>
    </w:p>
    <w:p>
      <w:pPr>
        <w:jc w:val="center"/>
        <w:ind w:right="8959"/>
        <w:spacing w:after="0"/>
        <w:rPr>
          <w:sz w:val="20"/>
          <w:szCs w:val="20"/>
          <w:color w:val="auto"/>
        </w:rPr>
      </w:pPr>
      <w:r>
        <w:rPr>
          <w:rFonts w:ascii="Courier New" w:cs="Courier New" w:eastAsia="Courier New" w:hAnsi="Courier New"/>
          <w:sz w:val="18"/>
          <w:szCs w:val="18"/>
          <w:color w:val="auto"/>
        </w:rPr>
        <w:t>49,750 * *</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Less than</w:t>
      </w:r>
    </w:p>
    <w:p>
      <w:pPr>
        <w:jc w:val="center"/>
        <w:ind w:right="8959"/>
        <w:spacing w:after="0"/>
        <w:rPr>
          <w:sz w:val="20"/>
          <w:szCs w:val="20"/>
          <w:color w:val="auto"/>
        </w:rPr>
      </w:pPr>
      <w:r>
        <w:rPr>
          <w:rFonts w:ascii="Courier New" w:cs="Courier New" w:eastAsia="Courier New" w:hAnsi="Courier New"/>
          <w:sz w:val="18"/>
          <w:szCs w:val="18"/>
          <w:color w:val="auto"/>
        </w:rPr>
        <w:t>one percent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 (1)</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Assumes</w:t>
      </w:r>
    </w:p>
    <w:p>
      <w:pPr>
        <w:jc w:val="center"/>
        <w:ind w:right="8959"/>
        <w:spacing w:after="0"/>
        <w:rPr>
          <w:sz w:val="20"/>
          <w:szCs w:val="20"/>
          <w:color w:val="auto"/>
        </w:rPr>
      </w:pPr>
      <w:r>
        <w:rPr>
          <w:rFonts w:ascii="Courier New" w:cs="Courier New" w:eastAsia="Courier New" w:hAnsi="Courier New"/>
          <w:sz w:val="18"/>
          <w:szCs w:val="18"/>
          <w:color w:val="auto"/>
        </w:rPr>
        <w:t>conversion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all of</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holder's</w:t>
      </w:r>
    </w:p>
    <w:p>
      <w:pPr>
        <w:jc w:val="center"/>
        <w:ind w:right="8959"/>
        <w:spacing w:after="0"/>
        <w:rPr>
          <w:sz w:val="20"/>
          <w:szCs w:val="20"/>
          <w:color w:val="auto"/>
        </w:rPr>
      </w:pPr>
      <w:r>
        <w:rPr>
          <w:rFonts w:ascii="Courier New" w:cs="Courier New" w:eastAsia="Courier New" w:hAnsi="Courier New"/>
          <w:sz w:val="18"/>
          <w:szCs w:val="18"/>
          <w:color w:val="auto"/>
        </w:rPr>
        <w:t>notes at a</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conversion</w:t>
      </w:r>
    </w:p>
    <w:p>
      <w:pPr>
        <w:jc w:val="center"/>
        <w:ind w:right="8959"/>
        <w:spacing w:after="0"/>
        <w:rPr>
          <w:sz w:val="20"/>
          <w:szCs w:val="20"/>
          <w:color w:val="auto"/>
        </w:rPr>
      </w:pPr>
      <w:r>
        <w:rPr>
          <w:rFonts w:ascii="Courier New" w:cs="Courier New" w:eastAsia="Courier New" w:hAnsi="Courier New"/>
          <w:sz w:val="18"/>
          <w:szCs w:val="18"/>
          <w:color w:val="auto"/>
        </w:rPr>
        <w:t>rate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33.0565</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 per</w:t>
      </w:r>
    </w:p>
    <w:p>
      <w:pPr>
        <w:jc w:val="center"/>
        <w:ind w:right="8959"/>
        <w:spacing w:after="0"/>
        <w:rPr>
          <w:sz w:val="20"/>
          <w:szCs w:val="20"/>
          <w:color w:val="auto"/>
        </w:rPr>
      </w:pPr>
      <w:r>
        <w:rPr>
          <w:rFonts w:ascii="Courier New" w:cs="Courier New" w:eastAsia="Courier New" w:hAnsi="Courier New"/>
          <w:sz w:val="18"/>
          <w:szCs w:val="18"/>
          <w:color w:val="auto"/>
        </w:rPr>
        <w:t>$1,000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principal</w:t>
      </w:r>
    </w:p>
    <w:p>
      <w:pPr>
        <w:jc w:val="center"/>
        <w:ind w:right="8959"/>
        <w:spacing w:after="0"/>
        <w:rPr>
          <w:sz w:val="20"/>
          <w:szCs w:val="20"/>
          <w:color w:val="auto"/>
        </w:rPr>
      </w:pPr>
      <w:r>
        <w:rPr>
          <w:rFonts w:ascii="Courier New" w:cs="Courier New" w:eastAsia="Courier New" w:hAnsi="Courier New"/>
          <w:sz w:val="18"/>
          <w:szCs w:val="18"/>
          <w:color w:val="auto"/>
        </w:rPr>
        <w:t>amount at</w:t>
      </w:r>
    </w:p>
    <w:p>
      <w:pPr>
        <w:jc w:val="center"/>
        <w:ind w:right="8959"/>
        <w:spacing w:after="0" w:line="237" w:lineRule="auto"/>
        <w:rPr>
          <w:sz w:val="20"/>
          <w:szCs w:val="20"/>
          <w:color w:val="auto"/>
        </w:rPr>
      </w:pPr>
      <w:r>
        <w:rPr>
          <w:rFonts w:ascii="Courier New" w:cs="Courier New" w:eastAsia="Courier New" w:hAnsi="Courier New"/>
          <w:sz w:val="18"/>
          <w:szCs w:val="18"/>
          <w:color w:val="auto"/>
        </w:rPr>
        <w:t>maturity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notes.</w:t>
      </w:r>
    </w:p>
    <w:p>
      <w:pPr>
        <w:jc w:val="center"/>
        <w:ind w:right="8959"/>
        <w:spacing w:after="0"/>
        <w:rPr>
          <w:sz w:val="20"/>
          <w:szCs w:val="20"/>
          <w:color w:val="auto"/>
        </w:rPr>
      </w:pPr>
      <w:r>
        <w:rPr>
          <w:rFonts w:ascii="Courier New" w:cs="Courier New" w:eastAsia="Courier New" w:hAnsi="Courier New"/>
          <w:sz w:val="18"/>
          <w:szCs w:val="18"/>
          <w:color w:val="auto"/>
        </w:rPr>
        <w:t>This</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conversion</w:t>
      </w:r>
    </w:p>
    <w:p>
      <w:pPr>
        <w:sectPr>
          <w:pgSz w:w="11900" w:h="16854" w:orient="portrait"/>
          <w:cols w:equalWidth="0" w:num="1">
            <w:col w:w="10219"/>
          </w:cols>
          <w:pgMar w:left="240" w:top="447" w:right="1440" w:bottom="0" w:gutter="0" w:footer="0" w:header="0"/>
        </w:sectPr>
      </w:pPr>
    </w:p>
    <w:bookmarkStart w:id="1" w:name="page2"/>
    <w:bookmarkEnd w:id="1"/>
    <w:p>
      <w:pPr>
        <w:jc w:val="center"/>
        <w:ind w:right="8959"/>
        <w:spacing w:after="0"/>
        <w:rPr>
          <w:sz w:val="20"/>
          <w:szCs w:val="20"/>
          <w:color w:val="auto"/>
        </w:rPr>
      </w:pPr>
      <w:r>
        <w:rPr>
          <w:rFonts w:ascii="Courier New" w:cs="Courier New" w:eastAsia="Courier New" w:hAnsi="Courier New"/>
          <w:sz w:val="18"/>
          <w:szCs w:val="18"/>
          <w:color w:val="auto"/>
        </w:rPr>
        <w:t>rate is</w:t>
      </w:r>
    </w:p>
    <w:p>
      <w:pPr>
        <w:jc w:val="center"/>
        <w:ind w:right="8959"/>
        <w:spacing w:after="0" w:line="238" w:lineRule="auto"/>
        <w:rPr>
          <w:sz w:val="20"/>
          <w:szCs w:val="20"/>
          <w:color w:val="auto"/>
        </w:rPr>
      </w:pPr>
      <w:r>
        <w:rPr>
          <w:rFonts w:ascii="Courier New" w:cs="Courier New" w:eastAsia="Courier New" w:hAnsi="Courier New"/>
          <w:sz w:val="18"/>
          <w:szCs w:val="18"/>
          <w:color w:val="auto"/>
        </w:rPr>
        <w:t>subject to</w:t>
      </w:r>
    </w:p>
    <w:p>
      <w:pPr>
        <w:jc w:val="center"/>
        <w:ind w:right="8959"/>
        <w:spacing w:after="0"/>
        <w:rPr>
          <w:sz w:val="20"/>
          <w:szCs w:val="20"/>
          <w:color w:val="auto"/>
        </w:rPr>
      </w:pPr>
      <w:r>
        <w:rPr>
          <w:rFonts w:ascii="Courier New" w:cs="Courier New" w:eastAsia="Courier New" w:hAnsi="Courier New"/>
          <w:sz w:val="18"/>
          <w:szCs w:val="18"/>
          <w:color w:val="auto"/>
        </w:rPr>
        <w:t>adjustment,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however, as</w:t>
      </w:r>
    </w:p>
    <w:p>
      <w:pPr>
        <w:jc w:val="center"/>
        <w:ind w:right="8959"/>
        <w:spacing w:after="0" w:line="238" w:lineRule="auto"/>
        <w:rPr>
          <w:sz w:val="20"/>
          <w:szCs w:val="20"/>
          <w:color w:val="auto"/>
        </w:rPr>
      </w:pPr>
      <w:r>
        <w:rPr>
          <w:rFonts w:ascii="Courier New" w:cs="Courier New" w:eastAsia="Courier New" w:hAnsi="Courier New"/>
          <w:sz w:val="18"/>
          <w:szCs w:val="18"/>
          <w:color w:val="auto"/>
        </w:rPr>
        <w:t>described</w:t>
      </w:r>
    </w:p>
    <w:p>
      <w:pPr>
        <w:jc w:val="center"/>
        <w:ind w:right="8959"/>
        <w:spacing w:after="0"/>
        <w:rPr>
          <w:sz w:val="20"/>
          <w:szCs w:val="20"/>
          <w:color w:val="auto"/>
        </w:rPr>
      </w:pPr>
      <w:r>
        <w:rPr>
          <w:rFonts w:ascii="Courier New" w:cs="Courier New" w:eastAsia="Courier New" w:hAnsi="Courier New"/>
          <w:sz w:val="18"/>
          <w:szCs w:val="18"/>
          <w:color w:val="auto"/>
        </w:rPr>
        <w:t>under</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"Description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Notes -</w:t>
      </w:r>
    </w:p>
    <w:p>
      <w:pPr>
        <w:jc w:val="center"/>
        <w:ind w:right="8959"/>
        <w:spacing w:after="0"/>
        <w:rPr>
          <w:sz w:val="20"/>
          <w:szCs w:val="20"/>
          <w:color w:val="auto"/>
        </w:rPr>
      </w:pPr>
      <w:r>
        <w:rPr>
          <w:rFonts w:ascii="Courier New" w:cs="Courier New" w:eastAsia="Courier New" w:hAnsi="Courier New"/>
          <w:sz w:val="18"/>
          <w:szCs w:val="18"/>
          <w:color w:val="auto"/>
        </w:rPr>
        <w:t>Conversion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the</w:t>
      </w:r>
    </w:p>
    <w:p>
      <w:pPr>
        <w:jc w:val="center"/>
        <w:ind w:right="8959"/>
        <w:spacing w:after="0" w:line="238" w:lineRule="auto"/>
        <w:rPr>
          <w:sz w:val="20"/>
          <w:szCs w:val="20"/>
          <w:color w:val="auto"/>
        </w:rPr>
      </w:pPr>
      <w:r>
        <w:rPr>
          <w:rFonts w:ascii="Courier New" w:cs="Courier New" w:eastAsia="Courier New" w:hAnsi="Courier New"/>
          <w:sz w:val="18"/>
          <w:szCs w:val="18"/>
          <w:color w:val="auto"/>
        </w:rPr>
        <w:t>Notes." As</w:t>
      </w:r>
    </w:p>
    <w:p>
      <w:pPr>
        <w:spacing w:after="0" w:line="5" w:lineRule="exact"/>
        <w:rPr>
          <w:sz w:val="20"/>
          <w:szCs w:val="20"/>
          <w:color w:val="auto"/>
        </w:rPr>
      </w:pPr>
    </w:p>
    <w:p>
      <w:pPr>
        <w:jc w:val="center"/>
        <w:ind w:left="100" w:right="9059" w:firstLine="62"/>
        <w:spacing w:after="0" w:line="268" w:lineRule="auto"/>
        <w:tabs>
          <w:tab w:leader="none" w:pos="36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result, the number of shares of common stock issuable upon conversion of the notes may</w:t>
      </w:r>
    </w:p>
    <w:p>
      <w:pPr>
        <w:ind w:left="60"/>
        <w:spacing w:after="0" w:line="235" w:lineRule="auto"/>
        <w:rPr>
          <w:sz w:val="20"/>
          <w:szCs w:val="20"/>
          <w:color w:val="auto"/>
        </w:rPr>
      </w:pPr>
      <w:r>
        <w:rPr>
          <w:rFonts w:ascii="Courier New" w:cs="Courier New" w:eastAsia="Courier New" w:hAnsi="Courier New"/>
          <w:sz w:val="18"/>
          <w:szCs w:val="18"/>
          <w:color w:val="auto"/>
        </w:rPr>
        <w:t>increase or</w:t>
      </w:r>
    </w:p>
    <w:p>
      <w:pPr>
        <w:ind w:left="60"/>
        <w:spacing w:after="0"/>
        <w:rPr>
          <w:sz w:val="20"/>
          <w:szCs w:val="20"/>
          <w:color w:val="auto"/>
        </w:rPr>
      </w:pPr>
      <w:r>
        <w:rPr>
          <w:rFonts w:ascii="Courier New" w:cs="Courier New" w:eastAsia="Courier New" w:hAnsi="Courier New"/>
          <w:sz w:val="18"/>
          <w:szCs w:val="18"/>
          <w:color w:val="auto"/>
        </w:rPr>
        <w:t>decrease in</w:t>
      </w:r>
    </w:p>
    <w:p>
      <w:pPr>
        <w:ind w:left="60"/>
        <w:spacing w:after="0" w:line="237" w:lineRule="auto"/>
        <w:rPr>
          <w:sz w:val="20"/>
          <w:szCs w:val="20"/>
          <w:color w:val="auto"/>
        </w:rPr>
      </w:pPr>
      <w:r>
        <w:rPr>
          <w:rFonts w:ascii="Courier New" w:cs="Courier New" w:eastAsia="Courier New" w:hAnsi="Courier New"/>
          <w:sz w:val="18"/>
          <w:szCs w:val="18"/>
          <w:color w:val="auto"/>
        </w:rPr>
        <w:t>the future.</w:t>
      </w:r>
    </w:p>
    <w:p>
      <w:pPr>
        <w:jc w:val="center"/>
        <w:ind w:right="8959"/>
        <w:spacing w:after="0" w:line="238" w:lineRule="auto"/>
        <w:rPr>
          <w:sz w:val="20"/>
          <w:szCs w:val="20"/>
          <w:color w:val="auto"/>
        </w:rPr>
      </w:pPr>
      <w:r>
        <w:rPr>
          <w:rFonts w:ascii="Courier New" w:cs="Courier New" w:eastAsia="Courier New" w:hAnsi="Courier New"/>
          <w:sz w:val="18"/>
          <w:szCs w:val="18"/>
          <w:color w:val="auto"/>
        </w:rPr>
        <w:t>(2)</w:t>
      </w:r>
    </w:p>
    <w:p>
      <w:pPr>
        <w:jc w:val="center"/>
        <w:ind w:right="8959"/>
        <w:spacing w:after="0"/>
        <w:rPr>
          <w:sz w:val="20"/>
          <w:szCs w:val="20"/>
          <w:color w:val="auto"/>
        </w:rPr>
      </w:pPr>
      <w:r>
        <w:rPr>
          <w:rFonts w:ascii="Courier New" w:cs="Courier New" w:eastAsia="Courier New" w:hAnsi="Courier New"/>
          <w:sz w:val="18"/>
          <w:szCs w:val="18"/>
          <w:color w:val="auto"/>
        </w:rPr>
        <w:t>Calculated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based on</w:t>
      </w:r>
    </w:p>
    <w:p>
      <w:pPr>
        <w:jc w:val="center"/>
        <w:ind w:right="8959"/>
        <w:spacing w:after="0"/>
        <w:rPr>
          <w:sz w:val="20"/>
          <w:szCs w:val="20"/>
          <w:color w:val="auto"/>
        </w:rPr>
      </w:pPr>
      <w:r>
        <w:rPr>
          <w:rFonts w:ascii="Courier New" w:cs="Courier New" w:eastAsia="Courier New" w:hAnsi="Courier New"/>
          <w:sz w:val="18"/>
          <w:szCs w:val="18"/>
          <w:color w:val="auto"/>
        </w:rPr>
        <w:t>Rule 13d-</w:t>
      </w:r>
    </w:p>
    <w:p>
      <w:pPr>
        <w:jc w:val="center"/>
        <w:ind w:right="8959"/>
        <w:spacing w:after="0" w:line="237" w:lineRule="auto"/>
        <w:rPr>
          <w:sz w:val="20"/>
          <w:szCs w:val="20"/>
          <w:color w:val="auto"/>
        </w:rPr>
      </w:pPr>
      <w:r>
        <w:rPr>
          <w:rFonts w:ascii="Courier New" w:cs="Courier New" w:eastAsia="Courier New" w:hAnsi="Courier New"/>
          <w:sz w:val="18"/>
          <w:szCs w:val="18"/>
          <w:color w:val="auto"/>
        </w:rPr>
        <w:t>3(d)(i) of</w:t>
      </w:r>
    </w:p>
    <w:p>
      <w:pPr>
        <w:jc w:val="center"/>
        <w:ind w:right="8959"/>
        <w:spacing w:after="0"/>
        <w:rPr>
          <w:sz w:val="20"/>
          <w:szCs w:val="20"/>
          <w:color w:val="auto"/>
        </w:rPr>
      </w:pPr>
      <w:r>
        <w:rPr>
          <w:rFonts w:ascii="Courier New" w:cs="Courier New" w:eastAsia="Courier New" w:hAnsi="Courier New"/>
          <w:sz w:val="18"/>
          <w:szCs w:val="18"/>
          <w:color w:val="auto"/>
        </w:rPr>
        <w:t>the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Exchange</w:t>
      </w:r>
    </w:p>
    <w:p>
      <w:pPr>
        <w:jc w:val="center"/>
        <w:ind w:right="8959"/>
        <w:spacing w:after="0"/>
        <w:rPr>
          <w:sz w:val="20"/>
          <w:szCs w:val="20"/>
          <w:color w:val="auto"/>
        </w:rPr>
      </w:pPr>
      <w:r>
        <w:rPr>
          <w:rFonts w:ascii="Courier New" w:cs="Courier New" w:eastAsia="Courier New" w:hAnsi="Courier New"/>
          <w:sz w:val="18"/>
          <w:szCs w:val="18"/>
          <w:color w:val="auto"/>
        </w:rPr>
        <w:t>Act, using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43,826,969</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of</w:t>
      </w:r>
    </w:p>
    <w:p>
      <w:pPr>
        <w:jc w:val="center"/>
        <w:ind w:right="8959"/>
        <w:spacing w:after="0"/>
        <w:rPr>
          <w:sz w:val="20"/>
          <w:szCs w:val="20"/>
          <w:color w:val="auto"/>
        </w:rPr>
      </w:pPr>
      <w:r>
        <w:rPr>
          <w:rFonts w:ascii="Courier New" w:cs="Courier New" w:eastAsia="Courier New" w:hAnsi="Courier New"/>
          <w:sz w:val="18"/>
          <w:szCs w:val="18"/>
          <w:color w:val="auto"/>
        </w:rPr>
        <w:t>common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959"/>
        <w:spacing w:after="0"/>
        <w:rPr>
          <w:sz w:val="20"/>
          <w:szCs w:val="20"/>
          <w:color w:val="auto"/>
        </w:rPr>
      </w:pPr>
      <w:r>
        <w:rPr>
          <w:rFonts w:ascii="Courier New" w:cs="Courier New" w:eastAsia="Courier New" w:hAnsi="Courier New"/>
          <w:sz w:val="18"/>
          <w:szCs w:val="18"/>
          <w:color w:val="auto"/>
        </w:rPr>
        <w:t>outstanding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 of</w:t>
      </w:r>
    </w:p>
    <w:p>
      <w:pPr>
        <w:jc w:val="center"/>
        <w:ind w:right="8959"/>
        <w:spacing w:after="0"/>
        <w:rPr>
          <w:sz w:val="20"/>
          <w:szCs w:val="20"/>
          <w:color w:val="auto"/>
        </w:rPr>
      </w:pPr>
      <w:r>
        <w:rPr>
          <w:rFonts w:ascii="Courier New" w:cs="Courier New" w:eastAsia="Courier New" w:hAnsi="Courier New"/>
          <w:sz w:val="18"/>
          <w:szCs w:val="18"/>
          <w:color w:val="auto"/>
        </w:rPr>
        <w:t>December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31, 2001.</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w:t>
      </w:r>
    </w:p>
    <w:p>
      <w:pPr>
        <w:jc w:val="center"/>
        <w:ind w:right="8959"/>
        <w:spacing w:after="0"/>
        <w:rPr>
          <w:sz w:val="20"/>
          <w:szCs w:val="20"/>
          <w:color w:val="auto"/>
        </w:rPr>
      </w:pPr>
      <w:r>
        <w:rPr>
          <w:rFonts w:ascii="Courier New" w:cs="Courier New" w:eastAsia="Courier New" w:hAnsi="Courier New"/>
          <w:sz w:val="18"/>
          <w:szCs w:val="18"/>
          <w:color w:val="auto"/>
        </w:rPr>
        <w:t>calculating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this amount</w:t>
      </w:r>
    </w:p>
    <w:p>
      <w:pPr>
        <w:jc w:val="center"/>
        <w:ind w:right="8959"/>
        <w:spacing w:after="0"/>
        <w:rPr>
          <w:sz w:val="20"/>
          <w:szCs w:val="20"/>
          <w:color w:val="auto"/>
        </w:rPr>
      </w:pPr>
      <w:r>
        <w:rPr>
          <w:rFonts w:ascii="Courier New" w:cs="Courier New" w:eastAsia="Courier New" w:hAnsi="Courier New"/>
          <w:sz w:val="18"/>
          <w:szCs w:val="18"/>
          <w:color w:val="auto"/>
        </w:rPr>
        <w:t>for each</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holder, we</w:t>
      </w:r>
    </w:p>
    <w:p>
      <w:pPr>
        <w:jc w:val="center"/>
        <w:ind w:right="8959"/>
        <w:spacing w:after="0"/>
        <w:rPr>
          <w:sz w:val="20"/>
          <w:szCs w:val="20"/>
          <w:color w:val="auto"/>
        </w:rPr>
      </w:pPr>
      <w:r>
        <w:rPr>
          <w:rFonts w:ascii="Courier New" w:cs="Courier New" w:eastAsia="Courier New" w:hAnsi="Courier New"/>
          <w:sz w:val="18"/>
          <w:szCs w:val="18"/>
          <w:color w:val="auto"/>
        </w:rPr>
        <w:t>treated as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line="238" w:lineRule="auto"/>
        <w:rPr>
          <w:sz w:val="20"/>
          <w:szCs w:val="20"/>
          <w:color w:val="auto"/>
        </w:rPr>
      </w:pPr>
      <w:r>
        <w:rPr>
          <w:rFonts w:ascii="Courier New" w:cs="Courier New" w:eastAsia="Courier New" w:hAnsi="Courier New"/>
          <w:sz w:val="18"/>
          <w:szCs w:val="18"/>
          <w:color w:val="auto"/>
        </w:rPr>
        <w:t>the number</w:t>
      </w:r>
    </w:p>
    <w:p>
      <w:pPr>
        <w:jc w:val="center"/>
        <w:ind w:right="8959"/>
        <w:spacing w:after="0"/>
        <w:rPr>
          <w:sz w:val="20"/>
          <w:szCs w:val="20"/>
          <w:color w:val="auto"/>
        </w:rPr>
      </w:pPr>
      <w:r>
        <w:rPr>
          <w:rFonts w:ascii="Courier New" w:cs="Courier New" w:eastAsia="Courier New" w:hAnsi="Courier New"/>
          <w:sz w:val="18"/>
          <w:szCs w:val="18"/>
          <w:color w:val="auto"/>
        </w:rPr>
        <w:t>of shares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issuable</w:t>
      </w:r>
    </w:p>
    <w:p>
      <w:pPr>
        <w:jc w:val="center"/>
        <w:ind w:right="8959"/>
        <w:spacing w:after="0"/>
        <w:rPr>
          <w:sz w:val="20"/>
          <w:szCs w:val="20"/>
          <w:color w:val="auto"/>
        </w:rPr>
      </w:pPr>
      <w:r>
        <w:rPr>
          <w:rFonts w:ascii="Courier New" w:cs="Courier New" w:eastAsia="Courier New" w:hAnsi="Courier New"/>
          <w:sz w:val="18"/>
          <w:szCs w:val="18"/>
          <w:color w:val="auto"/>
        </w:rPr>
        <w:t>upon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conversion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all that</w:t>
      </w:r>
    </w:p>
    <w:p>
      <w:pPr>
        <w:jc w:val="center"/>
        <w:ind w:right="8959"/>
        <w:spacing w:after="0"/>
        <w:rPr>
          <w:sz w:val="20"/>
          <w:szCs w:val="20"/>
          <w:color w:val="auto"/>
        </w:rPr>
      </w:pPr>
      <w:r>
        <w:rPr>
          <w:rFonts w:ascii="Courier New" w:cs="Courier New" w:eastAsia="Courier New" w:hAnsi="Courier New"/>
          <w:sz w:val="18"/>
          <w:szCs w:val="18"/>
          <w:color w:val="auto"/>
        </w:rPr>
        <w:t>holder's</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notes, but</w:t>
      </w:r>
    </w:p>
    <w:p>
      <w:pPr>
        <w:jc w:val="center"/>
        <w:ind w:right="8959"/>
        <w:spacing w:after="0"/>
        <w:rPr>
          <w:sz w:val="20"/>
          <w:szCs w:val="20"/>
          <w:color w:val="auto"/>
        </w:rPr>
      </w:pPr>
      <w:r>
        <w:rPr>
          <w:rFonts w:ascii="Courier New" w:cs="Courier New" w:eastAsia="Courier New" w:hAnsi="Courier New"/>
          <w:sz w:val="18"/>
          <w:szCs w:val="18"/>
          <w:color w:val="auto"/>
        </w:rPr>
        <w:t>we did not</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w:t>
      </w:r>
    </w:p>
    <w:p>
      <w:pPr>
        <w:jc w:val="center"/>
        <w:ind w:right="8959"/>
        <w:spacing w:after="0"/>
        <w:rPr>
          <w:sz w:val="20"/>
          <w:szCs w:val="20"/>
          <w:color w:val="auto"/>
        </w:rPr>
      </w:pPr>
      <w:r>
        <w:rPr>
          <w:rFonts w:ascii="Courier New" w:cs="Courier New" w:eastAsia="Courier New" w:hAnsi="Courier New"/>
          <w:sz w:val="18"/>
          <w:szCs w:val="18"/>
          <w:color w:val="auto"/>
        </w:rPr>
        <w:t>conversion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any</w:t>
      </w:r>
    </w:p>
    <w:p>
      <w:pPr>
        <w:jc w:val="center"/>
        <w:ind w:right="8959"/>
        <w:spacing w:after="0"/>
        <w:rPr>
          <w:sz w:val="20"/>
          <w:szCs w:val="20"/>
          <w:color w:val="auto"/>
        </w:rPr>
      </w:pPr>
      <w:r>
        <w:rPr>
          <w:rFonts w:ascii="Courier New" w:cs="Courier New" w:eastAsia="Courier New" w:hAnsi="Courier New"/>
          <w:sz w:val="18"/>
          <w:szCs w:val="18"/>
          <w:color w:val="auto"/>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holder's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notes.</w:t>
      </w:r>
    </w:p>
    <w:p>
      <w:pPr>
        <w:spacing w:after="0" w:line="200" w:lineRule="exact"/>
        <w:rPr>
          <w:sz w:val="20"/>
          <w:szCs w:val="20"/>
          <w:color w:val="auto"/>
        </w:rPr>
      </w:pPr>
    </w:p>
    <w:p>
      <w:pPr>
        <w:spacing w:after="0" w:line="210" w:lineRule="exact"/>
        <w:rPr>
          <w:sz w:val="20"/>
          <w:szCs w:val="20"/>
          <w:color w:val="auto"/>
        </w:rPr>
      </w:pPr>
    </w:p>
    <w:p>
      <w:pPr>
        <w:jc w:val="both"/>
        <w:ind w:right="1999" w:firstLine="632"/>
        <w:spacing w:after="0" w:line="290" w:lineRule="auto"/>
        <w:rPr>
          <w:sz w:val="20"/>
          <w:szCs w:val="20"/>
          <w:color w:val="auto"/>
        </w:rPr>
      </w:pPr>
      <w:r>
        <w:rPr>
          <w:rFonts w:ascii="Courier New" w:cs="Courier New" w:eastAsia="Courier New" w:hAnsi="Courier New"/>
          <w:sz w:val="16"/>
          <w:szCs w:val="16"/>
          <w:color w:val="auto"/>
        </w:rPr>
        <w:t>Investing in the notes or shares of common stock involves risks that are described in the "Risk Factors" section beginning on page 5 of the prospectus.</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Neither the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date of this prospectus supplement is April 9, 2003</w:t>
      </w:r>
    </w:p>
    <w:sectPr>
      <w:pgSz w:w="11900" w:h="16838" w:orient="portrait"/>
      <w:cols w:equalWidth="0" w:num="1">
        <w:col w:w="10219"/>
      </w:cols>
      <w:pgMar w:left="240" w:top="136" w:right="1440" w:bottom="7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a"/>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2019-12-20T02:09:06Z</dcterms:created>
  <dcterms:modified xsi:type="dcterms:W3CDTF">2019-12-20T02:09:06Z</dcterms:modified>
</cp:coreProperties>
</file>