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29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292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Powchik Peter</w:t>
              </w:r>
            </w:hyperlink>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1"/>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Borders>
              <w:bottom w:val="single" w:sz="8" w:color="0000EE"/>
            </w:tcBorders>
            <w:gridSpan w:val="2"/>
            <w:vMerge w:val="continue"/>
          </w:tcPr>
          <w:p>
            <w:pPr>
              <w:spacing w:after="0"/>
              <w:rPr>
                <w:sz w:val="5"/>
                <w:szCs w:val="5"/>
                <w:color w:val="auto"/>
              </w:rPr>
            </w:pPr>
          </w:p>
        </w:tc>
        <w:tc>
          <w:tcPr>
            <w:tcW w:w="160" w:type="dxa"/>
            <w:vAlign w:val="bottom"/>
            <w:vMerge w:val="restart"/>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restart"/>
          </w:tcPr>
          <w:p>
            <w:pPr>
              <w:ind w:left="80"/>
              <w:spacing w:after="0" w:line="222"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 xml:space="preserve">INC </w:t>
              </w:r>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7"/>
                  <w:szCs w:val="17"/>
                  <w:color w:val="0000FF"/>
                  <w:w w:val="97"/>
                </w:rPr>
                <w:t>REGN</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hyperlink>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tcPr>
          <w:p>
            <w:pPr>
              <w:spacing w:after="0"/>
              <w:rPr>
                <w:sz w:val="4"/>
                <w:szCs w:val="4"/>
                <w:color w:val="auto"/>
              </w:rPr>
            </w:pPr>
          </w:p>
        </w:tc>
        <w:tc>
          <w:tcPr>
            <w:tcW w:w="16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640" w:type="dxa"/>
            <w:vAlign w:val="bottom"/>
            <w:tcBorders>
              <w:top w:val="single" w:sz="8" w:color="EEEEEE"/>
            </w:tcBorders>
          </w:tcPr>
          <w:p>
            <w:pPr>
              <w:spacing w:after="0"/>
              <w:rPr>
                <w:sz w:val="8"/>
                <w:szCs w:val="8"/>
                <w:color w:val="auto"/>
              </w:rPr>
            </w:pPr>
          </w:p>
        </w:tc>
        <w:tc>
          <w:tcPr>
            <w:tcW w:w="160" w:type="dxa"/>
            <w:vAlign w:val="bottom"/>
            <w:tcBorders>
              <w:top w:val="single" w:sz="8" w:color="EEEEEE"/>
            </w:tcBorders>
          </w:tcPr>
          <w:p>
            <w:pPr>
              <w:spacing w:after="0"/>
              <w:rPr>
                <w:sz w:val="8"/>
                <w:szCs w:val="8"/>
                <w:color w:val="auto"/>
              </w:rPr>
            </w:pPr>
          </w:p>
        </w:tc>
        <w:tc>
          <w:tcPr>
            <w:tcW w:w="112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4"/>
                <w:szCs w:val="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vMerge w:val="continue"/>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60"/>
              <w:spacing w:after="0"/>
              <w:rPr>
                <w:sz w:val="20"/>
                <w:szCs w:val="20"/>
                <w:color w:val="auto"/>
              </w:rPr>
            </w:pPr>
            <w:r>
              <w:rPr>
                <w:rFonts w:ascii="Arial" w:cs="Arial" w:eastAsia="Arial" w:hAnsi="Arial"/>
                <w:sz w:val="17"/>
                <w:szCs w:val="17"/>
                <w:color w:val="0000FF"/>
              </w:rPr>
              <w:t>SVP Clinical Development &amp; Reg</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9"/>
            <w:vMerge w:val="continue"/>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420" w:type="dxa"/>
            <w:vAlign w:val="bottom"/>
            <w:gridSpan w:val="6"/>
            <w:vMerge w:val="restart"/>
          </w:tcPr>
          <w:p>
            <w:pPr>
              <w:ind w:left="280"/>
              <w:spacing w:after="0"/>
              <w:rPr>
                <w:sz w:val="20"/>
                <w:szCs w:val="20"/>
                <w:color w:val="auto"/>
              </w:rPr>
            </w:pPr>
            <w:r>
              <w:rPr>
                <w:rFonts w:ascii="Arial" w:cs="Arial" w:eastAsia="Arial" w:hAnsi="Arial"/>
                <w:sz w:val="17"/>
                <w:szCs w:val="17"/>
                <w:color w:val="0000FF"/>
              </w:rPr>
              <w:t>12/16/2014</w:t>
            </w: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1420" w:type="dxa"/>
            <w:vAlign w:val="bottom"/>
            <w:gridSpan w:val="6"/>
            <w:vMerge w:val="continue"/>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880" w:type="dxa"/>
            <w:vAlign w:val="bottom"/>
            <w:tcBorders>
              <w:bottom w:val="single" w:sz="8" w:color="2C2C2C"/>
            </w:tcBorders>
            <w:gridSpan w:val="4"/>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740" w:type="dxa"/>
            <w:vAlign w:val="bottom"/>
            <w:gridSpan w:val="11"/>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740" w:type="dxa"/>
            <w:vAlign w:val="bottom"/>
            <w:gridSpan w:val="11"/>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7"/>
          </w:tcPr>
          <w:p>
            <w:pPr>
              <w:ind w:left="16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5"/>
                <w:szCs w:val="15"/>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0"/>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00" w:type="dxa"/>
            <w:vAlign w:val="bottom"/>
            <w:gridSpan w:val="6"/>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4"/>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780" w:type="dxa"/>
            <w:vAlign w:val="bottom"/>
            <w:tcBorders>
              <w:bottom w:val="single" w:sz="8" w:color="2C2C2C"/>
            </w:tcBorders>
            <w:gridSpan w:val="3"/>
          </w:tcPr>
          <w:p>
            <w:pPr>
              <w:spacing w:after="0"/>
              <w:rPr>
                <w:sz w:val="7"/>
                <w:szCs w:val="7"/>
                <w:color w:val="auto"/>
              </w:rPr>
            </w:pPr>
          </w:p>
        </w:tc>
        <w:tc>
          <w:tcPr>
            <w:tcW w:w="78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20"/>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00" w:type="dxa"/>
            <w:vAlign w:val="bottom"/>
            <w:gridSpan w:val="17"/>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52.03</w:t>
            </w:r>
          </w:p>
        </w:tc>
        <w:tc>
          <w:tcPr>
            <w:tcW w:w="16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3"/>
                <w:szCs w:val="13"/>
                <w:color w:val="0000FF"/>
              </w:rPr>
              <w:t>12/16/2014</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660" w:type="dxa"/>
            <w:vAlign w:val="bottom"/>
          </w:tcPr>
          <w:p>
            <w:pPr>
              <w:ind w:left="160"/>
              <w:spacing w:after="0"/>
              <w:rPr>
                <w:sz w:val="20"/>
                <w:szCs w:val="20"/>
                <w:color w:val="auto"/>
              </w:rPr>
            </w:pPr>
            <w:r>
              <w:rPr>
                <w:rFonts w:ascii="Arial" w:cs="Arial" w:eastAsia="Arial" w:hAnsi="Arial"/>
                <w:sz w:val="13"/>
                <w:szCs w:val="13"/>
                <w:color w:val="0000FF"/>
              </w:rPr>
              <w:t>48,000</w:t>
            </w:r>
          </w:p>
        </w:tc>
        <w:tc>
          <w:tcPr>
            <w:tcW w:w="28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12/16/2021</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48,000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62,079</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tcPr>
          <w:p>
            <w:pPr>
              <w:ind w:left="60"/>
              <w:spacing w:after="0" w:line="83" w:lineRule="exact"/>
              <w:rPr>
                <w:sz w:val="20"/>
                <w:szCs w:val="20"/>
                <w:color w:val="auto"/>
              </w:rPr>
            </w:pPr>
            <w:r>
              <w:rPr>
                <w:rFonts w:ascii="Arial" w:cs="Arial" w:eastAsia="Arial" w:hAnsi="Arial"/>
                <w:sz w:val="9"/>
                <w:szCs w:val="9"/>
                <w:color w:val="0000FF"/>
              </w:rPr>
              <w:t>Option</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gridSpan w:val="2"/>
          </w:tcPr>
          <w:p>
            <w:pPr>
              <w:ind w:left="160"/>
              <w:spacing w:after="0" w:line="83" w:lineRule="exact"/>
              <w:rPr>
                <w:sz w:val="20"/>
                <w:szCs w:val="20"/>
                <w:color w:val="auto"/>
              </w:rPr>
            </w:pPr>
            <w:r>
              <w:rPr>
                <w:rFonts w:ascii="Arial" w:cs="Arial" w:eastAsia="Arial" w:hAnsi="Arial"/>
                <w:sz w:val="9"/>
                <w:szCs w:val="9"/>
                <w:color w:val="0000FF"/>
              </w:rPr>
              <w:t>Stock</w:t>
            </w: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399.66</w:t>
            </w:r>
          </w:p>
        </w:tc>
        <w:tc>
          <w:tcPr>
            <w:tcW w:w="160" w:type="dxa"/>
            <w:vAlign w:val="bottom"/>
          </w:tcPr>
          <w:p>
            <w:pPr>
              <w:spacing w:after="0"/>
              <w:rPr>
                <w:sz w:val="17"/>
                <w:szCs w:val="17"/>
                <w:color w:val="auto"/>
              </w:rPr>
            </w:pPr>
          </w:p>
        </w:tc>
        <w:tc>
          <w:tcPr>
            <w:tcW w:w="1120" w:type="dxa"/>
            <w:vAlign w:val="bottom"/>
          </w:tcPr>
          <w:p>
            <w:pPr>
              <w:jc w:val="right"/>
              <w:ind w:right="170"/>
              <w:spacing w:after="0"/>
              <w:rPr>
                <w:sz w:val="20"/>
                <w:szCs w:val="20"/>
                <w:color w:val="auto"/>
              </w:rPr>
            </w:pPr>
            <w:r>
              <w:rPr>
                <w:rFonts w:ascii="Arial" w:cs="Arial" w:eastAsia="Arial" w:hAnsi="Arial"/>
                <w:sz w:val="13"/>
                <w:szCs w:val="13"/>
                <w:color w:val="0000FF"/>
              </w:rPr>
              <w:t>12/16/2014</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660" w:type="dxa"/>
            <w:vAlign w:val="bottom"/>
          </w:tcPr>
          <w:p>
            <w:pPr>
              <w:ind w:left="160"/>
              <w:spacing w:after="0"/>
              <w:rPr>
                <w:sz w:val="20"/>
                <w:szCs w:val="20"/>
                <w:color w:val="auto"/>
              </w:rPr>
            </w:pPr>
            <w:r>
              <w:rPr>
                <w:rFonts w:ascii="Arial" w:cs="Arial" w:eastAsia="Arial" w:hAnsi="Arial"/>
                <w:sz w:val="13"/>
                <w:szCs w:val="13"/>
                <w:color w:val="0000FF"/>
              </w:rPr>
              <w:t>34,000</w:t>
            </w:r>
          </w:p>
        </w:tc>
        <w:tc>
          <w:tcPr>
            <w:tcW w:w="28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12/16/2024</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34,000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34,000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Option</w:t>
            </w: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gridSpan w:val="2"/>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December 16, 2011, the reporting person was granted an option to purchase 48,000 shares of Common Stock. The option vests, partially or in full, on December 31, 2014, based on the extent to which the company satisfies certain performance criteria during the period ending December 31, 2014. The performance criteria have been met and the option will vest as to all 48,000 shares on December 31, 2014.</w:t>
      </w: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vests in four equal annual installments, commencing one year after the date of grant.</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/s/**Peter Powchik</w:t>
            </w:r>
          </w:p>
        </w:tc>
        <w:tc>
          <w:tcPr>
            <w:tcW w:w="9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12/17/2014</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24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2019-12-18T10:31:20Z</dcterms:created>
  <dcterms:modified xsi:type="dcterms:W3CDTF">2019-12-18T10:31:20Z</dcterms:modified>
</cp:coreProperties>
</file>