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JANUARY 23, 2002</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333-74464</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w:t>
            </w:r>
          </w:p>
        </w:tc>
        <w:tc>
          <w:tcPr>
            <w:tcW w:w="2800" w:type="dxa"/>
            <w:vAlign w:val="bottom"/>
          </w:tcPr>
          <w:p>
            <w:pPr>
              <w:spacing w:after="0"/>
              <w:rPr>
                <w:sz w:val="17"/>
                <w:szCs w:val="17"/>
                <w:color w:val="auto"/>
              </w:rPr>
            </w:pPr>
          </w:p>
        </w:tc>
      </w:tr>
      <w:tr>
        <w:trPr>
          <w:trHeight w:val="608"/>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AMENDMENT NO. 3</w:t>
            </w:r>
          </w:p>
        </w:tc>
        <w:tc>
          <w:tcPr>
            <w:tcW w:w="2800" w:type="dxa"/>
            <w:vAlign w:val="bottom"/>
          </w:tcPr>
          <w:p>
            <w:pPr>
              <w:spacing w:after="0"/>
              <w:rPr>
                <w:sz w:val="24"/>
                <w:szCs w:val="24"/>
                <w:color w:val="auto"/>
              </w:rPr>
            </w:pPr>
          </w:p>
        </w:tc>
      </w:tr>
      <w:tr>
        <w:trPr>
          <w:trHeight w:val="405"/>
        </w:trPr>
        <w:tc>
          <w:tcPr>
            <w:tcW w:w="700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2"/>
              </w:rPr>
              <w:t>TO</w:t>
            </w:r>
          </w:p>
        </w:tc>
        <w:tc>
          <w:tcPr>
            <w:tcW w:w="2800" w:type="dxa"/>
            <w:vAlign w:val="bottom"/>
          </w:tcPr>
          <w:p>
            <w:pPr>
              <w:spacing w:after="0"/>
              <w:rPr>
                <w:sz w:val="24"/>
                <w:szCs w:val="24"/>
                <w:color w:val="auto"/>
              </w:rPr>
            </w:pPr>
          </w:p>
        </w:tc>
      </w:tr>
      <w:tr>
        <w:trPr>
          <w:trHeight w:val="405"/>
        </w:trPr>
        <w:tc>
          <w:tcPr>
            <w:tcW w:w="700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FORM S-3</w:t>
            </w:r>
          </w:p>
        </w:tc>
        <w:tc>
          <w:tcPr>
            <w:tcW w:w="2800" w:type="dxa"/>
            <w:vAlign w:val="bottom"/>
          </w:tcPr>
          <w:p>
            <w:pPr>
              <w:spacing w:after="0"/>
              <w:rPr>
                <w:sz w:val="24"/>
                <w:szCs w:val="24"/>
                <w:color w:val="auto"/>
              </w:rPr>
            </w:pPr>
          </w:p>
        </w:tc>
      </w:tr>
      <w:tr>
        <w:trPr>
          <w:trHeight w:val="203"/>
        </w:trPr>
        <w:tc>
          <w:tcPr>
            <w:tcW w:w="7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REGISTRATION STATEMENT UNDER THE SECURITIES ACT OF 1933</w:t>
            </w:r>
          </w:p>
        </w:tc>
        <w:tc>
          <w:tcPr>
            <w:tcW w:w="2800" w:type="dxa"/>
            <w:vAlign w:val="bottom"/>
          </w:tcPr>
          <w:p>
            <w:pPr>
              <w:spacing w:after="0"/>
              <w:rPr>
                <w:sz w:val="17"/>
                <w:szCs w:val="17"/>
                <w:color w:val="auto"/>
              </w:rPr>
            </w:pPr>
          </w:p>
        </w:tc>
      </w:tr>
      <w:tr>
        <w:trPr>
          <w:trHeight w:val="405"/>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w:t>
            </w:r>
          </w:p>
        </w:tc>
        <w:tc>
          <w:tcPr>
            <w:tcW w:w="2800" w:type="dxa"/>
            <w:vAlign w:val="bottom"/>
          </w:tcPr>
          <w:p>
            <w:pPr>
              <w:spacing w:after="0"/>
              <w:rPr>
                <w:sz w:val="24"/>
                <w:szCs w:val="24"/>
                <w:color w:val="auto"/>
              </w:rPr>
            </w:pPr>
          </w:p>
        </w:tc>
      </w:tr>
      <w:tr>
        <w:trPr>
          <w:trHeight w:val="405"/>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REGENERON PHARMACEUTICALS, INC.</w:t>
            </w:r>
          </w:p>
        </w:tc>
        <w:tc>
          <w:tcPr>
            <w:tcW w:w="2800" w:type="dxa"/>
            <w:vAlign w:val="bottom"/>
          </w:tcPr>
          <w:p>
            <w:pPr>
              <w:spacing w:after="0"/>
              <w:rPr>
                <w:sz w:val="24"/>
                <w:szCs w:val="24"/>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2800" w:type="dxa"/>
            <w:vAlign w:val="bottom"/>
          </w:tcPr>
          <w:p>
            <w:pPr>
              <w:spacing w:after="0"/>
              <w:rPr>
                <w:sz w:val="17"/>
                <w:szCs w:val="17"/>
                <w:color w:val="auto"/>
              </w:rPr>
            </w:pPr>
          </w:p>
        </w:tc>
      </w:tr>
      <w:tr>
        <w:trPr>
          <w:trHeight w:val="405"/>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w:t>
            </w:r>
          </w:p>
        </w:tc>
        <w:tc>
          <w:tcPr>
            <w:tcW w:w="2800" w:type="dxa"/>
            <w:vAlign w:val="bottom"/>
          </w:tcPr>
          <w:p>
            <w:pPr>
              <w:spacing w:after="0"/>
              <w:rPr>
                <w:sz w:val="24"/>
                <w:szCs w:val="24"/>
                <w:color w:val="auto"/>
              </w:rPr>
            </w:pPr>
          </w:p>
        </w:tc>
      </w:tr>
      <w:tr>
        <w:trPr>
          <w:trHeight w:val="810"/>
        </w:trPr>
        <w:tc>
          <w:tcPr>
            <w:tcW w:w="7000" w:type="dxa"/>
            <w:vAlign w:val="bottom"/>
          </w:tcPr>
          <w:p>
            <w:pPr>
              <w:jc w:val="center"/>
              <w:ind w:right="2712"/>
              <w:spacing w:after="0"/>
              <w:rPr>
                <w:sz w:val="20"/>
                <w:szCs w:val="20"/>
                <w:color w:val="auto"/>
              </w:rPr>
            </w:pPr>
            <w:r>
              <w:rPr>
                <w:rFonts w:ascii="Courier New" w:cs="Courier New" w:eastAsia="Courier New" w:hAnsi="Courier New"/>
                <w:sz w:val="18"/>
                <w:szCs w:val="18"/>
                <w:color w:val="auto"/>
                <w:w w:val="97"/>
              </w:rPr>
              <w:t>NEW YORK</w:t>
            </w:r>
          </w:p>
        </w:tc>
        <w:tc>
          <w:tcPr>
            <w:tcW w:w="2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13-3444607</w:t>
            </w:r>
          </w:p>
        </w:tc>
      </w:tr>
      <w:tr>
        <w:trPr>
          <w:trHeight w:val="203"/>
        </w:trPr>
        <w:tc>
          <w:tcPr>
            <w:tcW w:w="7000" w:type="dxa"/>
            <w:vAlign w:val="bottom"/>
          </w:tcPr>
          <w:p>
            <w:pPr>
              <w:jc w:val="center"/>
              <w:ind w:right="281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8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7000" w:type="dxa"/>
            <w:vAlign w:val="bottom"/>
          </w:tcPr>
          <w:p>
            <w:pPr>
              <w:jc w:val="center"/>
              <w:ind w:right="271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7000" w:type="dxa"/>
            <w:vAlign w:val="bottom"/>
          </w:tcPr>
          <w:p>
            <w:pPr>
              <w:jc w:val="center"/>
              <w:ind w:left="3552"/>
              <w:spacing w:after="0" w:line="203" w:lineRule="exact"/>
              <w:rPr>
                <w:sz w:val="20"/>
                <w:szCs w:val="20"/>
                <w:color w:val="auto"/>
              </w:rPr>
            </w:pPr>
            <w:r>
              <w:rPr>
                <w:rFonts w:ascii="Courier New" w:cs="Courier New" w:eastAsia="Courier New" w:hAnsi="Courier New"/>
                <w:sz w:val="18"/>
                <w:szCs w:val="18"/>
                <w:color w:val="auto"/>
                <w:w w:val="97"/>
              </w:rPr>
              <w:t>777 OLD SAW MILL RIVER ROAD</w:t>
            </w:r>
          </w:p>
        </w:tc>
        <w:tc>
          <w:tcPr>
            <w:tcW w:w="2800" w:type="dxa"/>
            <w:vAlign w:val="bottom"/>
          </w:tcPr>
          <w:p>
            <w:pPr>
              <w:spacing w:after="0"/>
              <w:rPr>
                <w:sz w:val="17"/>
                <w:szCs w:val="17"/>
                <w:color w:val="auto"/>
              </w:rPr>
            </w:pPr>
          </w:p>
        </w:tc>
      </w:tr>
      <w:tr>
        <w:trPr>
          <w:trHeight w:val="203"/>
        </w:trPr>
        <w:tc>
          <w:tcPr>
            <w:tcW w:w="7000" w:type="dxa"/>
            <w:vAlign w:val="bottom"/>
          </w:tcPr>
          <w:p>
            <w:pPr>
              <w:jc w:val="center"/>
              <w:ind w:left="3552"/>
              <w:spacing w:after="0" w:line="203" w:lineRule="exact"/>
              <w:rPr>
                <w:sz w:val="20"/>
                <w:szCs w:val="20"/>
                <w:color w:val="auto"/>
              </w:rPr>
            </w:pPr>
            <w:r>
              <w:rPr>
                <w:rFonts w:ascii="Courier New" w:cs="Courier New" w:eastAsia="Courier New" w:hAnsi="Courier New"/>
                <w:sz w:val="18"/>
                <w:szCs w:val="18"/>
                <w:color w:val="auto"/>
                <w:w w:val="97"/>
              </w:rPr>
              <w:t>TARRYTOWN, NEW YORK 10591</w:t>
            </w:r>
          </w:p>
        </w:tc>
        <w:tc>
          <w:tcPr>
            <w:tcW w:w="2800" w:type="dxa"/>
            <w:vAlign w:val="bottom"/>
          </w:tcPr>
          <w:p>
            <w:pPr>
              <w:spacing w:after="0"/>
              <w:rPr>
                <w:sz w:val="17"/>
                <w:szCs w:val="17"/>
                <w:color w:val="auto"/>
              </w:rPr>
            </w:pPr>
          </w:p>
        </w:tc>
      </w:tr>
      <w:tr>
        <w:trPr>
          <w:trHeight w:val="203"/>
        </w:trPr>
        <w:tc>
          <w:tcPr>
            <w:tcW w:w="7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(914) 347-7000</w:t>
            </w:r>
          </w:p>
        </w:tc>
        <w:tc>
          <w:tcPr>
            <w:tcW w:w="2800" w:type="dxa"/>
            <w:vAlign w:val="bottom"/>
          </w:tcPr>
          <w:p>
            <w:pPr>
              <w:spacing w:after="0"/>
              <w:rPr>
                <w:sz w:val="17"/>
                <w:szCs w:val="17"/>
                <w:color w:val="auto"/>
              </w:rPr>
            </w:pPr>
          </w:p>
        </w:tc>
      </w:tr>
      <w:tr>
        <w:trPr>
          <w:trHeight w:val="203"/>
        </w:trPr>
        <w:tc>
          <w:tcPr>
            <w:tcW w:w="980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(Address, including zip code and telephone number,</w:t>
            </w:r>
          </w:p>
        </w:tc>
      </w:tr>
      <w:tr>
        <w:trPr>
          <w:trHeight w:val="203"/>
        </w:trPr>
        <w:tc>
          <w:tcPr>
            <w:tcW w:w="9800" w:type="dxa"/>
            <w:vAlign w:val="bottom"/>
            <w:gridSpan w:val="2"/>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including area code, of registrant's principal executive offices)</w:t>
            </w:r>
          </w:p>
        </w:tc>
      </w:tr>
      <w:tr>
        <w:trPr>
          <w:trHeight w:val="608"/>
        </w:trPr>
        <w:tc>
          <w:tcPr>
            <w:tcW w:w="7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w:t>
            </w:r>
          </w:p>
        </w:tc>
        <w:tc>
          <w:tcPr>
            <w:tcW w:w="2800" w:type="dxa"/>
            <w:vAlign w:val="bottom"/>
          </w:tcPr>
          <w:p>
            <w:pPr>
              <w:spacing w:after="0"/>
              <w:rPr>
                <w:sz w:val="24"/>
                <w:szCs w:val="24"/>
                <w:color w:val="auto"/>
              </w:rPr>
            </w:pPr>
          </w:p>
        </w:tc>
      </w:tr>
      <w:tr>
        <w:trPr>
          <w:trHeight w:val="405"/>
        </w:trPr>
        <w:tc>
          <w:tcPr>
            <w:tcW w:w="700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STUART A. KOLINSKI, ESQ.</w:t>
            </w:r>
          </w:p>
        </w:tc>
        <w:tc>
          <w:tcPr>
            <w:tcW w:w="2800" w:type="dxa"/>
            <w:vAlign w:val="bottom"/>
          </w:tcPr>
          <w:p>
            <w:pPr>
              <w:spacing w:after="0"/>
              <w:rPr>
                <w:sz w:val="24"/>
                <w:szCs w:val="24"/>
                <w:color w:val="auto"/>
              </w:rPr>
            </w:pPr>
          </w:p>
        </w:tc>
      </w:tr>
      <w:tr>
        <w:trPr>
          <w:trHeight w:val="203"/>
        </w:trPr>
        <w:tc>
          <w:tcPr>
            <w:tcW w:w="7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GENERAL COUNSEL</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REGENERON PHARMACEUTICALS, INC.</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777 OLD SAW MILL RIVER ROAD</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TARRYTOWN, NEW YORK 10591-6707</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(914) 347-7000</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(Name, address, including zip code and telephone number,</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including area code, of agent for service)</w:t>
            </w:r>
          </w:p>
        </w:tc>
        <w:tc>
          <w:tcPr>
            <w:tcW w:w="2800" w:type="dxa"/>
            <w:vAlign w:val="bottom"/>
          </w:tcPr>
          <w:p>
            <w:pPr>
              <w:spacing w:after="0"/>
              <w:rPr>
                <w:sz w:val="17"/>
                <w:szCs w:val="17"/>
                <w:color w:val="auto"/>
              </w:rPr>
            </w:pPr>
          </w:p>
        </w:tc>
      </w:tr>
      <w:tr>
        <w:trPr>
          <w:trHeight w:val="203"/>
        </w:trPr>
        <w:tc>
          <w:tcPr>
            <w:tcW w:w="7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6"/>
              </w:rPr>
              <w:t>COPIES TO:</w:t>
            </w:r>
          </w:p>
        </w:tc>
        <w:tc>
          <w:tcPr>
            <w:tcW w:w="2800" w:type="dxa"/>
            <w:vAlign w:val="bottom"/>
          </w:tcPr>
          <w:p>
            <w:pPr>
              <w:spacing w:after="0"/>
              <w:rPr>
                <w:sz w:val="17"/>
                <w:szCs w:val="17"/>
                <w:color w:val="auto"/>
              </w:rPr>
            </w:pPr>
          </w:p>
        </w:tc>
      </w:tr>
      <w:tr>
        <w:trPr>
          <w:trHeight w:val="810"/>
        </w:trPr>
        <w:tc>
          <w:tcPr>
            <w:tcW w:w="7000" w:type="dxa"/>
            <w:vAlign w:val="bottom"/>
          </w:tcPr>
          <w:p>
            <w:pPr>
              <w:jc w:val="center"/>
              <w:ind w:right="2692"/>
              <w:spacing w:after="0"/>
              <w:rPr>
                <w:sz w:val="20"/>
                <w:szCs w:val="20"/>
                <w:color w:val="auto"/>
              </w:rPr>
            </w:pPr>
            <w:r>
              <w:rPr>
                <w:rFonts w:ascii="Courier New" w:cs="Courier New" w:eastAsia="Courier New" w:hAnsi="Courier New"/>
                <w:sz w:val="18"/>
                <w:szCs w:val="18"/>
                <w:color w:val="auto"/>
                <w:w w:val="97"/>
              </w:rPr>
              <w:t>DAVID J. GOLDSCHMIDT, ESQ.</w:t>
            </w:r>
          </w:p>
        </w:tc>
        <w:tc>
          <w:tcPr>
            <w:tcW w:w="28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JI HOON HONG, ESQ.</w:t>
            </w:r>
          </w:p>
        </w:tc>
      </w:tr>
      <w:tr>
        <w:trPr>
          <w:trHeight w:val="203"/>
        </w:trPr>
        <w:tc>
          <w:tcPr>
            <w:tcW w:w="7000" w:type="dxa"/>
            <w:vAlign w:val="bottom"/>
          </w:tcPr>
          <w:p>
            <w:pPr>
              <w:jc w:val="center"/>
              <w:ind w:right="2692"/>
              <w:spacing w:after="0" w:line="203" w:lineRule="exact"/>
              <w:rPr>
                <w:sz w:val="20"/>
                <w:szCs w:val="20"/>
                <w:color w:val="auto"/>
              </w:rPr>
            </w:pPr>
            <w:r>
              <w:rPr>
                <w:rFonts w:ascii="Courier New" w:cs="Courier New" w:eastAsia="Courier New" w:hAnsi="Courier New"/>
                <w:sz w:val="18"/>
                <w:szCs w:val="18"/>
                <w:color w:val="auto"/>
                <w:w w:val="97"/>
              </w:rPr>
              <w:t>SKADDEN, ARPS, SLATE, MEAGHER &amp; FLOM LLP</w:t>
            </w:r>
          </w:p>
        </w:tc>
        <w:tc>
          <w:tcPr>
            <w:tcW w:w="2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SHEARMAN &amp; STERLING</w:t>
            </w:r>
          </w:p>
        </w:tc>
      </w:tr>
      <w:tr>
        <w:trPr>
          <w:trHeight w:val="203"/>
        </w:trPr>
        <w:tc>
          <w:tcPr>
            <w:tcW w:w="7000" w:type="dxa"/>
            <w:vAlign w:val="bottom"/>
          </w:tcPr>
          <w:p>
            <w:pPr>
              <w:jc w:val="center"/>
              <w:ind w:right="2792"/>
              <w:spacing w:after="0" w:line="203" w:lineRule="exact"/>
              <w:rPr>
                <w:sz w:val="20"/>
                <w:szCs w:val="20"/>
                <w:color w:val="auto"/>
              </w:rPr>
            </w:pPr>
            <w:r>
              <w:rPr>
                <w:rFonts w:ascii="Courier New" w:cs="Courier New" w:eastAsia="Courier New" w:hAnsi="Courier New"/>
                <w:sz w:val="18"/>
                <w:szCs w:val="18"/>
                <w:color w:val="auto"/>
                <w:w w:val="98"/>
              </w:rPr>
              <w:t>FOUR TIMES SQUARE</w:t>
            </w:r>
          </w:p>
        </w:tc>
        <w:tc>
          <w:tcPr>
            <w:tcW w:w="28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599 LEXINGTON AVENUE</w:t>
            </w:r>
          </w:p>
        </w:tc>
      </w:tr>
      <w:tr>
        <w:trPr>
          <w:trHeight w:val="203"/>
        </w:trPr>
        <w:tc>
          <w:tcPr>
            <w:tcW w:w="7000" w:type="dxa"/>
            <w:vAlign w:val="bottom"/>
          </w:tcPr>
          <w:p>
            <w:pPr>
              <w:jc w:val="center"/>
              <w:ind w:right="2812"/>
              <w:spacing w:after="0" w:line="203" w:lineRule="exact"/>
              <w:rPr>
                <w:sz w:val="20"/>
                <w:szCs w:val="20"/>
                <w:color w:val="auto"/>
              </w:rPr>
            </w:pPr>
            <w:r>
              <w:rPr>
                <w:rFonts w:ascii="Courier New" w:cs="Courier New" w:eastAsia="Courier New" w:hAnsi="Courier New"/>
                <w:sz w:val="18"/>
                <w:szCs w:val="18"/>
                <w:color w:val="auto"/>
                <w:w w:val="97"/>
              </w:rPr>
              <w:t>NEW YORK, NEW YORK 10036-6522</w:t>
            </w:r>
          </w:p>
        </w:tc>
        <w:tc>
          <w:tcPr>
            <w:tcW w:w="28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NEW YORK, NEW YORK 10022</w:t>
            </w:r>
          </w:p>
        </w:tc>
      </w:tr>
      <w:tr>
        <w:trPr>
          <w:trHeight w:val="203"/>
        </w:trPr>
        <w:tc>
          <w:tcPr>
            <w:tcW w:w="7000" w:type="dxa"/>
            <w:vAlign w:val="bottom"/>
          </w:tcPr>
          <w:p>
            <w:pPr>
              <w:jc w:val="center"/>
              <w:ind w:right="2692"/>
              <w:spacing w:after="0" w:line="203" w:lineRule="exact"/>
              <w:rPr>
                <w:sz w:val="20"/>
                <w:szCs w:val="20"/>
                <w:color w:val="auto"/>
              </w:rPr>
            </w:pPr>
            <w:r>
              <w:rPr>
                <w:rFonts w:ascii="Courier New" w:cs="Courier New" w:eastAsia="Courier New" w:hAnsi="Courier New"/>
                <w:sz w:val="18"/>
                <w:szCs w:val="18"/>
                <w:color w:val="auto"/>
                <w:w w:val="96"/>
              </w:rPr>
              <w:t>(212) 735-3000</w:t>
            </w:r>
          </w:p>
        </w:tc>
        <w:tc>
          <w:tcPr>
            <w:tcW w:w="2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(212) 848-4000</w:t>
            </w:r>
          </w:p>
        </w:tc>
      </w:tr>
    </w:tbl>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520"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6" w:lineRule="exact"/>
        <w:rPr>
          <w:sz w:val="24"/>
          <w:szCs w:val="24"/>
          <w:color w:val="auto"/>
        </w:rPr>
      </w:pPr>
    </w:p>
    <w:p>
      <w:pPr>
        <w:ind w:right="2520"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6" w:lineRule="exact"/>
        <w:rPr>
          <w:sz w:val="24"/>
          <w:szCs w:val="24"/>
          <w:color w:val="auto"/>
        </w:rPr>
      </w:pPr>
    </w:p>
    <w:p>
      <w:pPr>
        <w:ind w:right="2420"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 w:lineRule="exact"/>
        <w:rPr>
          <w:sz w:val="24"/>
          <w:szCs w:val="24"/>
          <w:color w:val="auto"/>
        </w:rPr>
      </w:pPr>
    </w:p>
    <w:p>
      <w:pPr>
        <w:ind w:right="2420"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2740" w:firstLine="421"/>
        <w:spacing w:after="0" w:line="279"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w:t>
      </w:r>
    </w:p>
    <w:p>
      <w:pPr>
        <w:sectPr>
          <w:pgSz w:w="11900" w:h="16884" w:orient="portrait"/>
          <w:cols w:equalWidth="0" w:num="1">
            <w:col w:w="10860"/>
          </w:cols>
          <w:pgMar w:left="240" w:top="852" w:right="799" w:bottom="0" w:gutter="0" w:footer="0" w:header="0"/>
        </w:sectPr>
      </w:pPr>
    </w:p>
    <w:bookmarkStart w:id="1" w:name="page2"/>
    <w:bookmarkEnd w:id="1"/>
    <w:p>
      <w:pPr>
        <w:spacing w:after="0"/>
        <w:tabs>
          <w:tab w:leader="none" w:pos="2520" w:val="left"/>
        </w:tabs>
        <w:rPr>
          <w:sz w:val="20"/>
          <w:szCs w:val="20"/>
          <w:color w:val="auto"/>
        </w:rPr>
      </w:pPr>
      <w:r>
        <w:rPr>
          <w:rFonts w:ascii="Courier New" w:cs="Courier New" w:eastAsia="Courier New" w:hAnsi="Courier New"/>
          <w:sz w:val="18"/>
          <w:szCs w:val="18"/>
          <w:color w:val="auto"/>
        </w:rPr>
        <w:t>for the same offering.</w:t>
      </w:r>
      <w:r>
        <w:rPr>
          <w:sz w:val="20"/>
          <w:szCs w:val="20"/>
          <w:color w:val="auto"/>
        </w:rPr>
        <w:tab/>
      </w:r>
      <w:r>
        <w:rPr>
          <w:rFonts w:ascii="Courier New" w:cs="Courier New" w:eastAsia="Courier New" w:hAnsi="Courier New"/>
          <w:sz w:val="16"/>
          <w:szCs w:val="16"/>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SUBJECT TO COMPLETION</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PRELIMINARY PROSPECTUS DATED JANUARY 23, 2002</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1380"/>
        <w:spacing w:after="0" w:line="238" w:lineRule="auto"/>
        <w:rPr>
          <w:sz w:val="20"/>
          <w:szCs w:val="20"/>
          <w:color w:val="auto"/>
        </w:rPr>
      </w:pPr>
      <w:r>
        <w:rPr>
          <w:rFonts w:ascii="Courier New" w:cs="Courier New" w:eastAsia="Courier New" w:hAnsi="Courier New"/>
          <w:sz w:val="18"/>
          <w:szCs w:val="18"/>
          <w:color w:val="auto"/>
        </w:rPr>
        <w:t>5 1/2% CONVERTIBLE SENIOR SUBORDINATED NOTES DUE 2008</w:t>
      </w:r>
    </w:p>
    <w:p>
      <w:pPr>
        <w:ind w:left="860"/>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17, 2001, we issued and sold $200,000,000 aggregate principal amount of our 5 1/2% Convertible Senior Subordinated Notes due 2008 in a private placement. This prospectus will be used by selling securityholders to resell the notes and register and sell the common stock issuable upon conversion of the notes.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subject to adjustment.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will pay interest on the notes on April 17 and October 17 of each year, beginning April 17, 2002. The notes will mature on October 17, 2008.</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provisionally redeem some or all of the notes at any time before October 17, 2004 at prices set forth in this prospectus under "Description of Notes -- Provisional Redemption by Regeneron." We may also optionally redeem some or all of the notes at any time on or after October 17, 2004, at prices set forth in this prospectus under "Description of Notes -- Optional Redemption by Regeneron."</w:t>
      </w:r>
    </w:p>
    <w:p>
      <w:pPr>
        <w:spacing w:after="0" w:line="210"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notes are unsecured (except to the extent described in this prospectus) and subordinated to our existing and future senior indebtedness. The notes will rank equally with our existing and future senior subordinated indebtedness.</w:t>
      </w:r>
    </w:p>
    <w:p>
      <w:pPr>
        <w:spacing w:after="0" w:line="17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have pledged a portfolio of U.S. government securities as security for the notes, in an amount sufficient to pay the first six scheduled interest payments on the notes.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common stock is quoted on the Nasdaq National Market under the symbol "REGN." On January 18, 2002, the closing bid price of our common stock as reported on the Nasdaq National Market was $27.43 per share.</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INVESTING IN THE NOTES INVOLVES RISKS THAT ARE DESCRIBED IN THE "RISK FACTORS" SECTION BEGINNING ON PAGE 5 OF THIS PROSPECTUS.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selling securityholders use any broker-dealers, any commission paid to broker-dealers and, if broker-dealers purchase any notes or shares of common stock as principals, any profits received by such broker-dealers on the resale of the notes or shares of common stock may be deemed to be underwriting discounts or commissions under the Securities Act.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23, 2002.</w:t>
      </w:r>
    </w:p>
    <w:p>
      <w:pPr>
        <w:sectPr>
          <w:pgSz w:w="11900" w:h="16838" w:orient="portrait"/>
          <w:cols w:equalWidth="0" w:num="1">
            <w:col w:w="10219"/>
          </w:cols>
          <w:pgMar w:left="240" w:top="723"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w:t>
      </w:r>
    </w:p>
    <w:p>
      <w:pPr>
        <w:spacing w:after="0"/>
        <w:tabs>
          <w:tab w:leader="none" w:pos="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w:t>
      </w:r>
    </w:p>
    <w:p>
      <w:pPr>
        <w:ind w:left="2860"/>
        <w:spacing w:after="0"/>
        <w:rPr>
          <w:sz w:val="20"/>
          <w:szCs w:val="20"/>
          <w:color w:val="auto"/>
        </w:rPr>
      </w:pPr>
      <w:r>
        <w:rPr>
          <w:rFonts w:ascii="Courier New" w:cs="Courier New" w:eastAsia="Courier New" w:hAnsi="Courier New"/>
          <w:sz w:val="18"/>
          <w:szCs w:val="18"/>
          <w:color w:val="auto"/>
        </w:rPr>
        <w:t>1 Risk</w:t>
      </w:r>
    </w:p>
    <w:p>
      <w:pPr>
        <w:ind w:left="160"/>
        <w:spacing w:after="0" w:line="237" w:lineRule="auto"/>
        <w:tabs>
          <w:tab w:leader="dot" w:pos="60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8"/>
          <w:szCs w:val="18"/>
          <w:color w:val="auto"/>
        </w:rPr>
        <w:t>5</w:t>
      </w:r>
    </w:p>
    <w:p>
      <w:pPr>
        <w:ind w:left="1800"/>
        <w:spacing w:after="0" w:line="238" w:lineRule="auto"/>
        <w:rPr>
          <w:sz w:val="20"/>
          <w:szCs w:val="20"/>
          <w:color w:val="auto"/>
        </w:rPr>
      </w:pPr>
      <w:r>
        <w:rPr>
          <w:rFonts w:ascii="Courier New" w:cs="Courier New" w:eastAsia="Courier New" w:hAnsi="Courier New"/>
          <w:sz w:val="18"/>
          <w:szCs w:val="18"/>
          <w:color w:val="auto"/>
        </w:rPr>
        <w:t>Ratio of Earnings to Fixed</w:t>
      </w:r>
    </w:p>
    <w:p>
      <w:pPr>
        <w:ind w:left="900"/>
        <w:spacing w:after="0"/>
        <w:tabs>
          <w:tab w:leader="dot" w:pos="446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14 Use of</w:t>
      </w:r>
    </w:p>
    <w:p>
      <w:pPr>
        <w:ind w:left="220"/>
        <w:spacing w:after="0" w:line="237"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14</w:t>
      </w:r>
    </w:p>
    <w:p>
      <w:pPr>
        <w:ind w:left="2740"/>
        <w:spacing w:after="0"/>
        <w:rPr>
          <w:sz w:val="20"/>
          <w:szCs w:val="20"/>
          <w:color w:val="auto"/>
        </w:rPr>
      </w:pPr>
      <w:r>
        <w:rPr>
          <w:rFonts w:ascii="Courier New" w:cs="Courier New" w:eastAsia="Courier New" w:hAnsi="Courier New"/>
          <w:sz w:val="18"/>
          <w:szCs w:val="18"/>
          <w:color w:val="auto"/>
        </w:rPr>
        <w:t>Dividend</w:t>
      </w:r>
    </w:p>
    <w:p>
      <w:pPr>
        <w:ind w:left="320"/>
        <w:spacing w:after="0" w:line="237" w:lineRule="auto"/>
        <w:tabs>
          <w:tab w:leader="dot" w:pos="5780" w:val="left"/>
        </w:tabs>
        <w:rPr>
          <w:sz w:val="20"/>
          <w:szCs w:val="20"/>
          <w:color w:val="auto"/>
        </w:rPr>
      </w:pPr>
      <w:r>
        <w:rPr>
          <w:rFonts w:ascii="Courier New" w:cs="Courier New" w:eastAsia="Courier New" w:hAnsi="Courier New"/>
          <w:sz w:val="18"/>
          <w:szCs w:val="18"/>
          <w:color w:val="auto"/>
        </w:rPr>
        <w:t>Policy</w:t>
      </w:r>
      <w:r>
        <w:rPr>
          <w:sz w:val="20"/>
          <w:szCs w:val="20"/>
          <w:color w:val="auto"/>
        </w:rPr>
        <w:tab/>
      </w:r>
      <w:r>
        <w:rPr>
          <w:rFonts w:ascii="Courier New" w:cs="Courier New" w:eastAsia="Courier New" w:hAnsi="Courier New"/>
          <w:sz w:val="18"/>
          <w:szCs w:val="18"/>
          <w:color w:val="auto"/>
        </w:rPr>
        <w:t>14</w:t>
      </w:r>
    </w:p>
    <w:p>
      <w:pPr>
        <w:ind w:left="2220"/>
        <w:spacing w:after="0"/>
        <w:rPr>
          <w:sz w:val="20"/>
          <w:szCs w:val="20"/>
          <w:color w:val="auto"/>
        </w:rPr>
      </w:pPr>
      <w:r>
        <w:rPr>
          <w:rFonts w:ascii="Courier New" w:cs="Courier New" w:eastAsia="Courier New" w:hAnsi="Courier New"/>
          <w:sz w:val="18"/>
          <w:szCs w:val="18"/>
          <w:color w:val="auto"/>
        </w:rPr>
        <w:t>Description of the</w:t>
      </w:r>
    </w:p>
    <w:p>
      <w:pPr>
        <w:ind w:left="60"/>
        <w:spacing w:after="0"/>
        <w:tabs>
          <w:tab w:leader="dot" w:pos="44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15 Description of</w:t>
      </w:r>
    </w:p>
    <w:p>
      <w:pPr>
        <w:ind w:left="220"/>
        <w:spacing w:after="0"/>
        <w:tabs>
          <w:tab w:leader="dot" w:pos="504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6"/>
          <w:szCs w:val="16"/>
          <w:color w:val="auto"/>
        </w:rPr>
        <w:t>30 Selling</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Securityholders</w:t>
      </w:r>
      <w:r>
        <w:rPr>
          <w:sz w:val="20"/>
          <w:szCs w:val="20"/>
          <w:color w:val="auto"/>
        </w:rPr>
        <w:tab/>
      </w:r>
      <w:r>
        <w:rPr>
          <w:rFonts w:ascii="Courier New" w:cs="Courier New" w:eastAsia="Courier New" w:hAnsi="Courier New"/>
          <w:sz w:val="16"/>
          <w:szCs w:val="16"/>
          <w:color w:val="auto"/>
        </w:rPr>
        <w:t>32</w:t>
      </w:r>
    </w:p>
    <w:p>
      <w:pPr>
        <w:ind w:left="2800"/>
        <w:spacing w:after="0" w:line="237" w:lineRule="auto"/>
        <w:rPr>
          <w:sz w:val="20"/>
          <w:szCs w:val="20"/>
          <w:color w:val="auto"/>
        </w:rPr>
      </w:pPr>
      <w:r>
        <w:rPr>
          <w:rFonts w:ascii="Courier New" w:cs="Courier New" w:eastAsia="Courier New" w:hAnsi="Courier New"/>
          <w:sz w:val="18"/>
          <w:szCs w:val="18"/>
          <w:color w:val="auto"/>
        </w:rPr>
        <w:t>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34</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36</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references to our "common stock" shall include the rights attached to such common stock in accordance with our shareholder rights plan and references to our "common shares" shall mean, collectively, our shares of common stock and Class A stock.</w:t>
      </w:r>
    </w:p>
    <w:p>
      <w:pPr>
        <w:spacing w:after="0" w:line="17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information and reporting requirements of the Securities Exchange Act of 1934, as amended (the "Exchange Act"), under which we file periodic reports, proxy statements and other information with the SEC. Copies of the reports, proxy statements and other information may be examined without charge at the Public Reference Section of the SEC, 450 Fifth Street, N.W. Room 1024, Washington, D.C. 20549, and the SEC's regional office located at 233 Broadway, New York, NY 10279 or 500 West Madison Street, Suite 1400, Chicago, IL 60600 or on the Internet at http://www.sec.gov. Copies of all or a portion of such materials can be obtained from the Public Reference Section of the SEC upon payment of prescribed fees. Please call the SEC at 800-SEC-0330 for further information about the Public Reference Room.</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215" w:lineRule="exact"/>
        <w:rPr>
          <w:sz w:val="20"/>
          <w:szCs w:val="20"/>
          <w:color w:val="auto"/>
        </w:rPr>
      </w:pPr>
    </w:p>
    <w:p>
      <w:pPr>
        <w:ind w:left="960" w:right="20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Statements filed on April 30, 2001 and November 21, 2001;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w:t>
      </w:r>
    </w:p>
    <w:p>
      <w:pPr>
        <w:spacing w:after="0" w:line="206"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quarters ended March 31, 2001, June 30, 2001 and September 30, 2001;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October 12, 2001; and</w:t>
      </w:r>
    </w:p>
    <w:p>
      <w:pPr>
        <w:spacing w:after="0" w:line="206"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Item 1 of our Registration Statement on Form 8-A filed on February 20, 1991, as amended by a Form 8 filed on March 27, 1991.</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4" w:name="page5"/>
    <w:bookmarkEnd w:id="4"/>
    <w:p>
      <w:pPr>
        <w:ind w:right="27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Regeneron Pharmaceuticals, Inc.</w:t>
      </w:r>
    </w:p>
    <w:p>
      <w:pPr>
        <w:ind w:left="5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540"/>
        <w:spacing w:after="0"/>
        <w:rPr>
          <w:sz w:val="20"/>
          <w:szCs w:val="20"/>
          <w:color w:val="auto"/>
        </w:rPr>
      </w:pPr>
      <w:r>
        <w:rPr>
          <w:rFonts w:ascii="Courier New" w:cs="Courier New" w:eastAsia="Courier New" w:hAnsi="Courier New"/>
          <w:sz w:val="18"/>
          <w:szCs w:val="18"/>
          <w:color w:val="auto"/>
        </w:rPr>
        <w:t>Tarrytown, New York 10591-6707</w:t>
      </w:r>
    </w:p>
    <w:p>
      <w:pPr>
        <w:ind w:left="540"/>
        <w:spacing w:after="0" w:line="237" w:lineRule="auto"/>
        <w:rPr>
          <w:sz w:val="20"/>
          <w:szCs w:val="20"/>
          <w:color w:val="auto"/>
        </w:rPr>
      </w:pPr>
      <w:r>
        <w:rPr>
          <w:rFonts w:ascii="Courier New" w:cs="Courier New" w:eastAsia="Courier New" w:hAnsi="Courier New"/>
          <w:sz w:val="18"/>
          <w:szCs w:val="18"/>
          <w:color w:val="auto"/>
        </w:rPr>
        <w:t>(917) 347-7000</w:t>
      </w:r>
    </w:p>
    <w:p>
      <w:pPr>
        <w:ind w:left="540"/>
        <w:spacing w:after="0" w:line="238" w:lineRule="auto"/>
        <w:rPr>
          <w:sz w:val="20"/>
          <w:szCs w:val="20"/>
          <w:color w:val="auto"/>
        </w:rPr>
      </w:pPr>
      <w:r>
        <w:rPr>
          <w:rFonts w:ascii="Courier New" w:cs="Courier New" w:eastAsia="Courier New" w:hAnsi="Courier New"/>
          <w:sz w:val="18"/>
          <w:szCs w:val="18"/>
          <w:color w:val="auto"/>
        </w:rPr>
        <w:t>Attention: Murray A. Goldberg</w:t>
      </w:r>
    </w:p>
    <w:p>
      <w:pPr>
        <w:ind w:left="540"/>
        <w:spacing w:after="0"/>
        <w:rPr>
          <w:sz w:val="20"/>
          <w:szCs w:val="20"/>
          <w:color w:val="auto"/>
        </w:rPr>
      </w:pPr>
      <w:r>
        <w:rPr>
          <w:rFonts w:ascii="Courier New" w:cs="Courier New" w:eastAsia="Courier New" w:hAnsi="Courier New"/>
          <w:sz w:val="18"/>
          <w:szCs w:val="18"/>
          <w:color w:val="auto"/>
        </w:rPr>
        <w:t>Chief Financial Officer</w:t>
      </w:r>
    </w:p>
    <w:p>
      <w:pPr>
        <w:spacing w:after="0" w:line="20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Exhibits to the filings will not be sent, however, unless those exhibits have specifically been incorporated by reference in this document.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23" w:right="1440" w:bottom="1440" w:gutter="0" w:footer="0" w:header="0"/>
        </w:sectPr>
      </w:pPr>
    </w:p>
    <w:bookmarkStart w:id="5" w:name="page6"/>
    <w:bookmarkEnd w:id="5"/>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This prospectus and the documents incorporated by reference herein include forward-looking statements. We have based these forward-looking statements on our current expectations and projections about future events. These forward-looking statements include, among other things, statements relating to:</w:t>
      </w:r>
    </w:p>
    <w:p>
      <w:pPr>
        <w:spacing w:after="0" w:line="177" w:lineRule="exact"/>
        <w:rPr>
          <w:sz w:val="20"/>
          <w:szCs w:val="20"/>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business strategies;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clinical trials;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relationships with collaborators;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expenditures;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conduct clinical trials and obtain regulatory approval.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forward-looking statements included in this prospectus or in the documents incorporated by reference herein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391"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Exchange Act.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core business strategy is to combine our strong foundation in science and technology with state-of-the-art manufacturing and clinical development capabilities to build a successful, integrated</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We are a New York corporation organized on January 8, 1988. Our executive offices are at 777 Old Saw Mill River Road, Tarrytown, New York 10591-6707 and our telephone number is (914) 347-7000.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THE OFFERING</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following is a brief summary of the terms of the notes. For a more complete description of the notes, see "Description of the Notes" in this prospectus.</w:t>
      </w:r>
    </w:p>
    <w:p>
      <w:pPr>
        <w:sectPr>
          <w:pgSz w:w="11900" w:h="16838" w:orient="portrait"/>
          <w:cols w:equalWidth="0" w:num="1">
            <w:col w:w="10219"/>
          </w:cols>
          <w:pgMar w:left="240" w:top="717" w:right="1440" w:bottom="564"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$200,000,000 aggregate principal amount of 5 1/2% Convertible Senior Subordinated Notes due 2008.</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17, 2008.</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5 1/2% per annum on the principal amount, payable semi-annually on April 17 and October 17 of each year, beginning April 17, 2002.</w:t>
      </w:r>
    </w:p>
    <w:p>
      <w:pPr>
        <w:spacing w:after="0" w:line="178"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The conversion price is subject to adjustment.</w:t>
      </w:r>
    </w:p>
    <w:p>
      <w:pPr>
        <w:spacing w:after="0" w:line="188"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Security......................</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We have purchased and pledged to the trustee under the indenture, as security for the notes and for the exclusive benefit of the holders of the notes, $31.6 million of U.S. government securities, which will be sufficient upon receipt of scheduled principal and interest payments thereon, to provide for the payment in full of the first six scheduled interest payments on the notes when due. The notes will not otherwise be secured.</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Provisional Redemption........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redeem the notes, in whole or in part, at any time before October 17, 2004 at a redemption price equal to $1,000 per $1,000 principal amount of notes to be redeemed, plus accrued and unpaid interest, if any, to the date of the provisional redemption if (i) the closing price of our common stock has exceeded 150% of the conversion price then in effect for at least 20 trading days within a period of 30 consecutive trading days ending on the trading day before the date on which we mail the provisional redemption notice and (ii) during the period that we are obligated under the registration rights agreement to keep this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Upon any provisional redemption, we will make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 additional "make-whole" payment in cash with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respect to the notes called for redemption in</w:t>
      </w:r>
    </w:p>
    <w:p>
      <w:pPr>
        <w:ind w:left="3480"/>
        <w:spacing w:after="0" w:line="238" w:lineRule="auto"/>
        <w:rPr>
          <w:sz w:val="20"/>
          <w:szCs w:val="20"/>
          <w:color w:val="auto"/>
        </w:rPr>
      </w:pPr>
      <w:r>
        <w:rPr>
          <w:rFonts w:ascii="Courier New" w:cs="Courier New" w:eastAsia="Courier New" w:hAnsi="Courier New"/>
          <w:sz w:val="18"/>
          <w:szCs w:val="18"/>
          <w:color w:val="auto"/>
        </w:rPr>
        <w:t>an amount equal to $165 per $1,000 principal</w:t>
      </w:r>
    </w:p>
    <w:p>
      <w:pPr>
        <w:ind w:left="3480"/>
        <w:spacing w:after="0"/>
        <w:rPr>
          <w:sz w:val="20"/>
          <w:szCs w:val="20"/>
          <w:color w:val="auto"/>
        </w:rPr>
      </w:pPr>
      <w:r>
        <w:rPr>
          <w:rFonts w:ascii="Courier New" w:cs="Courier New" w:eastAsia="Courier New" w:hAnsi="Courier New"/>
          <w:sz w:val="18"/>
          <w:szCs w:val="18"/>
          <w:color w:val="auto"/>
        </w:rPr>
        <w:t>amount of notes, less the amount of any</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interest actually paid on the notes before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provisional redemption date. We will be</w:t>
      </w:r>
    </w:p>
    <w:p>
      <w:pPr>
        <w:ind w:left="3480"/>
        <w:spacing w:after="0" w:line="238" w:lineRule="auto"/>
        <w:rPr>
          <w:sz w:val="20"/>
          <w:szCs w:val="20"/>
          <w:color w:val="auto"/>
        </w:rPr>
      </w:pPr>
      <w:r>
        <w:rPr>
          <w:rFonts w:ascii="Courier New" w:cs="Courier New" w:eastAsia="Courier New" w:hAnsi="Courier New"/>
          <w:sz w:val="18"/>
          <w:szCs w:val="18"/>
          <w:color w:val="auto"/>
        </w:rPr>
        <w:t>obligated to make this additional payment on</w:t>
      </w:r>
    </w:p>
    <w:p>
      <w:pPr>
        <w:ind w:left="3480"/>
        <w:spacing w:after="0"/>
        <w:rPr>
          <w:sz w:val="20"/>
          <w:szCs w:val="20"/>
          <w:color w:val="auto"/>
        </w:rPr>
      </w:pPr>
      <w:r>
        <w:rPr>
          <w:rFonts w:ascii="Courier New" w:cs="Courier New" w:eastAsia="Courier New" w:hAnsi="Courier New"/>
          <w:sz w:val="18"/>
          <w:szCs w:val="18"/>
          <w:color w:val="auto"/>
        </w:rPr>
        <w:t>all notes called for provisional redemption,</w:t>
      </w:r>
    </w:p>
    <w:p>
      <w:pPr>
        <w:ind w:left="3480"/>
        <w:spacing w:after="0" w:line="237" w:lineRule="auto"/>
        <w:rPr>
          <w:sz w:val="20"/>
          <w:szCs w:val="20"/>
          <w:color w:val="auto"/>
        </w:rPr>
      </w:pPr>
      <w:r>
        <w:rPr>
          <w:rFonts w:ascii="Courier New" w:cs="Courier New" w:eastAsia="Courier New" w:hAnsi="Courier New"/>
          <w:sz w:val="18"/>
          <w:szCs w:val="18"/>
          <w:color w:val="auto"/>
        </w:rPr>
        <w:t>including any notes converted after the</w:t>
      </w:r>
    </w:p>
    <w:p>
      <w:pPr>
        <w:ind w:left="3480"/>
        <w:spacing w:after="0" w:line="238" w:lineRule="auto"/>
        <w:rPr>
          <w:sz w:val="20"/>
          <w:szCs w:val="20"/>
          <w:color w:val="auto"/>
        </w:rPr>
      </w:pPr>
      <w:r>
        <w:rPr>
          <w:rFonts w:ascii="Courier New" w:cs="Courier New" w:eastAsia="Courier New" w:hAnsi="Courier New"/>
          <w:sz w:val="18"/>
          <w:szCs w:val="18"/>
          <w:color w:val="auto"/>
        </w:rPr>
        <w:t>provisional redemption notice date and before</w:t>
      </w:r>
    </w:p>
    <w:p>
      <w:pPr>
        <w:ind w:left="3480"/>
        <w:spacing w:after="0"/>
        <w:rPr>
          <w:sz w:val="20"/>
          <w:szCs w:val="20"/>
          <w:color w:val="auto"/>
        </w:rPr>
      </w:pPr>
      <w:r>
        <w:rPr>
          <w:rFonts w:ascii="Courier New" w:cs="Courier New" w:eastAsia="Courier New" w:hAnsi="Courier New"/>
          <w:sz w:val="18"/>
          <w:szCs w:val="18"/>
          <w:color w:val="auto"/>
        </w:rPr>
        <w:t>the provisional redemption date.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564"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may redeem all or a portion of the notes on or after October 17, 2004 at $1,000 per $1,000 principal amount of the notes, plus accrued and unpaid interest, if any, if the closing price of our common stock has exceeded 140% of the conversion price then in effect for at least 20 trading days within a period of 30 consecutive trading days ending on the trading day before the date on which we mail the optional redemption notice.</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sectPr>
      </w:pPr>
    </w:p>
    <w:p>
      <w:pPr>
        <w:spacing w:after="0" w:line="15"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Upon Change of Control.......................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Holders of the notes may require us to repurchase all or part of the holder's notes at 100% of their principal amount, plus accrued and unpaid interest, if any, in certain circumstances involving a change of control. The repurchase price is payable:</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in cash;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at our option, subject to the satisfaction of</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certain conditions, in shares of our common</w:t>
      </w:r>
    </w:p>
    <w:p>
      <w:pPr>
        <w:ind w:left="3700"/>
        <w:spacing w:after="0" w:line="238" w:lineRule="auto"/>
        <w:rPr>
          <w:sz w:val="20"/>
          <w:szCs w:val="20"/>
          <w:color w:val="auto"/>
        </w:rPr>
      </w:pPr>
      <w:r>
        <w:rPr>
          <w:rFonts w:ascii="Courier New" w:cs="Courier New" w:eastAsia="Courier New" w:hAnsi="Courier New"/>
          <w:sz w:val="18"/>
          <w:szCs w:val="18"/>
          <w:color w:val="auto"/>
        </w:rPr>
        <w:t>stock. The number of shares of common stock</w:t>
      </w:r>
    </w:p>
    <w:p>
      <w:pPr>
        <w:ind w:left="3700"/>
        <w:spacing w:after="0"/>
        <w:rPr>
          <w:sz w:val="20"/>
          <w:szCs w:val="20"/>
          <w:color w:val="auto"/>
        </w:rPr>
      </w:pPr>
      <w:r>
        <w:rPr>
          <w:rFonts w:ascii="Courier New" w:cs="Courier New" w:eastAsia="Courier New" w:hAnsi="Courier New"/>
          <w:sz w:val="18"/>
          <w:szCs w:val="18"/>
          <w:color w:val="auto"/>
        </w:rPr>
        <w:t>will equal the repurchase price divided by</w:t>
      </w:r>
    </w:p>
    <w:p>
      <w:pPr>
        <w:ind w:left="3700"/>
        <w:spacing w:after="0" w:line="237" w:lineRule="auto"/>
        <w:rPr>
          <w:sz w:val="20"/>
          <w:szCs w:val="20"/>
          <w:color w:val="auto"/>
        </w:rPr>
      </w:pPr>
      <w:r>
        <w:rPr>
          <w:rFonts w:ascii="Courier New" w:cs="Courier New" w:eastAsia="Courier New" w:hAnsi="Courier New"/>
          <w:sz w:val="18"/>
          <w:szCs w:val="18"/>
          <w:color w:val="auto"/>
        </w:rPr>
        <w:t>95% of the average closing sales prices of</w:t>
      </w:r>
    </w:p>
    <w:p>
      <w:pPr>
        <w:ind w:left="3700"/>
        <w:spacing w:after="0" w:line="238" w:lineRule="auto"/>
        <w:rPr>
          <w:sz w:val="20"/>
          <w:szCs w:val="20"/>
          <w:color w:val="auto"/>
        </w:rPr>
      </w:pPr>
      <w:r>
        <w:rPr>
          <w:rFonts w:ascii="Courier New" w:cs="Courier New" w:eastAsia="Courier New" w:hAnsi="Courier New"/>
          <w:sz w:val="18"/>
          <w:szCs w:val="18"/>
          <w:color w:val="auto"/>
        </w:rPr>
        <w:t>our common stock for the five-trading-day</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ending on the third business day prior</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to the repurchase date.</w:t>
      </w:r>
    </w:p>
    <w:p>
      <w:pPr>
        <w:sectPr>
          <w:pgSz w:w="11900" w:h="16838" w:orient="portrait"/>
          <w:cols w:equalWidth="0" w:num="1">
            <w:col w:w="10219"/>
          </w:cols>
          <w:pgMar w:left="240" w:top="723" w:right="1440" w:bottom="176"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are our unsecured (except to the extent described under "Description of the Notes -- Security") senior subordinated obligations. They rank junior in right of payment to all of our existing and future Senior Indebtedness (as defined herein), and rank equally with all of our existing and future senior subordinated indebtedness. We had approximately $21.8 million of Senior Indebtedness outstanding as of December 31, 2001.</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notes were issued in fully registered form.</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notes are represented by one or more global</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deposited with the trustee as a</w:t>
      </w:r>
    </w:p>
    <w:p>
      <w:pPr>
        <w:ind w:left="3480"/>
        <w:spacing w:after="0" w:line="238" w:lineRule="auto"/>
        <w:rPr>
          <w:sz w:val="20"/>
          <w:szCs w:val="20"/>
          <w:color w:val="auto"/>
        </w:rPr>
      </w:pPr>
      <w:r>
        <w:rPr>
          <w:rFonts w:ascii="Courier New" w:cs="Courier New" w:eastAsia="Courier New" w:hAnsi="Courier New"/>
          <w:sz w:val="18"/>
          <w:szCs w:val="18"/>
          <w:color w:val="auto"/>
        </w:rPr>
        <w:t>custodian for the Depository Trust Company</w:t>
      </w:r>
    </w:p>
    <w:p>
      <w:pPr>
        <w:ind w:left="3480"/>
        <w:spacing w:after="0"/>
        <w:rPr>
          <w:sz w:val="20"/>
          <w:szCs w:val="20"/>
          <w:color w:val="auto"/>
        </w:rPr>
      </w:pPr>
      <w:r>
        <w:rPr>
          <w:rFonts w:ascii="Courier New" w:cs="Courier New" w:eastAsia="Courier New" w:hAnsi="Courier New"/>
          <w:sz w:val="18"/>
          <w:szCs w:val="18"/>
          <w:color w:val="auto"/>
        </w:rPr>
        <w:t>("DTC") and registered in the name of Cede &amp;</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 DTC's nominee. Beneficial interests in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global notes are shown on, and any transfers</w:t>
      </w:r>
    </w:p>
    <w:p>
      <w:pPr>
        <w:ind w:left="3480"/>
        <w:spacing w:after="0" w:line="238" w:lineRule="auto"/>
        <w:rPr>
          <w:sz w:val="20"/>
          <w:szCs w:val="20"/>
          <w:color w:val="auto"/>
        </w:rPr>
      </w:pPr>
      <w:r>
        <w:rPr>
          <w:rFonts w:ascii="Courier New" w:cs="Courier New" w:eastAsia="Courier New" w:hAnsi="Courier New"/>
          <w:sz w:val="18"/>
          <w:szCs w:val="18"/>
          <w:color w:val="auto"/>
        </w:rPr>
        <w:t>are effected only through, records maintained</w:t>
      </w:r>
    </w:p>
    <w:p>
      <w:pPr>
        <w:ind w:left="3480"/>
        <w:spacing w:after="0"/>
        <w:rPr>
          <w:sz w:val="20"/>
          <w:szCs w:val="20"/>
          <w:color w:val="auto"/>
        </w:rPr>
      </w:pPr>
      <w:r>
        <w:rPr>
          <w:rFonts w:ascii="Courier New" w:cs="Courier New" w:eastAsia="Courier New" w:hAnsi="Courier New"/>
          <w:sz w:val="18"/>
          <w:szCs w:val="18"/>
          <w:color w:val="auto"/>
        </w:rPr>
        <w:t>by DTC and its participants.</w:t>
      </w:r>
    </w:p>
    <w:p>
      <w:pPr>
        <w:sectPr>
          <w:pgSz w:w="11900" w:h="16838" w:orient="portrait"/>
          <w:cols w:equalWidth="0" w:num="1">
            <w:col w:w="10219"/>
          </w:cols>
          <w:pgMar w:left="240" w:top="723" w:right="1440" w:bottom="176"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999"/>
        <w:spacing w:after="0" w:line="271" w:lineRule="auto"/>
        <w:rPr>
          <w:sz w:val="20"/>
          <w:szCs w:val="20"/>
          <w:color w:val="auto"/>
        </w:rPr>
      </w:pPr>
      <w:r>
        <w:rPr>
          <w:rFonts w:ascii="Courier New" w:cs="Courier New" w:eastAsia="Courier New" w:hAnsi="Courier New"/>
          <w:sz w:val="16"/>
          <w:szCs w:val="16"/>
          <w:color w:val="auto"/>
        </w:rPr>
        <w:t>The notes sold to qualified institutional buyers are eligible for trading in the PORTAL market; however, the notes resold pursuant to this prospectus will no longer trade on the PORTAL market. We do not intend to list the notes on any national securities exchange or the Nasdaq National Market.</w:t>
      </w:r>
    </w:p>
    <w:p>
      <w:pPr>
        <w:spacing w:after="0" w:line="188"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Nasdaq symbol for our common stock.........................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Our common stock is quoted on the Nasdaq National Market under the symbol "REGN."</w:t>
      </w:r>
    </w:p>
    <w:p>
      <w:pPr>
        <w:spacing w:after="0" w:line="17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Shares.................</w:t>
      </w:r>
    </w:p>
    <w:p>
      <w:pPr>
        <w:spacing w:after="0" w:line="20" w:lineRule="exact"/>
        <w:rPr>
          <w:sz w:val="20"/>
          <w:szCs w:val="20"/>
          <w:color w:val="auto"/>
        </w:rPr>
      </w:pPr>
      <w:r>
        <w:rPr>
          <w:sz w:val="20"/>
          <w:szCs w:val="20"/>
          <w:color w:val="auto"/>
        </w:rPr>
        <w:br w:type="column"/>
      </w:r>
    </w:p>
    <w:p>
      <w:pPr>
        <w:ind w:right="1779"/>
        <w:spacing w:after="0" w:line="275" w:lineRule="auto"/>
        <w:rPr>
          <w:sz w:val="20"/>
          <w:szCs w:val="20"/>
          <w:color w:val="auto"/>
        </w:rPr>
      </w:pPr>
      <w:r>
        <w:rPr>
          <w:rFonts w:ascii="Courier New" w:cs="Courier New" w:eastAsia="Courier New" w:hAnsi="Courier New"/>
          <w:sz w:val="16"/>
          <w:szCs w:val="16"/>
          <w:color w:val="auto"/>
        </w:rPr>
        <w:t>As of December 31, 2001, there were 41,264,280 shares of common stock and 2,562,689 shares of Class A stock issued and outstanding, our Class A stock together with our common stock</w:t>
      </w:r>
    </w:p>
    <w:p>
      <w:pPr>
        <w:spacing w:after="0" w:line="182"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76"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are our common shares. Holders of our Class A</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are entitled to ten votes per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and</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the holders of our common stock are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entitled to</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one vote per share. The outstanding</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3320" w:type="dxa"/>
            <w:vAlign w:val="bottom"/>
          </w:tcPr>
          <w:p>
            <w:pPr>
              <w:spacing w:after="0"/>
              <w:rPr>
                <w:sz w:val="17"/>
                <w:szCs w:val="17"/>
                <w:color w:val="auto"/>
              </w:rPr>
            </w:pPr>
          </w:p>
        </w:tc>
        <w:tc>
          <w:tcPr>
            <w:tcW w:w="5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Class A stock represented approximately 38.3%</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of the combined voting power of our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outstanding</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common shares, on that date. The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holders of our</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Class A stock and the holders of</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our common</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have identical rights, except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respect to voting and conversion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rights and</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restrictions on transferability.</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Risk Factors..................</w:t>
            </w: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See "Risk Factors" and other information in</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this prospectus for a discussion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factors you</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should carefully consider before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deciding to</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 in the notes.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3580" w:type="dxa"/>
            <w:vAlign w:val="bottom"/>
          </w:tcPr>
          <w:p>
            <w:pPr>
              <w:ind w:left="900"/>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0" w:name="page11"/>
    <w:bookmarkEnd w:id="10"/>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You should carefully consider the following risk factors together with the other information contained in or incorporated into this prospectus before you decide to buy our notes. If any of these risks actually occurs, our business, financial condition, operating results or cash flows could be materially adversely affected. This could cause the trading price of the notes or our common stock to decline and you may lose part or all of your investment.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 INDUSTRY AND STRATEGY</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Our research and development programs may be unsuccessful and may not lead to the development of any commercially successful products.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214"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We may be required to suspend, repeat, or terminate our clinical trials, which could have a material adverse effect on our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210" w:lineRule="exact"/>
        <w:rPr>
          <w:sz w:val="20"/>
          <w:szCs w:val="20"/>
          <w:color w:val="auto"/>
        </w:rPr>
      </w:pPr>
    </w:p>
    <w:p>
      <w:pPr>
        <w:ind w:left="740" w:right="261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cause unforeseen adverse sides effects, including immune reactions;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required to determine whether the product candidate is effective may be longer than expected;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not appear to be more effective than current available therapies;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enroll a sufficient number of patients meeting eligibility requirements;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clinical investigators, trial monitors, or trial subjects may fail to comply with the trial plan or protocol;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be able to supply sufficient quantities of the product candidate to complete the trial.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1" w:name="page12"/>
    <w:bookmarkEnd w:id="11"/>
    <w:p>
      <w:pPr>
        <w:ind w:right="1999" w:firstLine="527"/>
        <w:spacing w:after="0" w:line="237" w:lineRule="auto"/>
        <w:rPr>
          <w:sz w:val="20"/>
          <w:szCs w:val="20"/>
          <w:color w:val="auto"/>
        </w:rPr>
      </w:pPr>
      <w:r>
        <w:rPr>
          <w:rFonts w:ascii="Courier New" w:cs="Courier New" w:eastAsia="Courier New" w:hAnsi="Courier New"/>
          <w:sz w:val="18"/>
          <w:szCs w:val="18"/>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not be successful in our attempt to broaden our product pipeline as it will require expertise and resources we do not currently have.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expanded from our initial focus on degenerative neurologic diseases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207"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We have never generated sales or profits and expect to incur losses over the next several years.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received revenue from the commercialization of our product candidates. We do not expect to receive any revenue from the commercialization of our product candidates for at least the next several years. We intend to continue to invest significantly in our product candidates. We have incurred losses in each year since inception of operations in 1988. As of September 30, 2001, we had an accumulated deficit of $271.3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We currently receive revenue from third parties; if we do not receive these revenues, we may need to find alternative sources of funding for our research and development activities.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date, we have received revenues from (1) our licensees and collaborators for research and development efforts, (2) Merck &amp; Co. Inc.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example, in January 2001, Amgen-Regeneron Partners discontinued all clinical development of BDNF, which is licensed to Sumitomo Pharmaceuticals for development in Japan. As a result, we do not expect to receive further payments from Sumitomo Pharmaceuticals in connection with the licensing of BDNF. We recognized revenue from Sumitomo Pharmaceuticals of $0.2 million in the nine months ended September 30, 2001, $7.6 million in 2000, $0.1 million in 1999, and $8.8 million in 1998.</w:t>
      </w:r>
    </w:p>
    <w:p>
      <w:pPr>
        <w:spacing w:after="0" w:line="211"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require additional financing, which may be difficult to obtain and may dilute the ownership interest of shareholders.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the costs of conducting our Phase III clinical program for AXOKINE, if successful, would likely exceed $75 million or more.</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anticipate that the net proceeds from our sale on October 17, 2001 of $200 million aggregate principal amount of our 5 1/2% Convertible Senior Subordinated Notes due 2008, together with our cash, cash equivalents, and marketable securities of $268.0 million as of September 30, 2001, will be</w:t>
      </w: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2" w:name="page13"/>
    <w:bookmarkEnd w:id="12"/>
    <w:p>
      <w:pPr>
        <w:ind w:right="2519"/>
        <w:spacing w:after="0" w:line="235" w:lineRule="auto"/>
        <w:rPr>
          <w:sz w:val="20"/>
          <w:szCs w:val="20"/>
          <w:color w:val="auto"/>
        </w:rPr>
      </w:pPr>
      <w:r>
        <w:rPr>
          <w:rFonts w:ascii="Courier New" w:cs="Courier New" w:eastAsia="Courier New" w:hAnsi="Courier New"/>
          <w:sz w:val="18"/>
          <w:szCs w:val="18"/>
          <w:color w:val="auto"/>
        </w:rPr>
        <w:t>sufficient for our working capital needs until 2003. However, we may need additional funding sooner due to a number of factors, including:</w:t>
      </w:r>
    </w:p>
    <w:p>
      <w:pPr>
        <w:spacing w:after="0" w:line="208" w:lineRule="exact"/>
        <w:rPr>
          <w:sz w:val="20"/>
          <w:szCs w:val="20"/>
          <w:color w:val="auto"/>
        </w:rPr>
      </w:pPr>
    </w:p>
    <w:p>
      <w:pPr>
        <w:ind w:left="740" w:right="21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speed with which some of our earlier stage developmental products move into later stage clinical development;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additional product candidates;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new indications for a potential product in later stage clinical trials;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any of our collaboration agreements;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technologies or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new business opportunities;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a marketing or sales force;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or defending our patents, patent applications, and other intellectual property rights.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or equity-related securities, further dilution to our then existing shareholders may result.</w:t>
      </w:r>
    </w:p>
    <w:p>
      <w:pPr>
        <w:spacing w:after="0" w:line="214"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Undesirable and unintended side effects of AXOKINE may terminate, interrupt or delay clinical studies and could ultimately prevent or limit its commercial use.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21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w:t>
      </w:r>
    </w:p>
    <w:p>
      <w:pPr>
        <w:spacing w:after="0" w:line="182" w:lineRule="exact"/>
        <w:rPr>
          <w:sz w:val="20"/>
          <w:szCs w:val="20"/>
          <w:color w:val="auto"/>
        </w:rPr>
      </w:pPr>
    </w:p>
    <w:p>
      <w:pPr>
        <w:ind w:left="220" w:right="1779"/>
        <w:spacing w:after="0" w:line="290"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There is substantial competition in the biotechnology and pharmaceutical industries from pharmaceutical, biotechnology, and chemical companies. Our competition includes Hoffmann-La Roche, Inc., Merck, Abbott Laboratories, Inc., Immunex Corporation, Amgen Inc. and others. Each have products under development or currently available for sale that address the same or similar medical conditions as some of our product candidates.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w:t>
      </w: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969"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safe and effective product candidates, obtain patent protection, complete</w:t>
      </w:r>
    </w:p>
    <w:p>
      <w:pPr>
        <w:spacing w:after="0" w:line="238" w:lineRule="auto"/>
        <w:rPr>
          <w:sz w:val="20"/>
          <w:szCs w:val="20"/>
          <w:color w:val="auto"/>
        </w:rPr>
      </w:pPr>
      <w:r>
        <w:rPr>
          <w:rFonts w:ascii="Courier New" w:cs="Courier New" w:eastAsia="Courier New" w:hAnsi="Courier New"/>
          <w:sz w:val="18"/>
          <w:szCs w:val="18"/>
          <w:color w:val="auto"/>
        </w:rPr>
        <w:t>clinical testing, obtain regulatory approval to commercialize our product</w:t>
      </w:r>
    </w:p>
    <w:p>
      <w:pPr>
        <w:spacing w:after="0"/>
        <w:rPr>
          <w:sz w:val="20"/>
          <w:szCs w:val="20"/>
          <w:color w:val="auto"/>
        </w:rPr>
      </w:pPr>
      <w:r>
        <w:rPr>
          <w:rFonts w:ascii="Courier New" w:cs="Courier New" w:eastAsia="Courier New" w:hAnsi="Courier New"/>
          <w:sz w:val="18"/>
          <w:szCs w:val="18"/>
          <w:color w:val="auto"/>
        </w:rPr>
        <w:t>candidates, and supply commercial quantities of the product to the market.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the price of our common stock and the notes.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14"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pacing w:after="0" w:line="211" w:lineRule="exact"/>
        <w:rPr>
          <w:sz w:val="20"/>
          <w:szCs w:val="20"/>
          <w:color w:val="auto"/>
        </w:rPr>
      </w:pPr>
    </w:p>
    <w:p>
      <w:pPr>
        <w:jc w:val="both"/>
        <w:ind w:left="220" w:right="1999"/>
        <w:spacing w:after="0" w:line="236" w:lineRule="auto"/>
        <w:rPr>
          <w:sz w:val="20"/>
          <w:szCs w:val="20"/>
          <w:color w:val="auto"/>
        </w:rPr>
      </w:pPr>
      <w:r>
        <w:rPr>
          <w:rFonts w:ascii="Courier New" w:cs="Courier New" w:eastAsia="Courier New" w:hAnsi="Courier New"/>
          <w:sz w:val="18"/>
          <w:szCs w:val="18"/>
          <w:color w:val="auto"/>
        </w:rPr>
        <w:t>If we cannot successfully manufacture our product candidates in an efficient manner, our ability to conduct clinical trials and commercialize our product candidates would be impaired.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4" w:name="page15"/>
    <w:bookmarkEnd w:id="14"/>
    <w:p>
      <w:pPr>
        <w:ind w:right="1779" w:firstLine="527"/>
        <w:spacing w:after="0" w:line="238" w:lineRule="auto"/>
        <w:rPr>
          <w:sz w:val="20"/>
          <w:szCs w:val="20"/>
          <w:color w:val="auto"/>
        </w:rPr>
      </w:pPr>
      <w:r>
        <w:rPr>
          <w:rFonts w:ascii="Courier New" w:cs="Courier New" w:eastAsia="Courier New" w:hAnsi="Courier New"/>
          <w:sz w:val="18"/>
          <w:szCs w:val="18"/>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207" w:lineRule="exact"/>
        <w:rPr>
          <w:sz w:val="20"/>
          <w:szCs w:val="20"/>
          <w:color w:val="auto"/>
        </w:rPr>
      </w:pPr>
    </w:p>
    <w:p>
      <w:pPr>
        <w:ind w:left="220" w:right="1779"/>
        <w:spacing w:after="0" w:line="279"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211" w:lineRule="exact"/>
        <w:rPr>
          <w:sz w:val="20"/>
          <w:szCs w:val="20"/>
          <w:color w:val="auto"/>
        </w:rPr>
      </w:pPr>
    </w:p>
    <w:p>
      <w:pPr>
        <w:ind w:left="740" w:right="18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attract and build a significant marketing or sales force;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significant cost of establishing a marketing or sales force may not be justifiable in light of any product revenues;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direct sales and marketing efforts may not be successful.</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We may not be able to attract or retain qualified scientific and management personnel, including our key personnel, on acceptable terms.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pacing w:after="0" w:line="208"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We could be exposed to significant liability claims and our insurance coverage may not be adequate to cover these claims.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product liability insurance policies, the purpose of which is to cover certain claims that could arise during the clinical trials of our product candidates. We may not be able to</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5" w:name="page16"/>
    <w:bookmarkEnd w:id="15"/>
    <w:p>
      <w:pPr>
        <w:jc w:val="both"/>
        <w:ind w:right="2099"/>
        <w:spacing w:after="0" w:line="236" w:lineRule="auto"/>
        <w:rPr>
          <w:sz w:val="20"/>
          <w:szCs w:val="20"/>
          <w:color w:val="auto"/>
        </w:rPr>
      </w:pPr>
      <w:r>
        <w:rPr>
          <w:rFonts w:ascii="Courier New" w:cs="Courier New" w:eastAsia="Courier New" w:hAnsi="Courier New"/>
          <w:sz w:val="18"/>
          <w:szCs w:val="18"/>
          <w:color w:val="auto"/>
        </w:rPr>
        <w:t>maintain or renew the insurance we have or obtain additional coverage. If our insurance coverage is insufficient, a significant product liability claim or recall would have a material adverse effect on us.</w:t>
      </w:r>
    </w:p>
    <w:p>
      <w:pPr>
        <w:spacing w:after="0" w:line="209" w:lineRule="exact"/>
        <w:rPr>
          <w:sz w:val="20"/>
          <w:szCs w:val="20"/>
          <w:color w:val="auto"/>
        </w:rPr>
      </w:pPr>
    </w:p>
    <w:p>
      <w:pPr>
        <w:ind w:left="220" w:right="2419"/>
        <w:spacing w:after="0" w:line="290" w:lineRule="auto"/>
        <w:rPr>
          <w:sz w:val="20"/>
          <w:szCs w:val="20"/>
          <w:color w:val="auto"/>
        </w:rPr>
      </w:pPr>
      <w:r>
        <w:rPr>
          <w:rFonts w:ascii="Courier New" w:cs="Courier New" w:eastAsia="Courier New" w:hAnsi="Courier New"/>
          <w:sz w:val="16"/>
          <w:szCs w:val="16"/>
          <w:color w:val="auto"/>
        </w:rPr>
        <w:t>If we were required to register as an investment company we would become subject to substantial regulation and our business adversely affected.</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Investment Company Act of 1940, as amended (the "1940 Act"),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the 1940 Act would have a material adverse effect on our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INTELLECTUAL PROPERTY</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not be able to obtain and adequately protect our intellectual property rights or avoid infringing the rights of others.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6" w:name="page17"/>
    <w:bookmarkEnd w:id="16"/>
    <w:p>
      <w:pPr>
        <w:ind w:left="220" w:right="1879"/>
        <w:spacing w:after="0" w:line="235" w:lineRule="auto"/>
        <w:rPr>
          <w:sz w:val="20"/>
          <w:szCs w:val="20"/>
          <w:color w:val="auto"/>
        </w:rPr>
      </w:pPr>
      <w:r>
        <w:rPr>
          <w:rFonts w:ascii="Courier New" w:cs="Courier New" w:eastAsia="Courier New" w:hAnsi="Courier New"/>
          <w:sz w:val="18"/>
          <w:szCs w:val="18"/>
          <w:color w:val="auto"/>
        </w:rPr>
        <w:t>If we are not able to keep our trade secrets confidential, our technology and information may be used by others to compete against us.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pacing w:after="0" w:line="216"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stock price could be volatile.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Since the notes are convertible into shares of our common stock, fluctuations in the trading price of our common stock may affect the price of the notes. There has been a history of significant volatility in the market price of shares of biotechnology companies, including our shares, and it is likely that the market price of our common stock will continue to be highly volatile. The following factors may have a significant effect on the market price of our common stock:</w:t>
      </w:r>
    </w:p>
    <w:p>
      <w:pPr>
        <w:spacing w:after="0" w:line="205" w:lineRule="exact"/>
        <w:rPr>
          <w:sz w:val="20"/>
          <w:szCs w:val="20"/>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results;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commercial therapeutic products introduced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delays;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patent or other proprietary rights;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concern as to the safety or other implications of the drugs sought to be developed by us or the genetic engineering involved in their production;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Any clinical trial results that are below the expectations of financial analysts or investors would most likely cause our stock price to drop dramatically.</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existing shareholders may be able to exert significant influence over matters requiring shareholder approval.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Class A stock, who are the shareholders who purchased their stock from us before our initial public offering, are entitled to ten votes per share and holders of common stock are entitled to one vote per share. As of December 31, 2001, holders of Class A stock held 5.8% of the total of our outstanding shares of common stock and Class A stock, or collectively, our common shares, and had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767" w:gutter="0" w:footer="0" w:header="0"/>
        </w:sectPr>
      </w:pPr>
    </w:p>
    <w:bookmarkStart w:id="17" w:name="page18"/>
    <w:bookmarkEnd w:id="17"/>
    <w:p>
      <w:pPr>
        <w:ind w:right="1879"/>
        <w:spacing w:after="0" w:line="271" w:lineRule="auto"/>
        <w:rPr>
          <w:sz w:val="20"/>
          <w:szCs w:val="20"/>
          <w:color w:val="auto"/>
        </w:rPr>
      </w:pPr>
      <w:r>
        <w:rPr>
          <w:rFonts w:ascii="Courier New" w:cs="Courier New" w:eastAsia="Courier New" w:hAnsi="Courier New"/>
          <w:sz w:val="16"/>
          <w:szCs w:val="16"/>
          <w:color w:val="auto"/>
        </w:rPr>
        <w:t>38.3% of the combined voting power of the common shares. These shareholders, if acting together, will be in position to significantly influence the election of our directors and to effect or prevent certain corporate transactions that require majority or supermajority approval of the combined classes, including mergers and other business combinations. This may result in the company taking corporate actions that you may not consider to be in your best interest and may affect the price of our common stock. As of December 31, 2001:</w:t>
      </w:r>
    </w:p>
    <w:p>
      <w:pPr>
        <w:spacing w:after="0" w:line="188" w:lineRule="exact"/>
        <w:rPr>
          <w:sz w:val="20"/>
          <w:szCs w:val="20"/>
          <w:color w:val="auto"/>
        </w:rPr>
      </w:pPr>
    </w:p>
    <w:p>
      <w:pPr>
        <w:ind w:left="740" w:right="1999" w:hanging="205"/>
        <w:spacing w:after="0" w:line="290"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officers and directors held 8.8% of our outstanding common shares and 36.8% of the combined voting power of our common shares; and</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five largest shareholders held 48.6% of our outstanding common shares and 32.2% of the combined voting power of our common shares, in each case, assuming conversion of notes held by them.</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have anti-takeover defenses that could delay or prevent an acquisition and could adversely affect the price of our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212" w:lineRule="exact"/>
        <w:rPr>
          <w:sz w:val="20"/>
          <w:szCs w:val="20"/>
          <w:color w:val="auto"/>
        </w:rPr>
      </w:pPr>
    </w:p>
    <w:p>
      <w:pPr>
        <w:ind w:left="740" w:right="1879" w:hanging="205"/>
        <w:spacing w:after="0" w:line="23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board of directors, so that it would take three successive annual meetings to replace all of our directors.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addition, we have a shareholders rights plan which will make it more difficult for a third party to acquire us without the support of our board of directors and principal shareholders.</w:t>
      </w:r>
    </w:p>
    <w:p>
      <w:pPr>
        <w:spacing w:after="0" w:line="209" w:lineRule="exact"/>
        <w:rPr>
          <w:sz w:val="20"/>
          <w:szCs w:val="20"/>
          <w:color w:val="auto"/>
        </w:rPr>
      </w:pPr>
    </w:p>
    <w:p>
      <w:pPr>
        <w:jc w:val="both"/>
        <w:ind w:left="220" w:right="1879"/>
        <w:spacing w:after="0" w:line="290"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our five largest shareholders held 48.6% of our outstanding common shares, assuming conversion of notes held by them. Any of these shareholders acting individually could cause a significant number of shares of our common stock to be sold in the public market which could cause our stock price to decline.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we had 43,826,969 common shares outstanding. In addition, we had 9,328,039 outstanding stock options held by our directors, officers and employees as of December 31, 2001. Sales of substantial amounts of shares of our common stock into the public market after this offering, or the perception that those sales may occur, could cause the market price of our common stock to decline. Those sales also might make it more difficult for us to sell equity and equity-related securities in the future at a time and at a price that we consider appropriate.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notes are subordinated to any existing and future Senior Indebtedness.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contractually subordinated in right of payment to our existing and future Senior Indebtedness (as the term is defined in the indenture). This means that the payment of the principal and interest on the notes is subordinated to the prior payment in full of all of our existing and future Senior Indebtedness. However, payment from the money or the proceeds from the U.S. government securities pledged to the trustee as security for the exclusive benefit of the holders of the notes, as described under "Description of the Notes -- Security" or amounts deposited with the trustee to pay and discharge all</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18" w:name="page19"/>
    <w:bookmarkEnd w:id="18"/>
    <w:p>
      <w:pPr>
        <w:ind w:right="1879"/>
        <w:spacing w:after="0" w:line="273" w:lineRule="auto"/>
        <w:rPr>
          <w:sz w:val="20"/>
          <w:szCs w:val="20"/>
          <w:color w:val="auto"/>
        </w:rPr>
      </w:pPr>
      <w:r>
        <w:rPr>
          <w:rFonts w:ascii="Courier New" w:cs="Courier New" w:eastAsia="Courier New" w:hAnsi="Courier New"/>
          <w:sz w:val="16"/>
          <w:szCs w:val="16"/>
          <w:color w:val="auto"/>
        </w:rPr>
        <w:t>outstanding notes, as described under "Description of the Notes -- Satisfaction and Discharge," will not be subordinated to any Senior Indebtedness or subject to the subordination restrictions described in this offering memorandum. As of December 31, 2001, we had approximately $21.8 million of Senior Indebtedness. Our Senior Indebtedness ranks prior in right of payment to the notes.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does not limit the creation of additional indebtedness. Any significant additional indebtedness incurred may adversely affect our ability to service our debt, including the notes. Due to the subordination provisions, in the event of our insolvency, funds which we would otherwise use to pay the holders of the notes will be used to pay the holders of Senior Indebtedness to the extent necessary to pay the Senior Indebtedness in full. As a result of these payments, our general creditors may recover more, ratably, than the holders of the notes. In addition, the holders of Senior Indebtedness may restrict or prohibit us from making payments on the notes.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not be able to repurchase the notes, if required.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some circumstances involving a Change of Control (as defined below), the holders of the notes may require us to repurchase some or all of the notes. We may not have sufficient financial resources at such time, or the ability to arrange financing to pay the repurchase price of the notes. Our ability to repurchase the notes in such event may be limited by law, the indenture, by the terms of other agreements relating to our Senior Indebtedness and as such indebtedness and agreements may be entered into, replaced, supplemented or amended from time to time. We may be required to refinance our Senior Indebtedness in order to make such payments.</w:t>
      </w:r>
    </w:p>
    <w:p>
      <w:pPr>
        <w:spacing w:after="0" w:line="214"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Our outstanding indebtedness will increase substantially with the issuance of the notes and we may not be able to pay our debt and other obligations.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of December 31, 2001, we had approximately $200.6 million in long-term debt which includes $200 million incurred in connection with the sale of the notes. This increased indebtedness will:</w:t>
      </w:r>
    </w:p>
    <w:p>
      <w:pPr>
        <w:spacing w:after="0" w:line="209" w:lineRule="exact"/>
        <w:rPr>
          <w:sz w:val="20"/>
          <w:szCs w:val="20"/>
          <w:color w:val="auto"/>
        </w:rPr>
      </w:pPr>
    </w:p>
    <w:p>
      <w:pPr>
        <w:ind w:left="740" w:right="209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more difficult for us to obtain any necessary financing in the future for working capital, capital expenditures, debt service requirements or other purposes;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increase our interest expense and related debt service costs;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us more vulnerable in the event of a downturn in our business.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Currently, we do not have any product sales and we are not generating sufficient cash flow to satisfy the annual debt service payments that will be required as a result of the consummation of the sale of the notes. This may require us to use a portion of the proceeds from the sale of the notes to pay interest or borrow additional funds or sell additional equity to meet our debt service obligations after the first three years when the notes are no longer secured. If we are unable to satisfy our debt service requirements, we will default on the notes.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 active trading market for the notes may not develop.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a new issue of securities for which there is currently no trading market. Although the notes that were sold to qualified institutional buyers pursuant to Rule 144 A are eligible for trading in the PORTAL market, the notes resold pursuant to this prospectus will no longer trade on the PORTAL market. As a result, there may be a limited market for the notes. Accordingly, we cannot predict whether an active trading market for the notes will develop or be sustained. If an active trading market for the notes fails to develop or be sustained, the notes could trade at prices that may be lower than the initial offering price of the notes. Whether or not the notes will trade at lower prices depends on many factors, including:</w:t>
      </w:r>
    </w:p>
    <w:p>
      <w:pPr>
        <w:spacing w:after="0" w:line="209"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 and 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our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financial performance and future prospects.</w:t>
      </w:r>
    </w:p>
    <w:p>
      <w:pPr>
        <w:ind w:left="4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565" w:gutter="0" w:footer="0" w:header="0"/>
        </w:sectPr>
      </w:pPr>
    </w:p>
    <w:bookmarkStart w:id="19" w:name="page20"/>
    <w:bookmarkEnd w:id="19"/>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ratios of earnings to fixed charges for the fiscal years indicated are stated below. For purposes of computing the ratios, earnings represent income (loss) from continuing operations before fixed charges and taxes, and fixed charges represent gross interest expense and a portion of rental expense, which is deemed to be representative of the interest factor.</w:t>
      </w:r>
    </w:p>
    <w:p>
      <w:pPr>
        <w:spacing w:after="0" w:line="209"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6"/>
          <w:szCs w:val="16"/>
          <w:color w:val="auto"/>
        </w:rPr>
        <w:t>FISCAL</w:t>
      </w:r>
    </w:p>
    <w:p>
      <w:pPr>
        <w:spacing w:after="0" w:line="16"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YEAR</w:t>
      </w:r>
    </w:p>
    <w:p>
      <w:pPr>
        <w:jc w:val="center"/>
        <w:ind w:right="9599"/>
        <w:spacing w:after="0" w:line="238" w:lineRule="auto"/>
        <w:rPr>
          <w:sz w:val="20"/>
          <w:szCs w:val="20"/>
          <w:color w:val="auto"/>
        </w:rPr>
      </w:pPr>
      <w:r>
        <w:rPr>
          <w:rFonts w:ascii="Courier New" w:cs="Courier New" w:eastAsia="Courier New" w:hAnsi="Courier New"/>
          <w:sz w:val="18"/>
          <w:szCs w:val="18"/>
          <w:color w:val="auto"/>
        </w:rPr>
        <w:t>RATIO</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7" w:lineRule="auto"/>
        <w:tabs>
          <w:tab w:leader="none" w:pos="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2000</w:t>
      </w:r>
    </w:p>
    <w:p>
      <w:pPr>
        <w:jc w:val="center"/>
        <w:ind w:right="9599"/>
        <w:spacing w:after="0" w:line="237" w:lineRule="auto"/>
        <w:rPr>
          <w:sz w:val="20"/>
          <w:szCs w:val="20"/>
          <w:color w:val="auto"/>
        </w:rPr>
      </w:pPr>
      <w:r>
        <w:rPr>
          <w:rFonts w:ascii="Courier New" w:cs="Courier New" w:eastAsia="Courier New" w:hAnsi="Courier New"/>
          <w:sz w:val="18"/>
          <w:szCs w:val="18"/>
          <w:color w:val="auto"/>
        </w:rPr>
        <w:t>*</w:t>
      </w:r>
    </w:p>
    <w:p>
      <w:pPr>
        <w:jc w:val="center"/>
        <w:ind w:right="9599"/>
        <w:spacing w:after="0" w:line="238" w:lineRule="auto"/>
        <w:rPr>
          <w:sz w:val="20"/>
          <w:szCs w:val="20"/>
          <w:color w:val="auto"/>
        </w:rPr>
      </w:pPr>
      <w:r>
        <w:rPr>
          <w:rFonts w:ascii="Courier New" w:cs="Courier New" w:eastAsia="Courier New" w:hAnsi="Courier New"/>
          <w:sz w:val="18"/>
          <w:szCs w:val="18"/>
          <w:color w:val="auto"/>
        </w:rPr>
        <w:t>1999</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1998</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1997</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1996</w:t>
      </w:r>
    </w:p>
    <w:p>
      <w:pPr>
        <w:jc w:val="center"/>
        <w:ind w:right="95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For the nine months ended September 30, 2001, the ratio of earnings to fixed charges was *.</w:t>
      </w:r>
    </w:p>
    <w:p>
      <w:pPr>
        <w:spacing w:after="0" w:line="208" w:lineRule="exact"/>
        <w:rPr>
          <w:sz w:val="20"/>
          <w:szCs w:val="20"/>
          <w:color w:val="auto"/>
        </w:rPr>
      </w:pPr>
    </w:p>
    <w:p>
      <w:pPr>
        <w:ind w:right="1779" w:firstLine="535"/>
        <w:spacing w:after="0" w:line="237" w:lineRule="auto"/>
        <w:tabs>
          <w:tab w:leader="none" w:pos="73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the registrant's losses in the years ended December 31, 2000, 1999, 1998, 1997 and 1996 and the nine-months ended September 30, 2001, the ratio coverage was less than 1:1. The registrant must generate additional earnings of $17.1 million, $18.9 million, $6.1 million, $8.2 million, $18.2 million and $46.7 million for the years ended December 31, 2000, 1999, 1998, 1997 and 1996 and for the nine-months ended September 30, 2001, respectively, to achieve a coverage of 1:1.</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have never paid cash dividends and do not anticipate paying any in the foreseeable future.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DESCRIPTION OF THE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were issued under an indenture between us and American Stock Transfer &amp; Trust Company, as trustee, to be dated October 17, 2001. The terms of the notes include those provided in the indenture and those provided in the pledge agreement and the registration rights agreement, which we entered into with the initial purchasers. As used in this description, the words "we," "us," "our" or "Regeneron" do not include any current or future subsidiary of Regeneron Pharmaceuticals, Inc.</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description of provisions of the notes is not complete and is subject to, and qualified in its entirety by reference to, the notes, the indenture, the pledge agreement and the registration rights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notes represent general unsecured (except to the extent described under "-- Security") obligations of Regeneron and will rank junior in right of payment to all of our existing and future senior debt. This means that the payment of the principal, premium, if any, and interest on the notes is subordinated to the prior payment in full of all of our existing and future Senior Indebtedness (as defined below). However, payment from the money or the proceeds from the U.S. government securities pledged to the trustee as security for the notes and for the exclusive benefit of the holders of the notes, as described under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 Security" or amounts deposited with the trustee to pay and discharge all outstanding notes, as described under "-- Satisfaction and Discharge," will not be subordinated to any Senior Indebtedness or subject to the subordination restrictions described in this prospectus. The notes will rank equally with all our existing and future senior subordinated indebtedness. The notes will be convertible into shares of our common stock as described under "-- Conversion Rights." The notes are limited to $200 million aggregate principal amount, and will mature on October 17, 2008, unless earlier redeemed by us or repurchased by us at the option of the holder upon the occurrence of a Change of Control (as defined below).</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from October 17, 2001 at the rate of 5 1/2% per year. Interest is payable semi-annually on April 17 and October 17 of each year to holders of record at the close of business on the immediately preceding April 2 and October 2, respectively, beginning April 17, 2002. We may pay interest on notes represented by certificated notes by check mailed to such holders. However, a holder of notes with an aggregate principal amount in excess of $10 million may elect to be paid by wire transfer in immediately available funds. Interest will be computed on the basis of a 360-day year comprised of twelve 30-day months.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Principal will be payable, and the notes may be presented for conversion, registration of transfer and exchange, without service charge, at our office or agency in New York City, which shall initially be the office or agency of the trustee in New York, New York.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indenture does not contain any financial covenants or any restrictions on the payment of dividends, the repurchase of our securities or the incurrence of Senior Indebtedness or any other indebtedness. The indenture also does not contain any covenants or other provisions that afford protection to holders of notes in the event of a highly leveraged transaction or a change of control of Regeneron except to the extent described under "-- Repurchase at Option of Holders Upon a Change of Control"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17, 2001, we purchased and pledged to the trustee as security for the notes and for the exclusive benefit of the holders of the notes (and not for the benefit of our other creditors), $31.6 million of U.S. government securities. These securities, when held and invested by the trustee in accordance with the terms of the pledge agreement that we entered into with the trustee, will be sufficient upon receipt of scheduled interest and principal payments of such securities to provide for payment in full of the first six scheduled interest payments due on the notes when due.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1" w:name="page22"/>
    <w:bookmarkEnd w:id="21"/>
    <w:p>
      <w:pPr>
        <w:ind w:right="1779" w:firstLine="527"/>
        <w:spacing w:after="0" w:line="237" w:lineRule="auto"/>
        <w:rPr>
          <w:sz w:val="20"/>
          <w:szCs w:val="20"/>
          <w:color w:val="auto"/>
        </w:rPr>
      </w:pPr>
      <w:r>
        <w:rPr>
          <w:rFonts w:ascii="Courier New" w:cs="Courier New" w:eastAsia="Courier New" w:hAnsi="Courier New"/>
          <w:sz w:val="18"/>
          <w:szCs w:val="18"/>
          <w:color w:val="auto"/>
        </w:rPr>
        <w:t>The U.S. government securities were pledged by us to the trustee for the exclusive benefit of the holders of the notes and are being held by the trustee in a pledge account. Immediately prior to an interest payment date, the trustee will release from the pledge account proceeds sufficient to pay interest then due on the notes. We may also make additional payments to the trustee to ensure that sufficient funds are available to pay interest then due on the notes if necessary. A failure to pay interest on the notes when due through the first six scheduled interest payment dates will constitute an Event of Default (as defined below) under the indenture.</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pledged U.S. government securities and the pledge account will also secure the repayment of the principal amount on the notes. If prior to October 17, 2004:</w:t>
      </w:r>
    </w:p>
    <w:p>
      <w:pPr>
        <w:spacing w:after="0" w:line="209" w:lineRule="exact"/>
        <w:rPr>
          <w:sz w:val="20"/>
          <w:szCs w:val="20"/>
          <w:color w:val="auto"/>
        </w:rPr>
      </w:pPr>
    </w:p>
    <w:p>
      <w:pPr>
        <w:ind w:left="740" w:right="251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under the notes or the indenture occurs and is continuing;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or the holders of 25% in aggregate principal amount of the notes accelerate the notes by declaring the principal amount of the notes to be immediately due and payable (by written consent, at a meeting of note holders or otherwise), except for the occurrence of an Event of Default relating to our bankruptcy, insolvency or reorganization, upon which the notes will be accelerated automatically,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the proceeds from the pledged U.S. government securities will be promptly released for payment to note holders, subject to the automatic stay provisions of bankruptcy law, if applicable. Distributions from the pledge account will be applied:</w:t>
      </w:r>
    </w:p>
    <w:p>
      <w:pPr>
        <w:spacing w:after="0" w:line="202"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any accrued and unpaid interest on the notes;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extent available, to the repayment of a portion of the principal amount of the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Event of Default is not cured prior to the acceleration of the notes by the trustee or holders of the notes referred to above, the trustee and the holders of the notes will be able to accelerate the notes as a result of that Event of Default.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example, if the first two interest payments were made when due but the third interest payment was not made when due and the note holders promptly exercised their right to declare the principal amount of the notes to be immediately due and payable, then, assuming automatic stay provisions of bankruptcy law are inapplicable and the proceeds of the pledged U.S. government securities are promptly distributed from the pledge account,</w:t>
      </w:r>
    </w:p>
    <w:p>
      <w:pPr>
        <w:spacing w:after="0" w:line="210" w:lineRule="exact"/>
        <w:rPr>
          <w:sz w:val="20"/>
          <w:szCs w:val="20"/>
          <w:color w:val="auto"/>
        </w:rPr>
      </w:pPr>
    </w:p>
    <w:p>
      <w:pPr>
        <w:ind w:left="740" w:right="1779" w:hanging="205"/>
        <w:spacing w:after="0" w:line="290"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interest payment due on the third interest payment would be distributed from the pledge account as accrued interest;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of the proceeds of the pledge account would be distributed as a portion of the principal amount of the notes.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addition, note holders would have an unsecured claim against us for the remainder of the principal amount of their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Once we make the first six scheduled interest payments on the notes, all of the remaining pledged U.S. government securities and cash, if any, will be released to us from the pledge account and thereafter the notes will be unsecured.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holders of notes may, at any time prior to the close of business on the final maturity date of the notes, convert any outstanding notes (or portions thereof) into shares of our common stock, initially at the conversion price of $30.2512 per share is subject to adjustment as described below. Holders may convert notes only in denominations of $1,000 and whole multiples of $1,000. Except as described below, no adjustment will be made to the conversion price of any notes for interest accrued thereon or dividends paid on any common stock.</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2" w:name="page23"/>
    <w:bookmarkEnd w:id="22"/>
    <w:p>
      <w:pPr>
        <w:ind w:right="1879" w:firstLine="527"/>
        <w:spacing w:after="0" w:line="238" w:lineRule="auto"/>
        <w:rPr>
          <w:sz w:val="20"/>
          <w:szCs w:val="20"/>
          <w:color w:val="auto"/>
        </w:rPr>
      </w:pPr>
      <w:r>
        <w:rPr>
          <w:rFonts w:ascii="Courier New" w:cs="Courier New" w:eastAsia="Courier New" w:hAnsi="Courier New"/>
          <w:sz w:val="18"/>
          <w:szCs w:val="18"/>
          <w:color w:val="auto"/>
        </w:rPr>
        <w:t>If notes are converted after a record date for an interest payment but prior to the next interest payment date, those notes, other than notes called for provisional or optional redemption, must be accompanied by funds equal to the interest payable on the next interest payment date on the principal amount so converted. No such payment will be required from a holder if we exercise our right to redeem such notes. We are not required to issue fractional shares of our common stock upon conversion of the notes. Instead, we will pay a cash adjustment based upon the market price of our common stock on the last business day before the date of the conversion. In the case of notes called for redemption, conversion rights will expire at the close of business on the business day preceding the date fixed for redemption, and in the case of notes tendered for repurchase in connection with a Change of Control, conversion rights will expire at the close of business on the date specified in the Change of Control notice, unless we default in payment of the redemption or Change of Control repurchase price.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conversion price will be adjusted for certain events, including:</w:t>
      </w:r>
    </w:p>
    <w:p>
      <w:pPr>
        <w:spacing w:after="0" w:line="207" w:lineRule="exact"/>
        <w:rPr>
          <w:sz w:val="20"/>
          <w:szCs w:val="20"/>
          <w:color w:val="auto"/>
        </w:rPr>
      </w:pPr>
    </w:p>
    <w:p>
      <w:pPr>
        <w:ind w:left="540" w:right="1879" w:firstLine="521"/>
        <w:spacing w:after="0" w:line="235" w:lineRule="auto"/>
        <w:tabs>
          <w:tab w:leader="none" w:pos="148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our common stock as a dividend or distribution on our common stock;</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subdivisions and combinations of our common stock;</w:t>
      </w:r>
    </w:p>
    <w:p>
      <w:pPr>
        <w:spacing w:after="0" w:line="206" w:lineRule="exact"/>
        <w:rPr>
          <w:rFonts w:ascii="Courier New" w:cs="Courier New" w:eastAsia="Courier New" w:hAnsi="Courier New"/>
          <w:sz w:val="18"/>
          <w:szCs w:val="18"/>
          <w:color w:val="auto"/>
        </w:rPr>
      </w:pPr>
    </w:p>
    <w:p>
      <w:pPr>
        <w:ind w:left="540" w:right="1779" w:firstLine="521"/>
        <w:spacing w:after="0" w:line="275" w:lineRule="auto"/>
        <w:tabs>
          <w:tab w:leader="none" w:pos="148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our common stock of certain rights or warrants to purchase our common stock (or securities convertible into our common stock) at less than (or having a conversion price per share less than) the then current market price of our common stock;</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or other distribution to all holders of our common stock of shares of our capital stock (other than common stock) or our debt instruments or our assets (including securities, but excluding: (A) those rights and warrants referred to in item (3) above, (B) dividends or distributions in connection with a reclassification, consolidation, merger, combination, sale or conveyance resulting in a change in the conversion consideration pursuant to the second succeeding paragraph and (C) dividends or distributions paid exclusively in cash);</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or other distributions consisting exclusively of cash to all holders of our common stock to the extent that such distributions, combined together with (A) all other such all-cash distributions made within the preceding 12 months for which no adjustment has been made plus</w:t>
      </w:r>
    </w:p>
    <w:p>
      <w:pPr>
        <w:spacing w:after="0" w:line="4" w:lineRule="exact"/>
        <w:rPr>
          <w:rFonts w:ascii="Courier New" w:cs="Courier New" w:eastAsia="Courier New" w:hAnsi="Courier New"/>
          <w:sz w:val="18"/>
          <w:szCs w:val="18"/>
          <w:color w:val="auto"/>
        </w:rPr>
      </w:pPr>
    </w:p>
    <w:p>
      <w:pPr>
        <w:ind w:left="540" w:right="1879" w:hanging="5"/>
        <w:spacing w:after="0" w:line="237"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and the fair market value of other consideration paid for any tender offers by us or any of our subsidiaries for our common stock concluded within the preceding 12 months for which no adjustment has been made, exceeds 5% of our market capitalization on the record date for such distribution; market capitalization is the product of the then current market price of our common stock and the number of shares of our common stock then outstanding; and</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of our common stock pursuant to a tender offer made by us or any of our subsidiaries which involves an aggregate consideration that, together with (A) any cash and the fair market value of any other consideration paid in any other tender offer by us or any of our subsidiaries for our common stock expiring within the 12 months preceding such tender offer for which no adjustment has been made plus (B) the aggregate amount of any all-cash distributions referred to in clause (5) above to all holders of our common stock within 12 months preceding the expiration of that tender offer for which no adjustments have been made, exceeds 5% of our market capitalization on the expiration of such tender offer.</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that we pay a dividend or make a distribution on shares of our common stock consisting of capital stock of, or similar equity interests in, a subsidiary or other business unit of ours, the conversion rate will be adjusted based on the market value of the securities so distributed relative to the market value of our common stock, in each case, based on the average closing prices of those securities for the 10 trading days commencing on and including the fifth trading day after the date on which the "ex-dividend trading" commences for such dividend or distribution on the principal United States securities exchange or market on which the securities are then listed or quoted.</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adjustment in the conversion price will be required unless such adjustment would require a change of at least 1% in the conversion price then in effect at such time. However, any adjustment that would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59"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otherwise be required to be made but for the fact that such 1% threshold has not been met shall be carried forward and taken into account for the purposes of any subsequent adjustments. Except as stated above, the conversion price will not be adjusted for the issuance of our common stock or any securities convertible into or exchangeable for our common stock or carrying the right to purchase any of the foregoing.</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case of:</w:t>
      </w:r>
    </w:p>
    <w:p>
      <w:pPr>
        <w:spacing w:after="0" w:line="207" w:lineRule="exact"/>
        <w:rPr>
          <w:sz w:val="20"/>
          <w:szCs w:val="20"/>
          <w:color w:val="auto"/>
        </w:rPr>
      </w:pPr>
    </w:p>
    <w:p>
      <w:pPr>
        <w:ind w:left="740" w:right="177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or change in our common stock (other than changes resulting from a subdivision or combination); or</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 a sale or conveyance to another corporation of all or substantially all of our property and assets,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each case, as a result of which holders of our common stock are entitled to receive stock, other securities, other property or assets (including cash or any combination thereof) with respect to or in exchange for our common stock, the holders of the notes then outstanding will be entitled thereafter to convert those notes into the kind and amount of shares of stock, other securities or other property or assets (including cash or any combination thereof) which they would have owned or been entitled to receive upon such reclassification, change, consolidation, merger, combination, sale or conveyance had such notes been converted into our common stock immediately prior to such reclassification, change, consolidation, merger, combination, sale or conveyance. We may not become a party to any such transaction unless its terms are consistent with the foregoing.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 taxable distribution to holders of our common stock or other transaction occurs which results in any adjustment of the conversion price, the holders of notes may, in certain circumstances, be deemed to have received a distribution subject to United States federal income tax as a dividend. In certain other circumstances, the absence of an adjustment may result in a taxable dividend to the holders of common stock. See "Certain United States Federal Income Tax Considerations."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to the extent permitted by law, reduce the conversion price of the notes by any amount for any period of at least 20 days. In that case, we will give at least 15 days' notice of such decrease. We may make such reductions in the conversion price, in addition to those set forth above, as our board of directors deems advisable to avoid or diminish any income tax to holders of our common stock resulting from any dividend or distribution of stock (or rights to acquire stock) or from any event treated as such for income tax purposes.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PROVISIONAL REDEMPTION BY REGENERON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redeem the notes, in whole or in part, at any time prior to October 17, 2004, at a redemption price equal to $1,000 per $1,000 principal amount of notes to be redeemed plus accrued and unpaid interest, if any, to, but excluding, the provisional redemption date if:</w:t>
      </w:r>
    </w:p>
    <w:p>
      <w:pPr>
        <w:spacing w:after="0" w:line="207" w:lineRule="exact"/>
        <w:rPr>
          <w:sz w:val="20"/>
          <w:szCs w:val="20"/>
          <w:color w:val="auto"/>
        </w:rPr>
      </w:pPr>
    </w:p>
    <w:p>
      <w:pPr>
        <w:ind w:left="740" w:right="17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our common stock has exceeded 150% of the conversion price then in effect for at least 20 trading days within a period of 30 consecutive trading days ending on the trading day prior to the date on which we mail the provisional redemption notice (which date shall be at least 30 days but not more than 60 days prior to the provisional redemption date); and</w:t>
      </w:r>
    </w:p>
    <w:p>
      <w:pPr>
        <w:spacing w:after="0" w:line="209"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that we are obligated under the registration rights agreement to keep the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18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767"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thereof will be issued. If a portion of a holder's notes is selected for partial redemption and the holder thereafter converts a portion of its notes, the converted portion will be deemed to be taken from the portion selected for redemption.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Upon any provisional redemption, we will make an additional "make-whole" payment in cash with respect to the notes called for redemption to holders on the notice date in an amount equal to $165 per $1,000 principal amount of notes, less the amount of any interest actually paid on the notes on or prior to the provisional redemption date. We will be obligated to make this additional payment on all notes called for provisional redemption, including any notes converted after the notice date and before the provisional redemption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REGENERON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any time on or after October 17, 2004, we may redeem some or all of the notes on at least 30 days' but not more than 60 days' notice, at a price equal to $1,000 per $1,000 principal amount, plus accrued and unpaid interest to, but excluding, the date fixed for redemption, subject to the right of holders of record on the relevant record dates to receive interest payments due on an interest payment date, if the closing price of our common stock has exceeded 140% of the conversion price then in effect for at least 20 trading days within a period of 30 consecutive trading days ending on the trading day prior to the date on which we mail the optional redemption notice.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 thereof will be issued. If a portion of a holder's notes is selected for partial redemption and the holder thereafter converts a portion of its notes, the converted portion will be deemed to be taken from the portion selected for redemption.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sinking fund is provided for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OF CONTROL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Change of Control (as defined below) occurs, each holder of notes will have the right to require us to repurchase all of that holder's notes not previously called for redemption, or any portion of those notes that is equal to $1,000 or a whole multiple of $1,000, on the date that is no later than 30 days after the date we give notice of the occurrence of a Change in Control (such date being the repurchase date) at a repurchase price equal to 100% of the principal amount of the notes to be repurchased, together with interest accrued and unpaid to, but excluding, the repurchase date.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elect to pay the repurchase price in common stock instead of cash if we so specify in our Change of Control notice referred to below. The number of shares of common stock a holder will receive will equal the repurchase price divided by 95% of the average of the closing prices of our common stock for the five-trading-day period ending on the third business day prior to the repurchase date. However, we may not pay in common stock unless we satisfy certain conditions prior to the repurchase date, as provided in the indenture.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Within 30 days after the occurrence of a Change of Control, we are required to give notice to all holders of notes, as provided in the indenture, of the occurrence of the Change of Control and of their resulting repurchase right and specifying our form of payment. We must also deliver a copy of our notice to the trustee. In order to exercise the repurchase right, a holder of notes must deliver, on or prior to the 30th day after the date of our notice, written notice to the trustee of the holder's exercise of the holder's repurchase right, together with the notes with respect to which the repurchase right is being exercised.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5" w:name="page26"/>
    <w:bookmarkEnd w:id="25"/>
    <w:p>
      <w:pPr>
        <w:ind w:right="1999" w:firstLine="527"/>
        <w:spacing w:after="0" w:line="236" w:lineRule="auto"/>
        <w:rPr>
          <w:sz w:val="20"/>
          <w:szCs w:val="20"/>
          <w:color w:val="auto"/>
        </w:rPr>
      </w:pPr>
      <w:r>
        <w:rPr>
          <w:rFonts w:ascii="Courier New" w:cs="Courier New" w:eastAsia="Courier New" w:hAnsi="Courier New"/>
          <w:sz w:val="18"/>
          <w:szCs w:val="18"/>
          <w:color w:val="auto"/>
        </w:rPr>
        <w:t>Under the indenture, a "Change of Control" of Regeneron will be deemed to have occurred at such time after the original issuance of the notes when the following has occurred:</w:t>
      </w:r>
    </w:p>
    <w:p>
      <w:pPr>
        <w:spacing w:after="0" w:line="209" w:lineRule="exact"/>
        <w:rPr>
          <w:sz w:val="20"/>
          <w:szCs w:val="20"/>
          <w:color w:val="auto"/>
        </w:rPr>
      </w:pPr>
    </w:p>
    <w:p>
      <w:pPr>
        <w:ind w:left="740" w:right="1879" w:hanging="205"/>
        <w:spacing w:after="0" w:line="271"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(other than permitted holders) of beneficial ownership, directly or indirectly, through a purchase, merger or other acquisition transaction or series of transactions of shares of our capital stock entitling that person to exercise 50% or more of the total voting power of all shares of our capital stock entitled to vote generally in elections of directors, other than any acquisition by us, any of our subsidiaries or any of our employee benefit plans;</w:t>
      </w:r>
    </w:p>
    <w:p>
      <w:pPr>
        <w:spacing w:after="0" w:line="187" w:lineRule="exact"/>
        <w:rPr>
          <w:rFonts w:ascii="Courier New" w:cs="Courier New" w:eastAsia="Courier New" w:hAnsi="Courier New"/>
          <w:sz w:val="16"/>
          <w:szCs w:val="16"/>
          <w:color w:val="auto"/>
        </w:rPr>
      </w:pPr>
    </w:p>
    <w:p>
      <w:pPr>
        <w:ind w:left="740" w:right="1879" w:hanging="205"/>
        <w:spacing w:after="0" w:line="270"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permitted holder files a schedule, form or report in connection with a transaction or event disclosing that such person has become the beneficial owner of 50% or more of the total voting power of all shares of our capital stock entitled to vote generally in elections of directors, as a result of which (i) our common stock ceases (or, upon consummation of or immediately following such transaction or event, will cease) to be listed on a United States national securities exchange or approved for quotation on the Nasdaq National Market or any similar United States system for automated dissemination of quotations of securities prices or (ii) less than 5 million shares of our common stock remain held by persons other than permitted holders; or</w:t>
      </w:r>
    </w:p>
    <w:p>
      <w:pPr>
        <w:spacing w:after="0" w:line="391"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consolidation or merger with or into any other person, any merger of another person into us, or any conveyance, transfer, sale, lease or other disposition of all or substantially all of our properties and assets to another person, other than:</w:t>
      </w:r>
    </w:p>
    <w:p>
      <w:pPr>
        <w:spacing w:after="0" w:line="207"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pursuant to which holders of our capital stock immediately prior to the transaction have the entitlement to exercise, directly or indirectly, 50% or more of the total voting power of all shares of our capital stock entitled to vote generally in the election of directors of the continuing or surviving person immediately after the transaction; and</w:t>
      </w:r>
    </w:p>
    <w:p>
      <w:pPr>
        <w:spacing w:after="0" w:line="209" w:lineRule="exact"/>
        <w:rPr>
          <w:rFonts w:ascii="Courier New" w:cs="Courier New" w:eastAsia="Courier New" w:hAnsi="Courier New"/>
          <w:sz w:val="18"/>
          <w:szCs w:val="18"/>
          <w:color w:val="auto"/>
        </w:rPr>
      </w:pPr>
    </w:p>
    <w:p>
      <w:pPr>
        <w:ind w:left="860" w:right="1879" w:firstLine="517"/>
        <w:spacing w:after="0" w:line="237" w:lineRule="auto"/>
        <w:tabs>
          <w:tab w:leader="none" w:pos="180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solely for the purpose of changing our jurisdiction of incorporation and resulting in a reclassification, conversion or exchange of outstanding shares of common stock solely into shares of common stock of the surviving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purposes of the foregoing, "permitted holders" shall mean (A) Leonard S. Schleifer, M.D., Ph.D., our Chief Executive Officer and President, and P. Roy Vagelos, M.D., our Chairman of the Board, and their respective spouses, immediate family members, estates, lineal descendants, executors or administrators, or (B) any trust, corporation or other entity, the beneficiaries, stockholders or other persons beneficially holding an 80% or more controlling interest of which consist of persons or entities referred to in clause (A).</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beneficial owner shall be determined in accordance with Rule 13d-3 promulgated by the SEC under the Exchange Act. The term "person" includes any syndicate or group which would be deemed to be a "person" under Section 13(d)(3) of the Exchange Act.</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Rule 13e-4 under the Exchange Act, as amended, requires the dissemination of information to security holders if an issuer tender offer occurs and may apply if the repurchase option becomes available to holders of the notes. We will comply with this rule to the extent applicable at that time.</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foregoing provisions would not necessarily protect holders of the notes if highly leveraged or other transactions involving us occur that may adversely affect holders.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ability to repurchase notes upon the occurrence of a Change of Control is subject to important limitations. The occurrence of a Change of Control could cause an Event of Default under, or be prohibited or limited by, the terms of our existing or future senior debt. As a result, any repurchase of the notes would, absent a waiver, be prohibited under the subordination provisions of the indenture until all of our senior debt is paid in full. Further, we cannot assure you that we would have the financial resources, or would be able to arrange financing, to pay the repurchase price for all the notes that might be delivered by holders of notes seeking to exercise the repurchase right. Any failure by us to repurchase the notes when required following a Change of Control would result in an event of default under the indenture, whether or</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0" w:gutter="0" w:footer="0" w:header="0"/>
        </w:sectPr>
      </w:pPr>
    </w:p>
    <w:bookmarkStart w:id="26" w:name="page27"/>
    <w:bookmarkEnd w:id="26"/>
    <w:p>
      <w:pPr>
        <w:ind w:right="1879"/>
        <w:spacing w:after="0" w:line="236" w:lineRule="auto"/>
        <w:rPr>
          <w:sz w:val="20"/>
          <w:szCs w:val="20"/>
          <w:color w:val="auto"/>
        </w:rPr>
      </w:pPr>
      <w:r>
        <w:rPr>
          <w:rFonts w:ascii="Courier New" w:cs="Courier New" w:eastAsia="Courier New" w:hAnsi="Courier New"/>
          <w:sz w:val="18"/>
          <w:szCs w:val="18"/>
          <w:color w:val="auto"/>
        </w:rPr>
        <w:t>not such repurchase is permitted by the subordination provisions of the indenture. Any such default may, in turn, cause a default under our existing or future senior debt. See "-- Subordination"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payment of principal of, premium, if any, and interest on the notes (other than payments made toward the first six scheduled interest payments due on the notes, which payments are derived from the U.S. government securities pledged by us to the trustee for the exclusive benefit of the holders of the notes (hereinafter referred to as "Permitted Interest Payments")) will be subordinated in right of payment, as set forth in the indenture, to the prior payment in full in cash or cash equivalents of all Senior Indebtedness (as defined below), whether outstanding on the date of the indenture or thereafter incurred.</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any insolvency or bankruptcy case or proceeding, or any receivership, liquidation, reorganization or other similar case or proceeding in connection therewith, relating to Regeneron or to its assets, or any liquidation, dissolution or other winding-up of Regeneron, whether voluntary or involuntary, or any assignment for the benefit of creditors or other marshaling of assets or liabilities of Regeneron (except in connection with the consolidation or merger of Regeneron or its liquidation or dissolution following the conveyance, transfer or lease of all or substantially all of its properties and assets upon the terms and conditions described under "-- Mergers and Sales of Assets" below), the holders of Senior Indebtedness will be entitled to receive payment in full in cash or cash equivalents of all Senior Indebtedness, or provision shall be made for such payment in full, before the holders of notes will be entitled to receive any payment or distribution of any kind or character (other than Permitted Interest Payments and other than any payment or distribution in the form of equity securities or subordinated securities of Regeneron or any successor obligor that, in the case of any such subordinated securities, are subordinated in right of payment to all Senior Indebtedness that may at the time be outstanding to at least the same extent as the notes are so subordinated (such equity securities or subordinated securities hereinafter being "Permitted Junior Securities")) on account of principal of, or premium, if any, or interest on the notes; and any payment or distribution of assets of Regeneron of any kind or character, whether in cash, property or securities (other than a payment or distribution in the form of Permitted Junior Securities), by set-off or otherwise, to which the holders of the notes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current payment or distribution to the holders of such Senior Indebtedness.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upon the occurrence of any default in payment (whether at scheduled maturity, upon scheduled installment, by acceleration or otherwise) of principal of, premium, if any, or interest on Designated Senior Indebtedness (as defined below) beyond any applicable grace period (a "Payment Default") until such Payment Default shall have been cured or waived in writing or shall have ceased to exist or such Designated Senior Indebtedness shall have been discharged or paid in full in cash or cash equivalents.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during the period specified below (a "Payment Blockage Period") upon the occurrence of any default or event of default with respect to any Designated Senior Indebtedness other than any Payment Default, pursuant to which the maturity thereof may be accelerated (a "Non-Payment Default"), and receipt by the trustee of written notice thereof from</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564" w:gutter="0" w:footer="0" w:header="0"/>
        </w:sectPr>
      </w:pPr>
    </w:p>
    <w:bookmarkStart w:id="27" w:name="page28"/>
    <w:bookmarkEnd w:id="27"/>
    <w:p>
      <w:pPr>
        <w:ind w:right="1779"/>
        <w:spacing w:after="0" w:line="235" w:lineRule="auto"/>
        <w:rPr>
          <w:sz w:val="20"/>
          <w:szCs w:val="20"/>
          <w:color w:val="auto"/>
        </w:rPr>
      </w:pPr>
      <w:r>
        <w:rPr>
          <w:rFonts w:ascii="Courier New" w:cs="Courier New" w:eastAsia="Courier New" w:hAnsi="Courier New"/>
          <w:sz w:val="18"/>
          <w:szCs w:val="18"/>
          <w:color w:val="auto"/>
        </w:rPr>
        <w:t>Regeneron or the representative of holders of the Designated Senior Indebtedness or the trustee for any such holder.</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Payment Blockage Period will commence upon the date of receipt by the trustee of written notice from Regeneron or the representative of the holders of the Designated Senior Indebtedness in respect of which the Non-Payment Default exists, or the trustee for any such holder, and shall end on the earliest of:</w:t>
      </w:r>
    </w:p>
    <w:p>
      <w:pPr>
        <w:spacing w:after="0" w:line="182" w:lineRule="exact"/>
        <w:rPr>
          <w:sz w:val="20"/>
          <w:szCs w:val="20"/>
          <w:color w:val="auto"/>
        </w:rPr>
      </w:pPr>
    </w:p>
    <w:p>
      <w:pPr>
        <w:ind w:left="540" w:right="2839" w:firstLine="521"/>
        <w:spacing w:after="0" w:line="236"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179 days thereafter (provided that any Designated Senior Indebtedness as to which such written notice was given shall not theretofore have been accelerated);</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Non-Payment Default is cured, waived or ceases to exist;</w:t>
      </w:r>
    </w:p>
    <w:p>
      <w:pPr>
        <w:spacing w:after="0" w:line="208" w:lineRule="exact"/>
        <w:rPr>
          <w:rFonts w:ascii="Courier New" w:cs="Courier New" w:eastAsia="Courier New" w:hAnsi="Courier New"/>
          <w:sz w:val="18"/>
          <w:szCs w:val="18"/>
          <w:color w:val="auto"/>
        </w:rPr>
      </w:pPr>
    </w:p>
    <w:p>
      <w:pPr>
        <w:ind w:left="540" w:right="2839" w:firstLine="521"/>
        <w:spacing w:after="0" w:line="235"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Designated Senior Indebtedness is discharged or paid in full; or</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Payment Blockage Period shall have been terminated by written notice to the trustee or Regeneron from the trustee or such other representative initiating such Payment Blockage Period,</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which Regeneron will resume making any and all required payments in respect of the notes,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notwithstanding the provisions of the preceding four paragraphs, if any payment or distribution shall be received by the trustee or any holder of the notes that is prohibited by such provisions, then and in such event such payment shall be paid over and delivered by such trustee or holder to the trustee or any other representative of holders of Senior Indebtedness, as their interest may appear, for application toward our Senior Indebtedness. Until all of our Senior Indebtedness is paid in full, holders of the notes shall be subrogated (equally and ratably with all other indebtedness that is equal in right of payment to the notes) to the rights of holders of Senior Indebtedness to receive distributions.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Failure by Regeneron to make any required payment in respect of the notes when due or within any applicable grace period, whether or not occurring during a Payment Blockage Period, will result in an Event of Default (as defined below) and, thereafter, holders of the notes will have the right to accelerate the maturity thereof. See "-- Events of Default."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reason of such subordination, in the event of liquidation, receivership, reorganization or insolvency of Regeneron, our general creditors may recover less, ratably, than holders of senior debt and such general creditors may recover more, ratably, than holders of notes.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 December 31, 2001, on a pro forma basis, giving effect to the offering of notes:</w:t>
      </w:r>
    </w:p>
    <w:p>
      <w:pPr>
        <w:spacing w:after="0" w:line="208" w:lineRule="exact"/>
        <w:rPr>
          <w:sz w:val="20"/>
          <w:szCs w:val="20"/>
          <w:color w:val="auto"/>
        </w:rPr>
      </w:pPr>
    </w:p>
    <w:p>
      <w:pPr>
        <w:ind w:left="740" w:right="209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outstanding Senior Indebtedness of Regeneron would have been approximately $221.8 million;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would have had no subordinated indebtedness other than the notes.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"Designated Senior Indebtedness" means any Senior Indebtedness which, at the time of determination, has an aggregate principal amount outstanding of at least $25.0 million and that has been specifically designated in the instrument evidencing such Senior Indebtedness as "Designated Senior Indebtedness" of Regeneron.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means, with respect to any person, without duplication:</w:t>
      </w:r>
    </w:p>
    <w:p>
      <w:pPr>
        <w:spacing w:after="0" w:line="207" w:lineRule="exact"/>
        <w:rPr>
          <w:sz w:val="20"/>
          <w:szCs w:val="20"/>
          <w:color w:val="auto"/>
        </w:rPr>
      </w:pPr>
    </w:p>
    <w:p>
      <w:pPr>
        <w:ind w:left="740" w:right="177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of such person for borrowed money (including overdrafts) or for the deferred purchase price of property or services, excluding any trade payables and other accrued current liabilities incurred in the ordinary course of business, but including, without limitation, all obligations,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0" w:gutter="0" w:footer="0" w:header="0"/>
        </w:sectPr>
      </w:pPr>
    </w:p>
    <w:bookmarkStart w:id="28" w:name="page29"/>
    <w:bookmarkEnd w:id="28"/>
    <w:p>
      <w:pPr>
        <w:ind w:left="740" w:right="1779"/>
        <w:spacing w:after="0" w:line="236" w:lineRule="auto"/>
        <w:rPr>
          <w:sz w:val="20"/>
          <w:szCs w:val="20"/>
          <w:color w:val="auto"/>
        </w:rPr>
      </w:pPr>
      <w:r>
        <w:rPr>
          <w:rFonts w:ascii="Courier New" w:cs="Courier New" w:eastAsia="Courier New" w:hAnsi="Courier New"/>
          <w:sz w:val="18"/>
          <w:szCs w:val="18"/>
          <w:color w:val="auto"/>
        </w:rPr>
        <w:t>contingent or otherwise, of such person in connection with any letters of credit and acceptances issued under letter of credit facilities, acceptance facilities or other similar facilities;</w:t>
      </w:r>
    </w:p>
    <w:p>
      <w:pPr>
        <w:spacing w:after="0" w:line="209" w:lineRule="exact"/>
        <w:rPr>
          <w:sz w:val="20"/>
          <w:szCs w:val="20"/>
          <w:color w:val="auto"/>
        </w:rPr>
      </w:pPr>
    </w:p>
    <w:p>
      <w:pPr>
        <w:ind w:left="740" w:right="19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evidenced by bonds, notes, debentures or other similar instruments;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payables arising in the ordinary course of business;</w:t>
      </w:r>
    </w:p>
    <w:p>
      <w:pPr>
        <w:spacing w:after="0" w:line="20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lease obligations of such person;</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under or in respect of interest rate agreements or currency agreements;</w:t>
      </w:r>
    </w:p>
    <w:p>
      <w:pPr>
        <w:spacing w:after="0" w:line="208"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referred to in (but not excluded from) the preceding clauses of other persons and all dividends of other persons, the payment of which is secured by (or for which the holder of such indebtedness has an existing right, contingent or otherwise, to be secured by) any lien or with respect to property (including, without limitation, accounts and contract rights) owned by such person, even though such person has not assumed or become liable for the payment of such indebtedness (the amount of such obligation being deemed to be the lesser of the value of such property or asset or the amount of the obligation so secured);</w:t>
      </w:r>
    </w:p>
    <w:p>
      <w:pPr>
        <w:spacing w:after="0" w:line="183" w:lineRule="exact"/>
        <w:rPr>
          <w:rFonts w:ascii="Courier New" w:cs="Courier New" w:eastAsia="Courier New" w:hAnsi="Courier New"/>
          <w:sz w:val="16"/>
          <w:szCs w:val="16"/>
          <w:color w:val="auto"/>
        </w:rPr>
      </w:pPr>
    </w:p>
    <w:p>
      <w:pPr>
        <w:ind w:left="740" w:right="26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guarantees by such person of indebtedness referred to in this definition or of any other person;</w:t>
      </w:r>
    </w:p>
    <w:p>
      <w:pPr>
        <w:spacing w:after="0" w:line="208"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Redeemable Capital Stock of such person valued at the greater of its voluntary or involuntary maximum fixed repurchase price plus accrued and unpaid dividends; and</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obligation of such person as lessee for net rental payments (excluding all amounts required to be paid on account of maintenance and repairs, insurance, taxes, assessments, water, utilities and similar charges to the extent included in such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accounting principles generally accepted in the United States.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"Redeemable Capital Stock" means any class of our capital stock that, either by its terms, by the terms of any securities into which it is convertible or exchangeable or by contract or otherwise, is, or upon the happening of an event or passage of time would be, required to be redeemed (whether by sinking fund or otherwise) prior to the date that is 91 days after the final scheduled maturity of the notes or is redeemable at the option of the holder thereof at any time prior to such date, or is convertible into or exchangeable for debt securities at any time prior to such date (unless it is convertible or exchangeable solely at our option).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"Senior Indebtedness" or "senior debt" means:</w:t>
      </w:r>
    </w:p>
    <w:p>
      <w:pPr>
        <w:spacing w:after="0" w:line="207" w:lineRule="exact"/>
        <w:rPr>
          <w:sz w:val="20"/>
          <w:szCs w:val="20"/>
          <w:color w:val="auto"/>
        </w:rPr>
      </w:pPr>
    </w:p>
    <w:p>
      <w:pPr>
        <w:ind w:left="740" w:right="17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Regeneron, now or hereafter existing, under or in respect of the documents and instruments executed in connection therewith, whether for principal, premium, if any, interest (including interest accruing after the filing of, or which would have accrued but for the filing of, a petition by or against Regeneron under bankruptcy law, whether or not such interest is allowed as a claim after such filing in any proceeding under such law) and other amounts due in connection therewith (including, without limitation, any fees, premiums, expenses, reimbursement obligations with respect to letters of credit and indemnities), whether outstanding on the date of the indenture or thereafter created, incurred or assumed; and</w:t>
      </w:r>
    </w:p>
    <w:p>
      <w:pPr>
        <w:spacing w:after="0" w:line="21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premium, if any, and interest on all other indebtedness</w:t>
      </w:r>
    </w:p>
    <w:p>
      <w:pPr>
        <w:spacing w:after="0" w:line="21"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of Regeneron (other than the notes), whether outstanding on the date of the indenture or thereafter created, incurred or assumed, unless, in the case of any particular indebtedness, the instrument creating or evidencing</w:t>
      </w: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0" w:gutter="0" w:footer="0" w:header="0"/>
        </w:sectPr>
      </w:pPr>
    </w:p>
    <w:bookmarkStart w:id="29" w:name="page30"/>
    <w:bookmarkEnd w:id="29"/>
    <w:p>
      <w:pPr>
        <w:ind w:left="740" w:right="1879"/>
        <w:spacing w:after="0" w:line="236" w:lineRule="auto"/>
        <w:rPr>
          <w:sz w:val="20"/>
          <w:szCs w:val="20"/>
          <w:color w:val="auto"/>
        </w:rPr>
      </w:pPr>
      <w:r>
        <w:rPr>
          <w:rFonts w:ascii="Courier New" w:cs="Courier New" w:eastAsia="Courier New" w:hAnsi="Courier New"/>
          <w:sz w:val="18"/>
          <w:szCs w:val="18"/>
          <w:color w:val="auto"/>
        </w:rPr>
        <w:t>the same or pursuant to which the same is outstanding expressly provides that such indebtedness shall not be senior in right of payment to the notes.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the foregoing, "Senior Indebtedness" and "senior debt"</w:t>
      </w:r>
    </w:p>
    <w:p>
      <w:pPr>
        <w:spacing w:after="0" w:line="238" w:lineRule="auto"/>
        <w:rPr>
          <w:sz w:val="20"/>
          <w:szCs w:val="20"/>
          <w:color w:val="auto"/>
        </w:rPr>
      </w:pPr>
      <w:r>
        <w:rPr>
          <w:rFonts w:ascii="Courier New" w:cs="Courier New" w:eastAsia="Courier New" w:hAnsi="Courier New"/>
          <w:sz w:val="18"/>
          <w:szCs w:val="18"/>
          <w:color w:val="auto"/>
        </w:rPr>
        <w:t>shall not include:</w:t>
      </w:r>
    </w:p>
    <w:p>
      <w:pPr>
        <w:spacing w:after="0" w:line="202" w:lineRule="exact"/>
        <w:rPr>
          <w:sz w:val="20"/>
          <w:szCs w:val="20"/>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the notes offered hereby;</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is expressly subordinated in right of payment to Senior Indebtedness of Regeneron;</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by operation of law is subordinate to any general unsecured obligations of Regeneron;</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or local taxes or other taxes, owed or owing by Regeneron;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or other liabilities owed or owing by Regeneron to trade creditors (including guarantees thereof or instruments evidencing such liabilities);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owed by Regeneron for compensation to employees or for services rendered to Regeneron;</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to any subsidiary or any other affiliate of Regeneron or any of such affiliate's subsidiaries;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Regeneron;</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any guarantee of any indebtedness ranking equal or junior in right of payment to the notes;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which, when incurred and without respect to any election under Section 1111(b) of Title 11 of the United States Code, is without recourse to Regeneron.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Each of the following constitutes an "Event of Default" under the indenture:</w:t>
      </w:r>
    </w:p>
    <w:p>
      <w:pPr>
        <w:spacing w:after="0" w:line="208" w:lineRule="exact"/>
        <w:rPr>
          <w:sz w:val="20"/>
          <w:szCs w:val="20"/>
          <w:color w:val="auto"/>
        </w:rPr>
      </w:pPr>
    </w:p>
    <w:p>
      <w:pPr>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when due the principal of or premium, if any, on any of the notes at maturity, upon redemption or exercise of a repurchase right or otherwise, whether or not such payment is prohibited by the subordination provisions of the indenture;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an installment of interest (including</w:t>
      </w:r>
    </w:p>
    <w:p>
      <w:pPr>
        <w:spacing w:after="0" w:line="4" w:lineRule="exact"/>
        <w:rPr>
          <w:rFonts w:ascii="Courier New" w:cs="Courier New" w:eastAsia="Courier New" w:hAnsi="Courier New"/>
          <w:sz w:val="18"/>
          <w:szCs w:val="18"/>
          <w:color w:val="auto"/>
        </w:rPr>
      </w:pPr>
    </w:p>
    <w:p>
      <w:pPr>
        <w:ind w:left="540"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liquidated damages, if any) on any of the notes that continues for 30 days after the date when due, whether or not such payment is prohibited by the subordination provisions of the indenture; provided that a failure to make any of the first six scheduled interest payments on the notes within three business days of the applicable interest payment dates will constitute an Event of Default with no additional grace or cure period;</w:t>
      </w:r>
    </w:p>
    <w:p>
      <w:pPr>
        <w:spacing w:after="0" w:line="18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deliver shares of common stock, together with cash in lieu of fractional shares, when such common stock or cash in lieu of fractional shares is required to be delivered upon conversion of a note or upon the exercise of a repurchase right that continues for ten days after such delivery date;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perform or observe any other term, covenant or agreement contained in the notes or the indenture for a period of 60 days after written notice of such failure, requiring us to remedy the same, shall have been given to us by the trustee, or to us and the trustee by the holders of at least 25% in aggregate principal amount of the notes then outstanding;</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one or more defaults in the payment of principal of or premium, if any, on any of our indebtedness aggregating $10.0 million or more, when the same becomes due and payable at the scheduled maturity thereof, and such default or defaults shall have continued after any applicable grace period and shall not have been cured or waived within a thirty day period after the date of such default or (B) any of our indebtedness aggregating $10.0 million or more shall have been accelerated or otherwise declared due and payable, or required to be prepaid or repurchased (other than by</w:t>
      </w:r>
    </w:p>
    <w:p>
      <w:pPr>
        <w:sectPr>
          <w:pgSz w:w="11900" w:h="16838" w:orient="portrait"/>
          <w:cols w:equalWidth="0" w:num="1">
            <w:col w:w="10219"/>
          </w:cols>
          <w:pgMar w:left="240" w:top="723" w:right="1440" w:bottom="0" w:gutter="0" w:footer="0" w:header="0"/>
        </w:sectPr>
      </w:pPr>
    </w:p>
    <w:bookmarkStart w:id="30" w:name="page31"/>
    <w:bookmarkEnd w:id="30"/>
    <w:p>
      <w:pPr>
        <w:ind w:left="3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019"/>
          </w:cols>
          <w:pgMar w:left="1440" w:top="339" w:right="1440" w:bottom="1440" w:gutter="0" w:footer="0" w:header="0"/>
        </w:sectPr>
      </w:pPr>
    </w:p>
    <w:bookmarkStart w:id="31" w:name="page32"/>
    <w:bookmarkEnd w:id="31"/>
    <w:p>
      <w:pPr>
        <w:ind w:left="540" w:right="2099"/>
        <w:spacing w:after="0" w:line="236" w:lineRule="auto"/>
        <w:rPr>
          <w:sz w:val="20"/>
          <w:szCs w:val="20"/>
          <w:color w:val="auto"/>
        </w:rPr>
      </w:pPr>
      <w:r>
        <w:rPr>
          <w:rFonts w:ascii="Courier New" w:cs="Courier New" w:eastAsia="Courier New" w:hAnsi="Courier New"/>
          <w:sz w:val="18"/>
          <w:szCs w:val="18"/>
          <w:color w:val="auto"/>
        </w:rPr>
        <w:t>regularly scheduled required prepayment) prior to the scheduled maturity thereof and such acceleration is not rescinded or annulled within a thirty-day period after the date of such acceleration;</w:t>
      </w:r>
    </w:p>
    <w:p>
      <w:pPr>
        <w:spacing w:after="0" w:line="209" w:lineRule="exact"/>
        <w:rPr>
          <w:sz w:val="20"/>
          <w:szCs w:val="20"/>
          <w:color w:val="auto"/>
        </w:rPr>
      </w:pPr>
    </w:p>
    <w:p>
      <w:pPr>
        <w:ind w:left="540" w:right="1879" w:firstLine="521"/>
        <w:spacing w:after="0" w:line="235"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our bankruptcy, insolvency or reorganization or that of any significant subsidiaries;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filing of a voluntary petition seeking liquidation,</w:t>
      </w:r>
    </w:p>
    <w:p>
      <w:pPr>
        <w:spacing w:after="0" w:line="4" w:lineRule="exact"/>
        <w:rPr>
          <w:rFonts w:ascii="Courier New" w:cs="Courier New" w:eastAsia="Courier New" w:hAnsi="Courier New"/>
          <w:sz w:val="18"/>
          <w:szCs w:val="18"/>
          <w:color w:val="auto"/>
        </w:rPr>
      </w:pPr>
    </w:p>
    <w:p>
      <w:pPr>
        <w:ind w:left="5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arrangement, readjustment of debts or for any other relief under the federal bankruptcy code; and</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made by us in favor of the trustee governing the disbursements of funds from the pledge account, as such agreement may be amended, restated, supplemented or otherwise modified from time to time, shall cease to be in full force and effect or enforceable in accordance with its terms, other than in accordance with its terms.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the trustee shall, within 90 days of the occurrence of a default, give to the registered holders of the notes notice of all uncured defaults known to it, but the trustee shall be protected in withholding such notice if it, in good faith, determines that the withholding of such notice is in the best interest of such registered holders, except in the case of a default in the payment of the principal of, or premium, if any, or interest on any of the notes when due or in the payment of any redemption or repurchase obligation.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specified in clause (6) or clause (7) above occurs and is continuing, then, automatically, the principal of all the notes and the interest thereon shall become immediately due and payable. If an Event of Default shall occur and be continuing, other than with respect to clause (6) or clause (7) above (such default not having been cured or waived as provided under "-- Modifications and Waiver" below), the trustee or the holders of at least 25% in aggregate principal amount of the notes then outstanding may declare the notes due and payable at their principal amount together with accrued interest, and thereupon the trustee may, at its discretion, proceed to protect and enforce the rights of the holders of notes by appropriate judicial proceedings. Such declaration may be rescinded or annulled with the written consent of the holders of a majority in aggregate principal amount of the notes then outstanding upon the conditions provided in the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indenture contains a provision entitling the trustee, subject to the duty of the trustee during default to act with the required standard of care, to be indemnified by the holders of notes before proceeding to exercise any right or power under the indenture at the request of such holders. The indenture provides that the holders of a majority in aggregate principal amount of the notes then outstanding through their written consent may direct the time, method and place of conducting any proceeding for any remedy available to the trustee or exercising any trust or power conferred upon the trustee.</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We will be required to furnish annually to the trustee a statement as to the fulfillment of our obligations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will not, and will not permit our subsidiaries or other business units to, incur, create, assume, guarantee or in any other manner become directly or indirectly liable with respect to or responsible for, or permit to remain outstanding (other than if required by law), any indebtedness that is subordinate or junior in right of payment to Senior Indebtedness unless such indebtedness ranks equal or junior in right of payment to the notes. We have the right to incur, create, assume or guarantee or in any other manner become directly or indirectly liable with respect to, or responsible for, or permit to remain outstanding, different layers of Senior Indebtedness that may be subordinate to other Senior Indebtedness.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MERGERS AND SALES OF ASSETS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of notes, consolidate with, merge into or transfer all or substantially all of our assets to any other corporation organized under the laws of the United States or any of its political subdivisions provided that:</w:t>
      </w:r>
    </w:p>
    <w:p>
      <w:pPr>
        <w:spacing w:after="0" w:line="207" w:lineRule="exact"/>
        <w:rPr>
          <w:sz w:val="20"/>
          <w:szCs w:val="20"/>
          <w:color w:val="auto"/>
        </w:rPr>
      </w:pPr>
    </w:p>
    <w:p>
      <w:pPr>
        <w:ind w:left="740" w:right="17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assumes all our obligations under the indenture and the notes;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transaction, no Event of Default, and no event which, after notice or lapse of time, would become an Event of Default, shall have happened and be continuing;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conditions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MODIFICATIONS AND WAIVER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indenture (including the terms and conditions of the notes) may be modified or amended by us and the trustee, without the consent of the holder of any note, for the purposes of, among other things:</w:t>
      </w:r>
    </w:p>
    <w:p>
      <w:pPr>
        <w:spacing w:after="0" w:line="203" w:lineRule="exact"/>
        <w:rPr>
          <w:sz w:val="20"/>
          <w:szCs w:val="20"/>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to our covenants for the benefit of the holders of notes;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surrendering any right or power conferred upon us;</w:t>
      </w:r>
    </w:p>
    <w:p>
      <w:pPr>
        <w:spacing w:after="0" w:line="206" w:lineRule="exact"/>
        <w:rPr>
          <w:rFonts w:ascii="Courier New" w:cs="Courier New" w:eastAsia="Courier New" w:hAnsi="Courier New"/>
          <w:sz w:val="18"/>
          <w:szCs w:val="18"/>
          <w:color w:val="auto"/>
        </w:rPr>
      </w:pPr>
    </w:p>
    <w:p>
      <w:pPr>
        <w:ind w:left="740" w:right="2319" w:hanging="205"/>
        <w:spacing w:after="0" w:line="279"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conversion rights of holders of notes if any reclassification or change of our common stock or any consolidation, merger or sale of all or substantially all of our assets occurs;</w:t>
      </w:r>
    </w:p>
    <w:p>
      <w:pPr>
        <w:spacing w:after="0" w:line="178"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the assumption of our obligations to the holders of notes in the case of a merger, consolidation, conveyance, transfer or lease;</w:t>
      </w:r>
    </w:p>
    <w:p>
      <w:pPr>
        <w:spacing w:after="0" w:line="169" w:lineRule="exact"/>
        <w:rPr>
          <w:rFonts w:ascii="Courier New" w:cs="Courier New" w:eastAsia="Courier New" w:hAnsi="Courier New"/>
          <w:sz w:val="16"/>
          <w:szCs w:val="16"/>
          <w:color w:val="auto"/>
        </w:rPr>
      </w:pPr>
    </w:p>
    <w:p>
      <w:pPr>
        <w:ind w:left="740" w:right="241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reducing the conversion price, provided that the reduction will not adversely affect the interests of holders of notes in any material respect;</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complying with the requirements of the SEC in order to effect or maintain the qualification of the indenture under the Trust Indenture Act of 1939, as amended;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any changes or modifications to the indenture necessary in connection with the registration of the notes under the Securities Act, as contemplated by the registration rights agreement, provided that this action does not adversely affect the interests of the holders of the notes in any material respect;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curing any ambiguity or correcting or supplementing any defective provision contained in the indenture; provided that such modification or amendment does not, in the good faith opinion of our board of directors and the trustee, adversely affect the interests of the holders of the notes in any material respect;</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or modifying any other provisions which we and the trustee may deem necessary or desirable and which will not adversely affect the interests of the holders of notes in any material respect;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appointment of a successor trustee.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Modifications and amendments to the indenture or to the terms and conditions of the notes may also be made, and past default by us may be waived, with the written consent of the holders of at least a majority in aggregate principal amount of the notes at the time outstanding.</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However, no such modification, amendment or waiver may, without the written consent of the holder of each note affected:</w:t>
      </w:r>
    </w:p>
    <w:p>
      <w:pPr>
        <w:spacing w:after="0" w:line="208" w:lineRule="exact"/>
        <w:rPr>
          <w:sz w:val="20"/>
          <w:szCs w:val="20"/>
          <w:color w:val="auto"/>
        </w:rPr>
      </w:pPr>
    </w:p>
    <w:p>
      <w:pPr>
        <w:ind w:left="740" w:right="17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maturity of the principal of or any installment of interest on any note (including any payment of liquidated damages);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(including any payment of liquidated damages),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of payment of such note or interest thereon;</w:t>
      </w:r>
    </w:p>
    <w:p>
      <w:pPr>
        <w:ind w:left="4220"/>
        <w:spacing w:after="0" w:line="238" w:lineRule="auto"/>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362" w:gutter="0" w:footer="0" w:header="0"/>
        </w:sectPr>
      </w:pPr>
    </w:p>
    <w:bookmarkStart w:id="33" w:name="page34"/>
    <w:bookmarkEnd w:id="33"/>
    <w:p>
      <w:pPr>
        <w:ind w:left="740" w:right="18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note;</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obligations to maintain an office or agency in New York City;</w:t>
      </w:r>
    </w:p>
    <w:p>
      <w:pPr>
        <w:spacing w:after="0" w:line="223"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permitted or contemplated by provisions concerning corporate reorganizations, adversely affect the repurchase option of holders upon a change of control or the conversion rights of holders of the notes;</w:t>
      </w:r>
    </w:p>
    <w:p>
      <w:pPr>
        <w:spacing w:after="0" w:line="207"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subordination provisions of the notes in a manner adverse to the holders of notes; or</w:t>
      </w:r>
    </w:p>
    <w:p>
      <w:pPr>
        <w:spacing w:after="0" w:line="208" w:lineRule="exact"/>
        <w:rPr>
          <w:rFonts w:ascii="Courier New" w:cs="Courier New" w:eastAsia="Courier New" w:hAnsi="Courier New"/>
          <w:sz w:val="18"/>
          <w:szCs w:val="18"/>
          <w:color w:val="auto"/>
        </w:rPr>
      </w:pPr>
    </w:p>
    <w:p>
      <w:pPr>
        <w:jc w:val="both"/>
        <w:ind w:left="740" w:right="1879" w:hanging="205"/>
        <w:spacing w:after="0" w:line="290"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aggregate principal amount of notes outstanding necessary to modify or amend the indenture or to waive any past default.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SATISFACTION AND DISCHARGE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may discharge our obligations under the indenture while notes remain outstanding, subject to certain conditions, if:</w:t>
      </w:r>
    </w:p>
    <w:p>
      <w:pPr>
        <w:spacing w:after="0" w:line="208" w:lineRule="exact"/>
        <w:rPr>
          <w:sz w:val="20"/>
          <w:szCs w:val="20"/>
          <w:color w:val="auto"/>
        </w:rPr>
      </w:pPr>
    </w:p>
    <w:p>
      <w:pPr>
        <w:ind w:left="740" w:right="187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have become due and payable or will become due and payable at their scheduled maturity within one year,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are scheduled for redemption within one year; and</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either case, we have deposited with the trustee an amount sufficient to pay and discharge all outstanding notes on the date of their scheduled maturity or the scheduled date of redemption; provided that we shall remain obligated to issue shares upon conversion of the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indenture and the notes are governed by, and will be construed in accordance with, the law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American Stock Transfer &amp; Trust Company, as trustee under the indenture, has been appointed by us as paying agent, conversion agent, registrar and custodian with regard to the notes. American Stock Transfer &amp; Trust Company is also the transfer agent and registrar for our common stock. The trustee or its affiliates may from time to time in the future provide other services to us in the ordinary course of their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with the initial purchasers of the notes. If you sell the notes or shares of common stock issued upon conversion of the notes under this registration statement, you generally will be required to be named as a selling securityholder in this prospectus, deliver this prospectus to purchasers and be bound by applicable provisions of the registration rights agreement, including some indemnification provisions.</w:t>
      </w:r>
    </w:p>
    <w:p>
      <w:pPr>
        <w:spacing w:after="0" w:line="18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the registration rights agreement, we agreed to use our reasonable best efforts to keep the registration statement effective until the earlier of (1) October 17, 2003; (2) the date when the holders of the notes and the common stock issuable upon conversion of the notes are able to sell all such securities immediately without restriction pursuant to the volume limitation provisions of Rule 144 under the Securities Act or any successor rule thereto or otherwise; or</w:t>
      </w:r>
    </w:p>
    <w:p>
      <w:pPr>
        <w:spacing w:after="0" w:line="1" w:lineRule="exact"/>
        <w:rPr>
          <w:sz w:val="20"/>
          <w:szCs w:val="20"/>
          <w:color w:val="auto"/>
        </w:rPr>
      </w:pPr>
    </w:p>
    <w:p>
      <w:pPr>
        <w:ind w:right="2199" w:firstLine="8"/>
        <w:spacing w:after="0" w:line="235" w:lineRule="auto"/>
        <w:tabs>
          <w:tab w:leader="none" w:pos="42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this shelf registration statement of all securities registered 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suspend the use of this prospectus under certain circumstances relating to pending corporate developments, public filings with the SEC and similar events for a period not to exceed 45 days in any three-month period and not to exceed an aggregate of 120 days in any 12-month period. We also agreed to pay liquidated damages to holders of the notes and shares of common stock issued upon conversion of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notes if this registration statement is not timely filed or made effective or if the prospectus is unavailable for periods in excess of those permitted above. You should refer to the registrations rights agreement for a description of these liquidated damages.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notes were originally issued in the form of a global security issued in reliance on Rule 144A. Upon the issuance of a global security, DTC (referred to as the depository) or its nominee credited the accounts of persons holding through it with the respective principal amounts of the notes represented by such global security. Such accounts were designated by the initial purchasers with respect to notes placed by the initial purchasers for us. The notes that are sold under this prospectus will be represented by a new unrestricted global security. Upon issuance of this new global security, the depository or its nominee will credit the accounts of persons holding through it with the respective principal amounts of the notes represented by the new unrestricted global security. Ownership of beneficial interests in a global security is limited to persons that have accounts with the depository ("participants") or persons that may hold interests through participants. Ownership of beneficial interests by participants in a global security is shown on, and the transfer of that ownership interest will be effected only through, records maintained by the depository for such global security. Ownership of beneficial interests in such global security by persons that hold through participants will be shown on, and the transfer of those ownership interests through such participant will be effected only through, records maintained by such participant. The foregoing may impair the ability to transfer beneficial interests in a global security.</w:t>
      </w:r>
    </w:p>
    <w:p>
      <w:pPr>
        <w:spacing w:after="0" w:line="39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make payment of principal, premium, if any, and interest on notes represented by any such global security to the depository or its nominee, as the case may be, as the sole holder of the notes represented thereby for all purposes under the indenture. None of Regeneron, the trustee, any agent of Regeneron, or the trustee or the initial purchasers will have any responsibility or liability for any aspect of the depository's records relating to or payments made on account of beneficial ownership interests in global security representing any notes or for maintaining, supervising or reviewing any of the depository's records relating to such beneficial ownership interests. We have been advised by the depository that, upon receipt of any payment of principal, premium, if any, or interest on any global security, the depository will immediately credit, on its book-entry registration and transfer system, the accounts of participants with payments in amounts proportionate to their respective beneficial interests in the principal amount of such global security as shown on the records of the depository. Payments by participants to owners of beneficial interests in a global security held through such participants will be governed by standing instructions and customary practices as is now the case with securities held for customer accounts registered in "street name," and will be the sole responsibility of such participants.</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global security may not be transferred except as a whole by the depository for such global security to a nominee of such depository or by a nominee of such depository to such depository or another nominee of such depository or by such depository or any such nominee to a successor of such depository or a nominee of such successor. If the depository is at any time unwilling or unable to continue as depository and a successor depository is not appointed by us or the depository within 90 days, we will issue notes in definitive form in exchange for the global security. In either instance, an owner of a beneficial interest in the global security will be entitled to have notes equal in principal amount to such beneficial interest registered in its name and will be entitled to physical delivery of such notes in definitive form. Notes so issued in definitive form will be issued in denominations of $1,000 and integral multiples thereof and will be issued in registered form only, without coupons. We will pay principal, premium, if any, and interest on the notes and the notes may be presented for registration of transfer or exchange, at the offices of the trustee.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So long as the depository for a global security, or its nominee, is the registered owner of such global security, such depository or such nominee, as the case may be, will be considered the sole holder of the notes represented by such global security for the purposes of receiving payment on the notes, receiving notices and for all other purposes under the indenture and the notes. Beneficial interests in notes will be evidenced only by, and transfers thereof will be effected only through, records maintained by the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767" w:gutter="0" w:footer="0" w:header="0"/>
        </w:sectPr>
      </w:pPr>
    </w:p>
    <w:bookmarkStart w:id="35" w:name="page36"/>
    <w:bookmarkEnd w:id="35"/>
    <w:p>
      <w:pPr>
        <w:ind w:right="1779"/>
        <w:spacing w:after="0" w:line="238" w:lineRule="auto"/>
        <w:rPr>
          <w:sz w:val="20"/>
          <w:szCs w:val="20"/>
          <w:color w:val="auto"/>
        </w:rPr>
      </w:pPr>
      <w:r>
        <w:rPr>
          <w:rFonts w:ascii="Courier New" w:cs="Courier New" w:eastAsia="Courier New" w:hAnsi="Courier New"/>
          <w:sz w:val="18"/>
          <w:szCs w:val="18"/>
          <w:color w:val="auto"/>
        </w:rPr>
        <w:t>depository and its participants. The depository has nominated Cede &amp; Co. as the nominee. Except as provided above, owners of beneficial interests in a global security will not be entitled to have the notes represented by the global security registered in their name, will not be entitled to receive physical delivery of certificated notes and will not be considered the holders thereof for any purposes under the indenture. Accordingly any such person owning a beneficial interest in such a global security must rely on the procedures of the depository, and, if any such person is not a participant, on the procedures the participant through which such person owns its interest, to exercise any rights of a holder under the indenture. The indenture provides that the depository may grant proxies and otherwise authorize participants to give or take any request, demand, authorization, direction, notice, consent, waiver or other action which a holder is entitled to give or take under the indenture. We understand that under existing industry practices, in the event that we request any action of holders or that an owner of a beneficial interest in such a global security desires to give or take any action which a holder is entitled to give or take under the indenture, the depository would authorize the participants holding the relevant beneficial interest to give or take such action and such participants would authorize beneficial owners owning through such participants to give or take such action or would otherwise act upon the instructions of beneficial owners owning through them.</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depository has advised us that the depository is a limited-purpose trust company organized under the laws of the State of New York, a member of the Federal Reserve System, a "clearing corporation" within the meaning of the New York Uniform Commercial Code, and a "clearing agency" registered under the Exchange Act. The depository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depository's participants include securities brokers and dealers (including the initial purchasers), banks, trust companies, clearing corporations and certain other organizations, some of whom (and/or their representatives) own the depository. Access to the depository's book-entry system is also available to others, such as banks, brokers, dealers and trust companies, that clear through or maintain a custodial relationship with a participant, either directly or indirectly.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6" w:name="page37"/>
    <w:bookmarkEnd w:id="36"/>
    <w:p>
      <w:pPr>
        <w:jc w:val="center"/>
        <w:ind w:right="177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authorized capital stock consists of 160,000,000 shares of common stock, par value $.001 per share, 40,000,000 shares of Class A stock, par value $.001 per share, and 30,000,000 shares of preferred stock, par value $.01 per share. As of December 31, 2001, 41,264,280 shares of our common stock were outstanding and held by 623 shareholders of record and 2,562,689 shares of our Class A stock were outstanding and held by 63 shareholders of record. The following is a summary description of our capital stock. For more information, see our Restated Certificate of Incorporation, a copy of which is incorporated by reference as an exhibit to our annual report on Form 10-K for the fiscal year ended December 31, 2000.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CLASS A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General. The rights of holders of common stock and holders of Class A stock are identical except for voting and conversion rights, and restrictions on transferability.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2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Transfer Restrictions. Class A stock is subject to certain limitations on transfer that do not apply to the common stock.</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shares of common stock are not convertible into or exchangeable for shares of Class A stock or any other of our shares or securities.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970" w:gutter="0" w:footer="0" w:header="0"/>
        </w:sectPr>
      </w:pPr>
    </w:p>
    <w:bookmarkStart w:id="37" w:name="page38"/>
    <w:bookmarkEnd w:id="37"/>
    <w:p>
      <w:pPr>
        <w:ind w:right="1879"/>
        <w:spacing w:after="0" w:line="237" w:lineRule="auto"/>
        <w:rPr>
          <w:sz w:val="20"/>
          <w:szCs w:val="20"/>
          <w:color w:val="auto"/>
        </w:rPr>
      </w:pPr>
      <w:r>
        <w:rPr>
          <w:rFonts w:ascii="Courier New" w:cs="Courier New" w:eastAsia="Courier New" w:hAnsi="Courier New"/>
          <w:sz w:val="18"/>
          <w:szCs w:val="18"/>
          <w:color w:val="auto"/>
        </w:rPr>
        <w:t>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our common stock is American Stock Transfer &amp; Trust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shelf registration statement, we have notified each of the holders who have registration rights and each holder, other than the selling securityholders listed in this prospectus or any supplement thereto, has either waived its rights to exercise its respective registration rights or is subject to a lock-up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the rights separate from our common shares, certificates representing the rights will be mailed to record holders of our common stock. Once distributed, the rights certificates alone will represent the rights.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8" w:name="page39"/>
    <w:bookmarkEnd w:id="38"/>
    <w:p>
      <w:pPr>
        <w:ind w:right="1779" w:firstLine="527"/>
        <w:spacing w:after="0" w:line="237" w:lineRule="auto"/>
        <w:rPr>
          <w:sz w:val="20"/>
          <w:szCs w:val="20"/>
          <w:color w:val="auto"/>
        </w:rPr>
      </w:pPr>
      <w:r>
        <w:rPr>
          <w:rFonts w:ascii="Courier New" w:cs="Courier New" w:eastAsia="Courier New" w:hAnsi="Courier New"/>
          <w:sz w:val="18"/>
          <w:szCs w:val="18"/>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 will terminate and the holder of the rights will have only the right to receive $0.01 per right. The rights will expire automatically on October 18, 2006 unless earlier redeemed or exchanged by us.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certain circumstances, a right will entitle the holder to purchase a number of shares of common stock of the acquiror having a then current market value of twice the right's purchase price.</w:t>
      </w:r>
    </w:p>
    <w:p>
      <w:pPr>
        <w:spacing w:after="0" w:line="209" w:lineRule="exact"/>
        <w:rPr>
          <w:sz w:val="20"/>
          <w:szCs w:val="20"/>
          <w:color w:val="auto"/>
        </w:rPr>
      </w:pPr>
    </w:p>
    <w:p>
      <w:pPr>
        <w:jc w:val="both"/>
        <w:ind w:right="2099" w:firstLine="527"/>
        <w:spacing w:after="0" w:line="290"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notes were originally issued by us and sold by Merrill Lynch, Pierce, Fenner &amp; Smith Incorporated and Robertson Stephens, Inc.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notes listed below and the shares of common stock issued upon conversion of such notes.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table below sets forth the name of each selling securityholder, the principal amount at maturity of notes that each selling securityholder may offer pursuant to this prospectus and the number of shares of common stock into which such notes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39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principal amounts of the notes provided in the table below is based on information provided to us by each of the selling securityholders as of January 23, 2002, and the percentages are based on $200,000,000 principal amount at maturity of notes outstanding. The number of shares of common stock that may be sold is calculated based on the current conversion price of $30.2512 per share.</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Since the date on which each selling securityholder provided this information, each selling securityholder identified below may have sold, transferred or otherwise disposed of all or a portion of its notes in a transaction exempt from the registration requirements of the Securities Act. Information concerning the selling securityholders may change from time to time and any changed information will be set forth in supplements to this prospectus to the extent required. In addition, the conversion ratio, and therefore the number of shares of our common stock issuable upon conversion of the notes, is subject to adjustment. Accordingly, the number of shares of common stock issuable upon conversion of the notes may increase or decrease.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767" w:gutter="0" w:footer="0" w:header="0"/>
        </w:sectPr>
      </w:pPr>
    </w:p>
    <w:bookmarkStart w:id="39" w:name="page40"/>
    <w:bookmarkEnd w:id="39"/>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may from time to time offer and sell any or all of the securities under this prospectus. Because the selling securityholders are not obligated to sell the notes or the shares of common stock issuable upon conversion of the notes, we cannot estimate the amount of the notes or how many shares of common stock that the selling securityholders will hold upon consummation of any such sales.</w:t>
      </w:r>
    </w:p>
    <w:p>
      <w:pPr>
        <w:spacing w:after="0" w:line="200" w:lineRule="exact"/>
        <w:rPr>
          <w:sz w:val="20"/>
          <w:szCs w:val="20"/>
          <w:color w:val="auto"/>
        </w:rPr>
      </w:pPr>
    </w:p>
    <w:p>
      <w:pPr>
        <w:spacing w:after="0" w:line="207"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AGGREGATE PRINCIPAL NUMBER</w:t>
      </w:r>
    </w:p>
    <w:p>
      <w:pPr>
        <w:jc w:val="center"/>
        <w:ind w:right="7379"/>
        <w:spacing w:after="0" w:line="238" w:lineRule="auto"/>
        <w:rPr>
          <w:sz w:val="20"/>
          <w:szCs w:val="20"/>
          <w:color w:val="auto"/>
        </w:rPr>
      </w:pPr>
      <w:r>
        <w:rPr>
          <w:rFonts w:ascii="Courier New" w:cs="Courier New" w:eastAsia="Courier New" w:hAnsi="Courier New"/>
          <w:sz w:val="18"/>
          <w:szCs w:val="18"/>
          <w:color w:val="auto"/>
        </w:rPr>
        <w:t>OF SHARES PERCENTAGE OF</w:t>
      </w:r>
    </w:p>
    <w:p>
      <w:pPr>
        <w:jc w:val="center"/>
        <w:ind w:right="7379"/>
        <w:spacing w:after="0"/>
        <w:rPr>
          <w:sz w:val="20"/>
          <w:szCs w:val="20"/>
          <w:color w:val="auto"/>
        </w:rPr>
      </w:pPr>
      <w:r>
        <w:rPr>
          <w:rFonts w:ascii="Courier New" w:cs="Courier New" w:eastAsia="Courier New" w:hAnsi="Courier New"/>
          <w:sz w:val="18"/>
          <w:szCs w:val="18"/>
          <w:color w:val="auto"/>
        </w:rPr>
        <w:t>AMOUNT AT PERCENTAGE OF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COMMON STOCK SHARES OF</w:t>
      </w:r>
    </w:p>
    <w:p>
      <w:pPr>
        <w:jc w:val="center"/>
        <w:ind w:right="7379"/>
        <w:spacing w:after="0" w:line="238" w:lineRule="auto"/>
        <w:rPr>
          <w:sz w:val="20"/>
          <w:szCs w:val="20"/>
          <w:color w:val="auto"/>
        </w:rPr>
      </w:pPr>
      <w:r>
        <w:rPr>
          <w:rFonts w:ascii="Courier New" w:cs="Courier New" w:eastAsia="Courier New" w:hAnsi="Courier New"/>
          <w:sz w:val="18"/>
          <w:szCs w:val="18"/>
          <w:color w:val="auto"/>
        </w:rPr>
        <w:t>MATURITY OF NOTES NOTES</w:t>
      </w:r>
    </w:p>
    <w:p>
      <w:pPr>
        <w:jc w:val="center"/>
        <w:ind w:right="7379"/>
        <w:spacing w:after="0"/>
        <w:rPr>
          <w:sz w:val="20"/>
          <w:szCs w:val="20"/>
          <w:color w:val="auto"/>
        </w:rPr>
      </w:pPr>
      <w:r>
        <w:rPr>
          <w:rFonts w:ascii="Courier New" w:cs="Courier New" w:eastAsia="Courier New" w:hAnsi="Courier New"/>
          <w:sz w:val="18"/>
          <w:szCs w:val="18"/>
          <w:color w:val="auto"/>
        </w:rPr>
        <w:t>THAT MAY COMMON STOCK NAME</w:t>
      </w:r>
    </w:p>
    <w:p>
      <w:pPr>
        <w:jc w:val="center"/>
        <w:ind w:right="7379"/>
        <w:spacing w:after="0" w:line="237" w:lineRule="auto"/>
        <w:rPr>
          <w:sz w:val="20"/>
          <w:szCs w:val="20"/>
          <w:color w:val="auto"/>
        </w:rPr>
      </w:pPr>
      <w:r>
        <w:rPr>
          <w:rFonts w:ascii="Courier New" w:cs="Courier New" w:eastAsia="Courier New" w:hAnsi="Courier New"/>
          <w:sz w:val="18"/>
          <w:szCs w:val="18"/>
          <w:color w:val="auto"/>
        </w:rPr>
        <w:t>THAT MAY BE SOLD</w:t>
      </w:r>
    </w:p>
    <w:p>
      <w:pPr>
        <w:jc w:val="center"/>
        <w:ind w:right="7379"/>
        <w:spacing w:after="0"/>
        <w:rPr>
          <w:sz w:val="20"/>
          <w:szCs w:val="20"/>
          <w:color w:val="auto"/>
        </w:rPr>
      </w:pPr>
      <w:r>
        <w:rPr>
          <w:rFonts w:ascii="Courier New" w:cs="Courier New" w:eastAsia="Courier New" w:hAnsi="Courier New"/>
          <w:sz w:val="18"/>
          <w:szCs w:val="18"/>
          <w:color w:val="auto"/>
        </w:rPr>
        <w:t>OUTSTANDING BE SOLD(1)</w:t>
      </w:r>
    </w:p>
    <w:p>
      <w:pPr>
        <w:jc w:val="center"/>
        <w:ind w:right="7379"/>
        <w:spacing w:after="0" w:line="237" w:lineRule="auto"/>
        <w:rPr>
          <w:sz w:val="20"/>
          <w:szCs w:val="20"/>
          <w:color w:val="auto"/>
        </w:rPr>
      </w:pPr>
      <w:r>
        <w:rPr>
          <w:rFonts w:ascii="Courier New" w:cs="Courier New" w:eastAsia="Courier New" w:hAnsi="Courier New"/>
          <w:sz w:val="18"/>
          <w:szCs w:val="18"/>
          <w:color w:val="auto"/>
        </w:rPr>
        <w:t>OUTSTANDING(2) - ---- ----</w:t>
      </w:r>
    </w:p>
    <w:p>
      <w:pPr>
        <w:ind w:left="60"/>
        <w:spacing w:after="0"/>
        <w:rPr>
          <w:sz w:val="20"/>
          <w:szCs w:val="20"/>
          <w:color w:val="auto"/>
        </w:rPr>
      </w:pPr>
      <w:r>
        <w:rPr>
          <w:rFonts w:ascii="Courier New" w:cs="Courier New" w:eastAsia="Courier New" w:hAnsi="Courier New"/>
          <w:sz w:val="18"/>
          <w:szCs w:val="18"/>
          <w:color w:val="auto"/>
        </w:rPr>
        <w:t>--------------- ----------</w:t>
      </w:r>
    </w:p>
    <w:p>
      <w:pPr>
        <w:ind w:left="480" w:hanging="423"/>
        <w:spacing w:after="0" w:line="237" w:lineRule="auto"/>
        <w:tabs>
          <w:tab w:leader="none" w:pos="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Aristeia</w:t>
      </w:r>
    </w:p>
    <w:p>
      <w:pPr>
        <w:spacing w:after="0" w:line="200" w:lineRule="exact"/>
        <w:rPr>
          <w:sz w:val="20"/>
          <w:szCs w:val="20"/>
          <w:color w:val="auto"/>
        </w:rPr>
      </w:pPr>
    </w:p>
    <w:p>
      <w:pPr>
        <w:spacing w:after="0" w:line="210" w:lineRule="exact"/>
        <w:rPr>
          <w:sz w:val="20"/>
          <w:szCs w:val="20"/>
          <w:color w:val="auto"/>
        </w:rPr>
      </w:pPr>
    </w:p>
    <w:p>
      <w:pPr>
        <w:ind w:left="380" w:right="7479" w:hanging="271"/>
        <w:spacing w:after="0" w:line="268" w:lineRule="auto"/>
        <w:tabs>
          <w:tab w:leader="none" w:pos="32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5,460,000 2.73% 180,488 * Aristeia Partners,</w:t>
      </w:r>
    </w:p>
    <w:p>
      <w:pPr>
        <w:ind w:left="160"/>
        <w:spacing w:after="0" w:line="233" w:lineRule="auto"/>
        <w:rPr>
          <w:sz w:val="20"/>
          <w:szCs w:val="20"/>
          <w:color w:val="auto"/>
        </w:rPr>
      </w:pPr>
      <w:r>
        <w:rPr>
          <w:rFonts w:ascii="Courier New" w:cs="Courier New" w:eastAsia="Courier New" w:hAnsi="Courier New"/>
          <w:sz w:val="18"/>
          <w:szCs w:val="18"/>
          <w:color w:val="auto"/>
        </w:rPr>
        <w:t>L.P....... $ 1,540,000 *</w:t>
      </w:r>
    </w:p>
    <w:p>
      <w:pPr>
        <w:jc w:val="center"/>
        <w:ind w:right="7379"/>
        <w:spacing w:after="0"/>
        <w:rPr>
          <w:sz w:val="20"/>
          <w:szCs w:val="20"/>
          <w:color w:val="auto"/>
        </w:rPr>
      </w:pPr>
      <w:r>
        <w:rPr>
          <w:rFonts w:ascii="Courier New" w:cs="Courier New" w:eastAsia="Courier New" w:hAnsi="Courier New"/>
          <w:sz w:val="18"/>
          <w:szCs w:val="18"/>
          <w:color w:val="auto"/>
        </w:rPr>
        <w:t>50,907 * Baker Biotech</w:t>
      </w:r>
    </w:p>
    <w:p>
      <w:pPr>
        <w:ind w:left="540"/>
        <w:spacing w:after="0" w:line="237" w:lineRule="auto"/>
        <w:rPr>
          <w:sz w:val="20"/>
          <w:szCs w:val="20"/>
          <w:color w:val="auto"/>
        </w:rPr>
      </w:pPr>
      <w:r>
        <w:rPr>
          <w:rFonts w:ascii="Courier New" w:cs="Courier New" w:eastAsia="Courier New" w:hAnsi="Courier New"/>
          <w:sz w:val="18"/>
          <w:szCs w:val="18"/>
          <w:color w:val="auto"/>
        </w:rPr>
        <w:t>Fund I, L.P.... $</w:t>
      </w:r>
    </w:p>
    <w:p>
      <w:pPr>
        <w:ind w:left="100"/>
        <w:spacing w:after="0"/>
        <w:rPr>
          <w:sz w:val="20"/>
          <w:szCs w:val="20"/>
          <w:color w:val="auto"/>
        </w:rPr>
      </w:pPr>
      <w:r>
        <w:rPr>
          <w:rFonts w:ascii="Courier New" w:cs="Courier New" w:eastAsia="Courier New" w:hAnsi="Courier New"/>
          <w:sz w:val="18"/>
          <w:szCs w:val="18"/>
          <w:color w:val="auto"/>
        </w:rPr>
        <w:t>9,000,000 4.5% 297,508(3)</w:t>
      </w:r>
    </w:p>
    <w:p>
      <w:pPr>
        <w:spacing w:after="0" w:line="4" w:lineRule="exact"/>
        <w:rPr>
          <w:sz w:val="20"/>
          <w:szCs w:val="20"/>
          <w:color w:val="auto"/>
        </w:rPr>
      </w:pPr>
    </w:p>
    <w:p>
      <w:pPr>
        <w:ind w:right="7359" w:firstLine="162"/>
        <w:spacing w:after="0" w:line="268" w:lineRule="auto"/>
        <w:tabs>
          <w:tab w:leader="none" w:pos="36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Baker Biotech Fund II, L.P........................</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$ 9,525,000 4.76%</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314,863(4) * Baker Bros.</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L.P........................</w:t>
      </w:r>
    </w:p>
    <w:p>
      <w:pPr>
        <w:spacing w:after="0" w:line="4" w:lineRule="exact"/>
        <w:rPr>
          <w:rFonts w:ascii="Courier New" w:cs="Courier New" w:eastAsia="Courier New" w:hAnsi="Courier New"/>
          <w:sz w:val="16"/>
          <w:szCs w:val="16"/>
          <w:color w:val="auto"/>
        </w:rPr>
      </w:pPr>
    </w:p>
    <w:p>
      <w:pPr>
        <w:jc w:val="center"/>
        <w:ind w:right="7359" w:firstLine="207"/>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$ 750,000 * 24,792(5) * Baker Bros. Investments II, L.P........................</w:t>
      </w:r>
    </w:p>
    <w:p>
      <w:pPr>
        <w:spacing w:after="0" w:line="175" w:lineRule="exact"/>
        <w:rPr>
          <w:rFonts w:ascii="Courier New" w:cs="Courier New" w:eastAsia="Courier New" w:hAnsi="Courier New"/>
          <w:sz w:val="16"/>
          <w:szCs w:val="16"/>
          <w:color w:val="auto"/>
        </w:rPr>
      </w:pPr>
    </w:p>
    <w:p>
      <w:pPr>
        <w:jc w:val="both"/>
        <w:ind w:right="7359" w:firstLine="4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$ 3,000,000 1.5% 99,169(6) * Baker/Tisch Investments, L.P........................</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$ 3,000,000 1.5% 99,169(7)</w:t>
      </w:r>
    </w:p>
    <w:p>
      <w:pPr>
        <w:spacing w:after="0" w:line="4" w:lineRule="exact"/>
        <w:rPr>
          <w:rFonts w:ascii="Courier New" w:cs="Courier New" w:eastAsia="Courier New" w:hAnsi="Courier New"/>
          <w:sz w:val="16"/>
          <w:szCs w:val="16"/>
          <w:color w:val="auto"/>
        </w:rPr>
      </w:pPr>
    </w:p>
    <w:p>
      <w:pPr>
        <w:ind w:right="7359" w:firstLine="162"/>
        <w:spacing w:after="0" w:line="268" w:lineRule="auto"/>
        <w:tabs>
          <w:tab w:leader="none" w:pos="36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Calamos Market Neutral Fund.......................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$ 3,225,000 1.61% 106,607</w:t>
      </w:r>
    </w:p>
    <w:p>
      <w:pPr>
        <w:ind w:left="380" w:hanging="218"/>
        <w:spacing w:after="0" w:line="238" w:lineRule="auto"/>
        <w:tabs>
          <w:tab w:leader="none" w:pos="3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Clinton Multistrategey</w:t>
      </w:r>
    </w:p>
    <w:p>
      <w:pPr>
        <w:jc w:val="center"/>
        <w:ind w:right="7379"/>
        <w:spacing w:after="0"/>
        <w:rPr>
          <w:sz w:val="20"/>
          <w:szCs w:val="20"/>
          <w:color w:val="auto"/>
        </w:rPr>
      </w:pPr>
      <w:r>
        <w:rPr>
          <w:rFonts w:ascii="Courier New" w:cs="Courier New" w:eastAsia="Courier New" w:hAnsi="Courier New"/>
          <w:sz w:val="18"/>
          <w:szCs w:val="18"/>
          <w:color w:val="auto"/>
        </w:rPr>
        <w:t>Master Fund,</w:t>
      </w:r>
    </w:p>
    <w:p>
      <w:pPr>
        <w:jc w:val="center"/>
        <w:ind w:right="7379"/>
        <w:spacing w:after="0" w:line="237" w:lineRule="auto"/>
        <w:rPr>
          <w:sz w:val="20"/>
          <w:szCs w:val="20"/>
          <w:color w:val="auto"/>
        </w:rPr>
      </w:pPr>
      <w:r>
        <w:rPr>
          <w:rFonts w:ascii="Courier New" w:cs="Courier New" w:eastAsia="Courier New" w:hAnsi="Courier New"/>
          <w:sz w:val="18"/>
          <w:szCs w:val="18"/>
          <w:color w:val="auto"/>
        </w:rPr>
        <w:t>Ltd.................. $</w:t>
      </w:r>
    </w:p>
    <w:p>
      <w:pPr>
        <w:jc w:val="center"/>
        <w:ind w:right="7379"/>
        <w:spacing w:after="0" w:line="238" w:lineRule="auto"/>
        <w:rPr>
          <w:sz w:val="20"/>
          <w:szCs w:val="20"/>
          <w:color w:val="auto"/>
        </w:rPr>
      </w:pPr>
      <w:r>
        <w:rPr>
          <w:rFonts w:ascii="Courier New" w:cs="Courier New" w:eastAsia="Courier New" w:hAnsi="Courier New"/>
          <w:sz w:val="18"/>
          <w:szCs w:val="18"/>
          <w:color w:val="auto"/>
        </w:rPr>
        <w:t>4,000,000 2.0% 132,226 *</w:t>
      </w:r>
    </w:p>
    <w:p>
      <w:pPr>
        <w:jc w:val="center"/>
        <w:ind w:right="7379"/>
        <w:spacing w:after="0"/>
        <w:rPr>
          <w:sz w:val="20"/>
          <w:szCs w:val="20"/>
          <w:color w:val="auto"/>
        </w:rPr>
      </w:pPr>
      <w:r>
        <w:rPr>
          <w:rFonts w:ascii="Courier New" w:cs="Courier New" w:eastAsia="Courier New" w:hAnsi="Courier New"/>
          <w:sz w:val="18"/>
          <w:szCs w:val="18"/>
          <w:color w:val="auto"/>
        </w:rPr>
        <w:t>Clinton Riverside</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Convertible Portfolio</w:t>
      </w:r>
    </w:p>
    <w:p>
      <w:pPr>
        <w:jc w:val="center"/>
        <w:ind w:right="7379"/>
        <w:spacing w:after="0"/>
        <w:rPr>
          <w:sz w:val="20"/>
          <w:szCs w:val="20"/>
          <w:color w:val="auto"/>
        </w:rPr>
      </w:pPr>
      <w:r>
        <w:rPr>
          <w:rFonts w:ascii="Courier New" w:cs="Courier New" w:eastAsia="Courier New" w:hAnsi="Courier New"/>
          <w:sz w:val="18"/>
          <w:szCs w:val="18"/>
          <w:color w:val="auto"/>
        </w:rPr>
        <w:t>Limited.......... $</w:t>
      </w:r>
    </w:p>
    <w:p>
      <w:pPr>
        <w:jc w:val="center"/>
        <w:ind w:right="7379"/>
        <w:spacing w:after="0" w:line="237" w:lineRule="auto"/>
        <w:rPr>
          <w:sz w:val="20"/>
          <w:szCs w:val="20"/>
          <w:color w:val="auto"/>
        </w:rPr>
      </w:pPr>
      <w:r>
        <w:rPr>
          <w:rFonts w:ascii="Courier New" w:cs="Courier New" w:eastAsia="Courier New" w:hAnsi="Courier New"/>
          <w:sz w:val="18"/>
          <w:szCs w:val="18"/>
          <w:color w:val="auto"/>
        </w:rPr>
        <w:t>7,500,000 3.75% 247,923 *</w:t>
      </w:r>
    </w:p>
    <w:p>
      <w:pPr>
        <w:jc w:val="center"/>
        <w:ind w:right="7379"/>
        <w:spacing w:after="0"/>
        <w:rPr>
          <w:sz w:val="20"/>
          <w:szCs w:val="20"/>
          <w:color w:val="auto"/>
        </w:rPr>
      </w:pPr>
      <w:r>
        <w:rPr>
          <w:rFonts w:ascii="Courier New" w:cs="Courier New" w:eastAsia="Courier New" w:hAnsi="Courier New"/>
          <w:sz w:val="18"/>
          <w:szCs w:val="18"/>
          <w:color w:val="auto"/>
        </w:rPr>
        <w:t>Common Fund Event-Driven</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Company Ltd.</w:t>
      </w:r>
    </w:p>
    <w:p>
      <w:pPr>
        <w:ind w:left="100"/>
        <w:spacing w:after="0" w:line="238" w:lineRule="auto"/>
        <w:rPr>
          <w:sz w:val="20"/>
          <w:szCs w:val="20"/>
          <w:color w:val="auto"/>
        </w:rPr>
      </w:pPr>
      <w:r>
        <w:rPr>
          <w:rFonts w:ascii="Courier New" w:cs="Courier New" w:eastAsia="Courier New" w:hAnsi="Courier New"/>
          <w:sz w:val="18"/>
          <w:szCs w:val="18"/>
          <w:color w:val="auto"/>
        </w:rPr>
        <w:t>.............. $ 90,000 *</w:t>
      </w:r>
    </w:p>
    <w:p>
      <w:pPr>
        <w:jc w:val="center"/>
        <w:ind w:right="7379"/>
        <w:spacing w:after="0"/>
        <w:rPr>
          <w:sz w:val="20"/>
          <w:szCs w:val="20"/>
          <w:color w:val="auto"/>
        </w:rPr>
      </w:pPr>
      <w:r>
        <w:rPr>
          <w:rFonts w:ascii="Courier New" w:cs="Courier New" w:eastAsia="Courier New" w:hAnsi="Courier New"/>
          <w:sz w:val="18"/>
          <w:szCs w:val="18"/>
          <w:color w:val="auto"/>
        </w:rPr>
        <w:t>2,975 * Consulting Group</w:t>
      </w:r>
    </w:p>
    <w:p>
      <w:pPr>
        <w:jc w:val="center"/>
        <w:ind w:right="7379"/>
        <w:spacing w:after="0" w:line="237" w:lineRule="auto"/>
        <w:rPr>
          <w:sz w:val="20"/>
          <w:szCs w:val="20"/>
          <w:color w:val="auto"/>
        </w:rPr>
      </w:pPr>
      <w:r>
        <w:rPr>
          <w:rFonts w:ascii="Courier New" w:cs="Courier New" w:eastAsia="Courier New" w:hAnsi="Courier New"/>
          <w:sz w:val="18"/>
          <w:szCs w:val="18"/>
          <w:color w:val="auto"/>
        </w:rPr>
        <w:t>Capital Market</w:t>
      </w:r>
    </w:p>
    <w:p>
      <w:pPr>
        <w:jc w:val="center"/>
        <w:ind w:right="7379"/>
        <w:spacing w:after="0"/>
        <w:rPr>
          <w:sz w:val="20"/>
          <w:szCs w:val="20"/>
          <w:color w:val="auto"/>
        </w:rPr>
      </w:pPr>
      <w:r>
        <w:rPr>
          <w:rFonts w:ascii="Courier New" w:cs="Courier New" w:eastAsia="Courier New" w:hAnsi="Courier New"/>
          <w:sz w:val="18"/>
          <w:szCs w:val="18"/>
          <w:color w:val="auto"/>
        </w:rPr>
        <w:t>Funds............... $</w:t>
      </w:r>
    </w:p>
    <w:p>
      <w:pPr>
        <w:jc w:val="center"/>
        <w:ind w:right="7379"/>
        <w:spacing w:after="0" w:line="237" w:lineRule="auto"/>
        <w:rPr>
          <w:sz w:val="20"/>
          <w:szCs w:val="20"/>
          <w:color w:val="auto"/>
        </w:rPr>
      </w:pPr>
      <w:r>
        <w:rPr>
          <w:rFonts w:ascii="Courier New" w:cs="Courier New" w:eastAsia="Courier New" w:hAnsi="Courier New"/>
          <w:sz w:val="18"/>
          <w:szCs w:val="18"/>
          <w:color w:val="auto"/>
        </w:rPr>
        <w:t>250,000 * 8,264 *</w:t>
      </w:r>
    </w:p>
    <w:p>
      <w:pPr>
        <w:jc w:val="center"/>
        <w:ind w:right="7379"/>
        <w:spacing w:after="0"/>
        <w:rPr>
          <w:sz w:val="20"/>
          <w:szCs w:val="20"/>
          <w:color w:val="auto"/>
        </w:rPr>
      </w:pPr>
      <w:r>
        <w:rPr>
          <w:rFonts w:ascii="Courier New" w:cs="Courier New" w:eastAsia="Courier New" w:hAnsi="Courier New"/>
          <w:sz w:val="18"/>
          <w:szCs w:val="18"/>
          <w:color w:val="auto"/>
        </w:rPr>
        <w:t>Continental Casualty</w:t>
      </w:r>
    </w:p>
    <w:p>
      <w:pPr>
        <w:spacing w:after="0" w:line="3"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Company....................</w:t>
      </w:r>
    </w:p>
    <w:p>
      <w:pPr>
        <w:spacing w:after="0" w:line="21" w:lineRule="exact"/>
        <w:rPr>
          <w:sz w:val="20"/>
          <w:szCs w:val="20"/>
          <w:color w:val="auto"/>
        </w:rPr>
      </w:pPr>
    </w:p>
    <w:p>
      <w:pPr>
        <w:ind w:left="160" w:right="7419" w:hanging="103"/>
        <w:spacing w:after="0" w:line="290" w:lineRule="auto"/>
        <w:tabs>
          <w:tab w:leader="none" w:pos="2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4,000,000 2.0% 132,226 * Deutsche Banc Alex Brown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Portfolio....</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$ 10,000,000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Fund............ $</w:t>
      </w:r>
    </w:p>
    <w:p>
      <w:pPr>
        <w:jc w:val="center"/>
        <w:ind w:right="7379"/>
        <w:spacing w:after="0" w:line="238" w:lineRule="auto"/>
        <w:rPr>
          <w:sz w:val="20"/>
          <w:szCs w:val="20"/>
          <w:color w:val="auto"/>
        </w:rPr>
      </w:pPr>
      <w:r>
        <w:rPr>
          <w:rFonts w:ascii="Courier New" w:cs="Courier New" w:eastAsia="Courier New" w:hAnsi="Courier New"/>
          <w:sz w:val="18"/>
          <w:szCs w:val="18"/>
          <w:color w:val="auto"/>
        </w:rPr>
        <w:t>1,750,000 * 57,848 * First</w:t>
      </w:r>
    </w:p>
    <w:p>
      <w:pPr>
        <w:jc w:val="center"/>
        <w:ind w:right="7379"/>
        <w:spacing w:after="0"/>
        <w:rPr>
          <w:sz w:val="20"/>
          <w:szCs w:val="20"/>
          <w:color w:val="auto"/>
        </w:rPr>
      </w:pPr>
      <w:r>
        <w:rPr>
          <w:rFonts w:ascii="Courier New" w:cs="Courier New" w:eastAsia="Courier New" w:hAnsi="Courier New"/>
          <w:sz w:val="18"/>
          <w:szCs w:val="18"/>
          <w:color w:val="auto"/>
        </w:rPr>
        <w:t>Union International</w:t>
      </w:r>
    </w:p>
    <w:p>
      <w:pPr>
        <w:jc w:val="center"/>
        <w:ind w:right="7379"/>
        <w:spacing w:after="0" w:line="237" w:lineRule="auto"/>
        <w:rPr>
          <w:sz w:val="20"/>
          <w:szCs w:val="20"/>
          <w:color w:val="auto"/>
        </w:rPr>
      </w:pPr>
      <w:r>
        <w:rPr>
          <w:rFonts w:ascii="Courier New" w:cs="Courier New" w:eastAsia="Courier New" w:hAnsi="Courier New"/>
          <w:sz w:val="18"/>
          <w:szCs w:val="18"/>
          <w:color w:val="auto"/>
        </w:rPr>
        <w:t>Capital Markets</w:t>
      </w:r>
    </w:p>
    <w:p>
      <w:pPr>
        <w:jc w:val="center"/>
        <w:ind w:right="7379"/>
        <w:spacing w:after="0" w:line="238" w:lineRule="auto"/>
        <w:rPr>
          <w:sz w:val="20"/>
          <w:szCs w:val="20"/>
          <w:color w:val="auto"/>
        </w:rPr>
      </w:pPr>
      <w:r>
        <w:rPr>
          <w:rFonts w:ascii="Courier New" w:cs="Courier New" w:eastAsia="Courier New" w:hAnsi="Courier New"/>
          <w:sz w:val="18"/>
          <w:szCs w:val="18"/>
          <w:color w:val="auto"/>
        </w:rPr>
        <w:t>Inc........ $ 5,000,000</w:t>
      </w:r>
    </w:p>
    <w:p>
      <w:pPr>
        <w:ind w:left="420"/>
        <w:spacing w:after="0"/>
        <w:rPr>
          <w:sz w:val="20"/>
          <w:szCs w:val="20"/>
          <w:color w:val="auto"/>
        </w:rPr>
      </w:pPr>
      <w:r>
        <w:rPr>
          <w:rFonts w:ascii="Courier New" w:cs="Courier New" w:eastAsia="Courier New" w:hAnsi="Courier New"/>
          <w:sz w:val="18"/>
          <w:szCs w:val="18"/>
          <w:color w:val="auto"/>
        </w:rPr>
        <w:t>2.5% 165,282 * Four</w:t>
      </w:r>
    </w:p>
    <w:p>
      <w:pPr>
        <w:sectPr>
          <w:pgSz w:w="11900" w:h="16838" w:orient="portrait"/>
          <w:cols w:equalWidth="0" w:num="1">
            <w:col w:w="10219"/>
          </w:cols>
          <w:pgMar w:left="240" w:top="723"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Partners................ $</w:t>
      </w:r>
    </w:p>
    <w:p>
      <w:pPr>
        <w:ind w:left="520"/>
        <w:spacing w:after="0" w:line="238" w:lineRule="auto"/>
        <w:rPr>
          <w:sz w:val="20"/>
          <w:szCs w:val="20"/>
          <w:color w:val="auto"/>
        </w:rPr>
      </w:pPr>
      <w:r>
        <w:rPr>
          <w:rFonts w:ascii="Courier New" w:cs="Courier New" w:eastAsia="Courier New" w:hAnsi="Courier New"/>
          <w:sz w:val="18"/>
          <w:szCs w:val="18"/>
          <w:color w:val="auto"/>
        </w:rPr>
        <w:t>20,000,000 10.0%</w:t>
      </w:r>
    </w:p>
    <w:p>
      <w:pPr>
        <w:ind w:left="160"/>
        <w:spacing w:after="0"/>
        <w:rPr>
          <w:sz w:val="20"/>
          <w:szCs w:val="20"/>
          <w:color w:val="auto"/>
        </w:rPr>
      </w:pPr>
      <w:r>
        <w:rPr>
          <w:rFonts w:ascii="Courier New" w:cs="Courier New" w:eastAsia="Courier New" w:hAnsi="Courier New"/>
          <w:sz w:val="18"/>
          <w:szCs w:val="18"/>
          <w:color w:val="auto"/>
        </w:rPr>
        <w:t>661,130(9) 1.49% Fresno</w:t>
      </w:r>
    </w:p>
    <w:p>
      <w:pPr>
        <w:ind w:left="480"/>
        <w:spacing w:after="0" w:line="237" w:lineRule="auto"/>
        <w:rPr>
          <w:sz w:val="20"/>
          <w:szCs w:val="20"/>
          <w:color w:val="auto"/>
        </w:rPr>
      </w:pPr>
      <w:r>
        <w:rPr>
          <w:rFonts w:ascii="Courier New" w:cs="Courier New" w:eastAsia="Courier New" w:hAnsi="Courier New"/>
          <w:sz w:val="18"/>
          <w:szCs w:val="18"/>
          <w:color w:val="auto"/>
        </w:rPr>
        <w:t>County Employees'</w:t>
      </w:r>
    </w:p>
    <w:p>
      <w:pPr>
        <w:ind w:left="840"/>
        <w:spacing w:after="0" w:line="238" w:lineRule="auto"/>
        <w:rPr>
          <w:sz w:val="20"/>
          <w:szCs w:val="20"/>
          <w:color w:val="auto"/>
        </w:rPr>
      </w:pPr>
      <w:r>
        <w:rPr>
          <w:rFonts w:ascii="Courier New" w:cs="Courier New" w:eastAsia="Courier New" w:hAnsi="Courier New"/>
          <w:sz w:val="18"/>
          <w:szCs w:val="18"/>
          <w:color w:val="auto"/>
        </w:rPr>
        <w:t>Retirement</w:t>
      </w:r>
    </w:p>
    <w:p>
      <w:pPr>
        <w:spacing w:after="0"/>
        <w:rPr>
          <w:sz w:val="20"/>
          <w:szCs w:val="20"/>
          <w:color w:val="auto"/>
        </w:rPr>
      </w:pPr>
      <w:r>
        <w:rPr>
          <w:rFonts w:ascii="Courier New" w:cs="Courier New" w:eastAsia="Courier New" w:hAnsi="Courier New"/>
          <w:sz w:val="18"/>
          <w:szCs w:val="18"/>
          <w:color w:val="auto"/>
        </w:rPr>
        <w:t>Association..... $ 800,000</w:t>
      </w:r>
    </w:p>
    <w:p>
      <w:pPr>
        <w:spacing w:after="0" w:line="4" w:lineRule="exact"/>
        <w:rPr>
          <w:sz w:val="20"/>
          <w:szCs w:val="20"/>
          <w:color w:val="auto"/>
        </w:rPr>
      </w:pPr>
    </w:p>
    <w:p>
      <w:pPr>
        <w:ind w:left="520" w:right="7839" w:hanging="102"/>
        <w:spacing w:after="0" w:line="290" w:lineRule="auto"/>
        <w:tabs>
          <w:tab w:leader="none" w:pos="62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26,445 * General Electric Pension</w:t>
      </w:r>
    </w:p>
    <w:p>
      <w:pPr>
        <w:spacing w:after="0" w:line="170" w:lineRule="exact"/>
        <w:rPr>
          <w:sz w:val="20"/>
          <w:szCs w:val="20"/>
          <w:color w:val="auto"/>
        </w:rPr>
      </w:pPr>
    </w:p>
    <w:p>
      <w:pPr>
        <w:jc w:val="both"/>
        <w:ind w:left="200" w:right="7639" w:firstLine="7"/>
        <w:spacing w:after="0" w:line="290" w:lineRule="auto"/>
        <w:tabs>
          <w:tab w:leader="none" w:pos="41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1,800,000 * 59,501 * Global Bermuda Limited</w:t>
      </w:r>
    </w:p>
    <w:p>
      <w:pPr>
        <w:spacing w:after="0" w:line="170" w:lineRule="exact"/>
        <w:rPr>
          <w:sz w:val="20"/>
          <w:szCs w:val="20"/>
          <w:color w:val="auto"/>
        </w:rPr>
      </w:pPr>
    </w:p>
    <w:p>
      <w:pPr>
        <w:jc w:val="both"/>
        <w:ind w:left="40" w:right="7479" w:firstLine="62"/>
        <w:spacing w:after="0" w:line="268" w:lineRule="auto"/>
        <w:tabs>
          <w:tab w:leader="none" w:pos="30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 * 13,222 * HFR Master Fund, Ltd. .......</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$ 25,000 * 826 *</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Highbridge International</w:t>
      </w:r>
    </w:p>
    <w:p>
      <w:pPr>
        <w:spacing w:after="0" w:line="207" w:lineRule="exact"/>
        <w:rPr>
          <w:sz w:val="20"/>
          <w:szCs w:val="20"/>
          <w:color w:val="auto"/>
        </w:rPr>
      </w:pPr>
    </w:p>
    <w:p>
      <w:pPr>
        <w:jc w:val="both"/>
        <w:ind w:left="40" w:right="7479" w:firstLine="9"/>
        <w:spacing w:after="0" w:line="290" w:lineRule="auto"/>
        <w:tabs>
          <w:tab w:leader="none" w:pos="25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13,000,000 6.5% 429,734 * Honeywell International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right="7579" w:firstLine="311"/>
        <w:spacing w:after="0" w:line="268" w:lineRule="auto"/>
        <w:tabs>
          <w:tab w:leader="none" w:pos="68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12,000,000 6.0% 396,678(10) * Lakeshore</w:t>
      </w:r>
    </w:p>
    <w:p>
      <w:pPr>
        <w:ind w:left="3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International, Ltd.</w:t>
      </w:r>
    </w:p>
    <w:p>
      <w:pPr>
        <w:ind w:left="10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6"/>
          <w:szCs w:val="16"/>
          <w:color w:val="auto"/>
        </w:rPr>
        <w:t>1,600,000 * 52,890 * Levco</w:t>
      </w:r>
    </w:p>
    <w:p>
      <w:pPr>
        <w:spacing w:after="0" w:line="16"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8"/>
          <w:szCs w:val="18"/>
          <w:color w:val="auto"/>
        </w:rPr>
        <w:t>Alternative Fund, Ltd.</w:t>
      </w:r>
    </w:p>
    <w:p>
      <w:pPr>
        <w:ind w:left="100"/>
        <w:spacing w:after="0" w:line="238" w:lineRule="auto"/>
        <w:rPr>
          <w:sz w:val="20"/>
          <w:szCs w:val="20"/>
          <w:color w:val="auto"/>
        </w:rPr>
      </w:pPr>
      <w:r>
        <w:rPr>
          <w:rFonts w:ascii="Courier New" w:cs="Courier New" w:eastAsia="Courier New" w:hAnsi="Courier New"/>
          <w:sz w:val="18"/>
          <w:szCs w:val="18"/>
          <w:color w:val="auto"/>
        </w:rPr>
        <w:t>...................... $</w:t>
      </w:r>
    </w:p>
    <w:p>
      <w:pPr>
        <w:jc w:val="center"/>
        <w:ind w:right="7419"/>
        <w:spacing w:after="0"/>
        <w:rPr>
          <w:sz w:val="20"/>
          <w:szCs w:val="20"/>
          <w:color w:val="auto"/>
        </w:rPr>
      </w:pPr>
      <w:r>
        <w:rPr>
          <w:rFonts w:ascii="Courier New" w:cs="Courier New" w:eastAsia="Courier New" w:hAnsi="Courier New"/>
          <w:sz w:val="18"/>
          <w:szCs w:val="18"/>
          <w:color w:val="auto"/>
        </w:rPr>
        <w:t>2,534,000 1.27% 83,765 *</w:t>
      </w:r>
    </w:p>
    <w:p>
      <w:pPr>
        <w:ind w:left="780"/>
        <w:spacing w:after="0" w:line="237" w:lineRule="auto"/>
        <w:rPr>
          <w:sz w:val="20"/>
          <w:szCs w:val="20"/>
          <w:color w:val="auto"/>
        </w:rPr>
      </w:pPr>
      <w:r>
        <w:rPr>
          <w:rFonts w:ascii="Courier New" w:cs="Courier New" w:eastAsia="Courier New" w:hAnsi="Courier New"/>
          <w:sz w:val="18"/>
          <w:szCs w:val="18"/>
          <w:color w:val="auto"/>
        </w:rPr>
        <w:t>Lawrence N.</w:t>
      </w:r>
    </w:p>
    <w:p>
      <w:pPr>
        <w:ind w:left="360"/>
        <w:spacing w:after="0" w:line="238" w:lineRule="auto"/>
        <w:rPr>
          <w:sz w:val="20"/>
          <w:szCs w:val="20"/>
          <w:color w:val="auto"/>
        </w:rPr>
      </w:pPr>
      <w:r>
        <w:rPr>
          <w:rFonts w:ascii="Courier New" w:cs="Courier New" w:eastAsia="Courier New" w:hAnsi="Courier New"/>
          <w:sz w:val="18"/>
          <w:szCs w:val="18"/>
          <w:color w:val="auto"/>
        </w:rPr>
        <w:t>Brandt........... $</w:t>
      </w:r>
    </w:p>
    <w:p>
      <w:pPr>
        <w:spacing w:after="0"/>
        <w:rPr>
          <w:sz w:val="20"/>
          <w:szCs w:val="20"/>
          <w:color w:val="auto"/>
        </w:rPr>
      </w:pPr>
      <w:r>
        <w:rPr>
          <w:rFonts w:ascii="Courier New" w:cs="Courier New" w:eastAsia="Courier New" w:hAnsi="Courier New"/>
          <w:sz w:val="18"/>
          <w:szCs w:val="18"/>
          <w:color w:val="auto"/>
        </w:rPr>
        <w:t>1,250,000 * 41,320 * Lyxor</w:t>
      </w:r>
    </w:p>
    <w:p>
      <w:pPr>
        <w:ind w:left="40"/>
        <w:spacing w:after="0" w:line="237" w:lineRule="auto"/>
        <w:rPr>
          <w:sz w:val="20"/>
          <w:szCs w:val="20"/>
          <w:color w:val="auto"/>
        </w:rPr>
      </w:pPr>
      <w:r>
        <w:rPr>
          <w:rFonts w:ascii="Courier New" w:cs="Courier New" w:eastAsia="Courier New" w:hAnsi="Courier New"/>
          <w:sz w:val="18"/>
          <w:szCs w:val="18"/>
          <w:color w:val="auto"/>
        </w:rPr>
        <w:t>Master Fund............ $</w:t>
      </w:r>
    </w:p>
    <w:p>
      <w:pPr>
        <w:ind w:left="40"/>
        <w:spacing w:after="0"/>
        <w:rPr>
          <w:sz w:val="20"/>
          <w:szCs w:val="20"/>
          <w:color w:val="auto"/>
        </w:rPr>
      </w:pPr>
      <w:r>
        <w:rPr>
          <w:rFonts w:ascii="Courier New" w:cs="Courier New" w:eastAsia="Courier New" w:hAnsi="Courier New"/>
          <w:sz w:val="18"/>
          <w:szCs w:val="18"/>
          <w:color w:val="auto"/>
        </w:rPr>
        <w:t>188,000 * 6,214 * Merrill</w:t>
      </w:r>
    </w:p>
    <w:p>
      <w:pPr>
        <w:ind w:left="160"/>
        <w:spacing w:after="0" w:line="237" w:lineRule="auto"/>
        <w:rPr>
          <w:sz w:val="20"/>
          <w:szCs w:val="20"/>
          <w:color w:val="auto"/>
        </w:rPr>
      </w:pPr>
      <w:r>
        <w:rPr>
          <w:rFonts w:ascii="Courier New" w:cs="Courier New" w:eastAsia="Courier New" w:hAnsi="Courier New"/>
          <w:sz w:val="18"/>
          <w:szCs w:val="18"/>
          <w:color w:val="auto"/>
        </w:rPr>
        <w:t>Lynch, Pierce, Fenner &amp;</w:t>
      </w:r>
    </w:p>
    <w:p>
      <w:pPr>
        <w:spacing w:after="0" w:line="207" w:lineRule="exact"/>
        <w:rPr>
          <w:sz w:val="20"/>
          <w:szCs w:val="20"/>
          <w:color w:val="auto"/>
        </w:rPr>
      </w:pPr>
    </w:p>
    <w:p>
      <w:pPr>
        <w:ind w:left="200" w:right="7479" w:hanging="151"/>
        <w:spacing w:after="0" w:line="268" w:lineRule="auto"/>
        <w:tabs>
          <w:tab w:leader="none" w:pos="25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8,775,000 4.39% 290,070 * Purchase Associates,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L.P. ... $ 688,000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22,742 * Robertson</w:t>
      </w:r>
    </w:p>
    <w:tbl>
      <w:tblPr>
        <w:tblLayout w:type="fixed"/>
        <w:tblInd w:w="0" w:type="dxa"/>
        <w:tblCellMar>
          <w:top w:w="0" w:type="dxa"/>
          <w:left w:w="0" w:type="dxa"/>
          <w:bottom w:w="0" w:type="dxa"/>
          <w:right w:w="0" w:type="dxa"/>
        </w:tblCellMar>
      </w:tblPr>
      <w:tr>
        <w:trPr>
          <w:trHeight w:val="203"/>
        </w:trPr>
        <w:tc>
          <w:tcPr>
            <w:tcW w:w="16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77"/>
              </w:rPr>
              <w:t>Stephens...........</w:t>
            </w:r>
          </w:p>
        </w:tc>
        <w:tc>
          <w:tcPr>
            <w:tcW w:w="480" w:type="dxa"/>
            <w:vAlign w:val="bottom"/>
          </w:tcPr>
          <w:p>
            <w:pPr>
              <w:spacing w:after="0"/>
              <w:rPr>
                <w:sz w:val="17"/>
                <w:szCs w:val="17"/>
                <w:color w:val="auto"/>
              </w:rPr>
            </w:pP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15,000,000</w:t>
            </w:r>
          </w:p>
        </w:tc>
        <w:tc>
          <w:tcPr>
            <w:tcW w:w="14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7.5% 495,847</w:t>
            </w:r>
          </w:p>
        </w:tc>
      </w:tr>
      <w:tr>
        <w:trPr>
          <w:trHeight w:val="203"/>
        </w:trPr>
        <w:tc>
          <w:tcPr>
            <w:tcW w:w="360" w:type="dxa"/>
            <w:vAlign w:val="bottom"/>
          </w:tcPr>
          <w:p>
            <w:pPr>
              <w:spacing w:after="0"/>
              <w:rPr>
                <w:sz w:val="17"/>
                <w:szCs w:val="17"/>
                <w:color w:val="auto"/>
              </w:rPr>
            </w:pPr>
          </w:p>
        </w:tc>
        <w:tc>
          <w:tcPr>
            <w:tcW w:w="1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1.12% Royal Bank</w:t>
            </w:r>
          </w:p>
        </w:tc>
        <w:tc>
          <w:tcPr>
            <w:tcW w:w="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60" w:type="dxa"/>
            <w:vAlign w:val="bottom"/>
          </w:tcPr>
          <w:p>
            <w:pPr>
              <w:spacing w:after="0"/>
              <w:rPr>
                <w:sz w:val="17"/>
                <w:szCs w:val="17"/>
                <w:color w:val="auto"/>
              </w:rPr>
            </w:pP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6"/>
              </w:rPr>
              <w:t>Canada.........</w:t>
            </w:r>
          </w:p>
        </w:tc>
        <w:tc>
          <w:tcPr>
            <w:tcW w:w="48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2,500,000</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82,641(11)</w:t>
            </w:r>
          </w:p>
        </w:tc>
      </w:tr>
      <w:tr>
        <w:trPr>
          <w:trHeight w:val="203"/>
        </w:trPr>
        <w:tc>
          <w:tcPr>
            <w:tcW w:w="274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rPr>
              <w:t>* TQA Master Plus Fund,</w:t>
            </w:r>
          </w:p>
        </w:tc>
      </w:tr>
      <w:tr>
        <w:trPr>
          <w:trHeight w:val="203"/>
        </w:trPr>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Ltd</w:t>
            </w:r>
          </w:p>
        </w:tc>
        <w:tc>
          <w:tcPr>
            <w:tcW w:w="1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$ 3,750,000</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360" w:type="dxa"/>
            <w:vAlign w:val="bottom"/>
          </w:tcPr>
          <w:p>
            <w:pPr>
              <w:spacing w:after="0"/>
              <w:rPr>
                <w:sz w:val="17"/>
                <w:szCs w:val="17"/>
                <w:color w:val="auto"/>
              </w:rPr>
            </w:pPr>
          </w:p>
        </w:tc>
        <w:tc>
          <w:tcPr>
            <w:tcW w:w="17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123,961 *</w:t>
            </w: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159"/>
          </w:cols>
          <w:pgMar w:left="300" w:top="136" w:right="1440" w:bottom="1440" w:gutter="0" w:footer="0" w:header="0"/>
        </w:sectPr>
      </w:pPr>
    </w:p>
    <w:bookmarkStart w:id="41" w:name="page42"/>
    <w:bookmarkEnd w:id="41"/>
    <w:p>
      <w:pPr>
        <w:jc w:val="center"/>
        <w:ind w:right="7159"/>
        <w:spacing w:after="0"/>
        <w:rPr>
          <w:sz w:val="20"/>
          <w:szCs w:val="20"/>
          <w:color w:val="auto"/>
        </w:rPr>
      </w:pPr>
      <w:r>
        <w:rPr>
          <w:rFonts w:ascii="Courier New" w:cs="Courier New" w:eastAsia="Courier New" w:hAnsi="Courier New"/>
          <w:sz w:val="18"/>
          <w:szCs w:val="18"/>
          <w:color w:val="auto"/>
        </w:rPr>
        <w:t>AGGREGATE PRINCIPAL NUMBER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OF SHARES PERCENTAGE OF</w:t>
      </w:r>
    </w:p>
    <w:p>
      <w:pPr>
        <w:jc w:val="center"/>
        <w:ind w:right="7159"/>
        <w:spacing w:after="0"/>
        <w:rPr>
          <w:sz w:val="20"/>
          <w:szCs w:val="20"/>
          <w:color w:val="auto"/>
        </w:rPr>
      </w:pPr>
      <w:r>
        <w:rPr>
          <w:rFonts w:ascii="Courier New" w:cs="Courier New" w:eastAsia="Courier New" w:hAnsi="Courier New"/>
          <w:sz w:val="18"/>
          <w:szCs w:val="18"/>
          <w:color w:val="auto"/>
        </w:rPr>
        <w:t>AMOUNT AT PERCENTAGE OF OF</w:t>
      </w:r>
    </w:p>
    <w:p>
      <w:pPr>
        <w:jc w:val="center"/>
        <w:ind w:right="7159"/>
        <w:spacing w:after="0" w:line="237" w:lineRule="auto"/>
        <w:rPr>
          <w:sz w:val="20"/>
          <w:szCs w:val="20"/>
          <w:color w:val="auto"/>
        </w:rPr>
      </w:pPr>
      <w:r>
        <w:rPr>
          <w:rFonts w:ascii="Courier New" w:cs="Courier New" w:eastAsia="Courier New" w:hAnsi="Courier New"/>
          <w:sz w:val="18"/>
          <w:szCs w:val="18"/>
          <w:color w:val="auto"/>
        </w:rPr>
        <w:t>COMMON STOCK SHARES OF</w:t>
      </w:r>
    </w:p>
    <w:p>
      <w:pPr>
        <w:jc w:val="center"/>
        <w:ind w:right="7159"/>
        <w:spacing w:after="0" w:line="238" w:lineRule="auto"/>
        <w:rPr>
          <w:sz w:val="20"/>
          <w:szCs w:val="20"/>
          <w:color w:val="auto"/>
        </w:rPr>
      </w:pPr>
      <w:r>
        <w:rPr>
          <w:rFonts w:ascii="Courier New" w:cs="Courier New" w:eastAsia="Courier New" w:hAnsi="Courier New"/>
          <w:sz w:val="18"/>
          <w:szCs w:val="18"/>
          <w:color w:val="auto"/>
        </w:rPr>
        <w:t>MATURITY OF NOTES NOTES THAT</w:t>
      </w:r>
    </w:p>
    <w:p>
      <w:pPr>
        <w:jc w:val="center"/>
        <w:ind w:right="7159"/>
        <w:spacing w:after="0"/>
        <w:rPr>
          <w:sz w:val="20"/>
          <w:szCs w:val="20"/>
          <w:color w:val="auto"/>
        </w:rPr>
      </w:pPr>
      <w:r>
        <w:rPr>
          <w:rFonts w:ascii="Courier New" w:cs="Courier New" w:eastAsia="Courier New" w:hAnsi="Courier New"/>
          <w:sz w:val="18"/>
          <w:szCs w:val="18"/>
          <w:color w:val="auto"/>
        </w:rPr>
        <w:t>MAY COMMON STOCK NAME THAT</w:t>
      </w:r>
    </w:p>
    <w:p>
      <w:pPr>
        <w:jc w:val="center"/>
        <w:ind w:right="7159"/>
        <w:spacing w:after="0" w:line="237" w:lineRule="auto"/>
        <w:rPr>
          <w:sz w:val="20"/>
          <w:szCs w:val="20"/>
          <w:color w:val="auto"/>
        </w:rPr>
      </w:pPr>
      <w:r>
        <w:rPr>
          <w:rFonts w:ascii="Courier New" w:cs="Courier New" w:eastAsia="Courier New" w:hAnsi="Courier New"/>
          <w:sz w:val="18"/>
          <w:szCs w:val="18"/>
          <w:color w:val="auto"/>
        </w:rPr>
        <w:t>MAY BE SOLD OUTSTANDING BE</w:t>
      </w:r>
    </w:p>
    <w:p>
      <w:pPr>
        <w:jc w:val="center"/>
        <w:ind w:right="7159"/>
        <w:spacing w:after="0"/>
        <w:rPr>
          <w:sz w:val="20"/>
          <w:szCs w:val="20"/>
          <w:color w:val="auto"/>
        </w:rPr>
      </w:pPr>
      <w:r>
        <w:rPr>
          <w:rFonts w:ascii="Courier New" w:cs="Courier New" w:eastAsia="Courier New" w:hAnsi="Courier New"/>
          <w:sz w:val="18"/>
          <w:szCs w:val="18"/>
          <w:color w:val="auto"/>
        </w:rPr>
        <w:t>SOLD(1) OUTSTANDING(2) - ---</w:t>
      </w:r>
    </w:p>
    <w:p>
      <w:pPr>
        <w:ind w:left="280" w:hanging="221"/>
        <w:spacing w:after="0" w:line="237" w:lineRule="auto"/>
        <w:tabs>
          <w:tab w:leader="none" w:pos="2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both"/>
        <w:ind w:left="120" w:right="7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UBS O'Connor LLC F/B/O UBS Global Equity Arbitrage Master Fund Ltd.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$ 6,000,000 3.0%</w:t>
      </w:r>
    </w:p>
    <w:p>
      <w:pPr>
        <w:spacing w:after="0" w:line="4" w:lineRule="exact"/>
        <w:rPr>
          <w:rFonts w:ascii="Courier New" w:cs="Courier New" w:eastAsia="Courier New" w:hAnsi="Courier New"/>
          <w:sz w:val="18"/>
          <w:szCs w:val="18"/>
          <w:color w:val="auto"/>
        </w:rPr>
      </w:pPr>
    </w:p>
    <w:p>
      <w:pPr>
        <w:jc w:val="center"/>
        <w:ind w:left="120" w:right="7259" w:firstLine="31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198,339 * UBS Warburg LLC.............. $ 3,995,000 2.0% 132,060 * Vanguard Equity Income Fund.......................</w:t>
      </w:r>
    </w:p>
    <w:p>
      <w:pPr>
        <w:jc w:val="center"/>
        <w:ind w:left="120" w:right="72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$ 6,000,000 3.0% 198,339 * Yield Strategies Fund I, L.P.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$ 3,000,000 1.5% 99,169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Zurich Institutional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Benchmarks.................</w:t>
      </w:r>
    </w:p>
    <w:p>
      <w:pPr>
        <w:spacing w:after="0" w:line="4" w:lineRule="exact"/>
        <w:rPr>
          <w:rFonts w:ascii="Courier New" w:cs="Courier New" w:eastAsia="Courier New" w:hAnsi="Courier New"/>
          <w:sz w:val="18"/>
          <w:szCs w:val="18"/>
          <w:color w:val="auto"/>
        </w:rPr>
      </w:pPr>
    </w:p>
    <w:p>
      <w:pPr>
        <w:jc w:val="center"/>
        <w:ind w:left="60" w:right="7219" w:firstLine="26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$ 250,000 * 8,264 * All other holders of notes or future transferees, pledges, donees, assignees or successors of any such holders(12)(13)............</w:t>
      </w:r>
    </w:p>
    <w:p>
      <w:pPr>
        <w:spacing w:after="0" w:line="2"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$ 8,955,000 4.48% 296,035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$200,000,000 100%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6,611,300(14) 13.11%(15)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 (1%).</w:t>
      </w:r>
    </w:p>
    <w:p>
      <w:pPr>
        <w:spacing w:after="0" w:line="202"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rate of</w:t>
      </w:r>
    </w:p>
    <w:p>
      <w:pPr>
        <w:spacing w:after="0" w:line="4" w:lineRule="exact"/>
        <w:rPr>
          <w:rFonts w:ascii="Courier New" w:cs="Courier New" w:eastAsia="Courier New" w:hAnsi="Courier New"/>
          <w:sz w:val="18"/>
          <w:szCs w:val="18"/>
          <w:color w:val="auto"/>
        </w:rPr>
      </w:pPr>
    </w:p>
    <w:p>
      <w:pPr>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33.0565 shares of common stock per $1,000 principal amount at maturity of the notes. This conversion rate is subject to adjustment, however, as described under "Description of the Notes -- Conversion Rights." As a result, the number of shares of common stock issuable upon conversion of the notes may increase or decrease in the future.</w:t>
      </w:r>
    </w:p>
    <w:p>
      <w:pPr>
        <w:spacing w:after="0" w:line="208" w:lineRule="exact"/>
        <w:rPr>
          <w:rFonts w:ascii="Courier New" w:cs="Courier New" w:eastAsia="Courier New" w:hAnsi="Courier New"/>
          <w:sz w:val="18"/>
          <w:szCs w:val="18"/>
          <w:color w:val="auto"/>
        </w:rPr>
      </w:pPr>
    </w:p>
    <w:p>
      <w:pPr>
        <w:ind w:left="540" w:right="1879" w:hanging="532"/>
        <w:spacing w:after="0" w:line="273" w:lineRule="auto"/>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Exchange Act, using 43,826,969 common shares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184" w:lineRule="exact"/>
        <w:rPr>
          <w:rFonts w:ascii="Courier New" w:cs="Courier New" w:eastAsia="Courier New" w:hAnsi="Courier New"/>
          <w:sz w:val="16"/>
          <w:szCs w:val="16"/>
          <w:color w:val="auto"/>
        </w:rPr>
      </w:pPr>
    </w:p>
    <w:p>
      <w:pPr>
        <w:ind w:left="540" w:right="1779" w:hanging="532"/>
        <w:spacing w:after="0" w:line="236"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1,042,600 shares of common stock owned by Baker Biotech Fund I, L.P. in addition to the common stock into which such holder's notes are convertible.</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1,691,000 shares of common stock owned by Baker Biotech Fund II, L.P. in addition to the common stock into which such holder's notes are convertible.</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225,630 shares of common stock owned by Baker Bros. Investments, L.P. in addition to the common stock into which such holder's notes are convertible.</w:t>
      </w:r>
    </w:p>
    <w:p>
      <w:pPr>
        <w:spacing w:after="0" w:line="208" w:lineRule="exact"/>
        <w:rPr>
          <w:rFonts w:ascii="Courier New" w:cs="Courier New" w:eastAsia="Courier New" w:hAnsi="Courier New"/>
          <w:sz w:val="18"/>
          <w:szCs w:val="18"/>
          <w:color w:val="auto"/>
        </w:rPr>
      </w:pPr>
    </w:p>
    <w:p>
      <w:pPr>
        <w:ind w:left="540" w:right="2519" w:hanging="532"/>
        <w:spacing w:after="0" w:line="236"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80,000 shares of common stock owned by Baker Bros. Investments II, L.P. in addition to the common stock into which such holder's notes are convertible.</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296,150 shares of common stock owned by Baker/Tisch Investments, L.P. in addition to the common stock into which such holder's notes are convertible.</w:t>
      </w:r>
    </w:p>
    <w:p>
      <w:pPr>
        <w:sectPr>
          <w:pgSz w:w="11900" w:h="16838" w:orient="portrait"/>
          <w:cols w:equalWidth="0" w:num="1">
            <w:col w:w="10219"/>
          </w:cols>
          <w:pgMar w:left="240" w:top="919" w:right="1440" w:bottom="0" w:gutter="0" w:footer="0" w:header="0"/>
        </w:sectPr>
      </w:pPr>
    </w:p>
    <w:bookmarkStart w:id="42" w:name="page43"/>
    <w:bookmarkEnd w:id="42"/>
    <w:p>
      <w:pPr>
        <w:ind w:left="412" w:right="2199" w:hanging="412"/>
        <w:spacing w:after="0" w:line="236"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914,300 shares of common stock owned by Fidelty Select Portfolios: Biotechnology Portfolio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2,000,000 shares of common stock owned by Four Partners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32" w:right="1999" w:hanging="632"/>
        <w:spacing w:after="0" w:line="236" w:lineRule="auto"/>
        <w:tabs>
          <w:tab w:leader="none" w:pos="6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3,850 shares of common stock owned by JP Morgan Securities Inc.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10,400 shares of common stock owned by Royal Bank of Canada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2839" w:hanging="532"/>
        <w:spacing w:after="0" w:line="235" w:lineRule="auto"/>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about other selling shareholders will be set forth in prospectus supplements, if required.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any other holders of the notes or any future pledges, donees, assignees, transferees or successors of or from any other such holders of the notes, do not beneficially own any shares of common stock other than the common stock issuable upon conversion of the notes at the initial conversion rate.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common stock into which $200,000,000 of notes would be convertible at the conversion rate described in footnote 1 above.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amount which the selling securityholders may sell under this prospectus divided by the sum of the common stock outstanding as of December 31, 2001 plus the 6,611,300 shares of common stock into which the notes are convertible.</w:t>
      </w:r>
    </w:p>
    <w:p>
      <w:pPr>
        <w:spacing w:after="0" w:line="200" w:lineRule="exact"/>
        <w:rPr>
          <w:sz w:val="20"/>
          <w:szCs w:val="20"/>
          <w:color w:val="auto"/>
        </w:rPr>
      </w:pP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1"/>
          </w:cols>
          <w:pgMar w:left="248" w:top="547" w:right="1440" w:bottom="1440" w:gutter="0" w:footer="0" w:header="0"/>
        </w:sectPr>
      </w:pPr>
    </w:p>
    <w:bookmarkStart w:id="43" w:name="page44"/>
    <w:bookmarkEnd w:id="43"/>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selling securityholders will be offering and selling all of the securities offered and sold under this prospectus. We will not receive any of the proceeds from the offering of the notes or the shares of common stock by the selling securityholders. In connection with the initial offering of the notes, we entered into a registration rights agreement dated October 17, 2001 with the initial purchasers of the notes. Securities may only be offered or sold under this prospectus pursuant to the terms of the registration rights agreement. However, selling securityholders may resell all or a portion of the securities in open market transactions in reliance upon Rule 144 or Rule 144A under the Securities Act, provided they meet the criteria and conform to the requirements of one of these rules. We are registering the notes and shares of common stock covered by this prospectus to permit holders to conduct public secondary trading of these securities from time to time after the date of this prospectus. We have agreed, among other things, to bear all expenses, other than underwriting discounts and selling commissions, in connection with the registration and sale of the notes and the shares of common stock covered by this prospectus.</w:t>
      </w:r>
    </w:p>
    <w:p>
      <w:pPr>
        <w:spacing w:after="0" w:line="39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selling securityholders may sell all or a portion of the notes and shares of common stock beneficially owned by them and offered hereby from time to time:</w:t>
      </w:r>
    </w:p>
    <w:p>
      <w:pPr>
        <w:spacing w:after="0" w:line="203" w:lineRule="exact"/>
        <w:rPr>
          <w:sz w:val="20"/>
          <w:szCs w:val="20"/>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underwriters, broker-dealers or agents, who may receive compensation in the form of discounts, commissions or concessions from the selling securityholders and/or from the purchasers of the notes and shares of common stock for whom they may act as agent.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and the shares of common stock may be sold from time to time in one or more transactions at:</w:t>
      </w:r>
    </w:p>
    <w:p>
      <w:pPr>
        <w:spacing w:after="0" w:line="203" w:lineRule="exact"/>
        <w:rPr>
          <w:sz w:val="20"/>
          <w:szCs w:val="20"/>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prices, which may be changed;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market prices at the time of sale;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varying prices determined at the time of sale;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negotiated prices.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prices will be determined by the holders of the securities or by agreement between these holders and underwriters or dealers who may receive fees or commissions in connection with the sale. The aggregate proceeds to the selling securityholders from the sale of the notes or shares of common stock offered by them hereby will be the purchase price of the notes or shares of common stock less discounts and commissions, if any. The selling securityholders may be deemed to be "underwriters" as defined in the Securities Act of 1933, as amended. Any profits realized by the selling securityholders may be deemed to be underwriting commissions.</w:t>
      </w:r>
    </w:p>
    <w:p>
      <w:pPr>
        <w:spacing w:after="0" w:line="214"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sales described in the preceding paragraph may be effected in transactions:</w:t>
      </w:r>
    </w:p>
    <w:p>
      <w:pPr>
        <w:spacing w:after="0" w:line="208" w:lineRule="exact"/>
        <w:rPr>
          <w:sz w:val="20"/>
          <w:szCs w:val="20"/>
          <w:color w:val="auto"/>
        </w:rPr>
      </w:pPr>
    </w:p>
    <w:p>
      <w:pPr>
        <w:ind w:left="740" w:right="199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or shares of common stock may be listed or quoted at the time of sale, including the Nasdaq National Market in the case of the shares of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 counter market;</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writing of options.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These transactions may include block transactions or crosses. Crosses are transactions in which the same broker acts as an agent on both sides of the trade.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sales of the notes and shares of common stock or otherwise, the selling securityholders may enter into hedging transactions with broker-dealers. These broker-dealers may in turn engage in short sales of the notes and shares of common stock in the course of hedging their positions. The selling securityholders may also sell the notes and shares of common stock short and deliver the notes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0" w:gutter="0" w:footer="0" w:header="0"/>
        </w:sectPr>
      </w:pPr>
    </w:p>
    <w:bookmarkStart w:id="44" w:name="page45"/>
    <w:bookmarkEnd w:id="44"/>
    <w:p>
      <w:pPr>
        <w:jc w:val="both"/>
        <w:ind w:right="1779"/>
        <w:spacing w:after="0" w:line="236" w:lineRule="auto"/>
        <w:rPr>
          <w:sz w:val="20"/>
          <w:szCs w:val="20"/>
          <w:color w:val="auto"/>
        </w:rPr>
      </w:pPr>
      <w:r>
        <w:rPr>
          <w:rFonts w:ascii="Courier New" w:cs="Courier New" w:eastAsia="Courier New" w:hAnsi="Courier New"/>
          <w:sz w:val="18"/>
          <w:szCs w:val="18"/>
          <w:color w:val="auto"/>
        </w:rPr>
        <w:t>and shares of common stock to close out short positions, or loan or pledge notes and shares of common stock to broker-dealers that in turn may sell the notes and shares of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 our knowledge, there are currently no plans, arrangements or understandings between any selling securityholders and any underwriter, broker-dealer or agent regarding the sale of the notes and the shares of common stock by the selling securityholders. Selling securityholders may not sell any, or may not sell all, of the notes and the shares of common stock offered by them pursuant to this prospectus. In addition, we cannot assure you that a selling securityholder will not transfer, devise or gift the notes and the shares of common stock by other means not described in this prospectus. In addition, any securities covered by this prospectus which qualify for sale pursuant to Rule</w:t>
      </w:r>
    </w:p>
    <w:p>
      <w:pPr>
        <w:spacing w:after="0" w:line="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144 or Rule 144A of the Securities Act may be sold under Rule 144 or Rule 144A rather than pursuant to this prospectus.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notes were issued and sold in October 2001 in transactions exempt from the registration requirements of the Securities Act to persons reasonably believed by the initial purchasers to be "qualified institutional buyers," as defined in Rule 144A under the Securities Act. Pursuant to the registration rights agreement, we have agreed to indemnify the initial purchasers and each selling securityholder, and each selling securityholder has agreed to indemnify us against specified liabilities arising under the Securities Act. The selling securityholders may also agree to indemnify any broker-dealer or agent that participates in transactions involving sales of the securities against some liabilities, including liabilities that arise under the Securities Act.</w:t>
      </w:r>
    </w:p>
    <w:p>
      <w:pPr>
        <w:spacing w:after="0" w:line="18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selling securityholders and any other person participating in such distribution will be subject to the Exchange Act. The Exchange Act rules include, without limitation, Regulation M, which may limit the timing of purchases and sales of any of the notes and the underlying shares of common stock by the selling securityholders and any such other person. In addition, Regulation M of the Exchange Act may restrict the ability of any person engaged in the distribution of the notes and the underlying shares of common stock to engage in market-making activities with respect to the particular notes and the underlying shares of common stock being distributed for a period of up to five business days prior to the commencement of distribution. This may affect the marketability of the notes and the underlying shares of common stock and the ability of any person or entity to engage in market-making activities with respect to the notes and the underlying shares of common stock.</w:t>
      </w:r>
    </w:p>
    <w:p>
      <w:pPr>
        <w:spacing w:after="0" w:line="38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Under the registration rights agreement, we are obligated to use our reasonable best efforts to keep the registration statement of which this prospectus is a part effective until the earlier of:</w:t>
      </w:r>
    </w:p>
    <w:p>
      <w:pPr>
        <w:spacing w:after="0" w:line="203" w:lineRule="exact"/>
        <w:rPr>
          <w:sz w:val="20"/>
          <w:szCs w:val="20"/>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October 17, 2003;</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when the notes and the shares of common stock issuable upon conversion of the notes (i) may be resold immediately without restriction pursuant to the volume limitation provisions of Rule 144(k) under the Securities Act or (ii) cease to be outstanding; and</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the registration statement to which this prospectus relates, of all the securities registered thereunder.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obligation to keep the registration statement to which this prospectus relates effective is subject to specified, permitted exceptions set forth in the registration rights agreement. In these cases, we may prohibit offers and sales of the notes and shares of common stock pursuant to the registration statement to which this prospectus relates.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suspend the use of this prospectus if we learn of any event that causes this prospectus to include an untrue statement of a material fact required to be stated in the prospectus or necessary to make the statements in the prospectus not misleading in light of the circumstances then existing. If this type of event occurs, a prospectus supplement or post-effective amendment, if required, will be distributed to each selling securityholder. Each selling securityholder has agreed not to trade securities from the time the selling securityholder receives notice from us of this type of event until the selling securityholder receives a prospectus supplement or amendment. This time period will not exceed 45 days in any three-month period and will not exceed an aggregate of 120 days in any 12 month-period.</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564" w:gutter="0" w:footer="0" w:header="0"/>
        </w:sectPr>
      </w:pPr>
    </w:p>
    <w:bookmarkStart w:id="45" w:name="page46"/>
    <w:bookmarkEnd w:id="45"/>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Certain legal matters regarding the notes and the shares of common stock into which those notes are convertible will be passed upon for Regeneron by Skadden, Arps, Slate, Meagher &amp; Flom LLP, New York, New York.</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reliance on the report of such independent accountants given on the authority of such firm as experts in auditing and accounting.</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Ernst &amp; Young LLP, independent auditors, have audited the financial statements of Amgen-Regeneron Partners included in our Annual Report on Form 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46" w:name="page47"/>
    <w:bookmarkEnd w:id="46"/>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are estimated.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$ 47,800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18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is made to the proposed Underwriting Agreement filed as Exhibit 1 to this Registration Statement for certain provisions relating to the indemnification of directors and officers of the Company against certain liabilities under the Securities Act of 1933.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NUMBER</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 --------</w:t>
      </w:r>
    </w:p>
    <w:p>
      <w:pPr>
        <w:ind w:left="680" w:hanging="414"/>
        <w:spacing w:after="0" w:line="237" w:lineRule="auto"/>
        <w:tabs>
          <w:tab w:leader="none" w:pos="6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 Form of</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1/2%</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w:t>
      </w:r>
    </w:p>
    <w:p>
      <w:pPr>
        <w:sectPr>
          <w:pgSz w:w="11900" w:h="16838" w:orient="portrait"/>
          <w:cols w:equalWidth="0" w:num="1">
            <w:col w:w="10219"/>
          </w:cols>
          <w:pgMar w:left="240" w:top="717" w:right="1440" w:bottom="0" w:gutter="0" w:footer="0" w:header="0"/>
        </w:sectPr>
      </w:pPr>
    </w:p>
    <w:bookmarkStart w:id="47" w:name="page48"/>
    <w:bookmarkEnd w:id="47"/>
    <w:p>
      <w:pPr>
        <w:jc w:val="center"/>
        <w:ind w:right="8539"/>
        <w:spacing w:after="0"/>
        <w:rPr>
          <w:sz w:val="20"/>
          <w:szCs w:val="20"/>
          <w:color w:val="auto"/>
        </w:rPr>
      </w:pPr>
      <w:r>
        <w:rPr>
          <w:rFonts w:ascii="Courier New" w:cs="Courier New" w:eastAsia="Courier New" w:hAnsi="Courier New"/>
          <w:sz w:val="18"/>
          <w:szCs w:val="18"/>
          <w:color w:val="auto"/>
        </w:rPr>
        <w:t>Subordinated</w:t>
      </w:r>
    </w:p>
    <w:p>
      <w:pPr>
        <w:jc w:val="center"/>
        <w:ind w:right="8539"/>
        <w:spacing w:after="0" w:line="238" w:lineRule="auto"/>
        <w:rPr>
          <w:sz w:val="20"/>
          <w:szCs w:val="20"/>
          <w:color w:val="auto"/>
        </w:rPr>
      </w:pPr>
      <w:r>
        <w:rPr>
          <w:rFonts w:ascii="Courier New" w:cs="Courier New" w:eastAsia="Courier New" w:hAnsi="Courier New"/>
          <w:sz w:val="18"/>
          <w:szCs w:val="18"/>
          <w:color w:val="auto"/>
        </w:rPr>
        <w:t>Note (included</w:t>
      </w:r>
    </w:p>
    <w:p>
      <w:pPr>
        <w:jc w:val="center"/>
        <w:ind w:right="8539"/>
        <w:spacing w:after="0"/>
        <w:rPr>
          <w:sz w:val="20"/>
          <w:szCs w:val="20"/>
          <w:color w:val="auto"/>
        </w:rPr>
      </w:pPr>
      <w:r>
        <w:rPr>
          <w:rFonts w:ascii="Courier New" w:cs="Courier New" w:eastAsia="Courier New" w:hAnsi="Courier New"/>
          <w:sz w:val="18"/>
          <w:szCs w:val="18"/>
          <w:color w:val="auto"/>
        </w:rPr>
        <w:t>in Exhibit</w:t>
      </w:r>
    </w:p>
    <w:p>
      <w:pPr>
        <w:jc w:val="center"/>
        <w:ind w:right="8539"/>
        <w:spacing w:after="0" w:line="237" w:lineRule="auto"/>
        <w:rPr>
          <w:sz w:val="20"/>
          <w:szCs w:val="20"/>
          <w:color w:val="auto"/>
        </w:rPr>
      </w:pPr>
      <w:r>
        <w:rPr>
          <w:rFonts w:ascii="Courier New" w:cs="Courier New" w:eastAsia="Courier New" w:hAnsi="Courier New"/>
          <w:sz w:val="18"/>
          <w:szCs w:val="18"/>
          <w:color w:val="auto"/>
        </w:rPr>
        <w:t>4.1). 4.3* --</w:t>
      </w:r>
    </w:p>
    <w:p>
      <w:pPr>
        <w:jc w:val="center"/>
        <w:ind w:right="8539"/>
        <w:spacing w:after="0" w:line="238" w:lineRule="auto"/>
        <w:rPr>
          <w:sz w:val="20"/>
          <w:szCs w:val="20"/>
          <w:color w:val="auto"/>
        </w:rPr>
      </w:pPr>
      <w:r>
        <w:rPr>
          <w:rFonts w:ascii="Courier New" w:cs="Courier New" w:eastAsia="Courier New" w:hAnsi="Courier New"/>
          <w:sz w:val="18"/>
          <w:szCs w:val="18"/>
          <w:color w:val="auto"/>
        </w:rPr>
        <w:t>Pledge</w:t>
      </w:r>
    </w:p>
    <w:p>
      <w:pPr>
        <w:jc w:val="center"/>
        <w:ind w:right="8539"/>
        <w:spacing w:after="0"/>
        <w:rPr>
          <w:sz w:val="20"/>
          <w:szCs w:val="20"/>
          <w:color w:val="auto"/>
        </w:rPr>
      </w:pPr>
      <w:r>
        <w:rPr>
          <w:rFonts w:ascii="Courier New" w:cs="Courier New" w:eastAsia="Courier New" w:hAnsi="Courier New"/>
          <w:sz w:val="18"/>
          <w:szCs w:val="18"/>
          <w:color w:val="auto"/>
        </w:rPr>
        <w:t>Agreement dated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as of October</w:t>
      </w:r>
    </w:p>
    <w:p>
      <w:pPr>
        <w:jc w:val="center"/>
        <w:ind w:right="8539"/>
        <w:spacing w:after="0"/>
        <w:rPr>
          <w:sz w:val="20"/>
          <w:szCs w:val="20"/>
          <w:color w:val="auto"/>
        </w:rPr>
      </w:pPr>
      <w:r>
        <w:rPr>
          <w:rFonts w:ascii="Courier New" w:cs="Courier New" w:eastAsia="Courier New" w:hAnsi="Courier New"/>
          <w:sz w:val="18"/>
          <w:szCs w:val="18"/>
          <w:color w:val="auto"/>
        </w:rPr>
        <w:t>17, 2001</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539"/>
        <w:spacing w:after="0"/>
        <w:rPr>
          <w:sz w:val="20"/>
          <w:szCs w:val="20"/>
          <w:color w:val="auto"/>
        </w:rPr>
      </w:pPr>
      <w:r>
        <w:rPr>
          <w:rFonts w:ascii="Courier New" w:cs="Courier New" w:eastAsia="Courier New" w:hAnsi="Courier New"/>
          <w:sz w:val="18"/>
          <w:szCs w:val="18"/>
          <w:color w:val="auto"/>
        </w:rPr>
        <w:t>Regeneron</w:t>
      </w:r>
    </w:p>
    <w:p>
      <w:pPr>
        <w:spacing w:after="0" w:line="3"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 and</w:t>
      </w:r>
    </w:p>
    <w:p>
      <w:pPr>
        <w:jc w:val="center"/>
        <w:ind w:right="8539"/>
        <w:spacing w:after="0" w:line="238" w:lineRule="auto"/>
        <w:rPr>
          <w:sz w:val="20"/>
          <w:szCs w:val="20"/>
          <w:color w:val="auto"/>
        </w:rPr>
      </w:pPr>
      <w:r>
        <w:rPr>
          <w:rFonts w:ascii="Courier New" w:cs="Courier New" w:eastAsia="Courier New" w:hAnsi="Courier New"/>
          <w:sz w:val="18"/>
          <w:szCs w:val="18"/>
          <w:color w:val="auto"/>
        </w:rPr>
        <w:t>American Stock</w:t>
      </w:r>
    </w:p>
    <w:p>
      <w:pPr>
        <w:jc w:val="center"/>
        <w:ind w:right="8539"/>
        <w:spacing w:after="0"/>
        <w:rPr>
          <w:sz w:val="20"/>
          <w:szCs w:val="20"/>
          <w:color w:val="auto"/>
        </w:rPr>
      </w:pPr>
      <w:r>
        <w:rPr>
          <w:rFonts w:ascii="Courier New" w:cs="Courier New" w:eastAsia="Courier New" w:hAnsi="Courier New"/>
          <w:sz w:val="18"/>
          <w:szCs w:val="18"/>
          <w:color w:val="auto"/>
        </w:rPr>
        <w:t>Transfer &amp;</w:t>
      </w:r>
    </w:p>
    <w:p>
      <w:pPr>
        <w:jc w:val="center"/>
        <w:ind w:right="8539"/>
        <w:spacing w:after="0" w:line="237" w:lineRule="auto"/>
        <w:rPr>
          <w:sz w:val="20"/>
          <w:szCs w:val="20"/>
          <w:color w:val="auto"/>
        </w:rPr>
      </w:pPr>
      <w:r>
        <w:rPr>
          <w:rFonts w:ascii="Courier New" w:cs="Courier New" w:eastAsia="Courier New" w:hAnsi="Courier New"/>
          <w:sz w:val="18"/>
          <w:szCs w:val="18"/>
          <w:color w:val="auto"/>
        </w:rPr>
        <w:t>Trust Company,</w:t>
      </w:r>
    </w:p>
    <w:p>
      <w:pPr>
        <w:jc w:val="center"/>
        <w:ind w:right="8539"/>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36" w:right="1440" w:bottom="1440" w:gutter="0" w:footer="0" w:header="0"/>
        </w:sectPr>
      </w:pPr>
    </w:p>
    <w:bookmarkStart w:id="48" w:name="page49"/>
    <w:bookmarkEnd w:id="48"/>
    <w:p>
      <w:pPr>
        <w:jc w:val="center"/>
        <w:ind w:right="795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----------- 4.4*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October 17, 2001,</w:t>
      </w:r>
    </w:p>
    <w:p>
      <w:pPr>
        <w:jc w:val="center"/>
        <w:ind w:right="7959"/>
        <w:spacing w:after="0" w:line="238" w:lineRule="auto"/>
        <w:rPr>
          <w:sz w:val="20"/>
          <w:szCs w:val="20"/>
          <w:color w:val="auto"/>
        </w:rPr>
      </w:pPr>
      <w:r>
        <w:rPr>
          <w:rFonts w:ascii="Courier New" w:cs="Courier New" w:eastAsia="Courier New" w:hAnsi="Courier New"/>
          <w:sz w:val="18"/>
          <w:szCs w:val="18"/>
          <w:color w:val="auto"/>
        </w:rPr>
        <w:t>among Regeneron</w:t>
      </w:r>
    </w:p>
    <w:p>
      <w:pPr>
        <w:jc w:val="center"/>
        <w:ind w:right="7959"/>
        <w:spacing w:after="0"/>
        <w:rPr>
          <w:sz w:val="20"/>
          <w:szCs w:val="20"/>
          <w:color w:val="auto"/>
        </w:rPr>
      </w:pPr>
      <w:r>
        <w:rPr>
          <w:rFonts w:ascii="Courier New" w:cs="Courier New" w:eastAsia="Courier New" w:hAnsi="Courier New"/>
          <w:sz w:val="18"/>
          <w:szCs w:val="18"/>
          <w:color w:val="auto"/>
        </w:rPr>
        <w:t>Pharmaceuticals,</w:t>
      </w:r>
    </w:p>
    <w:p>
      <w:pPr>
        <w:spacing w:after="0" w:line="3"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Inc., Merrill Lynch &amp;</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 Merrill Lynch,</w:t>
      </w:r>
    </w:p>
    <w:p>
      <w:pPr>
        <w:jc w:val="center"/>
        <w:ind w:right="7959"/>
        <w:spacing w:after="0" w:line="238" w:lineRule="auto"/>
        <w:rPr>
          <w:sz w:val="20"/>
          <w:szCs w:val="20"/>
          <w:color w:val="auto"/>
        </w:rPr>
      </w:pPr>
      <w:r>
        <w:rPr>
          <w:rFonts w:ascii="Courier New" w:cs="Courier New" w:eastAsia="Courier New" w:hAnsi="Courier New"/>
          <w:sz w:val="18"/>
          <w:szCs w:val="18"/>
          <w:color w:val="auto"/>
        </w:rPr>
        <w:t>Pierce, Fenner &amp;</w:t>
      </w:r>
    </w:p>
    <w:p>
      <w:pPr>
        <w:jc w:val="center"/>
        <w:ind w:right="7959"/>
        <w:spacing w:after="0"/>
        <w:rPr>
          <w:sz w:val="20"/>
          <w:szCs w:val="20"/>
          <w:color w:val="auto"/>
        </w:rPr>
      </w:pPr>
      <w:r>
        <w:rPr>
          <w:rFonts w:ascii="Courier New" w:cs="Courier New" w:eastAsia="Courier New" w:hAnsi="Courier New"/>
          <w:sz w:val="18"/>
          <w:szCs w:val="18"/>
          <w:color w:val="auto"/>
        </w:rPr>
        <w:t>Smith Incorporated</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Robertson</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Stephens, Inc. 4.5 --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January 13, 1988,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Company, Leonard S.</w:t>
      </w:r>
    </w:p>
    <w:p>
      <w:pPr>
        <w:jc w:val="center"/>
        <w:ind w:right="7959"/>
        <w:spacing w:after="0"/>
        <w:rPr>
          <w:sz w:val="20"/>
          <w:szCs w:val="20"/>
          <w:color w:val="auto"/>
        </w:rPr>
      </w:pPr>
      <w:r>
        <w:rPr>
          <w:rFonts w:ascii="Courier New" w:cs="Courier New" w:eastAsia="Courier New" w:hAnsi="Courier New"/>
          <w:sz w:val="18"/>
          <w:szCs w:val="18"/>
          <w:color w:val="auto"/>
        </w:rPr>
        <w:t>Schleifer and ML</w:t>
      </w:r>
    </w:p>
    <w:p>
      <w:pPr>
        <w:jc w:val="center"/>
        <w:ind w:right="7959"/>
        <w:spacing w:after="0" w:line="237" w:lineRule="auto"/>
        <w:rPr>
          <w:sz w:val="20"/>
          <w:szCs w:val="20"/>
          <w:color w:val="auto"/>
        </w:rPr>
      </w:pPr>
      <w:r>
        <w:rPr>
          <w:rFonts w:ascii="Courier New" w:cs="Courier New" w:eastAsia="Courier New" w:hAnsi="Courier New"/>
          <w:sz w:val="18"/>
          <w:szCs w:val="18"/>
          <w:color w:val="auto"/>
        </w:rPr>
        <w:t>Venture Partners II,</w:t>
      </w:r>
    </w:p>
    <w:p>
      <w:pPr>
        <w:jc w:val="center"/>
        <w:ind w:right="7959"/>
        <w:spacing w:after="0"/>
        <w:rPr>
          <w:sz w:val="20"/>
          <w:szCs w:val="20"/>
          <w:color w:val="auto"/>
        </w:rPr>
      </w:pPr>
      <w:r>
        <w:rPr>
          <w:rFonts w:ascii="Courier New" w:cs="Courier New" w:eastAsia="Courier New" w:hAnsi="Courier New"/>
          <w:sz w:val="18"/>
          <w:szCs w:val="18"/>
          <w:color w:val="auto"/>
        </w:rPr>
        <w:t>L.P. (the "Stock</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Purchase Agreement").</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10.1 to Regeneron's</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Statement on Form S-1</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(File No. 33-39043)</w:t>
      </w:r>
    </w:p>
    <w:p>
      <w:pPr>
        <w:jc w:val="center"/>
        <w:ind w:right="7959"/>
        <w:spacing w:after="0" w:line="238" w:lineRule="auto"/>
        <w:rPr>
          <w:sz w:val="20"/>
          <w:szCs w:val="20"/>
          <w:color w:val="auto"/>
        </w:rPr>
      </w:pPr>
      <w:r>
        <w:rPr>
          <w:rFonts w:ascii="Courier New" w:cs="Courier New" w:eastAsia="Courier New" w:hAnsi="Courier New"/>
          <w:sz w:val="18"/>
          <w:szCs w:val="18"/>
          <w:color w:val="auto"/>
        </w:rPr>
        <w:t>(the "Regeneron S-</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 4.6 -- Amendment</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to the Stock Purchase</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March</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3, 1989. Incorporated</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by reference to</w:t>
      </w:r>
    </w:p>
    <w:p>
      <w:pPr>
        <w:jc w:val="center"/>
        <w:ind w:right="7959"/>
        <w:spacing w:after="0" w:line="238" w:lineRule="auto"/>
        <w:rPr>
          <w:sz w:val="20"/>
          <w:szCs w:val="20"/>
          <w:color w:val="auto"/>
        </w:rPr>
      </w:pPr>
      <w:r>
        <w:rPr>
          <w:rFonts w:ascii="Courier New" w:cs="Courier New" w:eastAsia="Courier New" w:hAnsi="Courier New"/>
          <w:sz w:val="18"/>
          <w:szCs w:val="18"/>
          <w:color w:val="auto"/>
        </w:rPr>
        <w:t>Exhibit 10.2 to the</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Regeneron S-1. 4.7 --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Letter 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dated November 27,</w:t>
      </w:r>
    </w:p>
    <w:p>
      <w:pPr>
        <w:jc w:val="center"/>
        <w:ind w:right="7959"/>
        <w:spacing w:after="0"/>
        <w:rPr>
          <w:sz w:val="20"/>
          <w:szCs w:val="20"/>
          <w:color w:val="auto"/>
        </w:rPr>
      </w:pPr>
      <w:r>
        <w:rPr>
          <w:rFonts w:ascii="Courier New" w:cs="Courier New" w:eastAsia="Courier New" w:hAnsi="Courier New"/>
          <w:sz w:val="18"/>
          <w:szCs w:val="18"/>
          <w:color w:val="auto"/>
        </w:rPr>
        <w:t>1989, amending the</w:t>
      </w:r>
    </w:p>
    <w:p>
      <w:pPr>
        <w:jc w:val="center"/>
        <w:ind w:right="795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10.13 to the</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Regeneron S-1. 4.8 --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Class B Convertible</w:t>
      </w:r>
    </w:p>
    <w:p>
      <w:pPr>
        <w:jc w:val="center"/>
        <w:ind w:right="7959"/>
        <w:spacing w:after="0" w:line="238" w:lineRule="auto"/>
        <w:rPr>
          <w:sz w:val="20"/>
          <w:szCs w:val="20"/>
          <w:color w:val="auto"/>
        </w:rPr>
      </w:pPr>
      <w:r>
        <w:rPr>
          <w:rFonts w:ascii="Courier New" w:cs="Courier New" w:eastAsia="Courier New" w:hAnsi="Courier New"/>
          <w:sz w:val="18"/>
          <w:szCs w:val="18"/>
          <w:color w:val="auto"/>
        </w:rPr>
        <w:t>Preferred Stock</w:t>
      </w:r>
    </w:p>
    <w:p>
      <w:pPr>
        <w:jc w:val="center"/>
        <w:ind w:right="7959"/>
        <w:spacing w:after="0"/>
        <w:rPr>
          <w:sz w:val="20"/>
          <w:szCs w:val="20"/>
          <w:color w:val="auto"/>
        </w:rPr>
      </w:pPr>
      <w:r>
        <w:rPr>
          <w:rFonts w:ascii="Courier New" w:cs="Courier New" w:eastAsia="Courier New" w:hAnsi="Courier New"/>
          <w:sz w:val="18"/>
          <w:szCs w:val="18"/>
          <w:color w:val="auto"/>
        </w:rPr>
        <w:t>Purchase Agreement</w:t>
      </w:r>
    </w:p>
    <w:p>
      <w:pPr>
        <w:jc w:val="center"/>
        <w:ind w:right="7959"/>
        <w:spacing w:after="0" w:line="237" w:lineRule="auto"/>
        <w:rPr>
          <w:sz w:val="20"/>
          <w:szCs w:val="20"/>
          <w:color w:val="auto"/>
        </w:rPr>
      </w:pPr>
      <w:r>
        <w:rPr>
          <w:rFonts w:ascii="Courier New" w:cs="Courier New" w:eastAsia="Courier New" w:hAnsi="Courier New"/>
          <w:sz w:val="18"/>
          <w:szCs w:val="18"/>
          <w:color w:val="auto"/>
        </w:rPr>
        <w:t>dated November 22,</w:t>
      </w:r>
    </w:p>
    <w:p>
      <w:pPr>
        <w:jc w:val="center"/>
        <w:ind w:right="7959"/>
        <w:spacing w:after="0" w:line="238" w:lineRule="auto"/>
        <w:rPr>
          <w:sz w:val="20"/>
          <w:szCs w:val="20"/>
          <w:color w:val="auto"/>
        </w:rPr>
      </w:pPr>
      <w:r>
        <w:rPr>
          <w:rFonts w:ascii="Courier New" w:cs="Courier New" w:eastAsia="Courier New" w:hAnsi="Courier New"/>
          <w:sz w:val="18"/>
          <w:szCs w:val="18"/>
          <w:color w:val="auto"/>
        </w:rPr>
        <w:t>1988, by and between</w:t>
      </w:r>
    </w:p>
    <w:p>
      <w:pPr>
        <w:jc w:val="center"/>
        <w:ind w:right="7959"/>
        <w:spacing w:after="0"/>
        <w:rPr>
          <w:sz w:val="20"/>
          <w:szCs w:val="20"/>
          <w:color w:val="auto"/>
        </w:rPr>
      </w:pPr>
      <w:r>
        <w:rPr>
          <w:rFonts w:ascii="Courier New" w:cs="Courier New" w:eastAsia="Courier New" w:hAnsi="Courier New"/>
          <w:sz w:val="18"/>
          <w:szCs w:val="18"/>
          <w:color w:val="auto"/>
        </w:rPr>
        <w:t>the Company and each</w:t>
      </w:r>
    </w:p>
    <w:p>
      <w:pPr>
        <w:jc w:val="center"/>
        <w:ind w:right="7959"/>
        <w:spacing w:after="0" w:line="237" w:lineRule="auto"/>
        <w:rPr>
          <w:sz w:val="20"/>
          <w:szCs w:val="20"/>
          <w:color w:val="auto"/>
        </w:rPr>
      </w:pPr>
      <w:r>
        <w:rPr>
          <w:rFonts w:ascii="Courier New" w:cs="Courier New" w:eastAsia="Courier New" w:hAnsi="Courier New"/>
          <w:sz w:val="18"/>
          <w:szCs w:val="18"/>
          <w:color w:val="auto"/>
        </w:rPr>
        <w:t>purchaser set forth</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on Exhibit A thereto.</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10.3 to the Regeneron</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4.9 -- Class D</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Convertible Preferred</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August 31, 1990,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Company and Amgen</w:t>
      </w:r>
    </w:p>
    <w:p>
      <w:pPr>
        <w:jc w:val="center"/>
        <w:ind w:right="7959"/>
        <w:spacing w:after="0"/>
        <w:rPr>
          <w:sz w:val="20"/>
          <w:szCs w:val="20"/>
          <w:color w:val="auto"/>
        </w:rPr>
      </w:pPr>
      <w:r>
        <w:rPr>
          <w:rFonts w:ascii="Courier New" w:cs="Courier New" w:eastAsia="Courier New" w:hAnsi="Courier New"/>
          <w:sz w:val="18"/>
          <w:szCs w:val="18"/>
          <w:color w:val="auto"/>
        </w:rPr>
        <w:t>Inc. 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10.9 to the Regeneron</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4.10 --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jc w:val="center"/>
        <w:ind w:right="7959"/>
        <w:spacing w:after="0"/>
        <w:rPr>
          <w:sz w:val="20"/>
          <w:szCs w:val="20"/>
          <w:color w:val="auto"/>
        </w:rPr>
      </w:pPr>
      <w:r>
        <w:rPr>
          <w:rFonts w:ascii="Courier New" w:cs="Courier New" w:eastAsia="Courier New" w:hAnsi="Courier New"/>
          <w:sz w:val="18"/>
          <w:szCs w:val="18"/>
          <w:color w:val="auto"/>
        </w:rPr>
        <w:t>Agreement, dated as</w:t>
      </w:r>
    </w:p>
    <w:p>
      <w:pPr>
        <w:jc w:val="center"/>
        <w:ind w:right="7959"/>
        <w:spacing w:after="0" w:line="237" w:lineRule="auto"/>
        <w:rPr>
          <w:sz w:val="20"/>
          <w:szCs w:val="20"/>
          <w:color w:val="auto"/>
        </w:rPr>
      </w:pPr>
      <w:r>
        <w:rPr>
          <w:rFonts w:ascii="Courier New" w:cs="Courier New" w:eastAsia="Courier New" w:hAnsi="Courier New"/>
          <w:sz w:val="18"/>
          <w:szCs w:val="18"/>
          <w:color w:val="auto"/>
        </w:rPr>
        <w:t>of July 22, 1993,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rPr>
          <w:sz w:val="20"/>
          <w:szCs w:val="20"/>
          <w:color w:val="auto"/>
        </w:rPr>
      </w:pPr>
      <w:r>
        <w:rPr>
          <w:rFonts w:ascii="Courier New" w:cs="Courier New" w:eastAsia="Courier New" w:hAnsi="Courier New"/>
          <w:sz w:val="18"/>
          <w:szCs w:val="18"/>
          <w:color w:val="auto"/>
        </w:rPr>
        <w:t>Company and Glaxo</w:t>
      </w:r>
    </w:p>
    <w:p>
      <w:pPr>
        <w:jc w:val="center"/>
        <w:ind w:right="7959"/>
        <w:spacing w:after="0" w:line="237" w:lineRule="auto"/>
        <w:rPr>
          <w:sz w:val="20"/>
          <w:szCs w:val="20"/>
          <w:color w:val="auto"/>
        </w:rPr>
      </w:pPr>
      <w:r>
        <w:rPr>
          <w:rFonts w:ascii="Courier New" w:cs="Courier New" w:eastAsia="Courier New" w:hAnsi="Courier New"/>
          <w:sz w:val="18"/>
          <w:szCs w:val="18"/>
          <w:color w:val="auto"/>
        </w:rPr>
        <w:t>Group Limited.</w:t>
      </w: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4.7 to Regeneron's</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Registration</w:t>
      </w:r>
    </w:p>
    <w:p>
      <w:pPr>
        <w:sectPr>
          <w:pgSz w:w="11900" w:h="16838" w:orient="portrait"/>
          <w:cols w:equalWidth="0" w:num="1">
            <w:col w:w="10159"/>
          </w:cols>
          <w:pgMar w:left="300" w:top="717" w:right="1440" w:bottom="0" w:gutter="0" w:footer="0" w:header="0"/>
        </w:sectPr>
      </w:pPr>
    </w:p>
    <w:bookmarkStart w:id="49" w:name="page50"/>
    <w:bookmarkEnd w:id="49"/>
    <w:p>
      <w:pPr>
        <w:jc w:val="center"/>
        <w:ind w:right="7899"/>
        <w:spacing w:after="0"/>
        <w:rPr>
          <w:sz w:val="20"/>
          <w:szCs w:val="20"/>
          <w:color w:val="auto"/>
        </w:rPr>
      </w:pPr>
      <w:r>
        <w:rPr>
          <w:rFonts w:ascii="Courier New" w:cs="Courier New" w:eastAsia="Courier New" w:hAnsi="Courier New"/>
          <w:sz w:val="18"/>
          <w:szCs w:val="18"/>
          <w:color w:val="auto"/>
        </w:rPr>
        <w:t>Statement on Form S-3</w:t>
      </w:r>
    </w:p>
    <w:p>
      <w:pPr>
        <w:jc w:val="center"/>
        <w:ind w:right="7899"/>
        <w:spacing w:after="0" w:line="238" w:lineRule="auto"/>
        <w:rPr>
          <w:sz w:val="20"/>
          <w:szCs w:val="20"/>
          <w:color w:val="auto"/>
        </w:rPr>
      </w:pPr>
      <w:r>
        <w:rPr>
          <w:rFonts w:ascii="Courier New" w:cs="Courier New" w:eastAsia="Courier New" w:hAnsi="Courier New"/>
          <w:sz w:val="18"/>
          <w:szCs w:val="18"/>
          <w:color w:val="auto"/>
        </w:rPr>
        <w:t>(File No. 33-66788).</w:t>
      </w:r>
    </w:p>
    <w:p>
      <w:pPr>
        <w:jc w:val="center"/>
        <w:ind w:right="7899"/>
        <w:spacing w:after="0"/>
        <w:rPr>
          <w:sz w:val="20"/>
          <w:szCs w:val="20"/>
          <w:color w:val="auto"/>
        </w:rPr>
      </w:pPr>
      <w:r>
        <w:rPr>
          <w:rFonts w:ascii="Courier New" w:cs="Courier New" w:eastAsia="Courier New" w:hAnsi="Courier New"/>
          <w:sz w:val="18"/>
          <w:szCs w:val="18"/>
          <w:color w:val="auto"/>
        </w:rPr>
        <w:t>4.11 --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dated as of April 15,</w:t>
      </w:r>
    </w:p>
    <w:p>
      <w:pPr>
        <w:jc w:val="center"/>
        <w:ind w:right="7899"/>
        <w:spacing w:after="0"/>
        <w:rPr>
          <w:sz w:val="20"/>
          <w:szCs w:val="20"/>
          <w:color w:val="auto"/>
        </w:rPr>
      </w:pPr>
      <w:r>
        <w:rPr>
          <w:rFonts w:ascii="Courier New" w:cs="Courier New" w:eastAsia="Courier New" w:hAnsi="Courier New"/>
          <w:sz w:val="18"/>
          <w:szCs w:val="18"/>
          <w:color w:val="auto"/>
        </w:rPr>
        <w:t>1996, by and between</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 Company and Amgen</w:t>
      </w:r>
    </w:p>
    <w:p>
      <w:pPr>
        <w:jc w:val="center"/>
        <w:ind w:right="7899"/>
        <w:spacing w:after="0"/>
        <w:rPr>
          <w:sz w:val="20"/>
          <w:szCs w:val="20"/>
          <w:color w:val="auto"/>
        </w:rPr>
      </w:pPr>
      <w:r>
        <w:rPr>
          <w:rFonts w:ascii="Courier New" w:cs="Courier New" w:eastAsia="Courier New" w:hAnsi="Courier New"/>
          <w:sz w:val="18"/>
          <w:szCs w:val="18"/>
          <w:color w:val="auto"/>
        </w:rPr>
        <w:t>Inc. 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rPr>
          <w:sz w:val="20"/>
          <w:szCs w:val="20"/>
          <w:color w:val="auto"/>
        </w:rPr>
      </w:pPr>
      <w:r>
        <w:rPr>
          <w:rFonts w:ascii="Courier New" w:cs="Courier New" w:eastAsia="Courier New" w:hAnsi="Courier New"/>
          <w:sz w:val="18"/>
          <w:szCs w:val="18"/>
          <w:color w:val="auto"/>
        </w:rPr>
        <w:t>10.3 to Regeneron's</w:t>
      </w:r>
    </w:p>
    <w:p>
      <w:pPr>
        <w:jc w:val="center"/>
        <w:ind w:right="7899"/>
        <w:spacing w:after="0" w:line="237"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quarter ended June</w:t>
      </w:r>
    </w:p>
    <w:p>
      <w:pPr>
        <w:jc w:val="center"/>
        <w:ind w:right="7899"/>
        <w:spacing w:after="0"/>
        <w:rPr>
          <w:sz w:val="20"/>
          <w:szCs w:val="20"/>
          <w:color w:val="auto"/>
        </w:rPr>
      </w:pPr>
      <w:r>
        <w:rPr>
          <w:rFonts w:ascii="Courier New" w:cs="Courier New" w:eastAsia="Courier New" w:hAnsi="Courier New"/>
          <w:sz w:val="18"/>
          <w:szCs w:val="18"/>
          <w:color w:val="auto"/>
        </w:rPr>
        <w:t>30, 1996, filed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August 14, 1996. 4.12</w:t>
      </w:r>
    </w:p>
    <w:p>
      <w:pPr>
        <w:spacing w:after="0" w:line="5" w:lineRule="exact"/>
        <w:rPr>
          <w:sz w:val="20"/>
          <w:szCs w:val="20"/>
          <w:color w:val="auto"/>
        </w:rPr>
      </w:pPr>
    </w:p>
    <w:p>
      <w:pPr>
        <w:ind w:left="260" w:right="8159" w:firstLine="113"/>
        <w:spacing w:after="0" w:line="268" w:lineRule="auto"/>
        <w:tabs>
          <w:tab w:leader="none" w:pos="6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899"/>
        <w:spacing w:after="0" w:line="233" w:lineRule="auto"/>
        <w:rPr>
          <w:sz w:val="20"/>
          <w:szCs w:val="20"/>
          <w:color w:val="auto"/>
        </w:rPr>
      </w:pPr>
      <w:r>
        <w:rPr>
          <w:rFonts w:ascii="Courier New" w:cs="Courier New" w:eastAsia="Courier New" w:hAnsi="Courier New"/>
          <w:sz w:val="18"/>
          <w:szCs w:val="18"/>
          <w:color w:val="auto"/>
        </w:rPr>
        <w:t>dated as of June 27,</w:t>
      </w:r>
    </w:p>
    <w:p>
      <w:pPr>
        <w:jc w:val="center"/>
        <w:ind w:right="7899"/>
        <w:spacing w:after="0"/>
        <w:rPr>
          <w:sz w:val="20"/>
          <w:szCs w:val="20"/>
          <w:color w:val="auto"/>
        </w:rPr>
      </w:pPr>
      <w:r>
        <w:rPr>
          <w:rFonts w:ascii="Courier New" w:cs="Courier New" w:eastAsia="Courier New" w:hAnsi="Courier New"/>
          <w:sz w:val="18"/>
          <w:szCs w:val="18"/>
          <w:color w:val="auto"/>
        </w:rPr>
        <w:t>1996, by and between</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 Company and</w:t>
      </w:r>
    </w:p>
    <w:p>
      <w:pPr>
        <w:jc w:val="center"/>
        <w:ind w:right="7899"/>
        <w:spacing w:after="0"/>
        <w:rPr>
          <w:sz w:val="20"/>
          <w:szCs w:val="20"/>
          <w:color w:val="auto"/>
        </w:rPr>
      </w:pPr>
      <w:r>
        <w:rPr>
          <w:rFonts w:ascii="Courier New" w:cs="Courier New" w:eastAsia="Courier New" w:hAnsi="Courier New"/>
          <w:sz w:val="18"/>
          <w:szCs w:val="18"/>
          <w:color w:val="auto"/>
        </w:rPr>
        <w:t>Medtronic, Inc.</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Incorporated by</w:t>
      </w:r>
    </w:p>
    <w:p>
      <w:pPr>
        <w:jc w:val="center"/>
        <w:ind w:right="7899"/>
        <w:spacing w:after="0"/>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7" w:lineRule="auto"/>
        <w:rPr>
          <w:sz w:val="20"/>
          <w:szCs w:val="20"/>
          <w:color w:val="auto"/>
        </w:rPr>
      </w:pPr>
      <w:r>
        <w:rPr>
          <w:rFonts w:ascii="Courier New" w:cs="Courier New" w:eastAsia="Courier New" w:hAnsi="Courier New"/>
          <w:sz w:val="18"/>
          <w:szCs w:val="18"/>
          <w:color w:val="auto"/>
        </w:rPr>
        <w:t>10.6 to Regeneron's</w:t>
      </w:r>
    </w:p>
    <w:p>
      <w:pPr>
        <w:jc w:val="center"/>
        <w:ind w:right="7899"/>
        <w:spacing w:after="0" w:line="238"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rPr>
          <w:sz w:val="20"/>
          <w:szCs w:val="20"/>
          <w:color w:val="auto"/>
        </w:rPr>
      </w:pPr>
      <w:r>
        <w:rPr>
          <w:rFonts w:ascii="Courier New" w:cs="Courier New" w:eastAsia="Courier New" w:hAnsi="Courier New"/>
          <w:sz w:val="18"/>
          <w:szCs w:val="18"/>
          <w:color w:val="auto"/>
        </w:rPr>
        <w:t>quarter ended June</w:t>
      </w:r>
    </w:p>
    <w:p>
      <w:pPr>
        <w:jc w:val="center"/>
        <w:ind w:right="7899"/>
        <w:spacing w:after="0" w:line="237" w:lineRule="auto"/>
        <w:rPr>
          <w:sz w:val="20"/>
          <w:szCs w:val="20"/>
          <w:color w:val="auto"/>
        </w:rPr>
      </w:pPr>
      <w:r>
        <w:rPr>
          <w:rFonts w:ascii="Courier New" w:cs="Courier New" w:eastAsia="Courier New" w:hAnsi="Courier New"/>
          <w:sz w:val="18"/>
          <w:szCs w:val="18"/>
          <w:color w:val="auto"/>
        </w:rPr>
        <w:t>30, 1996, filed</w:t>
      </w:r>
    </w:p>
    <w:p>
      <w:pPr>
        <w:jc w:val="center"/>
        <w:ind w:right="7899"/>
        <w:spacing w:after="0"/>
        <w:rPr>
          <w:sz w:val="20"/>
          <w:szCs w:val="20"/>
          <w:color w:val="auto"/>
        </w:rPr>
      </w:pPr>
      <w:r>
        <w:rPr>
          <w:rFonts w:ascii="Courier New" w:cs="Courier New" w:eastAsia="Courier New" w:hAnsi="Courier New"/>
          <w:sz w:val="18"/>
          <w:szCs w:val="18"/>
          <w:color w:val="auto"/>
        </w:rPr>
        <w:t>August 14, 1996. 4.13</w:t>
      </w:r>
    </w:p>
    <w:p>
      <w:pPr>
        <w:spacing w:after="0" w:line="4" w:lineRule="exact"/>
        <w:rPr>
          <w:sz w:val="20"/>
          <w:szCs w:val="20"/>
          <w:color w:val="auto"/>
        </w:rPr>
      </w:pPr>
    </w:p>
    <w:p>
      <w:pPr>
        <w:ind w:left="260" w:right="8159" w:firstLine="113"/>
        <w:spacing w:after="0" w:line="268" w:lineRule="auto"/>
        <w:tabs>
          <w:tab w:leader="none" w:pos="6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899"/>
        <w:spacing w:after="0" w:line="233" w:lineRule="auto"/>
        <w:rPr>
          <w:sz w:val="20"/>
          <w:szCs w:val="20"/>
          <w:color w:val="auto"/>
        </w:rPr>
      </w:pPr>
      <w:r>
        <w:rPr>
          <w:rFonts w:ascii="Courier New" w:cs="Courier New" w:eastAsia="Courier New" w:hAnsi="Courier New"/>
          <w:sz w:val="18"/>
          <w:szCs w:val="18"/>
          <w:color w:val="auto"/>
        </w:rPr>
        <w:t>dated as of December</w:t>
      </w:r>
    </w:p>
    <w:p>
      <w:pPr>
        <w:jc w:val="center"/>
        <w:ind w:right="7899"/>
        <w:spacing w:after="0"/>
        <w:rPr>
          <w:sz w:val="20"/>
          <w:szCs w:val="20"/>
          <w:color w:val="auto"/>
        </w:rPr>
      </w:pPr>
      <w:r>
        <w:rPr>
          <w:rFonts w:ascii="Courier New" w:cs="Courier New" w:eastAsia="Courier New" w:hAnsi="Courier New"/>
          <w:sz w:val="18"/>
          <w:szCs w:val="18"/>
          <w:color w:val="auto"/>
        </w:rPr>
        <w:t>11, 1996, by 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between the Company</w:t>
      </w:r>
    </w:p>
    <w:p>
      <w:pPr>
        <w:jc w:val="center"/>
        <w:ind w:right="7899"/>
        <w:spacing w:after="0"/>
        <w:rPr>
          <w:sz w:val="20"/>
          <w:szCs w:val="20"/>
          <w:color w:val="auto"/>
        </w:rPr>
      </w:pPr>
      <w:r>
        <w:rPr>
          <w:rFonts w:ascii="Courier New" w:cs="Courier New" w:eastAsia="Courier New" w:hAnsi="Courier New"/>
          <w:sz w:val="18"/>
          <w:szCs w:val="18"/>
          <w:color w:val="auto"/>
        </w:rPr>
        <w:t>and Procter &amp; Gamble</w:t>
      </w:r>
    </w:p>
    <w:p>
      <w:pPr>
        <w:jc w:val="center"/>
        <w:ind w:right="7899"/>
        <w:spacing w:after="0" w:line="237" w:lineRule="auto"/>
        <w:rPr>
          <w:sz w:val="20"/>
          <w:szCs w:val="20"/>
          <w:color w:val="auto"/>
        </w:rPr>
      </w:pPr>
      <w:r>
        <w:rPr>
          <w:rFonts w:ascii="Courier New" w:cs="Courier New" w:eastAsia="Courier New" w:hAnsi="Courier New"/>
          <w:sz w:val="18"/>
          <w:szCs w:val="18"/>
          <w:color w:val="auto"/>
        </w:rPr>
        <w:t>Pharmaceuticals.</w:t>
      </w:r>
    </w:p>
    <w:p>
      <w:pPr>
        <w:jc w:val="center"/>
        <w:ind w:right="7899"/>
        <w:spacing w:after="0"/>
        <w:rPr>
          <w:sz w:val="20"/>
          <w:szCs w:val="20"/>
          <w:color w:val="auto"/>
        </w:rPr>
      </w:pPr>
      <w:r>
        <w:rPr>
          <w:rFonts w:ascii="Courier New" w:cs="Courier New" w:eastAsia="Courier New" w:hAnsi="Courier New"/>
          <w:sz w:val="18"/>
          <w:szCs w:val="18"/>
          <w:color w:val="auto"/>
        </w:rPr>
        <w:t>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8" w:lineRule="auto"/>
        <w:rPr>
          <w:sz w:val="20"/>
          <w:szCs w:val="20"/>
          <w:color w:val="auto"/>
        </w:rPr>
      </w:pPr>
      <w:r>
        <w:rPr>
          <w:rFonts w:ascii="Courier New" w:cs="Courier New" w:eastAsia="Courier New" w:hAnsi="Courier New"/>
          <w:sz w:val="18"/>
          <w:szCs w:val="18"/>
          <w:color w:val="auto"/>
        </w:rPr>
        <w:t>10.30 to Regeneron's</w:t>
      </w:r>
    </w:p>
    <w:p>
      <w:pPr>
        <w:jc w:val="center"/>
        <w:ind w:right="7899"/>
        <w:spacing w:after="0"/>
        <w:rPr>
          <w:sz w:val="20"/>
          <w:szCs w:val="20"/>
          <w:color w:val="auto"/>
        </w:rPr>
      </w:pPr>
      <w:r>
        <w:rPr>
          <w:rFonts w:ascii="Courier New" w:cs="Courier New" w:eastAsia="Courier New" w:hAnsi="Courier New"/>
          <w:sz w:val="18"/>
          <w:szCs w:val="18"/>
          <w:color w:val="auto"/>
        </w:rPr>
        <w:t>Form 10-K for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fiscal year ended</w:t>
      </w:r>
    </w:p>
    <w:p>
      <w:pPr>
        <w:jc w:val="center"/>
        <w:ind w:right="7899"/>
        <w:spacing w:after="0"/>
        <w:rPr>
          <w:sz w:val="20"/>
          <w:szCs w:val="20"/>
          <w:color w:val="auto"/>
        </w:rPr>
      </w:pPr>
      <w:r>
        <w:rPr>
          <w:rFonts w:ascii="Courier New" w:cs="Courier New" w:eastAsia="Courier New" w:hAnsi="Courier New"/>
          <w:sz w:val="18"/>
          <w:szCs w:val="18"/>
          <w:color w:val="auto"/>
        </w:rPr>
        <w:t>December 31, 1996,</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filed March 26, 1997.</w:t>
      </w:r>
    </w:p>
    <w:p>
      <w:pPr>
        <w:jc w:val="center"/>
        <w:ind w:right="7899"/>
        <w:spacing w:after="0"/>
        <w:rPr>
          <w:sz w:val="20"/>
          <w:szCs w:val="20"/>
          <w:color w:val="auto"/>
        </w:rPr>
      </w:pPr>
      <w:r>
        <w:rPr>
          <w:rFonts w:ascii="Courier New" w:cs="Courier New" w:eastAsia="Courier New" w:hAnsi="Courier New"/>
          <w:sz w:val="18"/>
          <w:szCs w:val="18"/>
          <w:color w:val="auto"/>
        </w:rPr>
        <w:t>4.14 --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of May 13,</w:t>
      </w:r>
    </w:p>
    <w:p>
      <w:pPr>
        <w:jc w:val="center"/>
        <w:ind w:right="7899"/>
        <w:spacing w:after="0" w:line="237" w:lineRule="auto"/>
        <w:rPr>
          <w:sz w:val="20"/>
          <w:szCs w:val="20"/>
          <w:color w:val="auto"/>
        </w:rPr>
      </w:pPr>
      <w:r>
        <w:rPr>
          <w:rFonts w:ascii="Courier New" w:cs="Courier New" w:eastAsia="Courier New" w:hAnsi="Courier New"/>
          <w:sz w:val="18"/>
          <w:szCs w:val="18"/>
          <w:color w:val="auto"/>
        </w:rPr>
        <w:t>1997, by and between</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 Company and</w:t>
      </w:r>
    </w:p>
    <w:p>
      <w:pPr>
        <w:jc w:val="center"/>
        <w:ind w:right="7899"/>
        <w:spacing w:after="0"/>
        <w:rPr>
          <w:sz w:val="20"/>
          <w:szCs w:val="20"/>
          <w:color w:val="auto"/>
        </w:rPr>
      </w:pPr>
      <w:r>
        <w:rPr>
          <w:rFonts w:ascii="Courier New" w:cs="Courier New" w:eastAsia="Courier New" w:hAnsi="Courier New"/>
          <w:sz w:val="18"/>
          <w:szCs w:val="18"/>
          <w:color w:val="auto"/>
        </w:rPr>
        <w:t>Procter &amp; Gamble</w:t>
      </w:r>
    </w:p>
    <w:p>
      <w:pPr>
        <w:jc w:val="center"/>
        <w:ind w:right="7899"/>
        <w:spacing w:after="0" w:line="237" w:lineRule="auto"/>
        <w:rPr>
          <w:sz w:val="20"/>
          <w:szCs w:val="20"/>
          <w:color w:val="auto"/>
        </w:rPr>
      </w:pPr>
      <w:r>
        <w:rPr>
          <w:rFonts w:ascii="Courier New" w:cs="Courier New" w:eastAsia="Courier New" w:hAnsi="Courier New"/>
          <w:sz w:val="18"/>
          <w:szCs w:val="18"/>
          <w:color w:val="auto"/>
        </w:rPr>
        <w:t>Pharmaceuticals.</w:t>
      </w:r>
    </w:p>
    <w:p>
      <w:pPr>
        <w:jc w:val="center"/>
        <w:ind w:right="7899"/>
        <w:spacing w:after="0"/>
        <w:rPr>
          <w:sz w:val="20"/>
          <w:szCs w:val="20"/>
          <w:color w:val="auto"/>
        </w:rPr>
      </w:pPr>
      <w:r>
        <w:rPr>
          <w:rFonts w:ascii="Courier New" w:cs="Courier New" w:eastAsia="Courier New" w:hAnsi="Courier New"/>
          <w:sz w:val="18"/>
          <w:szCs w:val="18"/>
          <w:color w:val="auto"/>
        </w:rPr>
        <w:t>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rPr>
          <w:sz w:val="20"/>
          <w:szCs w:val="20"/>
          <w:color w:val="auto"/>
        </w:rPr>
      </w:pPr>
      <w:r>
        <w:rPr>
          <w:rFonts w:ascii="Courier New" w:cs="Courier New" w:eastAsia="Courier New" w:hAnsi="Courier New"/>
          <w:sz w:val="18"/>
          <w:szCs w:val="18"/>
          <w:color w:val="auto"/>
        </w:rPr>
        <w:t>10.3 to Regeneron's</w:t>
      </w:r>
    </w:p>
    <w:p>
      <w:pPr>
        <w:jc w:val="center"/>
        <w:ind w:right="7899"/>
        <w:spacing w:after="0" w:line="237"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quarter ended June</w:t>
      </w:r>
    </w:p>
    <w:p>
      <w:pPr>
        <w:jc w:val="center"/>
        <w:ind w:right="7899"/>
        <w:spacing w:after="0"/>
        <w:rPr>
          <w:sz w:val="20"/>
          <w:szCs w:val="20"/>
          <w:color w:val="auto"/>
        </w:rPr>
      </w:pPr>
      <w:r>
        <w:rPr>
          <w:rFonts w:ascii="Courier New" w:cs="Courier New" w:eastAsia="Courier New" w:hAnsi="Courier New"/>
          <w:sz w:val="18"/>
          <w:szCs w:val="18"/>
          <w:color w:val="auto"/>
        </w:rPr>
        <w:t>30, 1997, filed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August 12, 1997. 4.15</w:t>
      </w:r>
    </w:p>
    <w:p>
      <w:pPr>
        <w:ind w:left="960" w:hanging="324"/>
        <w:spacing w:after="0"/>
        <w:tabs>
          <w:tab w:leader="none" w:pos="96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line="3"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shares</w:t>
      </w:r>
    </w:p>
    <w:p>
      <w:pPr>
        <w:spacing w:after="0" w:line="21" w:lineRule="exact"/>
        <w:rPr>
          <w:rFonts w:ascii="Courier New" w:cs="Courier New" w:eastAsia="Courier New" w:hAnsi="Courier New"/>
          <w:sz w:val="18"/>
          <w:szCs w:val="18"/>
          <w:color w:val="auto"/>
        </w:rPr>
      </w:pPr>
    </w:p>
    <w:p>
      <w:pPr>
        <w:jc w:val="center"/>
        <w:ind w:left="100" w:right="79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common stock. Incorporated by reference to Exhibit</w:t>
      </w:r>
    </w:p>
    <w:p>
      <w:pPr>
        <w:jc w:val="both"/>
        <w:ind w:left="100" w:right="7999" w:firstLine="9"/>
        <w:spacing w:after="0" w:line="268" w:lineRule="auto"/>
        <w:tabs>
          <w:tab w:leader="none" w:pos="5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Form 8-A, filed with</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Commission on</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20, 1991. 5*</w:t>
      </w:r>
    </w:p>
    <w:p>
      <w:pPr>
        <w:spacing w:after="0" w:line="21" w:lineRule="exact"/>
        <w:rPr>
          <w:rFonts w:ascii="Courier New" w:cs="Courier New" w:eastAsia="Courier New" w:hAnsi="Courier New"/>
          <w:sz w:val="16"/>
          <w:szCs w:val="16"/>
          <w:color w:val="auto"/>
        </w:rPr>
      </w:pPr>
    </w:p>
    <w:p>
      <w:pPr>
        <w:ind w:left="60" w:right="7959" w:firstLine="418"/>
        <w:spacing w:after="0" w:line="268" w:lineRule="auto"/>
        <w:tabs>
          <w:tab w:leader="none" w:pos="797"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Skadden, Arps, Slate, Meagher &amp; Flom LLP. 12* -- Computation of Ratio of Earnings to Fixed Charges 23.1 --</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Consent of</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LLP, Independent</w:t>
      </w:r>
    </w:p>
    <w:p>
      <w:pPr>
        <w:spacing w:after="0" w:line="4" w:lineRule="exact"/>
        <w:rPr>
          <w:rFonts w:ascii="Courier New" w:cs="Courier New" w:eastAsia="Courier New" w:hAnsi="Courier New"/>
          <w:sz w:val="16"/>
          <w:szCs w:val="16"/>
          <w:color w:val="auto"/>
        </w:rPr>
      </w:pPr>
    </w:p>
    <w:p>
      <w:pPr>
        <w:jc w:val="center"/>
        <w:ind w:left="60" w:right="795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Accountants. 23.2 -- Consent of Ernst &amp; Young LLP, Independent Auditors. 23.3* -- Consent of Skadden, Arps, Slate, Meagher &amp; Flom LLP. Included in Exhibit</w:t>
      </w:r>
    </w:p>
    <w:p>
      <w:pPr>
        <w:sectPr>
          <w:pgSz w:w="11900" w:h="16838" w:orient="portrait"/>
          <w:cols w:equalWidth="0" w:num="1">
            <w:col w:w="10219"/>
          </w:cols>
          <w:pgMar w:left="240" w:top="136" w:right="1440" w:bottom="0" w:gutter="0" w:footer="0" w:header="0"/>
        </w:sectPr>
      </w:pPr>
    </w:p>
    <w:bookmarkStart w:id="50" w:name="page51"/>
    <w:bookmarkEnd w:id="50"/>
    <w:p>
      <w:pPr>
        <w:ind w:left="60" w:right="7959" w:firstLine="102"/>
        <w:spacing w:after="0" w:line="268" w:lineRule="auto"/>
        <w:tabs>
          <w:tab w:leader="none" w:pos="482"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 Powers of Attorney. Included in the signature page of</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Registration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25* --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of</w:t>
      </w:r>
    </w:p>
    <w:p>
      <w:pPr>
        <w:spacing w:after="0" w:line="4" w:lineRule="exact"/>
        <w:rPr>
          <w:rFonts w:ascii="Courier New" w:cs="Courier New" w:eastAsia="Courier New" w:hAnsi="Courier New"/>
          <w:sz w:val="16"/>
          <w:szCs w:val="16"/>
          <w:color w:val="auto"/>
        </w:rPr>
      </w:pPr>
    </w:p>
    <w:p>
      <w:pPr>
        <w:jc w:val="center"/>
        <w:ind w:left="100" w:right="799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 Form T-1 under the Trust Indenture Act of 1939, as amended, of American Stock Transfer &amp; Trust Company, trustee under the Indenture.</w:t>
      </w:r>
    </w:p>
    <w:p>
      <w:pPr>
        <w:spacing w:after="0" w:line="38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42" w:right="1440" w:bottom="1440" w:gutter="0" w:footer="0" w:header="0"/>
        </w:sectPr>
      </w:pPr>
    </w:p>
    <w:bookmarkStart w:id="51" w:name="page52"/>
    <w:bookmarkEnd w:id="51"/>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540" w:right="2319" w:firstLine="521"/>
        <w:spacing w:after="0" w:line="290" w:lineRule="auto"/>
        <w:tabs>
          <w:tab w:leader="none" w:pos="148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w:t>
      </w:r>
    </w:p>
    <w:p>
      <w:pPr>
        <w:spacing w:after="0" w:line="208" w:lineRule="exact"/>
        <w:rPr>
          <w:rFonts w:ascii="Courier New" w:cs="Courier New" w:eastAsia="Courier New" w:hAnsi="Courier New"/>
          <w:sz w:val="18"/>
          <w:szCs w:val="18"/>
          <w:color w:val="auto"/>
        </w:rPr>
      </w:pPr>
    </w:p>
    <w:p>
      <w:pPr>
        <w:ind w:left="860" w:right="1779" w:firstLine="517"/>
        <w:spacing w:after="0" w:line="238" w:lineRule="auto"/>
        <w:tabs>
          <w:tab w:leader="none" w:pos="1808"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7" w:lineRule="exact"/>
        <w:rPr>
          <w:rFonts w:ascii="Courier New" w:cs="Courier New" w:eastAsia="Courier New" w:hAnsi="Courier New"/>
          <w:sz w:val="18"/>
          <w:szCs w:val="18"/>
          <w:color w:val="auto"/>
        </w:rPr>
      </w:pPr>
    </w:p>
    <w:p>
      <w:pPr>
        <w:ind w:left="860" w:right="1779" w:firstLine="517"/>
        <w:spacing w:after="0" w:line="279" w:lineRule="auto"/>
        <w:tabs>
          <w:tab w:leader="none" w:pos="1808"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however, that paragraphs (1)(a) and (1)(b) shall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the Registration Statement.</w:t>
      </w:r>
    </w:p>
    <w:p>
      <w:pPr>
        <w:spacing w:after="0" w:line="210" w:lineRule="exact"/>
        <w:rPr>
          <w:sz w:val="20"/>
          <w:szCs w:val="20"/>
          <w:color w:val="auto"/>
        </w:rPr>
      </w:pPr>
    </w:p>
    <w:p>
      <w:pPr>
        <w:ind w:left="540" w:right="2199" w:firstLine="521"/>
        <w:spacing w:after="0" w:line="273" w:lineRule="auto"/>
        <w:tabs>
          <w:tab w:leader="none" w:pos="148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provisions described in "Item 14 -- 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564" w:gutter="0" w:footer="0" w:header="0"/>
        </w:sectPr>
      </w:pPr>
    </w:p>
    <w:bookmarkStart w:id="52" w:name="page53"/>
    <w:bookmarkEnd w:id="5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January 23, 2002.</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120"/>
        <w:spacing w:after="0"/>
        <w:tabs>
          <w:tab w:leader="none" w:pos="1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LEONARD S. SCHLEIFER, M.D., PH.D.</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Leonard S. Schleifer, M.D., Ph.D.</w:t>
      </w:r>
    </w:p>
    <w:p>
      <w:pPr>
        <w:jc w:val="center"/>
        <w:ind w:left="300"/>
        <w:spacing w:after="0" w:line="238" w:lineRule="auto"/>
        <w:rPr>
          <w:sz w:val="20"/>
          <w:szCs w:val="20"/>
          <w:color w:val="auto"/>
        </w:rPr>
      </w:pPr>
      <w:r>
        <w:rPr>
          <w:rFonts w:ascii="Courier New" w:cs="Courier New" w:eastAsia="Courier New" w:hAnsi="Courier New"/>
          <w:sz w:val="18"/>
          <w:szCs w:val="18"/>
          <w:color w:val="auto"/>
        </w:rPr>
        <w:t>President and Chief Executive</w:t>
      </w:r>
    </w:p>
    <w:p>
      <w:pPr>
        <w:jc w:val="center"/>
        <w:ind w:left="300"/>
        <w:spacing w:after="0"/>
        <w:rPr>
          <w:sz w:val="20"/>
          <w:szCs w:val="20"/>
          <w:color w:val="auto"/>
        </w:rPr>
      </w:pPr>
      <w:r>
        <w:rPr>
          <w:rFonts w:ascii="Courier New" w:cs="Courier New" w:eastAsia="Courier New" w:hAnsi="Courier New"/>
          <w:sz w:val="18"/>
          <w:szCs w:val="18"/>
          <w:color w:val="auto"/>
        </w:rPr>
        <w:t>Officer</w:t>
      </w:r>
    </w:p>
    <w:p>
      <w:pPr>
        <w:spacing w:after="0" w:line="20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 EACH PERSON WHOSE SIGNATURE APPEARS BELOW HEREBY AUTHORIZES LEONARD S. SCHLEIFER, AND MURRAY A. GOLDBERG, JOINTLY AND SEVERALLY, WITH FULL POWER TO EACH, TO EXECUTE IN THE NAME AND ON BEHALF OF SUCH PERSON ANY AMENDMENT (INCLUDING ANY POST-EFFECTIVE AMENDMENTS) TO THIS REGISTRATION STATEMENT (OR ANY OTHER REGISTRATION STATEMENT FOR THE SAME OFFERING THAT IS TO BE EFFECTIVE UPON FILING PURSUANT TO RULE 462(B) UNDER THE SECURITIES ACT) AND TO FILE THE SAME, WITH EXHIBITS THERETO AND OTHER DOCUMENTS IN CONNECTION THEREWITH, MAKING SUCH CHANGES IN THIS REGISTRATION STATEMENT AS THE PERSON(S) SO ACTING DEEMS APPROPRIATE AND APPOINTS EACH OF SUCH PERSONS, EACH WITH FULL POWER OF SUBSTITUTION, ATTORNEY-IN-FACT TO SIGN ANY AMENDMENT (INCLUDING ANY POST-EFFECTIVE AMENDMENT) TO THIS REGISTRATION STATEMENT (OR ANY OTHER REGISTRATION STATEMENT FOR THE SAME OFFERING THAT IS TO BE EFFECTIVE UPON FILING PURSUANT TO RULE 462(B) UNDER THE SECURITIES ACT) AND TO FILE THE SAME, WITH EXHIBITS THERETO AND OTHER DOCUMENTS IN CONNECTION THEREIN.</w:t>
      </w: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SIGNATURE</w:t>
      </w:r>
    </w:p>
    <w:p>
      <w:pPr>
        <w:ind w:left="100"/>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60" w:right="8999" w:hanging="3"/>
        <w:spacing w:after="0" w:line="268" w:lineRule="auto"/>
        <w:tabs>
          <w:tab w:leader="none" w:pos="58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Chairman of the Board January 23, 2002 -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P. Roy</w:t>
      </w:r>
    </w:p>
    <w:p>
      <w:pPr>
        <w:spacing w:after="0" w:line="4" w:lineRule="exact"/>
        <w:rPr>
          <w:rFonts w:ascii="Courier New" w:cs="Courier New" w:eastAsia="Courier New" w:hAnsi="Courier New"/>
          <w:sz w:val="16"/>
          <w:szCs w:val="16"/>
          <w:color w:val="auto"/>
        </w:rPr>
      </w:pPr>
    </w:p>
    <w:p>
      <w:pPr>
        <w:jc w:val="both"/>
        <w:ind w:left="220" w:right="9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Vagelos, M.D. /s/</w:t>
      </w:r>
    </w:p>
    <w:p>
      <w:pPr>
        <w:jc w:val="center"/>
        <w:ind w:left="60" w:right="89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 M.D., PH.D President, Chief Executive January 23, 2002 -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Officer</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6"/>
          <w:szCs w:val="16"/>
          <w:color w:val="auto"/>
        </w:rPr>
      </w:pPr>
    </w:p>
    <w:p>
      <w:pPr>
        <w:jc w:val="both"/>
        <w:ind w:left="100"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 M.D., Ph.D (Principal Executive Officer) * Executive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spacing w:after="0" w:line="4" w:lineRule="exact"/>
        <w:rPr>
          <w:rFonts w:ascii="Courier New" w:cs="Courier New" w:eastAsia="Courier New" w:hAnsi="Courier New"/>
          <w:sz w:val="16"/>
          <w:szCs w:val="16"/>
          <w:color w:val="auto"/>
        </w:rPr>
      </w:pPr>
    </w:p>
    <w:p>
      <w:pPr>
        <w:jc w:val="both"/>
        <w:ind w:left="60" w:right="89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January 23, 2002 -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53" w:name="page54"/>
    <w:bookmarkEnd w:id="53"/>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00" w:right="9059" w:firstLine="62"/>
        <w:spacing w:after="0" w:line="268" w:lineRule="auto"/>
        <w:tabs>
          <w:tab w:leader="none" w:pos="57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Scientific Officer, George 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Yancopoulos,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President,</w:t>
      </w:r>
    </w:p>
    <w:p>
      <w:pPr>
        <w:jc w:val="center"/>
        <w:ind w:right="8959"/>
        <w:spacing w:after="0"/>
        <w:rPr>
          <w:sz w:val="20"/>
          <w:szCs w:val="20"/>
          <w:color w:val="auto"/>
        </w:rPr>
      </w:pPr>
      <w:r>
        <w:rPr>
          <w:rFonts w:ascii="Courier New" w:cs="Courier New" w:eastAsia="Courier New" w:hAnsi="Courier New"/>
          <w:sz w:val="18"/>
          <w:szCs w:val="18"/>
          <w:color w:val="auto"/>
        </w:rPr>
        <w:t>Regeneron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Laboratories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13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SIGNATURE TITLE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DATE ---------</w:t>
      </w:r>
    </w:p>
    <w:p>
      <w:pPr>
        <w:spacing w:after="0" w:line="4" w:lineRule="exact"/>
        <w:rPr>
          <w:sz w:val="20"/>
          <w:szCs w:val="20"/>
          <w:color w:val="auto"/>
        </w:rPr>
      </w:pPr>
    </w:p>
    <w:p>
      <w:pPr>
        <w:jc w:val="both"/>
        <w:ind w:left="220" w:right="8779" w:hanging="54"/>
        <w:spacing w:after="0" w:line="268" w:lineRule="auto"/>
        <w:tabs>
          <w:tab w:leader="none" w:pos="79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Senior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January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 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00" w:hanging="312"/>
        <w:spacing w:after="0"/>
        <w:tabs>
          <w:tab w:leader="none" w:pos="90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&amp;</w:t>
      </w:r>
    </w:p>
    <w:p>
      <w:pPr>
        <w:spacing w:after="0" w:line="4" w:lineRule="exact"/>
        <w:rPr>
          <w:rFonts w:ascii="Courier New" w:cs="Courier New" w:eastAsia="Courier New" w:hAnsi="Courier New"/>
          <w:sz w:val="18"/>
          <w:szCs w:val="18"/>
          <w:color w:val="auto"/>
        </w:rPr>
      </w:pPr>
    </w:p>
    <w:p>
      <w:pPr>
        <w:jc w:val="both"/>
        <w:ind w:right="8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Administration, Chief Murray A.</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Goldberg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 and</w:t>
      </w:r>
    </w:p>
    <w:p>
      <w:pPr>
        <w:spacing w:after="0" w:line="4" w:lineRule="exact"/>
        <w:rPr>
          <w:rFonts w:ascii="Courier New" w:cs="Courier New" w:eastAsia="Courier New" w:hAnsi="Courier New"/>
          <w:sz w:val="18"/>
          <w:szCs w:val="18"/>
          <w:color w:val="auto"/>
        </w:rPr>
      </w:pPr>
    </w:p>
    <w:p>
      <w:pPr>
        <w:jc w:val="both"/>
        <w:ind w:left="28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Assistant Secretary (Principal Financial Officer)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 23,</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w:t>
      </w:r>
    </w:p>
    <w:p>
      <w:pPr>
        <w:spacing w:after="0" w:line="4" w:lineRule="exact"/>
        <w:rPr>
          <w:rFonts w:ascii="Courier New" w:cs="Courier New" w:eastAsia="Courier New" w:hAnsi="Courier New"/>
          <w:sz w:val="18"/>
          <w:szCs w:val="18"/>
          <w:color w:val="auto"/>
        </w:rPr>
      </w:pPr>
    </w:p>
    <w:p>
      <w:pPr>
        <w:jc w:val="center"/>
        <w:ind w:right="863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Douglas S. McCorkle Accounting Officer) * Director January 23, 2002 - --------</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A.</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Baker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 23,</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Brown, M.D.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 23,</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Alfred 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Gilman, M.D.,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Ph.D.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January 23,</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L.</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Goldstein, M.D.</w:t>
      </w:r>
    </w:p>
    <w:p>
      <w:pPr>
        <w:spacing w:after="0" w:line="21" w:lineRule="exact"/>
        <w:rPr>
          <w:rFonts w:ascii="Courier New" w:cs="Courier New" w:eastAsia="Courier New" w:hAnsi="Courier New"/>
          <w:sz w:val="18"/>
          <w:szCs w:val="18"/>
          <w:color w:val="auto"/>
        </w:rPr>
      </w:pPr>
    </w:p>
    <w:p>
      <w:pPr>
        <w:jc w:val="both"/>
        <w:ind w:left="220" w:right="88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Director January 23,</w:t>
      </w:r>
    </w:p>
    <w:p>
      <w:pPr>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Eric M.</w:t>
      </w:r>
    </w:p>
    <w:p>
      <w:pPr>
        <w:jc w:val="center"/>
        <w:ind w:right="8639"/>
        <w:spacing w:after="0"/>
        <w:rPr>
          <w:sz w:val="20"/>
          <w:szCs w:val="20"/>
          <w:color w:val="auto"/>
        </w:rPr>
      </w:pPr>
      <w:r>
        <w:rPr>
          <w:rFonts w:ascii="Courier New" w:cs="Courier New" w:eastAsia="Courier New" w:hAnsi="Courier New"/>
          <w:sz w:val="18"/>
          <w:szCs w:val="18"/>
          <w:color w:val="auto"/>
        </w:rPr>
        <w:t>Shooter, Ph.D.</w:t>
      </w:r>
    </w:p>
    <w:p>
      <w:pPr>
        <w:jc w:val="center"/>
        <w:ind w:right="8639"/>
        <w:spacing w:after="0" w:line="237" w:lineRule="auto"/>
        <w:rPr>
          <w:sz w:val="20"/>
          <w:szCs w:val="20"/>
          <w:color w:val="auto"/>
        </w:rPr>
      </w:pPr>
      <w:r>
        <w:rPr>
          <w:rFonts w:ascii="Courier New" w:cs="Courier New" w:eastAsia="Courier New" w:hAnsi="Courier New"/>
          <w:sz w:val="18"/>
          <w:szCs w:val="18"/>
          <w:color w:val="auto"/>
        </w:rPr>
        <w:t>* Director</w:t>
      </w:r>
    </w:p>
    <w:p>
      <w:pPr>
        <w:sectPr>
          <w:pgSz w:w="11900" w:h="16838" w:orient="portrait"/>
          <w:cols w:equalWidth="0" w:num="1">
            <w:col w:w="10219"/>
          </w:cols>
          <w:pgMar w:left="240" w:top="925" w:right="1440" w:bottom="0" w:gutter="0" w:footer="0" w:header="0"/>
        </w:sectPr>
      </w:pPr>
    </w:p>
    <w:bookmarkStart w:id="55" w:name="page56"/>
    <w:bookmarkEnd w:id="55"/>
    <w:p>
      <w:pPr>
        <w:jc w:val="center"/>
        <w:ind w:right="8639"/>
        <w:spacing w:after="0"/>
        <w:rPr>
          <w:sz w:val="20"/>
          <w:szCs w:val="20"/>
          <w:color w:val="auto"/>
        </w:rPr>
      </w:pPr>
      <w:r>
        <w:rPr>
          <w:rFonts w:ascii="Courier New" w:cs="Courier New" w:eastAsia="Courier New" w:hAnsi="Courier New"/>
          <w:sz w:val="18"/>
          <w:szCs w:val="18"/>
          <w:color w:val="auto"/>
        </w:rPr>
        <w:t>January 23,</w:t>
      </w:r>
    </w:p>
    <w:p>
      <w:pPr>
        <w:spacing w:after="0" w:line="238" w:lineRule="auto"/>
        <w:rPr>
          <w:sz w:val="20"/>
          <w:szCs w:val="20"/>
          <w:color w:val="auto"/>
        </w:rPr>
      </w:pPr>
      <w:r>
        <w:rPr>
          <w:rFonts w:ascii="Courier New" w:cs="Courier New" w:eastAsia="Courier New" w:hAnsi="Courier New"/>
          <w:sz w:val="18"/>
          <w:szCs w:val="18"/>
          <w:color w:val="auto"/>
        </w:rPr>
        <w:t>2002 -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George L. Sing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*By: /s/</w:t>
      </w:r>
    </w:p>
    <w:p>
      <w:pPr>
        <w:jc w:val="center"/>
        <w:ind w:right="8639"/>
        <w:spacing w:after="0"/>
        <w:rPr>
          <w:sz w:val="20"/>
          <w:szCs w:val="20"/>
          <w:color w:val="auto"/>
        </w:rPr>
      </w:pPr>
      <w:r>
        <w:rPr>
          <w:rFonts w:ascii="Courier New" w:cs="Courier New" w:eastAsia="Courier New" w:hAnsi="Courier New"/>
          <w:sz w:val="18"/>
          <w:szCs w:val="18"/>
          <w:color w:val="auto"/>
        </w:rPr>
        <w:t>LEONARD 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SCHLEIFER,</w:t>
      </w:r>
    </w:p>
    <w:p>
      <w:pPr>
        <w:jc w:val="center"/>
        <w:ind w:right="8639"/>
        <w:spacing w:after="0"/>
        <w:rPr>
          <w:sz w:val="20"/>
          <w:szCs w:val="20"/>
          <w:color w:val="auto"/>
        </w:rPr>
      </w:pPr>
      <w:r>
        <w:rPr>
          <w:rFonts w:ascii="Courier New" w:cs="Courier New" w:eastAsia="Courier New" w:hAnsi="Courier New"/>
          <w:sz w:val="18"/>
          <w:szCs w:val="18"/>
          <w:color w:val="auto"/>
        </w:rPr>
        <w:t>M.D., PH.D.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Attorney-In-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Fact January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23, 2002 -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80" w:right="8739" w:hanging="167"/>
        <w:spacing w:after="0" w:line="268" w:lineRule="auto"/>
        <w:tabs>
          <w:tab w:leader="none" w:pos="43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w:t>
      </w:r>
    </w:p>
    <w:p>
      <w:pPr>
        <w:ind w:left="220"/>
        <w:spacing w:after="0" w:line="233" w:lineRule="auto"/>
        <w:rPr>
          <w:sz w:val="20"/>
          <w:szCs w:val="20"/>
          <w:color w:val="auto"/>
        </w:rPr>
      </w:pPr>
      <w:r>
        <w:rPr>
          <w:rFonts w:ascii="Courier New" w:cs="Courier New" w:eastAsia="Courier New" w:hAnsi="Courier New"/>
          <w:sz w:val="18"/>
          <w:szCs w:val="18"/>
          <w:color w:val="auto"/>
        </w:rPr>
        <w:t>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36" w:right="1440" w:bottom="1440" w:gutter="0" w:footer="0" w:header="0"/>
        </w:sectPr>
      </w:pPr>
    </w:p>
    <w:bookmarkStart w:id="56" w:name="page57"/>
    <w:bookmarkEnd w:id="56"/>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NUMBER</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 --------</w:t>
      </w:r>
    </w:p>
    <w:p>
      <w:pPr>
        <w:ind w:left="680" w:hanging="414"/>
        <w:spacing w:after="0" w:line="237" w:lineRule="auto"/>
        <w:tabs>
          <w:tab w:leader="none" w:pos="6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 Form of</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1/2%</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(included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Exhibit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4.1(b). 4.3*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Pledge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 among</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4" w:lineRule="exact"/>
        <w:rPr>
          <w:rFonts w:ascii="Courier New" w:cs="Courier New" w:eastAsia="Courier New" w:hAnsi="Courier New"/>
          <w:sz w:val="18"/>
          <w:szCs w:val="18"/>
          <w:color w:val="auto"/>
        </w:rPr>
      </w:pPr>
    </w:p>
    <w:p>
      <w:pPr>
        <w:jc w:val="center"/>
        <w:ind w:left="60" w:right="851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Pharmaceuticals, Inc., Merrill Lynch &amp; Co., Merrill Lynch, Pierce, Fenner &amp; Smith Incorporated and Robertson Stephens, Inc. 4.5 -- Stock Purchase Agreement dated January 13, 1988, by and between the Company, Leonard S. Schleifer and ML Venture Partners II, L.P. (the "Stock Purchase Agreement"). Incorporated by reference to Exhibit 10.1 to Regeneron's Registration Statement on Form S-1 (File No. 33-39043) (the "Regeneron S-1"). 4.6 -- Amendment to</w:t>
      </w:r>
    </w:p>
    <w:p>
      <w:pPr>
        <w:sectPr>
          <w:pgSz w:w="11900" w:h="16838" w:orient="portrait"/>
          <w:cols w:equalWidth="0" w:num="1">
            <w:col w:w="10219"/>
          </w:cols>
          <w:pgMar w:left="240" w:top="717" w:right="1440" w:bottom="161"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the Stock</w:t>
      </w:r>
    </w:p>
    <w:p>
      <w:pPr>
        <w:ind w:left="360"/>
        <w:spacing w:after="0" w:line="238" w:lineRule="auto"/>
        <w:rPr>
          <w:sz w:val="20"/>
          <w:szCs w:val="20"/>
          <w:color w:val="auto"/>
        </w:rPr>
      </w:pPr>
      <w:r>
        <w:rPr>
          <w:rFonts w:ascii="Courier New" w:cs="Courier New" w:eastAsia="Courier New" w:hAnsi="Courier New"/>
          <w:sz w:val="18"/>
          <w:szCs w:val="18"/>
          <w:color w:val="auto"/>
        </w:rPr>
        <w:t>Purchase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March 3, 1989.</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10.2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4.7 --</w:t>
      </w:r>
    </w:p>
    <w:p>
      <w:pPr>
        <w:jc w:val="center"/>
        <w:ind w:right="8579"/>
        <w:spacing w:after="0"/>
        <w:rPr>
          <w:sz w:val="20"/>
          <w:szCs w:val="20"/>
          <w:color w:val="auto"/>
        </w:rPr>
      </w:pPr>
      <w:r>
        <w:rPr>
          <w:rFonts w:ascii="Courier New" w:cs="Courier New" w:eastAsia="Courier New" w:hAnsi="Courier New"/>
          <w:sz w:val="18"/>
          <w:szCs w:val="18"/>
          <w:color w:val="auto"/>
        </w:rPr>
        <w:t>Letter</w:t>
      </w:r>
    </w:p>
    <w:p>
      <w:pPr>
        <w:spacing w:after="0" w:line="3"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November 27,</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1989, amending</w:t>
      </w:r>
    </w:p>
    <w:p>
      <w:pPr>
        <w:jc w:val="center"/>
        <w:ind w:right="8579"/>
        <w:spacing w:after="0"/>
        <w:rPr>
          <w:sz w:val="20"/>
          <w:szCs w:val="20"/>
          <w:color w:val="auto"/>
        </w:rPr>
      </w:pPr>
      <w:r>
        <w:rPr>
          <w:rFonts w:ascii="Courier New" w:cs="Courier New" w:eastAsia="Courier New" w:hAnsi="Courier New"/>
          <w:sz w:val="18"/>
          <w:szCs w:val="18"/>
          <w:color w:val="auto"/>
        </w:rPr>
        <w:t>the Stock</w:t>
      </w:r>
    </w:p>
    <w:p>
      <w:pPr>
        <w:jc w:val="center"/>
        <w:ind w:right="857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579"/>
        <w:spacing w:after="0" w:line="238"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jc w:val="center"/>
        <w:ind w:right="8579"/>
        <w:spacing w:after="0" w:line="238" w:lineRule="auto"/>
        <w:rPr>
          <w:sz w:val="20"/>
          <w:szCs w:val="20"/>
          <w:color w:val="auto"/>
        </w:rPr>
      </w:pPr>
      <w:r>
        <w:rPr>
          <w:rFonts w:ascii="Courier New" w:cs="Courier New" w:eastAsia="Courier New" w:hAnsi="Courier New"/>
          <w:sz w:val="18"/>
          <w:szCs w:val="18"/>
          <w:color w:val="auto"/>
        </w:rPr>
        <w:t>Exhibit 10.13</w:t>
      </w:r>
    </w:p>
    <w:p>
      <w:pPr>
        <w:jc w:val="center"/>
        <w:ind w:right="8579"/>
        <w:spacing w:after="0"/>
        <w:rPr>
          <w:sz w:val="20"/>
          <w:szCs w:val="20"/>
          <w:color w:val="auto"/>
        </w:rPr>
      </w:pPr>
      <w:r>
        <w:rPr>
          <w:rFonts w:ascii="Courier New" w:cs="Courier New" w:eastAsia="Courier New" w:hAnsi="Courier New"/>
          <w:sz w:val="18"/>
          <w:szCs w:val="18"/>
          <w:color w:val="auto"/>
        </w:rPr>
        <w:t>to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Regeneron S-1.</w:t>
      </w:r>
    </w:p>
    <w:p>
      <w:pPr>
        <w:jc w:val="center"/>
        <w:ind w:right="8579"/>
        <w:spacing w:after="0" w:line="238" w:lineRule="auto"/>
        <w:rPr>
          <w:sz w:val="20"/>
          <w:szCs w:val="20"/>
          <w:color w:val="auto"/>
        </w:rPr>
      </w:pPr>
      <w:r>
        <w:rPr>
          <w:rFonts w:ascii="Courier New" w:cs="Courier New" w:eastAsia="Courier New" w:hAnsi="Courier New"/>
          <w:sz w:val="18"/>
          <w:szCs w:val="18"/>
          <w:color w:val="auto"/>
        </w:rPr>
        <w:t>4.8 -- Class B</w:t>
      </w:r>
    </w:p>
    <w:p>
      <w:pPr>
        <w:jc w:val="center"/>
        <w:ind w:right="8579"/>
        <w:spacing w:after="0"/>
        <w:rPr>
          <w:sz w:val="20"/>
          <w:szCs w:val="20"/>
          <w:color w:val="auto"/>
        </w:rPr>
      </w:pPr>
      <w:r>
        <w:rPr>
          <w:rFonts w:ascii="Courier New" w:cs="Courier New" w:eastAsia="Courier New" w:hAnsi="Courier New"/>
          <w:sz w:val="18"/>
          <w:szCs w:val="18"/>
          <w:color w:val="auto"/>
        </w:rPr>
        <w:t>Convertible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November 22,</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1988, by and</w:t>
      </w:r>
    </w:p>
    <w:p>
      <w:pPr>
        <w:jc w:val="center"/>
        <w:ind w:right="8579"/>
        <w:spacing w:after="0"/>
        <w:rPr>
          <w:sz w:val="20"/>
          <w:szCs w:val="20"/>
          <w:color w:val="auto"/>
        </w:rPr>
      </w:pPr>
      <w:r>
        <w:rPr>
          <w:rFonts w:ascii="Courier New" w:cs="Courier New" w:eastAsia="Courier New" w:hAnsi="Courier New"/>
          <w:sz w:val="18"/>
          <w:szCs w:val="18"/>
          <w:color w:val="auto"/>
        </w:rPr>
        <w:t>between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579"/>
        <w:spacing w:after="0" w:line="238" w:lineRule="auto"/>
        <w:rPr>
          <w:sz w:val="20"/>
          <w:szCs w:val="20"/>
          <w:color w:val="auto"/>
        </w:rPr>
      </w:pPr>
      <w:r>
        <w:rPr>
          <w:rFonts w:ascii="Courier New" w:cs="Courier New" w:eastAsia="Courier New" w:hAnsi="Courier New"/>
          <w:sz w:val="18"/>
          <w:szCs w:val="18"/>
          <w:color w:val="auto"/>
        </w:rPr>
        <w:t>each purchaser</w:t>
      </w:r>
    </w:p>
    <w:p>
      <w:pPr>
        <w:jc w:val="center"/>
        <w:ind w:right="8579"/>
        <w:spacing w:after="0"/>
        <w:rPr>
          <w:sz w:val="20"/>
          <w:szCs w:val="20"/>
          <w:color w:val="auto"/>
        </w:rPr>
      </w:pPr>
      <w:r>
        <w:rPr>
          <w:rFonts w:ascii="Courier New" w:cs="Courier New" w:eastAsia="Courier New" w:hAnsi="Courier New"/>
          <w:sz w:val="18"/>
          <w:szCs w:val="18"/>
          <w:color w:val="auto"/>
        </w:rPr>
        <w:t>set forth on</w:t>
      </w:r>
    </w:p>
    <w:p>
      <w:pPr>
        <w:jc w:val="center"/>
        <w:ind w:right="8579"/>
        <w:spacing w:after="0" w:line="237" w:lineRule="auto"/>
        <w:rPr>
          <w:sz w:val="20"/>
          <w:szCs w:val="20"/>
          <w:color w:val="auto"/>
        </w:rPr>
      </w:pPr>
      <w:r>
        <w:rPr>
          <w:rFonts w:ascii="Courier New" w:cs="Courier New" w:eastAsia="Courier New" w:hAnsi="Courier New"/>
          <w:sz w:val="18"/>
          <w:szCs w:val="18"/>
          <w:color w:val="auto"/>
        </w:rPr>
        <w:t>Exhibit A</w:t>
      </w:r>
    </w:p>
    <w:p>
      <w:pPr>
        <w:jc w:val="center"/>
        <w:ind w:right="8579"/>
        <w:spacing w:after="0"/>
        <w:rPr>
          <w:sz w:val="20"/>
          <w:szCs w:val="20"/>
          <w:color w:val="auto"/>
        </w:rPr>
      </w:pPr>
      <w:r>
        <w:rPr>
          <w:rFonts w:ascii="Courier New" w:cs="Courier New" w:eastAsia="Courier New" w:hAnsi="Courier New"/>
          <w:sz w:val="18"/>
          <w:szCs w:val="18"/>
          <w:color w:val="auto"/>
        </w:rPr>
        <w:t>thereto.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10.3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4.9 --</w:t>
      </w:r>
    </w:p>
    <w:p>
      <w:pPr>
        <w:jc w:val="center"/>
        <w:ind w:right="8579"/>
        <w:spacing w:after="0"/>
        <w:rPr>
          <w:sz w:val="20"/>
          <w:szCs w:val="20"/>
          <w:color w:val="auto"/>
        </w:rPr>
      </w:pPr>
      <w:r>
        <w:rPr>
          <w:rFonts w:ascii="Courier New" w:cs="Courier New" w:eastAsia="Courier New" w:hAnsi="Courier New"/>
          <w:sz w:val="18"/>
          <w:szCs w:val="18"/>
          <w:color w:val="auto"/>
        </w:rPr>
        <w:t>Class D</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August 31,</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1990, by and</w:t>
      </w:r>
    </w:p>
    <w:p>
      <w:pPr>
        <w:jc w:val="center"/>
        <w:ind w:right="8579"/>
        <w:spacing w:after="0"/>
        <w:rPr>
          <w:sz w:val="20"/>
          <w:szCs w:val="20"/>
          <w:color w:val="auto"/>
        </w:rPr>
      </w:pPr>
      <w:r>
        <w:rPr>
          <w:rFonts w:ascii="Courier New" w:cs="Courier New" w:eastAsia="Courier New" w:hAnsi="Courier New"/>
          <w:sz w:val="18"/>
          <w:szCs w:val="18"/>
          <w:color w:val="auto"/>
        </w:rPr>
        <w:t>between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579"/>
        <w:spacing w:after="0" w:line="238" w:lineRule="auto"/>
        <w:rPr>
          <w:sz w:val="20"/>
          <w:szCs w:val="20"/>
          <w:color w:val="auto"/>
        </w:rPr>
      </w:pPr>
      <w:r>
        <w:rPr>
          <w:rFonts w:ascii="Courier New" w:cs="Courier New" w:eastAsia="Courier New" w:hAnsi="Courier New"/>
          <w:sz w:val="18"/>
          <w:szCs w:val="18"/>
          <w:color w:val="auto"/>
        </w:rPr>
        <w:t>Amgen Inc.</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10.9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4.10 --</w:t>
      </w:r>
    </w:p>
    <w:p>
      <w:pPr>
        <w:jc w:val="center"/>
        <w:ind w:right="8579"/>
        <w:spacing w:after="0"/>
        <w:rPr>
          <w:sz w:val="20"/>
          <w:szCs w:val="20"/>
          <w:color w:val="auto"/>
        </w:rPr>
      </w:pPr>
      <w:r>
        <w:rPr>
          <w:rFonts w:ascii="Courier New" w:cs="Courier New" w:eastAsia="Courier New" w:hAnsi="Courier New"/>
          <w:sz w:val="18"/>
          <w:szCs w:val="18"/>
          <w:color w:val="auto"/>
        </w:rPr>
        <w:t>Registration</w:t>
      </w:r>
    </w:p>
    <w:p>
      <w:pPr>
        <w:jc w:val="center"/>
        <w:ind w:right="857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57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579"/>
        <w:spacing w:after="0"/>
        <w:rPr>
          <w:sz w:val="20"/>
          <w:szCs w:val="20"/>
          <w:color w:val="auto"/>
        </w:rPr>
      </w:pPr>
      <w:r>
        <w:rPr>
          <w:rFonts w:ascii="Courier New" w:cs="Courier New" w:eastAsia="Courier New" w:hAnsi="Courier New"/>
          <w:sz w:val="18"/>
          <w:szCs w:val="18"/>
          <w:color w:val="auto"/>
        </w:rPr>
        <w:t>dated as of</w:t>
      </w:r>
    </w:p>
    <w:p>
      <w:pPr>
        <w:jc w:val="center"/>
        <w:ind w:right="8579"/>
        <w:spacing w:after="0" w:line="237" w:lineRule="auto"/>
        <w:rPr>
          <w:sz w:val="20"/>
          <w:szCs w:val="20"/>
          <w:color w:val="auto"/>
        </w:rPr>
      </w:pPr>
      <w:r>
        <w:rPr>
          <w:rFonts w:ascii="Courier New" w:cs="Courier New" w:eastAsia="Courier New" w:hAnsi="Courier New"/>
          <w:sz w:val="18"/>
          <w:szCs w:val="18"/>
          <w:color w:val="auto"/>
        </w:rPr>
        <w:t>July 22, 1993,</w:t>
      </w:r>
    </w:p>
    <w:p>
      <w:pPr>
        <w:jc w:val="center"/>
        <w:ind w:right="8579"/>
        <w:spacing w:after="0"/>
        <w:rPr>
          <w:sz w:val="20"/>
          <w:szCs w:val="20"/>
          <w:color w:val="auto"/>
        </w:rPr>
      </w:pPr>
      <w:r>
        <w:rPr>
          <w:rFonts w:ascii="Courier New" w:cs="Courier New" w:eastAsia="Courier New" w:hAnsi="Courier New"/>
          <w:sz w:val="18"/>
          <w:szCs w:val="18"/>
          <w:color w:val="auto"/>
        </w:rPr>
        <w:t>by and between</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Glaxo Group</w:t>
      </w:r>
    </w:p>
    <w:p>
      <w:pPr>
        <w:jc w:val="center"/>
        <w:ind w:right="857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jc w:val="center"/>
        <w:ind w:right="8579"/>
        <w:spacing w:after="0" w:line="238" w:lineRule="auto"/>
        <w:rPr>
          <w:sz w:val="20"/>
          <w:szCs w:val="20"/>
          <w:color w:val="auto"/>
        </w:rPr>
      </w:pPr>
      <w:r>
        <w:rPr>
          <w:rFonts w:ascii="Courier New" w:cs="Courier New" w:eastAsia="Courier New" w:hAnsi="Courier New"/>
          <w:sz w:val="18"/>
          <w:szCs w:val="18"/>
          <w:color w:val="auto"/>
        </w:rPr>
        <w:t>Exhibit 4.7 to</w:t>
      </w:r>
    </w:p>
    <w:p>
      <w:pPr>
        <w:jc w:val="center"/>
        <w:ind w:right="8579"/>
        <w:spacing w:after="0"/>
        <w:rPr>
          <w:sz w:val="20"/>
          <w:szCs w:val="20"/>
          <w:color w:val="auto"/>
        </w:rPr>
      </w:pPr>
      <w:r>
        <w:rPr>
          <w:rFonts w:ascii="Courier New" w:cs="Courier New" w:eastAsia="Courier New" w:hAnsi="Courier New"/>
          <w:sz w:val="18"/>
          <w:szCs w:val="18"/>
          <w:color w:val="auto"/>
        </w:rPr>
        <w:t>Regeneron's</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579"/>
        <w:spacing w:after="0"/>
        <w:rPr>
          <w:sz w:val="20"/>
          <w:szCs w:val="20"/>
          <w:color w:val="auto"/>
        </w:rPr>
      </w:pPr>
      <w:r>
        <w:rPr>
          <w:rFonts w:ascii="Courier New" w:cs="Courier New" w:eastAsia="Courier New" w:hAnsi="Courier New"/>
          <w:sz w:val="18"/>
          <w:szCs w:val="18"/>
          <w:color w:val="auto"/>
        </w:rPr>
        <w:t>Form S-3 (File</w:t>
      </w:r>
    </w:p>
    <w:p>
      <w:pPr>
        <w:jc w:val="center"/>
        <w:ind w:right="8579"/>
        <w:spacing w:after="0" w:line="237" w:lineRule="auto"/>
        <w:rPr>
          <w:sz w:val="20"/>
          <w:szCs w:val="20"/>
          <w:color w:val="auto"/>
        </w:rPr>
      </w:pPr>
      <w:r>
        <w:rPr>
          <w:rFonts w:ascii="Courier New" w:cs="Courier New" w:eastAsia="Courier New" w:hAnsi="Courier New"/>
          <w:sz w:val="18"/>
          <w:szCs w:val="18"/>
          <w:color w:val="auto"/>
        </w:rPr>
        <w:t>No. 33-66788).</w:t>
      </w:r>
    </w:p>
    <w:p>
      <w:pPr>
        <w:jc w:val="center"/>
        <w:ind w:right="8579"/>
        <w:spacing w:after="0"/>
        <w:rPr>
          <w:sz w:val="20"/>
          <w:szCs w:val="20"/>
          <w:color w:val="auto"/>
        </w:rPr>
      </w:pPr>
      <w:r>
        <w:rPr>
          <w:rFonts w:ascii="Courier New" w:cs="Courier New" w:eastAsia="Courier New" w:hAnsi="Courier New"/>
          <w:sz w:val="18"/>
          <w:szCs w:val="18"/>
          <w:color w:val="auto"/>
        </w:rPr>
        <w:t>4.11 --</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79"/>
        <w:spacing w:after="0"/>
        <w:rPr>
          <w:sz w:val="20"/>
          <w:szCs w:val="20"/>
          <w:color w:val="auto"/>
        </w:rPr>
      </w:pPr>
      <w:r>
        <w:rPr>
          <w:rFonts w:ascii="Courier New" w:cs="Courier New" w:eastAsia="Courier New" w:hAnsi="Courier New"/>
          <w:sz w:val="18"/>
          <w:szCs w:val="18"/>
          <w:color w:val="auto"/>
        </w:rPr>
        <w:t>Rights</w:t>
      </w:r>
    </w:p>
    <w:p>
      <w:pPr>
        <w:jc w:val="center"/>
        <w:ind w:right="857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579"/>
        <w:spacing w:after="0" w:line="238"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April 15, 1996,</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by and between</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Amgen Inc.</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ectPr>
          <w:pgSz w:w="11900" w:h="16838" w:orient="portrait"/>
          <w:cols w:equalWidth="0" w:num="1">
            <w:col w:w="10159"/>
          </w:cols>
          <w:pgMar w:left="300" w:top="136" w:right="1440" w:bottom="0" w:gutter="0" w:footer="0" w:header="0"/>
        </w:sectPr>
      </w:pPr>
    </w:p>
    <w:bookmarkStart w:id="58" w:name="page59"/>
    <w:bookmarkEnd w:id="58"/>
    <w:p>
      <w:pPr>
        <w:jc w:val="center"/>
        <w:ind w:right="8539"/>
        <w:spacing w:after="0"/>
        <w:rPr>
          <w:sz w:val="20"/>
          <w:szCs w:val="20"/>
          <w:color w:val="auto"/>
        </w:rPr>
      </w:pPr>
      <w:r>
        <w:rPr>
          <w:rFonts w:ascii="Courier New" w:cs="Courier New" w:eastAsia="Courier New" w:hAnsi="Courier New"/>
          <w:sz w:val="18"/>
          <w:szCs w:val="18"/>
          <w:color w:val="auto"/>
        </w:rPr>
        <w:t>reference to</w:t>
      </w:r>
    </w:p>
    <w:p>
      <w:pPr>
        <w:jc w:val="center"/>
        <w:ind w:right="8539"/>
        <w:spacing w:after="0" w:line="238" w:lineRule="auto"/>
        <w:rPr>
          <w:sz w:val="20"/>
          <w:szCs w:val="20"/>
          <w:color w:val="auto"/>
        </w:rPr>
      </w:pPr>
      <w:r>
        <w:rPr>
          <w:rFonts w:ascii="Courier New" w:cs="Courier New" w:eastAsia="Courier New" w:hAnsi="Courier New"/>
          <w:sz w:val="18"/>
          <w:szCs w:val="18"/>
          <w:color w:val="auto"/>
        </w:rPr>
        <w:t>Exhibit 10.3 to</w:t>
      </w:r>
    </w:p>
    <w:p>
      <w:pPr>
        <w:jc w:val="center"/>
        <w:ind w:right="8539"/>
        <w:spacing w:after="0"/>
        <w:rPr>
          <w:sz w:val="20"/>
          <w:szCs w:val="20"/>
          <w:color w:val="auto"/>
        </w:rPr>
      </w:pPr>
      <w:r>
        <w:rPr>
          <w:rFonts w:ascii="Courier New" w:cs="Courier New" w:eastAsia="Courier New" w:hAnsi="Courier New"/>
          <w:sz w:val="18"/>
          <w:szCs w:val="18"/>
          <w:color w:val="auto"/>
        </w:rPr>
        <w:t>Regeneron's</w:t>
      </w:r>
    </w:p>
    <w:p>
      <w:pPr>
        <w:jc w:val="center"/>
        <w:ind w:right="8539"/>
        <w:spacing w:after="0" w:line="237" w:lineRule="auto"/>
        <w:rPr>
          <w:sz w:val="20"/>
          <w:szCs w:val="20"/>
          <w:color w:val="auto"/>
        </w:rPr>
      </w:pPr>
      <w:r>
        <w:rPr>
          <w:rFonts w:ascii="Courier New" w:cs="Courier New" w:eastAsia="Courier New" w:hAnsi="Courier New"/>
          <w:sz w:val="18"/>
          <w:szCs w:val="18"/>
          <w:color w:val="auto"/>
        </w:rPr>
        <w:t>Form 10-Q for</w:t>
      </w:r>
    </w:p>
    <w:p>
      <w:pPr>
        <w:jc w:val="center"/>
        <w:ind w:right="8539"/>
        <w:spacing w:after="0" w:line="238" w:lineRule="auto"/>
        <w:rPr>
          <w:sz w:val="20"/>
          <w:szCs w:val="20"/>
          <w:color w:val="auto"/>
        </w:rPr>
      </w:pPr>
      <w:r>
        <w:rPr>
          <w:rFonts w:ascii="Courier New" w:cs="Courier New" w:eastAsia="Courier New" w:hAnsi="Courier New"/>
          <w:sz w:val="18"/>
          <w:szCs w:val="18"/>
          <w:color w:val="auto"/>
        </w:rPr>
        <w:t>the quarter</w:t>
      </w:r>
    </w:p>
    <w:p>
      <w:pPr>
        <w:jc w:val="center"/>
        <w:ind w:right="8539"/>
        <w:spacing w:after="0"/>
        <w:rPr>
          <w:sz w:val="20"/>
          <w:szCs w:val="20"/>
          <w:color w:val="auto"/>
        </w:rPr>
      </w:pPr>
      <w:r>
        <w:rPr>
          <w:rFonts w:ascii="Courier New" w:cs="Courier New" w:eastAsia="Courier New" w:hAnsi="Courier New"/>
          <w:sz w:val="18"/>
          <w:szCs w:val="18"/>
          <w:color w:val="auto"/>
        </w:rPr>
        <w:t>ended June 30,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filed</w:t>
      </w:r>
    </w:p>
    <w:p>
      <w:pPr>
        <w:jc w:val="center"/>
        <w:ind w:right="8539"/>
        <w:spacing w:after="0"/>
        <w:rPr>
          <w:sz w:val="20"/>
          <w:szCs w:val="20"/>
          <w:color w:val="auto"/>
        </w:rPr>
      </w:pPr>
      <w:r>
        <w:rPr>
          <w:rFonts w:ascii="Courier New" w:cs="Courier New" w:eastAsia="Courier New" w:hAnsi="Courier New"/>
          <w:sz w:val="18"/>
          <w:szCs w:val="18"/>
          <w:color w:val="auto"/>
        </w:rPr>
        <w:t>August 14,</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4.12 --</w:t>
      </w:r>
    </w:p>
    <w:p>
      <w:pPr>
        <w:jc w:val="center"/>
        <w:ind w:right="8539"/>
        <w:spacing w:after="0"/>
        <w:rPr>
          <w:sz w:val="20"/>
          <w:szCs w:val="20"/>
          <w:color w:val="auto"/>
        </w:rPr>
      </w:pPr>
      <w:r>
        <w:rPr>
          <w:rFonts w:ascii="Courier New" w:cs="Courier New" w:eastAsia="Courier New" w:hAnsi="Courier New"/>
          <w:sz w:val="18"/>
          <w:szCs w:val="18"/>
          <w:color w:val="auto"/>
        </w:rPr>
        <w:t>Registration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5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539"/>
        <w:spacing w:after="0"/>
        <w:rPr>
          <w:sz w:val="20"/>
          <w:szCs w:val="20"/>
          <w:color w:val="auto"/>
        </w:rPr>
      </w:pPr>
      <w:r>
        <w:rPr>
          <w:rFonts w:ascii="Courier New" w:cs="Courier New" w:eastAsia="Courier New" w:hAnsi="Courier New"/>
          <w:sz w:val="18"/>
          <w:szCs w:val="18"/>
          <w:color w:val="auto"/>
        </w:rPr>
        <w:t>dated as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June 27, 1996,</w:t>
      </w:r>
    </w:p>
    <w:p>
      <w:pPr>
        <w:jc w:val="center"/>
        <w:ind w:right="8539"/>
        <w:spacing w:after="0"/>
        <w:rPr>
          <w:sz w:val="20"/>
          <w:szCs w:val="20"/>
          <w:color w:val="auto"/>
        </w:rPr>
      </w:pPr>
      <w:r>
        <w:rPr>
          <w:rFonts w:ascii="Courier New" w:cs="Courier New" w:eastAsia="Courier New" w:hAnsi="Courier New"/>
          <w:sz w:val="18"/>
          <w:szCs w:val="18"/>
          <w:color w:val="auto"/>
        </w:rPr>
        <w:t>by and between</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the Company and</w:t>
      </w:r>
    </w:p>
    <w:p>
      <w:pPr>
        <w:jc w:val="center"/>
        <w:ind w:right="8539"/>
        <w:spacing w:after="0"/>
        <w:rPr>
          <w:sz w:val="20"/>
          <w:szCs w:val="20"/>
          <w:color w:val="auto"/>
        </w:rPr>
      </w:pPr>
      <w:r>
        <w:rPr>
          <w:rFonts w:ascii="Courier New" w:cs="Courier New" w:eastAsia="Courier New" w:hAnsi="Courier New"/>
          <w:sz w:val="18"/>
          <w:szCs w:val="18"/>
          <w:color w:val="auto"/>
        </w:rPr>
        <w:t>Medtronic, Inc.</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10.6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Regeneron's</w:t>
      </w:r>
    </w:p>
    <w:p>
      <w:pPr>
        <w:jc w:val="center"/>
        <w:ind w:right="8539"/>
        <w:spacing w:after="0"/>
        <w:rPr>
          <w:sz w:val="20"/>
          <w:szCs w:val="20"/>
          <w:color w:val="auto"/>
        </w:rPr>
      </w:pPr>
      <w:r>
        <w:rPr>
          <w:rFonts w:ascii="Courier New" w:cs="Courier New" w:eastAsia="Courier New" w:hAnsi="Courier New"/>
          <w:sz w:val="18"/>
          <w:szCs w:val="18"/>
          <w:color w:val="auto"/>
        </w:rPr>
        <w:t>Form 10-Q for</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the quarter</w:t>
      </w:r>
    </w:p>
    <w:p>
      <w:pPr>
        <w:jc w:val="center"/>
        <w:ind w:right="8539"/>
        <w:spacing w:after="0"/>
        <w:rPr>
          <w:sz w:val="20"/>
          <w:szCs w:val="20"/>
          <w:color w:val="auto"/>
        </w:rPr>
      </w:pPr>
      <w:r>
        <w:rPr>
          <w:rFonts w:ascii="Courier New" w:cs="Courier New" w:eastAsia="Courier New" w:hAnsi="Courier New"/>
          <w:sz w:val="18"/>
          <w:szCs w:val="18"/>
          <w:color w:val="auto"/>
        </w:rPr>
        <w:t>ended June 30,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filed</w:t>
      </w:r>
    </w:p>
    <w:p>
      <w:pPr>
        <w:jc w:val="center"/>
        <w:ind w:right="8539"/>
        <w:spacing w:after="0"/>
        <w:rPr>
          <w:sz w:val="20"/>
          <w:szCs w:val="20"/>
          <w:color w:val="auto"/>
        </w:rPr>
      </w:pPr>
      <w:r>
        <w:rPr>
          <w:rFonts w:ascii="Courier New" w:cs="Courier New" w:eastAsia="Courier New" w:hAnsi="Courier New"/>
          <w:sz w:val="18"/>
          <w:szCs w:val="18"/>
          <w:color w:val="auto"/>
        </w:rPr>
        <w:t>August 14,</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4.13 --</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539"/>
        <w:spacing w:after="0"/>
        <w:rPr>
          <w:sz w:val="20"/>
          <w:szCs w:val="20"/>
          <w:color w:val="auto"/>
        </w:rPr>
      </w:pPr>
      <w:r>
        <w:rPr>
          <w:rFonts w:ascii="Courier New" w:cs="Courier New" w:eastAsia="Courier New" w:hAnsi="Courier New"/>
          <w:sz w:val="18"/>
          <w:szCs w:val="18"/>
          <w:color w:val="auto"/>
        </w:rPr>
        <w:t>Rights</w:t>
      </w:r>
    </w:p>
    <w:p>
      <w:pPr>
        <w:jc w:val="center"/>
        <w:ind w:right="85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539"/>
        <w:spacing w:after="0"/>
        <w:rPr>
          <w:sz w:val="20"/>
          <w:szCs w:val="20"/>
          <w:color w:val="auto"/>
        </w:rPr>
      </w:pPr>
      <w:r>
        <w:rPr>
          <w:rFonts w:ascii="Courier New" w:cs="Courier New" w:eastAsia="Courier New" w:hAnsi="Courier New"/>
          <w:sz w:val="18"/>
          <w:szCs w:val="18"/>
          <w:color w:val="auto"/>
        </w:rPr>
        <w:t>dated as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December 11,</w:t>
      </w:r>
    </w:p>
    <w:p>
      <w:pPr>
        <w:jc w:val="center"/>
        <w:ind w:right="8539"/>
        <w:spacing w:after="0"/>
        <w:rPr>
          <w:sz w:val="20"/>
          <w:szCs w:val="20"/>
          <w:color w:val="auto"/>
        </w:rPr>
      </w:pPr>
      <w:r>
        <w:rPr>
          <w:rFonts w:ascii="Courier New" w:cs="Courier New" w:eastAsia="Courier New" w:hAnsi="Courier New"/>
          <w:sz w:val="18"/>
          <w:szCs w:val="18"/>
          <w:color w:val="auto"/>
        </w:rPr>
        <w:t>1996, by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5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539"/>
        <w:spacing w:after="0"/>
        <w:rPr>
          <w:sz w:val="20"/>
          <w:szCs w:val="20"/>
          <w:color w:val="auto"/>
        </w:rPr>
      </w:pPr>
      <w:r>
        <w:rPr>
          <w:rFonts w:ascii="Courier New" w:cs="Courier New" w:eastAsia="Courier New" w:hAnsi="Courier New"/>
          <w:sz w:val="18"/>
          <w:szCs w:val="18"/>
          <w:color w:val="auto"/>
        </w:rPr>
        <w:t>Procter &amp;</w:t>
      </w:r>
    </w:p>
    <w:p>
      <w:pPr>
        <w:jc w:val="center"/>
        <w:ind w:right="8539"/>
        <w:spacing w:after="0" w:line="237" w:lineRule="auto"/>
        <w:rPr>
          <w:sz w:val="20"/>
          <w:szCs w:val="20"/>
          <w:color w:val="auto"/>
        </w:rPr>
      </w:pPr>
      <w:r>
        <w:rPr>
          <w:rFonts w:ascii="Courier New" w:cs="Courier New" w:eastAsia="Courier New" w:hAnsi="Courier New"/>
          <w:sz w:val="18"/>
          <w:szCs w:val="18"/>
          <w:color w:val="auto"/>
        </w:rPr>
        <w:t>Gamble</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10.30</w:t>
      </w:r>
    </w:p>
    <w:p>
      <w:pPr>
        <w:jc w:val="center"/>
        <w:ind w:right="8539"/>
        <w:spacing w:after="0" w:line="237" w:lineRule="auto"/>
        <w:rPr>
          <w:sz w:val="20"/>
          <w:szCs w:val="20"/>
          <w:color w:val="auto"/>
        </w:rPr>
      </w:pPr>
      <w:r>
        <w:rPr>
          <w:rFonts w:ascii="Courier New" w:cs="Courier New" w:eastAsia="Courier New" w:hAnsi="Courier New"/>
          <w:sz w:val="18"/>
          <w:szCs w:val="18"/>
          <w:color w:val="auto"/>
        </w:rPr>
        <w:t>to Regeneron's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10-K for</w:t>
      </w:r>
    </w:p>
    <w:p>
      <w:pPr>
        <w:jc w:val="center"/>
        <w:ind w:right="8539"/>
        <w:spacing w:after="0"/>
        <w:rPr>
          <w:sz w:val="20"/>
          <w:szCs w:val="20"/>
          <w:color w:val="auto"/>
        </w:rPr>
      </w:pPr>
      <w:r>
        <w:rPr>
          <w:rFonts w:ascii="Courier New" w:cs="Courier New" w:eastAsia="Courier New" w:hAnsi="Courier New"/>
          <w:sz w:val="18"/>
          <w:szCs w:val="18"/>
          <w:color w:val="auto"/>
        </w:rPr>
        <w:t>the fiscal year</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ended December</w:t>
      </w:r>
    </w:p>
    <w:p>
      <w:pPr>
        <w:jc w:val="center"/>
        <w:ind w:right="8539"/>
        <w:spacing w:after="0"/>
        <w:rPr>
          <w:sz w:val="20"/>
          <w:szCs w:val="20"/>
          <w:color w:val="auto"/>
        </w:rPr>
      </w:pPr>
      <w:r>
        <w:rPr>
          <w:rFonts w:ascii="Courier New" w:cs="Courier New" w:eastAsia="Courier New" w:hAnsi="Courier New"/>
          <w:sz w:val="18"/>
          <w:szCs w:val="18"/>
          <w:color w:val="auto"/>
        </w:rPr>
        <w:t>31, 1996, filed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March 26, 1997.</w:t>
      </w:r>
    </w:p>
    <w:p>
      <w:pPr>
        <w:jc w:val="center"/>
        <w:ind w:right="8539"/>
        <w:spacing w:after="0"/>
        <w:rPr>
          <w:sz w:val="20"/>
          <w:szCs w:val="20"/>
          <w:color w:val="auto"/>
        </w:rPr>
      </w:pPr>
      <w:r>
        <w:rPr>
          <w:rFonts w:ascii="Courier New" w:cs="Courier New" w:eastAsia="Courier New" w:hAnsi="Courier New"/>
          <w:sz w:val="18"/>
          <w:szCs w:val="18"/>
          <w:color w:val="auto"/>
        </w:rPr>
        <w:t>4.14 --</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3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539"/>
        <w:spacing w:after="0"/>
        <w:rPr>
          <w:sz w:val="20"/>
          <w:szCs w:val="20"/>
          <w:color w:val="auto"/>
        </w:rPr>
      </w:pPr>
      <w:r>
        <w:rPr>
          <w:rFonts w:ascii="Courier New" w:cs="Courier New" w:eastAsia="Courier New" w:hAnsi="Courier New"/>
          <w:sz w:val="18"/>
          <w:szCs w:val="18"/>
          <w:color w:val="auto"/>
        </w:rPr>
        <w:t>Agreement,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dated as of May</w:t>
      </w:r>
    </w:p>
    <w:p>
      <w:pPr>
        <w:jc w:val="center"/>
        <w:ind w:right="8539"/>
        <w:spacing w:after="0"/>
        <w:rPr>
          <w:sz w:val="20"/>
          <w:szCs w:val="20"/>
          <w:color w:val="auto"/>
        </w:rPr>
      </w:pPr>
      <w:r>
        <w:rPr>
          <w:rFonts w:ascii="Courier New" w:cs="Courier New" w:eastAsia="Courier New" w:hAnsi="Courier New"/>
          <w:sz w:val="18"/>
          <w:szCs w:val="18"/>
          <w:color w:val="auto"/>
        </w:rPr>
        <w:t>13, 1997, by</w:t>
      </w:r>
    </w:p>
    <w:p>
      <w:pPr>
        <w:jc w:val="center"/>
        <w:ind w:right="853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8539"/>
        <w:spacing w:after="0"/>
        <w:rPr>
          <w:sz w:val="20"/>
          <w:szCs w:val="20"/>
          <w:color w:val="auto"/>
        </w:rPr>
      </w:pPr>
      <w:r>
        <w:rPr>
          <w:rFonts w:ascii="Courier New" w:cs="Courier New" w:eastAsia="Courier New" w:hAnsi="Courier New"/>
          <w:sz w:val="18"/>
          <w:szCs w:val="18"/>
          <w:color w:val="auto"/>
        </w:rPr>
        <w:t>Company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Procter &amp;</w:t>
      </w:r>
    </w:p>
    <w:p>
      <w:pPr>
        <w:jc w:val="center"/>
        <w:ind w:right="8539"/>
        <w:spacing w:after="0" w:line="238" w:lineRule="auto"/>
        <w:rPr>
          <w:sz w:val="20"/>
          <w:szCs w:val="20"/>
          <w:color w:val="auto"/>
        </w:rPr>
      </w:pPr>
      <w:r>
        <w:rPr>
          <w:rFonts w:ascii="Courier New" w:cs="Courier New" w:eastAsia="Courier New" w:hAnsi="Courier New"/>
          <w:sz w:val="18"/>
          <w:szCs w:val="18"/>
          <w:color w:val="auto"/>
        </w:rPr>
        <w:t>Gamble</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10.3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Regeneron's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10-Q for</w:t>
      </w:r>
    </w:p>
    <w:p>
      <w:pPr>
        <w:jc w:val="center"/>
        <w:ind w:right="8539"/>
        <w:spacing w:after="0"/>
        <w:rPr>
          <w:sz w:val="20"/>
          <w:szCs w:val="20"/>
          <w:color w:val="auto"/>
        </w:rPr>
      </w:pPr>
      <w:r>
        <w:rPr>
          <w:rFonts w:ascii="Courier New" w:cs="Courier New" w:eastAsia="Courier New" w:hAnsi="Courier New"/>
          <w:sz w:val="18"/>
          <w:szCs w:val="18"/>
          <w:color w:val="auto"/>
        </w:rPr>
        <w:t>the quarter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ended June 30,</w:t>
      </w:r>
    </w:p>
    <w:p>
      <w:pPr>
        <w:jc w:val="center"/>
        <w:ind w:right="8539"/>
        <w:spacing w:after="0"/>
        <w:rPr>
          <w:sz w:val="20"/>
          <w:szCs w:val="20"/>
          <w:color w:val="auto"/>
        </w:rPr>
      </w:pPr>
      <w:r>
        <w:rPr>
          <w:rFonts w:ascii="Courier New" w:cs="Courier New" w:eastAsia="Courier New" w:hAnsi="Courier New"/>
          <w:sz w:val="18"/>
          <w:szCs w:val="18"/>
          <w:color w:val="auto"/>
        </w:rPr>
        <w:t>1997, filed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August 12,</w:t>
      </w:r>
    </w:p>
    <w:p>
      <w:pPr>
        <w:jc w:val="center"/>
        <w:ind w:right="8539"/>
        <w:spacing w:after="0"/>
        <w:rPr>
          <w:sz w:val="20"/>
          <w:szCs w:val="20"/>
          <w:color w:val="auto"/>
        </w:rPr>
      </w:pPr>
      <w:r>
        <w:rPr>
          <w:rFonts w:ascii="Courier New" w:cs="Courier New" w:eastAsia="Courier New" w:hAnsi="Courier New"/>
          <w:sz w:val="18"/>
          <w:szCs w:val="18"/>
          <w:color w:val="auto"/>
        </w:rPr>
        <w:t>1997. 4.15 --</w:t>
      </w:r>
    </w:p>
    <w:p>
      <w:pPr>
        <w:jc w:val="center"/>
        <w:ind w:right="8539"/>
        <w:spacing w:after="0" w:line="237" w:lineRule="auto"/>
        <w:rPr>
          <w:sz w:val="20"/>
          <w:szCs w:val="20"/>
          <w:color w:val="auto"/>
        </w:rPr>
      </w:pPr>
      <w:r>
        <w:rPr>
          <w:rFonts w:ascii="Courier New" w:cs="Courier New" w:eastAsia="Courier New" w:hAnsi="Courier New"/>
          <w:sz w:val="18"/>
          <w:szCs w:val="18"/>
          <w:color w:val="auto"/>
        </w:rPr>
        <w:t>Form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Certificate of</w:t>
      </w:r>
    </w:p>
    <w:p>
      <w:pPr>
        <w:jc w:val="center"/>
        <w:ind w:right="8539"/>
        <w:spacing w:after="0"/>
        <w:rPr>
          <w:sz w:val="20"/>
          <w:szCs w:val="20"/>
          <w:color w:val="auto"/>
        </w:rPr>
      </w:pPr>
      <w:r>
        <w:rPr>
          <w:rFonts w:ascii="Courier New" w:cs="Courier New" w:eastAsia="Courier New" w:hAnsi="Courier New"/>
          <w:sz w:val="18"/>
          <w:szCs w:val="18"/>
          <w:color w:val="auto"/>
        </w:rPr>
        <w:t>shares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(a)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the Company's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8-A, filed</w:t>
      </w:r>
    </w:p>
    <w:p>
      <w:pPr>
        <w:jc w:val="center"/>
        <w:ind w:right="8539"/>
        <w:spacing w:after="0"/>
        <w:rPr>
          <w:sz w:val="20"/>
          <w:szCs w:val="20"/>
          <w:color w:val="auto"/>
        </w:rPr>
      </w:pPr>
      <w:r>
        <w:rPr>
          <w:rFonts w:ascii="Courier New" w:cs="Courier New" w:eastAsia="Courier New" w:hAnsi="Courier New"/>
          <w:sz w:val="18"/>
          <w:szCs w:val="18"/>
          <w:color w:val="auto"/>
        </w:rPr>
        <w:t>with the</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Commission on</w:t>
      </w:r>
    </w:p>
    <w:p>
      <w:pPr>
        <w:jc w:val="center"/>
        <w:ind w:right="8539"/>
        <w:spacing w:after="0"/>
        <w:rPr>
          <w:sz w:val="20"/>
          <w:szCs w:val="20"/>
          <w:color w:val="auto"/>
        </w:rPr>
      </w:pPr>
      <w:r>
        <w:rPr>
          <w:rFonts w:ascii="Courier New" w:cs="Courier New" w:eastAsia="Courier New" w:hAnsi="Courier New"/>
          <w:sz w:val="18"/>
          <w:szCs w:val="18"/>
          <w:color w:val="auto"/>
        </w:rPr>
        <w:t>February 20,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1991. 5* --</w:t>
      </w:r>
    </w:p>
    <w:p>
      <w:pPr>
        <w:sectPr>
          <w:pgSz w:w="11900" w:h="16838" w:orient="portrait"/>
          <w:cols w:equalWidth="0" w:num="1">
            <w:col w:w="10219"/>
          </w:cols>
          <w:pgMar w:left="240" w:top="136" w:right="1440" w:bottom="0" w:gutter="0" w:footer="0" w:header="0"/>
        </w:sectPr>
      </w:pPr>
    </w:p>
    <w:bookmarkStart w:id="59" w:name="page60"/>
    <w:bookmarkEnd w:id="59"/>
    <w:p>
      <w:pPr>
        <w:jc w:val="center"/>
        <w:ind w:right="8574"/>
        <w:spacing w:after="0"/>
        <w:rPr>
          <w:sz w:val="20"/>
          <w:szCs w:val="20"/>
          <w:color w:val="auto"/>
        </w:rPr>
      </w:pPr>
      <w:r>
        <w:rPr>
          <w:rFonts w:ascii="Courier New" w:cs="Courier New" w:eastAsia="Courier New" w:hAnsi="Courier New"/>
          <w:sz w:val="18"/>
          <w:szCs w:val="18"/>
          <w:color w:val="auto"/>
        </w:rPr>
        <w:t>Opinion of</w:t>
      </w:r>
    </w:p>
    <w:p>
      <w:pPr>
        <w:jc w:val="center"/>
        <w:ind w:right="8574"/>
        <w:spacing w:after="0" w:line="238" w:lineRule="auto"/>
        <w:rPr>
          <w:sz w:val="20"/>
          <w:szCs w:val="20"/>
          <w:color w:val="auto"/>
        </w:rPr>
      </w:pPr>
      <w:r>
        <w:rPr>
          <w:rFonts w:ascii="Courier New" w:cs="Courier New" w:eastAsia="Courier New" w:hAnsi="Courier New"/>
          <w:sz w:val="18"/>
          <w:szCs w:val="18"/>
          <w:color w:val="auto"/>
        </w:rPr>
        <w:t>Skadden, Arps,</w:t>
      </w:r>
    </w:p>
    <w:p>
      <w:pPr>
        <w:jc w:val="center"/>
        <w:ind w:right="8574"/>
        <w:spacing w:after="0"/>
        <w:rPr>
          <w:sz w:val="20"/>
          <w:szCs w:val="20"/>
          <w:color w:val="auto"/>
        </w:rPr>
      </w:pPr>
      <w:r>
        <w:rPr>
          <w:rFonts w:ascii="Courier New" w:cs="Courier New" w:eastAsia="Courier New" w:hAnsi="Courier New"/>
          <w:sz w:val="18"/>
          <w:szCs w:val="18"/>
          <w:color w:val="auto"/>
        </w:rPr>
        <w:t>Slate, Meagher</w:t>
      </w:r>
    </w:p>
    <w:p>
      <w:pPr>
        <w:spacing w:after="0" w:line="3" w:lineRule="exact"/>
        <w:rPr>
          <w:sz w:val="20"/>
          <w:szCs w:val="20"/>
          <w:color w:val="auto"/>
        </w:rPr>
      </w:pPr>
    </w:p>
    <w:p>
      <w:pPr>
        <w:ind w:left="205" w:hanging="205"/>
        <w:spacing w:after="0"/>
        <w:tabs>
          <w:tab w:leader="none" w:pos="20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Flom LLP. 12*</w:t>
      </w:r>
    </w:p>
    <w:p>
      <w:pPr>
        <w:spacing w:after="0" w:line="16" w:lineRule="exact"/>
        <w:rPr>
          <w:rFonts w:ascii="Courier New" w:cs="Courier New" w:eastAsia="Courier New" w:hAnsi="Courier New"/>
          <w:sz w:val="16"/>
          <w:szCs w:val="16"/>
          <w:color w:val="auto"/>
        </w:rPr>
      </w:pPr>
    </w:p>
    <w:p>
      <w:pPr>
        <w:ind w:left="365" w:hanging="312"/>
        <w:spacing w:after="0" w:line="238" w:lineRule="auto"/>
        <w:tabs>
          <w:tab w:leader="none" w:pos="365"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w:t>
      </w:r>
    </w:p>
    <w:p>
      <w:pPr>
        <w:jc w:val="center"/>
        <w:ind w:right="8574"/>
        <w:spacing w:after="0"/>
        <w:rPr>
          <w:sz w:val="20"/>
          <w:szCs w:val="20"/>
          <w:color w:val="auto"/>
        </w:rPr>
      </w:pPr>
      <w:r>
        <w:rPr>
          <w:rFonts w:ascii="Courier New" w:cs="Courier New" w:eastAsia="Courier New" w:hAnsi="Courier New"/>
          <w:sz w:val="18"/>
          <w:szCs w:val="18"/>
          <w:color w:val="auto"/>
        </w:rPr>
        <w:t>of Ratio of</w:t>
      </w:r>
    </w:p>
    <w:p>
      <w:pPr>
        <w:jc w:val="center"/>
        <w:ind w:right="8574"/>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574"/>
        <w:spacing w:after="0" w:line="238" w:lineRule="auto"/>
        <w:rPr>
          <w:sz w:val="20"/>
          <w:szCs w:val="20"/>
          <w:color w:val="auto"/>
        </w:rPr>
      </w:pPr>
      <w:r>
        <w:rPr>
          <w:rFonts w:ascii="Courier New" w:cs="Courier New" w:eastAsia="Courier New" w:hAnsi="Courier New"/>
          <w:sz w:val="18"/>
          <w:szCs w:val="18"/>
          <w:color w:val="auto"/>
        </w:rPr>
        <w:t>Fixed Charges</w:t>
      </w:r>
    </w:p>
    <w:p>
      <w:pPr>
        <w:sectPr>
          <w:pgSz w:w="11900" w:h="16838" w:orient="portrait"/>
          <w:cols w:equalWidth="0" w:num="1">
            <w:col w:w="10164"/>
          </w:cols>
          <w:pgMar w:left="295" w:top="136" w:right="1440" w:bottom="1440" w:gutter="0" w:footer="0" w:header="0"/>
        </w:sectPr>
      </w:pPr>
    </w:p>
    <w:bookmarkStart w:id="60" w:name="page61"/>
    <w:bookmarkEnd w:id="60"/>
    <w:p>
      <w:pPr>
        <w:jc w:val="center"/>
        <w:ind w:right="789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----------- 23.1 --</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Consent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Independent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Accountants. 23.2 --</w:t>
      </w:r>
    </w:p>
    <w:p>
      <w:pPr>
        <w:jc w:val="center"/>
        <w:ind w:right="7899"/>
        <w:spacing w:after="0"/>
        <w:rPr>
          <w:sz w:val="20"/>
          <w:szCs w:val="20"/>
          <w:color w:val="auto"/>
        </w:rPr>
      </w:pPr>
      <w:r>
        <w:rPr>
          <w:rFonts w:ascii="Courier New" w:cs="Courier New" w:eastAsia="Courier New" w:hAnsi="Courier New"/>
          <w:sz w:val="18"/>
          <w:szCs w:val="18"/>
          <w:color w:val="auto"/>
        </w:rPr>
        <w:t>Consent of Ernst &amp;</w:t>
      </w:r>
    </w:p>
    <w:p>
      <w:pPr>
        <w:jc w:val="center"/>
        <w:ind w:right="7899"/>
        <w:spacing w:after="0" w:line="237" w:lineRule="auto"/>
        <w:rPr>
          <w:sz w:val="20"/>
          <w:szCs w:val="20"/>
          <w:color w:val="auto"/>
        </w:rPr>
      </w:pPr>
      <w:r>
        <w:rPr>
          <w:rFonts w:ascii="Courier New" w:cs="Courier New" w:eastAsia="Courier New" w:hAnsi="Courier New"/>
          <w:sz w:val="18"/>
          <w:szCs w:val="18"/>
          <w:color w:val="auto"/>
        </w:rPr>
        <w:t>Young LLP,</w:t>
      </w:r>
    </w:p>
    <w:p>
      <w:pPr>
        <w:jc w:val="center"/>
        <w:ind w:right="7899"/>
        <w:spacing w:after="0" w:line="238" w:lineRule="auto"/>
        <w:rPr>
          <w:sz w:val="20"/>
          <w:szCs w:val="20"/>
          <w:color w:val="auto"/>
        </w:rPr>
      </w:pPr>
      <w:r>
        <w:rPr>
          <w:rFonts w:ascii="Courier New" w:cs="Courier New" w:eastAsia="Courier New" w:hAnsi="Courier New"/>
          <w:sz w:val="18"/>
          <w:szCs w:val="18"/>
          <w:color w:val="auto"/>
        </w:rPr>
        <w:t>Independent Auditors.</w:t>
      </w:r>
    </w:p>
    <w:p>
      <w:pPr>
        <w:jc w:val="center"/>
        <w:ind w:right="7899"/>
        <w:spacing w:after="0"/>
        <w:rPr>
          <w:sz w:val="20"/>
          <w:szCs w:val="20"/>
          <w:color w:val="auto"/>
        </w:rPr>
      </w:pPr>
      <w:r>
        <w:rPr>
          <w:rFonts w:ascii="Courier New" w:cs="Courier New" w:eastAsia="Courier New" w:hAnsi="Courier New"/>
          <w:sz w:val="18"/>
          <w:szCs w:val="18"/>
          <w:color w:val="auto"/>
        </w:rPr>
        <w:t>23.3* -- Consent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Skadden, Arps, Slate,</w:t>
      </w:r>
    </w:p>
    <w:p>
      <w:pPr>
        <w:jc w:val="center"/>
        <w:ind w:right="7899"/>
        <w:spacing w:after="0"/>
        <w:rPr>
          <w:sz w:val="20"/>
          <w:szCs w:val="20"/>
          <w:color w:val="auto"/>
        </w:rPr>
      </w:pPr>
      <w:r>
        <w:rPr>
          <w:rFonts w:ascii="Courier New" w:cs="Courier New" w:eastAsia="Courier New" w:hAnsi="Courier New"/>
          <w:sz w:val="18"/>
          <w:szCs w:val="18"/>
          <w:color w:val="auto"/>
        </w:rPr>
        <w:t>Meagher &amp; Flom LLP.</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Included in Exhibit</w:t>
      </w:r>
    </w:p>
    <w:p>
      <w:pPr>
        <w:spacing w:after="0" w:line="5" w:lineRule="exact"/>
        <w:rPr>
          <w:sz w:val="20"/>
          <w:szCs w:val="20"/>
          <w:color w:val="auto"/>
        </w:rPr>
      </w:pPr>
    </w:p>
    <w:p>
      <w:pPr>
        <w:ind w:left="60" w:right="7959" w:firstLine="102"/>
        <w:spacing w:after="0" w:line="268" w:lineRule="auto"/>
        <w:tabs>
          <w:tab w:leader="none" w:pos="482"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 Powers of Attorney. Included in the signature page of</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Registration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25* --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of</w:t>
      </w:r>
    </w:p>
    <w:p>
      <w:pPr>
        <w:spacing w:after="0" w:line="4" w:lineRule="exact"/>
        <w:rPr>
          <w:rFonts w:ascii="Courier New" w:cs="Courier New" w:eastAsia="Courier New" w:hAnsi="Courier New"/>
          <w:sz w:val="16"/>
          <w:szCs w:val="16"/>
          <w:color w:val="auto"/>
        </w:rPr>
      </w:pPr>
    </w:p>
    <w:p>
      <w:pPr>
        <w:jc w:val="center"/>
        <w:ind w:left="100" w:right="799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 Form T-1 under the Trust Indenture Act of 1939, as amended, of American Stock Transfer &amp; Trust Company, trustee under the Indenture.</w:t>
      </w:r>
    </w:p>
    <w:p>
      <w:pPr>
        <w:spacing w:after="0" w:line="38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717" w:right="1440" w:bottom="1440" w:gutter="0" w:footer="0" w:header="0"/>
        </w:sectPr>
      </w:pPr>
    </w:p>
    <w:bookmarkStart w:id="61" w:name="page62"/>
    <w:bookmarkEnd w:id="6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which is based in part on the report of other auditors, dated February 7, 2001 relating to the financial statements of Regeneron Pharmaceuticals, Inc., which appears in Regeneron Pharmaceuticals Inc.'s Annual Report on Form 10-K for the year ended December 31, 2000.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January 22, 2002</w:t>
      </w:r>
    </w:p>
    <w:p>
      <w:pPr>
        <w:sectPr>
          <w:pgSz w:w="11900" w:h="16838" w:orient="portrait"/>
          <w:cols w:equalWidth="0" w:num="1">
            <w:col w:w="10219"/>
          </w:cols>
          <w:pgMar w:left="240" w:top="339" w:right="1440" w:bottom="1440" w:gutter="0" w:footer="0" w:header="0"/>
        </w:sectPr>
      </w:pPr>
    </w:p>
    <w:bookmarkStart w:id="62" w:name="page63"/>
    <w:bookmarkEnd w:id="62"/>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Amended Registration Statement (Form S-3 No. 333-74464) and related Prospectus of Regeneron Pharmaceuticals, Inc. for the registration of $200,000,000 aggregate principal amount of Regeneron's 5-1/2% Convertible Senior Subordinated Notes due 2008 and the shares of its common stock issuable upon conversion of the notes, and to the incorporation by reference therein of our report dated February 2, 2001, with respect to the financial statements of Amgen Regeneron Partners included in Regeneron Pharmaceuticals, Inc.'s Annual Report (Form 10-K) for the year ended December 31, 2000,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January 22,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upperLetter"/>
      <w:start w:val="1"/>
    </w:lvl>
    <w:lvl w:ilvl="1">
      <w:lvlJc w:val="left"/>
      <w:lvlText w:val="(%2)"/>
      <w:numFmt w:val="decimal"/>
      <w:start w:val="1"/>
    </w:lvl>
  </w:abstractNum>
  <w:abstractNum w:abstractNumId="18">
    <w:nsid w:val="1D4ED43B"/>
    <w:multiLevelType w:val="hybridMultilevel"/>
    <w:lvl w:ilvl="0">
      <w:lvlJc w:val="left"/>
      <w:lvlText w:val="(%1)"/>
      <w:numFmt w:val="upperLetter"/>
      <w:start w:val="2"/>
    </w:lvl>
    <w:lvl w:ilvl="1">
      <w:lvlJc w:val="left"/>
      <w:lvlText w:val="(%2)"/>
      <w:numFmt w:val="decimal"/>
      <w:start w:val="6"/>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lvl w:ilvl="1">
      <w:lvlJc w:val="left"/>
      <w:lvlText w:val="(%2)"/>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6"/>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3"/>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lvl w:ilvl="1">
      <w:lvlJc w:val="left"/>
      <w:lvlText w:val="*"/>
      <w:numFmt w:val="bullet"/>
      <w:start w:val="1"/>
    </w:lvl>
  </w:abstractNum>
  <w:abstractNum w:abstractNumId="38">
    <w:nsid w:val="520EEDD1"/>
    <w:multiLevelType w:val="hybridMultilevel"/>
    <w:lvl w:ilvl="0">
      <w:lvlJc w:val="left"/>
      <w:lvlText w:val="*"/>
      <w:numFmt w:val="bullet"/>
      <w:start w:val="1"/>
    </w:lvl>
    <w:lvl w:ilvl="1">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lvl w:ilvl="1">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lvl w:ilvl="1">
      <w:lvlJc w:val="left"/>
      <w:lvlText w:val="*"/>
      <w:numFmt w:val="bullet"/>
      <w:start w:val="1"/>
    </w:lvl>
  </w:abstractNum>
  <w:abstractNum w:abstractNumId="46">
    <w:nsid w:val="180115B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8"/>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lowerLetter"/>
    </w:lvl>
    <w:lvl w:ilvl="1">
      <w:lvlJc w:val="left"/>
      <w:lvlText w:val="--"/>
      <w:numFmt w:val="bullet"/>
      <w:start w:val="1"/>
    </w:lvl>
    <w:lvl w:ilvl="2">
      <w:lvlJc w:val="left"/>
      <w:lvlText w:val="--"/>
      <w:numFmt w:val="bullet"/>
      <w:start w:val="1"/>
    </w:lvl>
  </w:abstractNum>
  <w:abstractNum w:abstractNumId="57">
    <w:nsid w:val="77AE35EB"/>
    <w:multiLevelType w:val="hybridMultilevel"/>
    <w:lvl w:ilvl="0">
      <w:lvlJc w:val="left"/>
      <w:lvlText w:val="-"/>
      <w:numFmt w:val="bullet"/>
      <w:start w:val="1"/>
    </w:lvl>
    <w:lvl w:ilvl="1">
      <w:lvlJc w:val="left"/>
      <w:lvlText w:val="%2."/>
      <w:numFmt w:val="decimal"/>
      <w:start w:val="5"/>
    </w:lvl>
  </w:abstractNum>
  <w:abstractNum w:abstractNumId="58">
    <w:nsid w:val="579BE4F1"/>
    <w:multiLevelType w:val="hybridMultilevel"/>
    <w:lvl w:ilvl="0">
      <w:lvlJc w:val="left"/>
      <w:lvlText w:val="(%1)"/>
      <w:numFmt w:val="decimal"/>
      <w:start w:val="1"/>
    </w:lvl>
    <w:lvl w:ilvl="1">
      <w:lvlJc w:val="left"/>
      <w:lvlText w:val="(%2)"/>
      <w:numFmt w:val="lowerLetter"/>
      <w:start w:val="1"/>
    </w:lvl>
  </w:abstractNum>
  <w:abstractNum w:abstractNumId="59">
    <w:nsid w:val="310C50B3"/>
    <w:multiLevelType w:val="hybridMultilevel"/>
    <w:lvl w:ilvl="0">
      <w:lvlJc w:val="left"/>
      <w:lvlText w:val="(%1)"/>
      <w:numFmt w:val="decimal"/>
      <w:start w:val="2"/>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lvl w:ilvl="1">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amp;"/>
      <w:numFmt w:val="bullet"/>
      <w:start w:val="1"/>
    </w:lvl>
    <w:lvl w:ilvl="1">
      <w:lvlJc w:val="left"/>
      <w:lvlText w:val="--"/>
      <w:numFmt w:val="bullet"/>
      <w:start w:val="1"/>
    </w:lvl>
  </w:abstractNum>
  <w:abstractNum w:abstractNumId="67">
    <w:nsid w:val="5DB70AE5"/>
    <w:multiLevelType w:val="hybridMultilevel"/>
    <w:lvl w:ilvl="0">
      <w:lvlJc w:val="left"/>
      <w:lvlText w:val="-"/>
      <w:numFmt w:val="bullet"/>
      <w:start w:val="1"/>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2019-12-20T02:10:19Z</dcterms:created>
  <dcterms:modified xsi:type="dcterms:W3CDTF">2019-12-20T02:10:19Z</dcterms:modified>
</cp:coreProperties>
</file>