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317"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2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of Issuer)</w:t>
      </w:r>
    </w:p>
    <w:p>
      <w:pPr>
        <w:spacing w:after="0" w:line="200" w:lineRule="exact"/>
        <w:rPr>
          <w:sz w:val="24"/>
          <w:szCs w:val="24"/>
          <w:color w:val="auto"/>
        </w:rPr>
      </w:pPr>
    </w:p>
    <w:p>
      <w:pPr>
        <w:spacing w:after="0" w:line="21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2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75886F107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10795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2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December 31,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35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sz w:val="24"/>
          <w:szCs w:val="24"/>
          <w:color w:val="auto"/>
        </w:rPr>
      </w:pPr>
    </w:p>
    <w:p>
      <w:pPr>
        <w:ind w:left="1120" w:hanging="199"/>
        <w:spacing w:after="0"/>
        <w:tabs>
          <w:tab w:leader="none" w:pos="11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71" w:lineRule="exact"/>
        <w:rPr>
          <w:sz w:val="24"/>
          <w:szCs w:val="24"/>
          <w:color w:val="auto"/>
        </w:rPr>
      </w:pPr>
    </w:p>
    <w:p>
      <w:pPr>
        <w:ind w:left="1120" w:hanging="199"/>
        <w:spacing w:after="0"/>
        <w:tabs>
          <w:tab w:leader="none" w:pos="112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220" w:hanging="216"/>
        <w:spacing w:after="0" w:line="268"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2"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7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Page 1 of 8 pages</w:t>
      </w:r>
    </w:p>
    <w:p>
      <w:pPr>
        <w:sectPr>
          <w:pgSz w:w="11900" w:h="16838" w:orient="portrait"/>
          <w:cols w:equalWidth="0" w:num="1">
            <w:col w:w="11340"/>
          </w:cols>
          <w:pgMar w:left="240" w:top="219"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75886F107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Names of Reporting Persons.</w:t>
      </w:r>
    </w:p>
    <w:p>
      <w:pPr>
        <w:spacing w:after="0" w:line="233" w:lineRule="exact"/>
        <w:rPr>
          <w:sz w:val="20"/>
          <w:szCs w:val="20"/>
          <w:color w:val="auto"/>
        </w:rPr>
      </w:pPr>
    </w:p>
    <w:p>
      <w:pPr>
        <w:ind w:left="1020"/>
        <w:spacing w:after="0"/>
        <w:rPr>
          <w:sz w:val="20"/>
          <w:szCs w:val="20"/>
          <w:color w:val="auto"/>
        </w:rPr>
      </w:pPr>
      <w:r>
        <w:rPr>
          <w:rFonts w:ascii="Arial" w:cs="Arial" w:eastAsia="Arial" w:hAnsi="Arial"/>
          <w:sz w:val="22"/>
          <w:szCs w:val="22"/>
          <w:b w:val="1"/>
          <w:bCs w:val="1"/>
          <w:color w:val="auto"/>
        </w:rPr>
        <w:t>QVT Financial LP</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I.R.S. Identification Nos. of above persons (entities only).</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11-3694008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1660" w:hanging="308"/>
        <w:spacing w:after="0"/>
        <w:tabs>
          <w:tab w:leader="none" w:pos="1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199" w:lineRule="exact"/>
        <w:rPr>
          <w:sz w:val="20"/>
          <w:szCs w:val="20"/>
          <w:color w:val="auto"/>
        </w:rPr>
      </w:pPr>
    </w:p>
    <w:tbl>
      <w:tblPr>
        <w:tblLayout w:type="fixed"/>
        <w:tblInd w:w="100" w:type="dxa"/>
        <w:tblCellMar>
          <w:top w:w="0" w:type="dxa"/>
          <w:left w:w="0" w:type="dxa"/>
          <w:bottom w:w="0" w:type="dxa"/>
          <w:right w:w="0" w:type="dxa"/>
        </w:tblCellMar>
      </w:tblPr>
      <w:tr>
        <w:trPr>
          <w:trHeight w:val="278"/>
        </w:trPr>
        <w:tc>
          <w:tcPr>
            <w:tcW w:w="1060" w:type="dxa"/>
            <w:vAlign w:val="bottom"/>
          </w:tcPr>
          <w:p>
            <w:pPr>
              <w:jc w:val="center"/>
              <w:ind w:right="92"/>
              <w:spacing w:after="0"/>
              <w:rPr>
                <w:sz w:val="20"/>
                <w:szCs w:val="20"/>
                <w:color w:val="auto"/>
              </w:rPr>
            </w:pPr>
            <w:r>
              <w:rPr>
                <w:rFonts w:ascii="Arial" w:cs="Arial" w:eastAsia="Arial" w:hAnsi="Arial"/>
                <w:sz w:val="18"/>
                <w:szCs w:val="18"/>
                <w:color w:val="auto"/>
                <w:w w:val="90"/>
              </w:rPr>
              <w:t>Number of</w:t>
            </w:r>
          </w:p>
        </w:tc>
        <w:tc>
          <w:tcPr>
            <w:tcW w:w="42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ind w:left="3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8"/>
        </w:trPr>
        <w:tc>
          <w:tcPr>
            <w:tcW w:w="1060" w:type="dxa"/>
            <w:vAlign w:val="bottom"/>
          </w:tcPr>
          <w:p>
            <w:pPr>
              <w:jc w:val="center"/>
              <w:ind w:right="92"/>
              <w:spacing w:after="0"/>
              <w:rPr>
                <w:sz w:val="20"/>
                <w:szCs w:val="20"/>
                <w:color w:val="auto"/>
              </w:rPr>
            </w:pPr>
            <w:r>
              <w:rPr>
                <w:rFonts w:ascii="Arial" w:cs="Arial" w:eastAsia="Arial" w:hAnsi="Arial"/>
                <w:sz w:val="18"/>
                <w:szCs w:val="18"/>
                <w:color w:val="auto"/>
                <w:w w:val="84"/>
              </w:rPr>
              <w:t>Shares</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984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60" w:type="dxa"/>
            <w:vAlign w:val="bottom"/>
          </w:tcPr>
          <w:p>
            <w:pPr>
              <w:jc w:val="center"/>
              <w:ind w:right="112"/>
              <w:spacing w:after="0"/>
              <w:rPr>
                <w:sz w:val="20"/>
                <w:szCs w:val="20"/>
                <w:color w:val="auto"/>
              </w:rPr>
            </w:pPr>
            <w:r>
              <w:rPr>
                <w:rFonts w:ascii="Arial" w:cs="Arial" w:eastAsia="Arial" w:hAnsi="Arial"/>
                <w:sz w:val="18"/>
                <w:szCs w:val="18"/>
                <w:color w:val="auto"/>
                <w:w w:val="94"/>
              </w:rPr>
              <w:t>Beneficially</w:t>
            </w:r>
          </w:p>
        </w:tc>
        <w:tc>
          <w:tcPr>
            <w:tcW w:w="420" w:type="dxa"/>
            <w:vAlign w:val="bottom"/>
          </w:tcPr>
          <w:p>
            <w:pPr>
              <w:spacing w:after="0"/>
              <w:rPr>
                <w:sz w:val="18"/>
                <w:szCs w:val="18"/>
                <w:color w:val="auto"/>
              </w:rPr>
            </w:pPr>
          </w:p>
        </w:tc>
        <w:tc>
          <w:tcPr>
            <w:tcW w:w="9840" w:type="dxa"/>
            <w:vAlign w:val="bottom"/>
            <w:vMerge w:val="restart"/>
          </w:tcPr>
          <w:p>
            <w:pPr>
              <w:ind w:left="340"/>
              <w:spacing w:after="0"/>
              <w:rPr>
                <w:sz w:val="20"/>
                <w:szCs w:val="20"/>
                <w:color w:val="auto"/>
              </w:rPr>
            </w:pPr>
            <w:r>
              <w:rPr>
                <w:rFonts w:ascii="Arial" w:cs="Arial" w:eastAsia="Arial" w:hAnsi="Arial"/>
                <w:sz w:val="22"/>
                <w:szCs w:val="22"/>
                <w:color w:val="auto"/>
              </w:rPr>
              <w:t>2,035,975</w:t>
            </w:r>
          </w:p>
        </w:tc>
        <w:tc>
          <w:tcPr>
            <w:tcW w:w="0" w:type="dxa"/>
            <w:vAlign w:val="bottom"/>
          </w:tcPr>
          <w:p>
            <w:pPr>
              <w:spacing w:after="0"/>
              <w:rPr>
                <w:sz w:val="1"/>
                <w:szCs w:val="1"/>
                <w:color w:val="auto"/>
              </w:rPr>
            </w:pPr>
          </w:p>
        </w:tc>
      </w:tr>
      <w:tr>
        <w:trPr>
          <w:trHeight w:val="222"/>
        </w:trPr>
        <w:tc>
          <w:tcPr>
            <w:tcW w:w="1060" w:type="dxa"/>
            <w:vAlign w:val="bottom"/>
          </w:tcPr>
          <w:p>
            <w:pPr>
              <w:jc w:val="center"/>
              <w:ind w:right="92"/>
              <w:spacing w:after="0"/>
              <w:rPr>
                <w:sz w:val="20"/>
                <w:szCs w:val="20"/>
                <w:color w:val="auto"/>
              </w:rPr>
            </w:pPr>
            <w:r>
              <w:rPr>
                <w:rFonts w:ascii="Arial" w:cs="Arial" w:eastAsia="Arial" w:hAnsi="Arial"/>
                <w:sz w:val="18"/>
                <w:szCs w:val="18"/>
                <w:color w:val="auto"/>
                <w:w w:val="88"/>
              </w:rPr>
              <w:t>Owned by</w:t>
            </w:r>
          </w:p>
        </w:tc>
        <w:tc>
          <w:tcPr>
            <w:tcW w:w="420" w:type="dxa"/>
            <w:vAlign w:val="bottom"/>
            <w:tcBorders>
              <w:bottom w:val="single" w:sz="8" w:color="auto"/>
            </w:tcBorders>
          </w:tcPr>
          <w:p>
            <w:pPr>
              <w:spacing w:after="0"/>
              <w:rPr>
                <w:sz w:val="19"/>
                <w:szCs w:val="19"/>
                <w:color w:val="auto"/>
              </w:rPr>
            </w:pPr>
          </w:p>
        </w:tc>
        <w:tc>
          <w:tcPr>
            <w:tcW w:w="9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60" w:type="dxa"/>
            <w:vAlign w:val="bottom"/>
          </w:tcPr>
          <w:p>
            <w:pPr>
              <w:jc w:val="center"/>
              <w:ind w:right="92"/>
              <w:spacing w:after="0" w:line="190" w:lineRule="exact"/>
              <w:rPr>
                <w:sz w:val="20"/>
                <w:szCs w:val="20"/>
                <w:color w:val="auto"/>
              </w:rPr>
            </w:pPr>
            <w:r>
              <w:rPr>
                <w:rFonts w:ascii="Arial" w:cs="Arial" w:eastAsia="Arial" w:hAnsi="Arial"/>
                <w:sz w:val="18"/>
                <w:szCs w:val="18"/>
                <w:color w:val="auto"/>
                <w:w w:val="87"/>
              </w:rPr>
              <w:t>Each</w:t>
            </w:r>
          </w:p>
        </w:tc>
        <w:tc>
          <w:tcPr>
            <w:tcW w:w="420" w:type="dxa"/>
            <w:vAlign w:val="bottom"/>
          </w:tcPr>
          <w:p>
            <w:pPr>
              <w:jc w:val="right"/>
              <w:ind w:right="12"/>
              <w:spacing w:after="0" w:line="190" w:lineRule="exact"/>
              <w:rPr>
                <w:sz w:val="20"/>
                <w:szCs w:val="20"/>
                <w:color w:val="auto"/>
              </w:rPr>
            </w:pPr>
            <w:r>
              <w:rPr>
                <w:rFonts w:ascii="Arial" w:cs="Arial" w:eastAsia="Arial" w:hAnsi="Arial"/>
                <w:sz w:val="18"/>
                <w:szCs w:val="18"/>
                <w:color w:val="auto"/>
              </w:rPr>
              <w:t>7.</w:t>
            </w:r>
          </w:p>
        </w:tc>
        <w:tc>
          <w:tcPr>
            <w:tcW w:w="984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60" w:type="dxa"/>
            <w:vAlign w:val="bottom"/>
          </w:tcPr>
          <w:p>
            <w:pPr>
              <w:jc w:val="center"/>
              <w:ind w:right="112"/>
              <w:spacing w:after="0"/>
              <w:rPr>
                <w:sz w:val="20"/>
                <w:szCs w:val="20"/>
                <w:color w:val="auto"/>
              </w:rPr>
            </w:pPr>
            <w:r>
              <w:rPr>
                <w:rFonts w:ascii="Arial" w:cs="Arial" w:eastAsia="Arial" w:hAnsi="Arial"/>
                <w:sz w:val="18"/>
                <w:szCs w:val="18"/>
                <w:color w:val="auto"/>
                <w:w w:val="89"/>
              </w:rPr>
              <w:t>Reporting</w:t>
            </w:r>
          </w:p>
        </w:tc>
        <w:tc>
          <w:tcPr>
            <w:tcW w:w="420" w:type="dxa"/>
            <w:vAlign w:val="bottom"/>
          </w:tcPr>
          <w:p>
            <w:pPr>
              <w:spacing w:after="0"/>
              <w:rPr>
                <w:sz w:val="18"/>
                <w:szCs w:val="18"/>
                <w:color w:val="auto"/>
              </w:rPr>
            </w:pPr>
          </w:p>
        </w:tc>
        <w:tc>
          <w:tcPr>
            <w:tcW w:w="9840" w:type="dxa"/>
            <w:vAlign w:val="bottom"/>
            <w:vMerge w:val="restart"/>
          </w:tcPr>
          <w:p>
            <w:pPr>
              <w:ind w:left="3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16"/>
        </w:trPr>
        <w:tc>
          <w:tcPr>
            <w:tcW w:w="1060" w:type="dxa"/>
            <w:vAlign w:val="bottom"/>
          </w:tcPr>
          <w:p>
            <w:pPr>
              <w:jc w:val="center"/>
              <w:ind w:right="92"/>
              <w:spacing w:after="0"/>
              <w:rPr>
                <w:sz w:val="20"/>
                <w:szCs w:val="20"/>
                <w:color w:val="auto"/>
              </w:rPr>
            </w:pPr>
            <w:r>
              <w:rPr>
                <w:rFonts w:ascii="Arial" w:cs="Arial" w:eastAsia="Arial" w:hAnsi="Arial"/>
                <w:sz w:val="18"/>
                <w:szCs w:val="18"/>
                <w:color w:val="auto"/>
                <w:w w:val="84"/>
              </w:rPr>
              <w:t>Person</w:t>
            </w:r>
          </w:p>
        </w:tc>
        <w:tc>
          <w:tcPr>
            <w:tcW w:w="420" w:type="dxa"/>
            <w:vAlign w:val="bottom"/>
          </w:tcPr>
          <w:p>
            <w:pPr>
              <w:spacing w:after="0"/>
              <w:rPr>
                <w:sz w:val="18"/>
                <w:szCs w:val="18"/>
                <w:color w:val="auto"/>
              </w:rPr>
            </w:pPr>
          </w:p>
        </w:tc>
        <w:tc>
          <w:tcPr>
            <w:tcW w:w="9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1060" w:type="dxa"/>
            <w:vAlign w:val="bottom"/>
            <w:vMerge w:val="restart"/>
          </w:tcPr>
          <w:p>
            <w:pPr>
              <w:jc w:val="center"/>
              <w:ind w:right="92"/>
              <w:spacing w:after="0"/>
              <w:rPr>
                <w:sz w:val="20"/>
                <w:szCs w:val="20"/>
                <w:color w:val="auto"/>
              </w:rPr>
            </w:pPr>
            <w:r>
              <w:rPr>
                <w:rFonts w:ascii="Arial" w:cs="Arial" w:eastAsia="Arial" w:hAnsi="Arial"/>
                <w:sz w:val="18"/>
                <w:szCs w:val="18"/>
                <w:color w:val="auto"/>
                <w:w w:val="97"/>
              </w:rPr>
              <w:t>With:</w:t>
            </w:r>
          </w:p>
        </w:tc>
        <w:tc>
          <w:tcPr>
            <w:tcW w:w="420" w:type="dxa"/>
            <w:vAlign w:val="bottom"/>
            <w:tcBorders>
              <w:bottom w:val="single" w:sz="8" w:color="auto"/>
            </w:tcBorders>
          </w:tcPr>
          <w:p>
            <w:pPr>
              <w:spacing w:after="0"/>
              <w:rPr>
                <w:sz w:val="4"/>
                <w:szCs w:val="4"/>
                <w:color w:val="auto"/>
              </w:rPr>
            </w:pPr>
          </w:p>
        </w:tc>
        <w:tc>
          <w:tcPr>
            <w:tcW w:w="9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060" w:type="dxa"/>
            <w:vAlign w:val="bottom"/>
            <w:vMerge w:val="continue"/>
          </w:tcPr>
          <w:p>
            <w:pPr>
              <w:spacing w:after="0"/>
              <w:rPr>
                <w:sz w:val="18"/>
                <w:szCs w:val="18"/>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984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920"/>
        <w:spacing w:after="0"/>
        <w:rPr>
          <w:sz w:val="20"/>
          <w:szCs w:val="20"/>
          <w:color w:val="auto"/>
        </w:rPr>
      </w:pPr>
      <w:r>
        <w:rPr>
          <w:rFonts w:ascii="Arial" w:cs="Arial" w:eastAsia="Arial" w:hAnsi="Arial"/>
          <w:sz w:val="22"/>
          <w:szCs w:val="22"/>
          <w:color w:val="auto"/>
        </w:rPr>
        <w:t>2,035,975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80"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2,035,975</w:t>
      </w:r>
    </w:p>
    <w:p>
      <w:pPr>
        <w:spacing w:after="0" w:line="22" w:lineRule="exact"/>
        <w:rPr>
          <w:sz w:val="20"/>
          <w:szCs w:val="20"/>
          <w:color w:val="auto"/>
        </w:rPr>
      </w:pPr>
    </w:p>
    <w:p>
      <w:pPr>
        <w:spacing w:after="0" w:line="207" w:lineRule="exact"/>
        <w:tabs>
          <w:tab w:leader="none" w:pos="360" w:val="left"/>
          <w:tab w:leader="none" w:pos="11240" w:val="left"/>
        </w:tabs>
        <w:rPr>
          <w:sz w:val="20"/>
          <w:szCs w:val="20"/>
          <w:color w:val="auto"/>
        </w:rPr>
      </w:pPr>
      <w:r>
        <w:rPr>
          <w:rFonts w:ascii="Arial" w:cs="Arial" w:eastAsia="Arial" w:hAnsi="Arial"/>
          <w:sz w:val="18"/>
          <w:szCs w:val="18"/>
          <w:color w:val="auto"/>
        </w:rPr>
        <w:t>10.</w:t>
        <w:tab/>
        <w:t>Check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pacing w:after="0" w:line="280"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2.63%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80"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8 pages</w:t>
      </w:r>
    </w:p>
    <w:p>
      <w:pPr>
        <w:sectPr>
          <w:pgSz w:w="11900" w:h="16838" w:orient="portrait"/>
          <w:cols w:equalWidth="0" w:num="1">
            <w:col w:w="11420"/>
          </w:cols>
          <w:pgMar w:left="240" w:top="2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75886F107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Names of Reporting Persons.</w:t>
      </w:r>
    </w:p>
    <w:p>
      <w:pPr>
        <w:spacing w:after="0" w:line="233" w:lineRule="exact"/>
        <w:rPr>
          <w:sz w:val="20"/>
          <w:szCs w:val="20"/>
          <w:color w:val="auto"/>
        </w:rPr>
      </w:pPr>
    </w:p>
    <w:p>
      <w:pPr>
        <w:ind w:left="1020"/>
        <w:spacing w:after="0"/>
        <w:rPr>
          <w:sz w:val="20"/>
          <w:szCs w:val="20"/>
          <w:color w:val="auto"/>
        </w:rPr>
      </w:pPr>
      <w:r>
        <w:rPr>
          <w:rFonts w:ascii="Arial" w:cs="Arial" w:eastAsia="Arial" w:hAnsi="Arial"/>
          <w:sz w:val="22"/>
          <w:szCs w:val="22"/>
          <w:b w:val="1"/>
          <w:bCs w:val="1"/>
          <w:color w:val="auto"/>
        </w:rPr>
        <w:t>QVT Financial GP LLC</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I.R.S. Identification Nos. of above persons (entities only).</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11-3694007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380" w:hanging="284"/>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380" w:hanging="284"/>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1660" w:hanging="308"/>
        <w:spacing w:after="0"/>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199" w:lineRule="exact"/>
        <w:rPr>
          <w:sz w:val="20"/>
          <w:szCs w:val="20"/>
          <w:color w:val="auto"/>
        </w:rPr>
      </w:pPr>
    </w:p>
    <w:tbl>
      <w:tblPr>
        <w:tblLayout w:type="fixed"/>
        <w:tblInd w:w="100" w:type="dxa"/>
        <w:tblCellMar>
          <w:top w:w="0" w:type="dxa"/>
          <w:left w:w="0" w:type="dxa"/>
          <w:bottom w:w="0" w:type="dxa"/>
          <w:right w:w="0" w:type="dxa"/>
        </w:tblCellMar>
      </w:tblPr>
      <w:tr>
        <w:trPr>
          <w:trHeight w:val="278"/>
        </w:trPr>
        <w:tc>
          <w:tcPr>
            <w:tcW w:w="1060" w:type="dxa"/>
            <w:vAlign w:val="bottom"/>
          </w:tcPr>
          <w:p>
            <w:pPr>
              <w:jc w:val="center"/>
              <w:ind w:right="92"/>
              <w:spacing w:after="0"/>
              <w:rPr>
                <w:sz w:val="20"/>
                <w:szCs w:val="20"/>
                <w:color w:val="auto"/>
              </w:rPr>
            </w:pPr>
            <w:r>
              <w:rPr>
                <w:rFonts w:ascii="Arial" w:cs="Arial" w:eastAsia="Arial" w:hAnsi="Arial"/>
                <w:sz w:val="18"/>
                <w:szCs w:val="18"/>
                <w:color w:val="auto"/>
                <w:w w:val="90"/>
              </w:rPr>
              <w:t>Number of</w:t>
            </w:r>
          </w:p>
        </w:tc>
        <w:tc>
          <w:tcPr>
            <w:tcW w:w="42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ind w:left="3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8"/>
        </w:trPr>
        <w:tc>
          <w:tcPr>
            <w:tcW w:w="1060" w:type="dxa"/>
            <w:vAlign w:val="bottom"/>
          </w:tcPr>
          <w:p>
            <w:pPr>
              <w:jc w:val="center"/>
              <w:ind w:right="92"/>
              <w:spacing w:after="0"/>
              <w:rPr>
                <w:sz w:val="20"/>
                <w:szCs w:val="20"/>
                <w:color w:val="auto"/>
              </w:rPr>
            </w:pPr>
            <w:r>
              <w:rPr>
                <w:rFonts w:ascii="Arial" w:cs="Arial" w:eastAsia="Arial" w:hAnsi="Arial"/>
                <w:sz w:val="18"/>
                <w:szCs w:val="18"/>
                <w:color w:val="auto"/>
                <w:w w:val="84"/>
              </w:rPr>
              <w:t>Shares</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984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60" w:type="dxa"/>
            <w:vAlign w:val="bottom"/>
          </w:tcPr>
          <w:p>
            <w:pPr>
              <w:jc w:val="center"/>
              <w:ind w:right="112"/>
              <w:spacing w:after="0"/>
              <w:rPr>
                <w:sz w:val="20"/>
                <w:szCs w:val="20"/>
                <w:color w:val="auto"/>
              </w:rPr>
            </w:pPr>
            <w:r>
              <w:rPr>
                <w:rFonts w:ascii="Arial" w:cs="Arial" w:eastAsia="Arial" w:hAnsi="Arial"/>
                <w:sz w:val="18"/>
                <w:szCs w:val="18"/>
                <w:color w:val="auto"/>
                <w:w w:val="94"/>
              </w:rPr>
              <w:t>Beneficially</w:t>
            </w:r>
          </w:p>
        </w:tc>
        <w:tc>
          <w:tcPr>
            <w:tcW w:w="420" w:type="dxa"/>
            <w:vAlign w:val="bottom"/>
          </w:tcPr>
          <w:p>
            <w:pPr>
              <w:spacing w:after="0"/>
              <w:rPr>
                <w:sz w:val="18"/>
                <w:szCs w:val="18"/>
                <w:color w:val="auto"/>
              </w:rPr>
            </w:pPr>
          </w:p>
        </w:tc>
        <w:tc>
          <w:tcPr>
            <w:tcW w:w="9840" w:type="dxa"/>
            <w:vAlign w:val="bottom"/>
            <w:vMerge w:val="restart"/>
          </w:tcPr>
          <w:p>
            <w:pPr>
              <w:ind w:left="340"/>
              <w:spacing w:after="0"/>
              <w:rPr>
                <w:sz w:val="20"/>
                <w:szCs w:val="20"/>
                <w:color w:val="auto"/>
              </w:rPr>
            </w:pPr>
            <w:r>
              <w:rPr>
                <w:rFonts w:ascii="Arial" w:cs="Arial" w:eastAsia="Arial" w:hAnsi="Arial"/>
                <w:sz w:val="22"/>
                <w:szCs w:val="22"/>
                <w:color w:val="auto"/>
              </w:rPr>
              <w:t>2,035,975</w:t>
            </w:r>
          </w:p>
        </w:tc>
        <w:tc>
          <w:tcPr>
            <w:tcW w:w="0" w:type="dxa"/>
            <w:vAlign w:val="bottom"/>
          </w:tcPr>
          <w:p>
            <w:pPr>
              <w:spacing w:after="0"/>
              <w:rPr>
                <w:sz w:val="1"/>
                <w:szCs w:val="1"/>
                <w:color w:val="auto"/>
              </w:rPr>
            </w:pPr>
          </w:p>
        </w:tc>
      </w:tr>
      <w:tr>
        <w:trPr>
          <w:trHeight w:val="222"/>
        </w:trPr>
        <w:tc>
          <w:tcPr>
            <w:tcW w:w="1060" w:type="dxa"/>
            <w:vAlign w:val="bottom"/>
          </w:tcPr>
          <w:p>
            <w:pPr>
              <w:jc w:val="center"/>
              <w:ind w:right="92"/>
              <w:spacing w:after="0"/>
              <w:rPr>
                <w:sz w:val="20"/>
                <w:szCs w:val="20"/>
                <w:color w:val="auto"/>
              </w:rPr>
            </w:pPr>
            <w:r>
              <w:rPr>
                <w:rFonts w:ascii="Arial" w:cs="Arial" w:eastAsia="Arial" w:hAnsi="Arial"/>
                <w:sz w:val="18"/>
                <w:szCs w:val="18"/>
                <w:color w:val="auto"/>
                <w:w w:val="88"/>
              </w:rPr>
              <w:t>Owned by</w:t>
            </w:r>
          </w:p>
        </w:tc>
        <w:tc>
          <w:tcPr>
            <w:tcW w:w="420" w:type="dxa"/>
            <w:vAlign w:val="bottom"/>
            <w:tcBorders>
              <w:bottom w:val="single" w:sz="8" w:color="auto"/>
            </w:tcBorders>
          </w:tcPr>
          <w:p>
            <w:pPr>
              <w:spacing w:after="0"/>
              <w:rPr>
                <w:sz w:val="19"/>
                <w:szCs w:val="19"/>
                <w:color w:val="auto"/>
              </w:rPr>
            </w:pPr>
          </w:p>
        </w:tc>
        <w:tc>
          <w:tcPr>
            <w:tcW w:w="9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60" w:type="dxa"/>
            <w:vAlign w:val="bottom"/>
          </w:tcPr>
          <w:p>
            <w:pPr>
              <w:jc w:val="center"/>
              <w:ind w:right="92"/>
              <w:spacing w:after="0" w:line="190" w:lineRule="exact"/>
              <w:rPr>
                <w:sz w:val="20"/>
                <w:szCs w:val="20"/>
                <w:color w:val="auto"/>
              </w:rPr>
            </w:pPr>
            <w:r>
              <w:rPr>
                <w:rFonts w:ascii="Arial" w:cs="Arial" w:eastAsia="Arial" w:hAnsi="Arial"/>
                <w:sz w:val="18"/>
                <w:szCs w:val="18"/>
                <w:color w:val="auto"/>
                <w:w w:val="87"/>
              </w:rPr>
              <w:t>Each</w:t>
            </w:r>
          </w:p>
        </w:tc>
        <w:tc>
          <w:tcPr>
            <w:tcW w:w="420" w:type="dxa"/>
            <w:vAlign w:val="bottom"/>
          </w:tcPr>
          <w:p>
            <w:pPr>
              <w:jc w:val="right"/>
              <w:ind w:right="12"/>
              <w:spacing w:after="0" w:line="190" w:lineRule="exact"/>
              <w:rPr>
                <w:sz w:val="20"/>
                <w:szCs w:val="20"/>
                <w:color w:val="auto"/>
              </w:rPr>
            </w:pPr>
            <w:r>
              <w:rPr>
                <w:rFonts w:ascii="Arial" w:cs="Arial" w:eastAsia="Arial" w:hAnsi="Arial"/>
                <w:sz w:val="18"/>
                <w:szCs w:val="18"/>
                <w:color w:val="auto"/>
              </w:rPr>
              <w:t>7.</w:t>
            </w:r>
          </w:p>
        </w:tc>
        <w:tc>
          <w:tcPr>
            <w:tcW w:w="984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60" w:type="dxa"/>
            <w:vAlign w:val="bottom"/>
          </w:tcPr>
          <w:p>
            <w:pPr>
              <w:jc w:val="center"/>
              <w:ind w:right="112"/>
              <w:spacing w:after="0"/>
              <w:rPr>
                <w:sz w:val="20"/>
                <w:szCs w:val="20"/>
                <w:color w:val="auto"/>
              </w:rPr>
            </w:pPr>
            <w:r>
              <w:rPr>
                <w:rFonts w:ascii="Arial" w:cs="Arial" w:eastAsia="Arial" w:hAnsi="Arial"/>
                <w:sz w:val="18"/>
                <w:szCs w:val="18"/>
                <w:color w:val="auto"/>
                <w:w w:val="89"/>
              </w:rPr>
              <w:t>Reporting</w:t>
            </w:r>
          </w:p>
        </w:tc>
        <w:tc>
          <w:tcPr>
            <w:tcW w:w="420" w:type="dxa"/>
            <w:vAlign w:val="bottom"/>
          </w:tcPr>
          <w:p>
            <w:pPr>
              <w:spacing w:after="0"/>
              <w:rPr>
                <w:sz w:val="18"/>
                <w:szCs w:val="18"/>
                <w:color w:val="auto"/>
              </w:rPr>
            </w:pPr>
          </w:p>
        </w:tc>
        <w:tc>
          <w:tcPr>
            <w:tcW w:w="9840" w:type="dxa"/>
            <w:vAlign w:val="bottom"/>
            <w:vMerge w:val="restart"/>
          </w:tcPr>
          <w:p>
            <w:pPr>
              <w:ind w:left="3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16"/>
        </w:trPr>
        <w:tc>
          <w:tcPr>
            <w:tcW w:w="1060" w:type="dxa"/>
            <w:vAlign w:val="bottom"/>
          </w:tcPr>
          <w:p>
            <w:pPr>
              <w:jc w:val="center"/>
              <w:ind w:right="92"/>
              <w:spacing w:after="0"/>
              <w:rPr>
                <w:sz w:val="20"/>
                <w:szCs w:val="20"/>
                <w:color w:val="auto"/>
              </w:rPr>
            </w:pPr>
            <w:r>
              <w:rPr>
                <w:rFonts w:ascii="Arial" w:cs="Arial" w:eastAsia="Arial" w:hAnsi="Arial"/>
                <w:sz w:val="18"/>
                <w:szCs w:val="18"/>
                <w:color w:val="auto"/>
                <w:w w:val="84"/>
              </w:rPr>
              <w:t>Person</w:t>
            </w:r>
          </w:p>
        </w:tc>
        <w:tc>
          <w:tcPr>
            <w:tcW w:w="420" w:type="dxa"/>
            <w:vAlign w:val="bottom"/>
          </w:tcPr>
          <w:p>
            <w:pPr>
              <w:spacing w:after="0"/>
              <w:rPr>
                <w:sz w:val="18"/>
                <w:szCs w:val="18"/>
                <w:color w:val="auto"/>
              </w:rPr>
            </w:pPr>
          </w:p>
        </w:tc>
        <w:tc>
          <w:tcPr>
            <w:tcW w:w="9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1060" w:type="dxa"/>
            <w:vAlign w:val="bottom"/>
            <w:vMerge w:val="restart"/>
          </w:tcPr>
          <w:p>
            <w:pPr>
              <w:jc w:val="center"/>
              <w:ind w:right="92"/>
              <w:spacing w:after="0"/>
              <w:rPr>
                <w:sz w:val="20"/>
                <w:szCs w:val="20"/>
                <w:color w:val="auto"/>
              </w:rPr>
            </w:pPr>
            <w:r>
              <w:rPr>
                <w:rFonts w:ascii="Arial" w:cs="Arial" w:eastAsia="Arial" w:hAnsi="Arial"/>
                <w:sz w:val="18"/>
                <w:szCs w:val="18"/>
                <w:color w:val="auto"/>
                <w:w w:val="97"/>
              </w:rPr>
              <w:t>With:</w:t>
            </w:r>
          </w:p>
        </w:tc>
        <w:tc>
          <w:tcPr>
            <w:tcW w:w="420" w:type="dxa"/>
            <w:vAlign w:val="bottom"/>
            <w:tcBorders>
              <w:bottom w:val="single" w:sz="8" w:color="auto"/>
            </w:tcBorders>
          </w:tcPr>
          <w:p>
            <w:pPr>
              <w:spacing w:after="0"/>
              <w:rPr>
                <w:sz w:val="4"/>
                <w:szCs w:val="4"/>
                <w:color w:val="auto"/>
              </w:rPr>
            </w:pPr>
          </w:p>
        </w:tc>
        <w:tc>
          <w:tcPr>
            <w:tcW w:w="9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060" w:type="dxa"/>
            <w:vAlign w:val="bottom"/>
            <w:vMerge w:val="continue"/>
          </w:tcPr>
          <w:p>
            <w:pPr>
              <w:spacing w:after="0"/>
              <w:rPr>
                <w:sz w:val="18"/>
                <w:szCs w:val="18"/>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984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920"/>
        <w:spacing w:after="0"/>
        <w:rPr>
          <w:sz w:val="20"/>
          <w:szCs w:val="20"/>
          <w:color w:val="auto"/>
        </w:rPr>
      </w:pPr>
      <w:r>
        <w:rPr>
          <w:rFonts w:ascii="Arial" w:cs="Arial" w:eastAsia="Arial" w:hAnsi="Arial"/>
          <w:sz w:val="22"/>
          <w:szCs w:val="22"/>
          <w:color w:val="auto"/>
        </w:rPr>
        <w:t>2,035,975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80"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2,035,975</w:t>
      </w:r>
    </w:p>
    <w:p>
      <w:pPr>
        <w:spacing w:after="0" w:line="22" w:lineRule="exact"/>
        <w:rPr>
          <w:sz w:val="20"/>
          <w:szCs w:val="20"/>
          <w:color w:val="auto"/>
        </w:rPr>
      </w:pPr>
    </w:p>
    <w:p>
      <w:pPr>
        <w:spacing w:after="0" w:line="207" w:lineRule="exact"/>
        <w:tabs>
          <w:tab w:leader="none" w:pos="360" w:val="left"/>
          <w:tab w:leader="none" w:pos="11240" w:val="left"/>
        </w:tabs>
        <w:rPr>
          <w:sz w:val="20"/>
          <w:szCs w:val="20"/>
          <w:color w:val="auto"/>
        </w:rPr>
      </w:pPr>
      <w:r>
        <w:rPr>
          <w:rFonts w:ascii="Arial" w:cs="Arial" w:eastAsia="Arial" w:hAnsi="Arial"/>
          <w:sz w:val="18"/>
          <w:szCs w:val="18"/>
          <w:color w:val="auto"/>
        </w:rPr>
        <w:t>10.</w:t>
        <w:tab/>
        <w:t>Check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pacing w:after="0" w:line="280"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2.63%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80"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8 pages</w:t>
      </w:r>
    </w:p>
    <w:p>
      <w:pPr>
        <w:sectPr>
          <w:pgSz w:w="11900" w:h="16838" w:orient="portrait"/>
          <w:cols w:equalWidth="0" w:num="1">
            <w:col w:w="11420"/>
          </w:cols>
          <w:pgMar w:left="240" w:top="28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580" w:type="dxa"/>
            <w:vAlign w:val="bottom"/>
          </w:tcPr>
          <w:p>
            <w:pPr>
              <w:ind w:left="100"/>
              <w:spacing w:after="0"/>
              <w:rPr>
                <w:sz w:val="20"/>
                <w:szCs w:val="20"/>
                <w:color w:val="auto"/>
              </w:rPr>
            </w:pPr>
            <w:r>
              <w:rPr>
                <w:rFonts w:ascii="Arial" w:cs="Arial" w:eastAsia="Arial" w:hAnsi="Arial"/>
                <w:sz w:val="18"/>
                <w:szCs w:val="18"/>
                <w:b w:val="1"/>
                <w:bCs w:val="1"/>
                <w:color w:val="auto"/>
              </w:rPr>
              <w:t>(a).</w:t>
            </w:r>
          </w:p>
        </w:tc>
        <w:tc>
          <w:tcPr>
            <w:tcW w:w="8060" w:type="dxa"/>
            <w:vAlign w:val="bottom"/>
          </w:tcPr>
          <w:p>
            <w:pPr>
              <w:ind w:left="220"/>
              <w:spacing w:after="0"/>
              <w:rPr>
                <w:sz w:val="20"/>
                <w:szCs w:val="20"/>
                <w:color w:val="auto"/>
              </w:rPr>
            </w:pPr>
            <w:r>
              <w:rPr>
                <w:rFonts w:ascii="Arial" w:cs="Arial" w:eastAsia="Arial" w:hAnsi="Arial"/>
                <w:sz w:val="18"/>
                <w:szCs w:val="18"/>
                <w:color w:val="auto"/>
              </w:rPr>
              <w:t>Name of Issuer</w:t>
            </w:r>
          </w:p>
        </w:tc>
      </w:tr>
      <w:tr>
        <w:trPr>
          <w:trHeight w:val="324"/>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60" w:type="dxa"/>
            <w:vAlign w:val="bottom"/>
          </w:tcPr>
          <w:p>
            <w:pPr>
              <w:ind w:left="220"/>
              <w:spacing w:after="0"/>
              <w:rPr>
                <w:sz w:val="20"/>
                <w:szCs w:val="20"/>
                <w:color w:val="auto"/>
              </w:rPr>
            </w:pPr>
            <w:r>
              <w:rPr>
                <w:rFonts w:ascii="Arial" w:cs="Arial" w:eastAsia="Arial" w:hAnsi="Arial"/>
                <w:sz w:val="18"/>
                <w:szCs w:val="18"/>
                <w:color w:val="auto"/>
              </w:rPr>
              <w:t>Regeneron Pharmaceuticals, Inc. (the “Issuer”)</w:t>
            </w:r>
          </w:p>
        </w:tc>
      </w:tr>
      <w:tr>
        <w:trPr>
          <w:trHeight w:val="324"/>
        </w:trPr>
        <w:tc>
          <w:tcPr>
            <w:tcW w:w="6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580" w:type="dxa"/>
            <w:vAlign w:val="bottom"/>
          </w:tcPr>
          <w:p>
            <w:pPr>
              <w:ind w:left="100"/>
              <w:spacing w:after="0"/>
              <w:rPr>
                <w:sz w:val="20"/>
                <w:szCs w:val="20"/>
                <w:color w:val="auto"/>
              </w:rPr>
            </w:pPr>
            <w:r>
              <w:rPr>
                <w:rFonts w:ascii="Arial" w:cs="Arial" w:eastAsia="Arial" w:hAnsi="Arial"/>
                <w:sz w:val="18"/>
                <w:szCs w:val="18"/>
                <w:b w:val="1"/>
                <w:bCs w:val="1"/>
                <w:color w:val="auto"/>
              </w:rPr>
              <w:t>(b).</w:t>
            </w:r>
          </w:p>
        </w:tc>
        <w:tc>
          <w:tcPr>
            <w:tcW w:w="8060" w:type="dxa"/>
            <w:vAlign w:val="bottom"/>
          </w:tcPr>
          <w:p>
            <w:pPr>
              <w:ind w:left="220"/>
              <w:spacing w:after="0"/>
              <w:rPr>
                <w:sz w:val="20"/>
                <w:szCs w:val="20"/>
                <w:color w:val="auto"/>
              </w:rPr>
            </w:pPr>
            <w:r>
              <w:rPr>
                <w:rFonts w:ascii="Arial" w:cs="Arial" w:eastAsia="Arial" w:hAnsi="Arial"/>
                <w:sz w:val="18"/>
                <w:szCs w:val="18"/>
                <w:color w:val="auto"/>
              </w:rPr>
              <w:t>Address of Issuer’s Principal Executive Offices</w:t>
            </w:r>
          </w:p>
        </w:tc>
      </w:tr>
      <w:tr>
        <w:trPr>
          <w:trHeight w:val="324"/>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60" w:type="dxa"/>
            <w:vAlign w:val="bottom"/>
          </w:tcPr>
          <w:p>
            <w:pPr>
              <w:ind w:left="220"/>
              <w:spacing w:after="0"/>
              <w:rPr>
                <w:sz w:val="20"/>
                <w:szCs w:val="20"/>
                <w:color w:val="auto"/>
              </w:rPr>
            </w:pPr>
            <w:r>
              <w:rPr>
                <w:rFonts w:ascii="Arial" w:cs="Arial" w:eastAsia="Arial" w:hAnsi="Arial"/>
                <w:sz w:val="18"/>
                <w:szCs w:val="18"/>
                <w:color w:val="auto"/>
              </w:rPr>
              <w:t>The address of the Issuer’s principal executive offices is:</w:t>
            </w:r>
          </w:p>
        </w:tc>
      </w:tr>
      <w:tr>
        <w:trPr>
          <w:trHeight w:val="297"/>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60" w:type="dxa"/>
            <w:vAlign w:val="bottom"/>
          </w:tcPr>
          <w:p>
            <w:pPr>
              <w:ind w:left="220"/>
              <w:spacing w:after="0"/>
              <w:rPr>
                <w:sz w:val="20"/>
                <w:szCs w:val="20"/>
                <w:color w:val="auto"/>
              </w:rPr>
            </w:pPr>
            <w:r>
              <w:rPr>
                <w:rFonts w:ascii="Arial" w:cs="Arial" w:eastAsia="Arial" w:hAnsi="Arial"/>
                <w:sz w:val="18"/>
                <w:szCs w:val="18"/>
                <w:color w:val="auto"/>
              </w:rPr>
              <w:t>777 Old Saw Mill River Road, Tarrytown, New York 10591, United States</w:t>
            </w:r>
          </w:p>
        </w:tc>
      </w:tr>
      <w:tr>
        <w:trPr>
          <w:trHeight w:val="338"/>
        </w:trPr>
        <w:tc>
          <w:tcPr>
            <w:tcW w:w="6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80" w:type="dxa"/>
            <w:vAlign w:val="bottom"/>
          </w:tcPr>
          <w:p>
            <w:pPr>
              <w:ind w:left="100"/>
              <w:spacing w:after="0"/>
              <w:rPr>
                <w:sz w:val="20"/>
                <w:szCs w:val="20"/>
                <w:color w:val="auto"/>
              </w:rPr>
            </w:pPr>
            <w:r>
              <w:rPr>
                <w:rFonts w:ascii="Arial" w:cs="Arial" w:eastAsia="Arial" w:hAnsi="Arial"/>
                <w:sz w:val="18"/>
                <w:szCs w:val="18"/>
                <w:b w:val="1"/>
                <w:bCs w:val="1"/>
                <w:color w:val="auto"/>
              </w:rPr>
              <w:t>(a).</w:t>
            </w:r>
          </w:p>
        </w:tc>
        <w:tc>
          <w:tcPr>
            <w:tcW w:w="8060" w:type="dxa"/>
            <w:vAlign w:val="bottom"/>
          </w:tcPr>
          <w:p>
            <w:pPr>
              <w:ind w:left="220"/>
              <w:spacing w:after="0"/>
              <w:rPr>
                <w:sz w:val="20"/>
                <w:szCs w:val="20"/>
                <w:color w:val="auto"/>
              </w:rPr>
            </w:pPr>
            <w:r>
              <w:rPr>
                <w:rFonts w:ascii="Arial" w:cs="Arial" w:eastAsia="Arial" w:hAnsi="Arial"/>
                <w:sz w:val="18"/>
                <w:szCs w:val="18"/>
                <w:color w:val="auto"/>
              </w:rPr>
              <w:t>Name of Person Filing</w:t>
            </w:r>
          </w:p>
        </w:tc>
      </w:tr>
      <w:tr>
        <w:trPr>
          <w:trHeight w:val="324"/>
        </w:trPr>
        <w:tc>
          <w:tcPr>
            <w:tcW w:w="6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80" w:type="dxa"/>
            <w:vAlign w:val="bottom"/>
          </w:tcPr>
          <w:p>
            <w:pPr>
              <w:ind w:left="100"/>
              <w:spacing w:after="0"/>
              <w:rPr>
                <w:sz w:val="20"/>
                <w:szCs w:val="20"/>
                <w:color w:val="auto"/>
              </w:rPr>
            </w:pPr>
            <w:r>
              <w:rPr>
                <w:rFonts w:ascii="Arial" w:cs="Arial" w:eastAsia="Arial" w:hAnsi="Arial"/>
                <w:sz w:val="18"/>
                <w:szCs w:val="18"/>
                <w:b w:val="1"/>
                <w:bCs w:val="1"/>
                <w:color w:val="auto"/>
              </w:rPr>
              <w:t>(b).</w:t>
            </w:r>
          </w:p>
        </w:tc>
        <w:tc>
          <w:tcPr>
            <w:tcW w:w="8060" w:type="dxa"/>
            <w:vAlign w:val="bottom"/>
          </w:tcPr>
          <w:p>
            <w:pPr>
              <w:ind w:left="220"/>
              <w:spacing w:after="0"/>
              <w:rPr>
                <w:sz w:val="20"/>
                <w:szCs w:val="20"/>
                <w:color w:val="auto"/>
              </w:rPr>
            </w:pPr>
            <w:r>
              <w:rPr>
                <w:rFonts w:ascii="Arial" w:cs="Arial" w:eastAsia="Arial" w:hAnsi="Arial"/>
                <w:sz w:val="18"/>
                <w:szCs w:val="18"/>
                <w:color w:val="auto"/>
              </w:rPr>
              <w:t>Address of Principal Business Office or, if none, Residence</w:t>
            </w:r>
          </w:p>
        </w:tc>
      </w:tr>
      <w:tr>
        <w:trPr>
          <w:trHeight w:val="324"/>
        </w:trPr>
        <w:tc>
          <w:tcPr>
            <w:tcW w:w="6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80" w:type="dxa"/>
            <w:vAlign w:val="bottom"/>
          </w:tcPr>
          <w:p>
            <w:pPr>
              <w:ind w:left="100"/>
              <w:spacing w:after="0"/>
              <w:rPr>
                <w:sz w:val="20"/>
                <w:szCs w:val="20"/>
                <w:color w:val="auto"/>
              </w:rPr>
            </w:pPr>
            <w:r>
              <w:rPr>
                <w:rFonts w:ascii="Arial" w:cs="Arial" w:eastAsia="Arial" w:hAnsi="Arial"/>
                <w:sz w:val="18"/>
                <w:szCs w:val="18"/>
                <w:b w:val="1"/>
                <w:bCs w:val="1"/>
                <w:color w:val="auto"/>
              </w:rPr>
              <w:t>(c).</w:t>
            </w:r>
          </w:p>
        </w:tc>
        <w:tc>
          <w:tcPr>
            <w:tcW w:w="8060" w:type="dxa"/>
            <w:vAlign w:val="bottom"/>
          </w:tcPr>
          <w:p>
            <w:pPr>
              <w:ind w:left="220"/>
              <w:spacing w:after="0"/>
              <w:rPr>
                <w:sz w:val="20"/>
                <w:szCs w:val="20"/>
                <w:color w:val="auto"/>
              </w:rPr>
            </w:pPr>
            <w:r>
              <w:rPr>
                <w:rFonts w:ascii="Arial" w:cs="Arial" w:eastAsia="Arial" w:hAnsi="Arial"/>
                <w:sz w:val="18"/>
                <w:szCs w:val="18"/>
                <w:color w:val="auto"/>
              </w:rPr>
              <w:t>Citizenship</w:t>
            </w:r>
          </w:p>
        </w:tc>
      </w:tr>
      <w:tr>
        <w:trPr>
          <w:trHeight w:val="318"/>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60" w:type="dxa"/>
            <w:vAlign w:val="bottom"/>
          </w:tcPr>
          <w:p>
            <w:pPr>
              <w:ind w:left="220"/>
              <w:spacing w:after="0"/>
              <w:rPr>
                <w:sz w:val="20"/>
                <w:szCs w:val="20"/>
                <w:color w:val="auto"/>
              </w:rPr>
            </w:pPr>
            <w:r>
              <w:rPr>
                <w:rFonts w:ascii="Arial" w:cs="Arial" w:eastAsia="Arial" w:hAnsi="Arial"/>
                <w:sz w:val="18"/>
                <w:szCs w:val="18"/>
                <w:color w:val="auto"/>
              </w:rPr>
              <w:t>QVT Financial LP</w:t>
            </w:r>
          </w:p>
        </w:tc>
      </w:tr>
      <w:tr>
        <w:trPr>
          <w:trHeight w:val="216"/>
        </w:trPr>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60" w:type="dxa"/>
            <w:vAlign w:val="bottom"/>
          </w:tcPr>
          <w:p>
            <w:pPr>
              <w:ind w:left="220"/>
              <w:spacing w:after="0"/>
              <w:rPr>
                <w:sz w:val="20"/>
                <w:szCs w:val="20"/>
                <w:color w:val="auto"/>
              </w:rPr>
            </w:pPr>
            <w:r>
              <w:rPr>
                <w:rFonts w:ascii="Arial" w:cs="Arial" w:eastAsia="Arial" w:hAnsi="Arial"/>
                <w:sz w:val="18"/>
                <w:szCs w:val="18"/>
                <w:color w:val="auto"/>
              </w:rPr>
              <w:t>1177 Avenue of the Americas, 9th Floor</w:t>
            </w:r>
          </w:p>
        </w:tc>
      </w:tr>
      <w:tr>
        <w:trPr>
          <w:trHeight w:val="216"/>
        </w:trPr>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60" w:type="dxa"/>
            <w:vAlign w:val="bottom"/>
          </w:tcPr>
          <w:p>
            <w:pPr>
              <w:ind w:left="220"/>
              <w:spacing w:after="0"/>
              <w:rPr>
                <w:sz w:val="20"/>
                <w:szCs w:val="20"/>
                <w:color w:val="auto"/>
              </w:rPr>
            </w:pPr>
            <w:r>
              <w:rPr>
                <w:rFonts w:ascii="Arial" w:cs="Arial" w:eastAsia="Arial" w:hAnsi="Arial"/>
                <w:sz w:val="18"/>
                <w:szCs w:val="18"/>
                <w:color w:val="auto"/>
              </w:rPr>
              <w:t>New York, New York 10036</w:t>
            </w:r>
          </w:p>
        </w:tc>
      </w:tr>
      <w:tr>
        <w:trPr>
          <w:trHeight w:val="222"/>
        </w:trPr>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60" w:type="dxa"/>
            <w:vAlign w:val="bottom"/>
          </w:tcPr>
          <w:p>
            <w:pPr>
              <w:ind w:left="220"/>
              <w:spacing w:after="0"/>
              <w:rPr>
                <w:sz w:val="20"/>
                <w:szCs w:val="20"/>
                <w:color w:val="auto"/>
              </w:rPr>
            </w:pPr>
            <w:r>
              <w:rPr>
                <w:rFonts w:ascii="Arial" w:cs="Arial" w:eastAsia="Arial" w:hAnsi="Arial"/>
                <w:sz w:val="18"/>
                <w:szCs w:val="18"/>
                <w:color w:val="auto"/>
              </w:rPr>
              <w:t>Delaware Limited Partnership</w:t>
            </w:r>
          </w:p>
        </w:tc>
      </w:tr>
      <w:tr>
        <w:trPr>
          <w:trHeight w:val="412"/>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60" w:type="dxa"/>
            <w:vAlign w:val="bottom"/>
          </w:tcPr>
          <w:p>
            <w:pPr>
              <w:ind w:left="220"/>
              <w:spacing w:after="0"/>
              <w:rPr>
                <w:sz w:val="20"/>
                <w:szCs w:val="20"/>
                <w:color w:val="auto"/>
              </w:rPr>
            </w:pPr>
            <w:r>
              <w:rPr>
                <w:rFonts w:ascii="Arial" w:cs="Arial" w:eastAsia="Arial" w:hAnsi="Arial"/>
                <w:sz w:val="18"/>
                <w:szCs w:val="18"/>
                <w:color w:val="auto"/>
              </w:rPr>
              <w:t>QVT Financial GP LLC</w:t>
            </w:r>
          </w:p>
        </w:tc>
      </w:tr>
      <w:tr>
        <w:trPr>
          <w:trHeight w:val="216"/>
        </w:trPr>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60" w:type="dxa"/>
            <w:vAlign w:val="bottom"/>
          </w:tcPr>
          <w:p>
            <w:pPr>
              <w:ind w:left="220"/>
              <w:spacing w:after="0"/>
              <w:rPr>
                <w:sz w:val="20"/>
                <w:szCs w:val="20"/>
                <w:color w:val="auto"/>
              </w:rPr>
            </w:pPr>
            <w:r>
              <w:rPr>
                <w:rFonts w:ascii="Arial" w:cs="Arial" w:eastAsia="Arial" w:hAnsi="Arial"/>
                <w:sz w:val="18"/>
                <w:szCs w:val="18"/>
                <w:color w:val="auto"/>
              </w:rPr>
              <w:t>1177 Avenue of the Americas, 9th Floor</w:t>
            </w:r>
          </w:p>
        </w:tc>
      </w:tr>
      <w:tr>
        <w:trPr>
          <w:trHeight w:val="216"/>
        </w:trPr>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60" w:type="dxa"/>
            <w:vAlign w:val="bottom"/>
          </w:tcPr>
          <w:p>
            <w:pPr>
              <w:ind w:left="220"/>
              <w:spacing w:after="0"/>
              <w:rPr>
                <w:sz w:val="20"/>
                <w:szCs w:val="20"/>
                <w:color w:val="auto"/>
              </w:rPr>
            </w:pPr>
            <w:r>
              <w:rPr>
                <w:rFonts w:ascii="Arial" w:cs="Arial" w:eastAsia="Arial" w:hAnsi="Arial"/>
                <w:sz w:val="18"/>
                <w:szCs w:val="18"/>
                <w:color w:val="auto"/>
              </w:rPr>
              <w:t>New York, New York 10036</w:t>
            </w:r>
          </w:p>
        </w:tc>
      </w:tr>
      <w:tr>
        <w:trPr>
          <w:trHeight w:val="222"/>
        </w:trPr>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60" w:type="dxa"/>
            <w:vAlign w:val="bottom"/>
          </w:tcPr>
          <w:p>
            <w:pPr>
              <w:ind w:left="220"/>
              <w:spacing w:after="0"/>
              <w:rPr>
                <w:sz w:val="20"/>
                <w:szCs w:val="20"/>
                <w:color w:val="auto"/>
              </w:rPr>
            </w:pPr>
            <w:r>
              <w:rPr>
                <w:rFonts w:ascii="Arial" w:cs="Arial" w:eastAsia="Arial" w:hAnsi="Arial"/>
                <w:sz w:val="18"/>
                <w:szCs w:val="18"/>
                <w:color w:val="auto"/>
              </w:rPr>
              <w:t>Delaware Limited Liability Company</w:t>
            </w:r>
          </w:p>
        </w:tc>
      </w:tr>
      <w:tr>
        <w:trPr>
          <w:trHeight w:val="338"/>
        </w:trPr>
        <w:tc>
          <w:tcPr>
            <w:tcW w:w="6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80" w:type="dxa"/>
            <w:vAlign w:val="bottom"/>
          </w:tcPr>
          <w:p>
            <w:pPr>
              <w:ind w:left="100"/>
              <w:spacing w:after="0"/>
              <w:rPr>
                <w:sz w:val="20"/>
                <w:szCs w:val="20"/>
                <w:color w:val="auto"/>
              </w:rPr>
            </w:pPr>
            <w:r>
              <w:rPr>
                <w:rFonts w:ascii="Arial" w:cs="Arial" w:eastAsia="Arial" w:hAnsi="Arial"/>
                <w:sz w:val="18"/>
                <w:szCs w:val="18"/>
                <w:b w:val="1"/>
                <w:bCs w:val="1"/>
                <w:color w:val="auto"/>
              </w:rPr>
              <w:t>(d).</w:t>
            </w:r>
          </w:p>
        </w:tc>
        <w:tc>
          <w:tcPr>
            <w:tcW w:w="8060" w:type="dxa"/>
            <w:vAlign w:val="bottom"/>
          </w:tcPr>
          <w:p>
            <w:pPr>
              <w:ind w:left="220"/>
              <w:spacing w:after="0"/>
              <w:rPr>
                <w:sz w:val="20"/>
                <w:szCs w:val="20"/>
                <w:color w:val="auto"/>
              </w:rPr>
            </w:pPr>
            <w:r>
              <w:rPr>
                <w:rFonts w:ascii="Arial" w:cs="Arial" w:eastAsia="Arial" w:hAnsi="Arial"/>
                <w:sz w:val="18"/>
                <w:szCs w:val="18"/>
                <w:color w:val="auto"/>
              </w:rPr>
              <w:t>Title of Class of Securities</w:t>
            </w:r>
          </w:p>
        </w:tc>
      </w:tr>
      <w:tr>
        <w:trPr>
          <w:trHeight w:val="324"/>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60" w:type="dxa"/>
            <w:vAlign w:val="bottom"/>
          </w:tcPr>
          <w:p>
            <w:pPr>
              <w:ind w:left="220"/>
              <w:spacing w:after="0"/>
              <w:rPr>
                <w:sz w:val="20"/>
                <w:szCs w:val="20"/>
                <w:color w:val="auto"/>
              </w:rPr>
            </w:pPr>
            <w:r>
              <w:rPr>
                <w:rFonts w:ascii="Arial" w:cs="Arial" w:eastAsia="Arial" w:hAnsi="Arial"/>
                <w:sz w:val="18"/>
                <w:szCs w:val="18"/>
                <w:color w:val="auto"/>
              </w:rPr>
              <w:t>Common Stock, $0.001 par value (the “Common Stock”).</w:t>
            </w:r>
          </w:p>
        </w:tc>
      </w:tr>
      <w:tr>
        <w:trPr>
          <w:trHeight w:val="324"/>
        </w:trPr>
        <w:tc>
          <w:tcPr>
            <w:tcW w:w="6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80" w:type="dxa"/>
            <w:vAlign w:val="bottom"/>
          </w:tcPr>
          <w:p>
            <w:pPr>
              <w:ind w:left="100"/>
              <w:spacing w:after="0"/>
              <w:rPr>
                <w:sz w:val="20"/>
                <w:szCs w:val="20"/>
                <w:color w:val="auto"/>
              </w:rPr>
            </w:pPr>
            <w:r>
              <w:rPr>
                <w:rFonts w:ascii="Arial" w:cs="Arial" w:eastAsia="Arial" w:hAnsi="Arial"/>
                <w:sz w:val="18"/>
                <w:szCs w:val="18"/>
                <w:b w:val="1"/>
                <w:bCs w:val="1"/>
                <w:color w:val="auto"/>
              </w:rPr>
              <w:t>(e).</w:t>
            </w:r>
          </w:p>
        </w:tc>
        <w:tc>
          <w:tcPr>
            <w:tcW w:w="8060" w:type="dxa"/>
            <w:vAlign w:val="bottom"/>
          </w:tcPr>
          <w:p>
            <w:pPr>
              <w:ind w:left="220"/>
              <w:spacing w:after="0"/>
              <w:rPr>
                <w:sz w:val="20"/>
                <w:szCs w:val="20"/>
                <w:color w:val="auto"/>
              </w:rPr>
            </w:pPr>
            <w:r>
              <w:rPr>
                <w:rFonts w:ascii="Arial" w:cs="Arial" w:eastAsia="Arial" w:hAnsi="Arial"/>
                <w:sz w:val="18"/>
                <w:szCs w:val="18"/>
                <w:color w:val="auto"/>
              </w:rPr>
              <w:t>CUSIP Number</w:t>
            </w:r>
          </w:p>
        </w:tc>
      </w:tr>
      <w:tr>
        <w:trPr>
          <w:trHeight w:val="324"/>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60" w:type="dxa"/>
            <w:vAlign w:val="bottom"/>
          </w:tcPr>
          <w:p>
            <w:pPr>
              <w:ind w:left="220"/>
              <w:spacing w:after="0"/>
              <w:rPr>
                <w:sz w:val="20"/>
                <w:szCs w:val="20"/>
                <w:color w:val="auto"/>
              </w:rPr>
            </w:pPr>
            <w:r>
              <w:rPr>
                <w:rFonts w:ascii="Arial" w:cs="Arial" w:eastAsia="Arial" w:hAnsi="Arial"/>
                <w:sz w:val="18"/>
                <w:szCs w:val="18"/>
                <w:color w:val="auto"/>
              </w:rPr>
              <w:t>The CUSIP number of the Common Stock is 75886F107.</w:t>
            </w:r>
          </w:p>
        </w:tc>
      </w:tr>
      <w:tr>
        <w:trPr>
          <w:trHeight w:val="324"/>
        </w:trPr>
        <w:tc>
          <w:tcPr>
            <w:tcW w:w="6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8640" w:type="dxa"/>
            <w:vAlign w:val="bottom"/>
            <w:gridSpan w:val="2"/>
          </w:tcPr>
          <w:p>
            <w:pPr>
              <w:ind w:left="100"/>
              <w:spacing w:after="0"/>
              <w:rPr>
                <w:sz w:val="20"/>
                <w:szCs w:val="20"/>
                <w:color w:val="auto"/>
              </w:rPr>
            </w:pPr>
            <w:r>
              <w:rPr>
                <w:rFonts w:ascii="Arial" w:cs="Arial" w:eastAsia="Arial" w:hAnsi="Arial"/>
                <w:sz w:val="18"/>
                <w:szCs w:val="18"/>
                <w:b w:val="1"/>
                <w:bCs w:val="1"/>
                <w:color w:val="auto"/>
                <w:w w:val="90"/>
              </w:rPr>
              <w:t>If this statement is filed pursuant to §§ 240.13d-1(b) or 240.13d-2(b) or (c), check whether the person filing is a:</w:t>
            </w:r>
          </w:p>
        </w:tc>
      </w:tr>
      <w:tr>
        <w:trPr>
          <w:trHeight w:val="344"/>
        </w:trPr>
        <w:tc>
          <w:tcPr>
            <w:tcW w:w="6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(a)</w:t>
            </w:r>
          </w:p>
        </w:tc>
        <w:tc>
          <w:tcPr>
            <w:tcW w:w="8060" w:type="dxa"/>
            <w:vAlign w:val="bottom"/>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tc>
      </w:tr>
      <w:tr>
        <w:trPr>
          <w:trHeight w:val="324"/>
        </w:trPr>
        <w:tc>
          <w:tcPr>
            <w:tcW w:w="6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(b)</w:t>
            </w:r>
          </w:p>
        </w:tc>
        <w:tc>
          <w:tcPr>
            <w:tcW w:w="8060" w:type="dxa"/>
            <w:vAlign w:val="bottom"/>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tc>
      </w:tr>
      <w:tr>
        <w:trPr>
          <w:trHeight w:val="324"/>
        </w:trPr>
        <w:tc>
          <w:tcPr>
            <w:tcW w:w="6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(c)</w:t>
            </w:r>
          </w:p>
        </w:tc>
        <w:tc>
          <w:tcPr>
            <w:tcW w:w="8060" w:type="dxa"/>
            <w:vAlign w:val="bottom"/>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tc>
      </w:tr>
      <w:tr>
        <w:trPr>
          <w:trHeight w:val="324"/>
        </w:trPr>
        <w:tc>
          <w:tcPr>
            <w:tcW w:w="6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(d)</w:t>
            </w:r>
          </w:p>
        </w:tc>
        <w:tc>
          <w:tcPr>
            <w:tcW w:w="8060" w:type="dxa"/>
            <w:vAlign w:val="bottom"/>
          </w:tcPr>
          <w:p>
            <w:pPr>
              <w:ind w:left="220"/>
              <w:spacing w:after="0" w:line="207" w:lineRule="exact"/>
              <w:rPr>
                <w:sz w:val="20"/>
                <w:szCs w:val="20"/>
                <w:color w:val="auto"/>
              </w:rPr>
            </w:pPr>
            <w:r>
              <w:rPr>
                <w:rFonts w:ascii="MS PGothic" w:cs="MS PGothic" w:eastAsia="MS PGothic" w:hAnsi="MS PGothic"/>
                <w:sz w:val="18"/>
                <w:szCs w:val="18"/>
                <w:color w:val="auto"/>
                <w:w w:val="89"/>
              </w:rPr>
              <w:t>☐</w:t>
            </w:r>
            <w:r>
              <w:rPr>
                <w:rFonts w:ascii="Arial" w:cs="Arial" w:eastAsia="Arial" w:hAnsi="Arial"/>
                <w:sz w:val="18"/>
                <w:szCs w:val="18"/>
                <w:color w:val="auto"/>
                <w:w w:val="89"/>
              </w:rPr>
              <w:t xml:space="preserve"> Investment company registered under section 8 of the Investment Company Act of 1940 (15 U.S.C. 80a-8).</w:t>
            </w:r>
          </w:p>
        </w:tc>
      </w:tr>
      <w:tr>
        <w:trPr>
          <w:trHeight w:val="324"/>
        </w:trPr>
        <w:tc>
          <w:tcPr>
            <w:tcW w:w="6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(e)</w:t>
            </w:r>
          </w:p>
        </w:tc>
        <w:tc>
          <w:tcPr>
            <w:tcW w:w="8060" w:type="dxa"/>
            <w:vAlign w:val="bottom"/>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 240.13d-1(b)(1)(ii)(E);</w:t>
            </w:r>
          </w:p>
        </w:tc>
      </w:tr>
      <w:tr>
        <w:trPr>
          <w:trHeight w:val="324"/>
        </w:trPr>
        <w:tc>
          <w:tcPr>
            <w:tcW w:w="6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(f)</w:t>
            </w:r>
          </w:p>
        </w:tc>
        <w:tc>
          <w:tcPr>
            <w:tcW w:w="8060" w:type="dxa"/>
            <w:vAlign w:val="bottom"/>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 240.13d-1(b)(1)(ii)(F);</w:t>
            </w:r>
          </w:p>
        </w:tc>
      </w:tr>
      <w:tr>
        <w:trPr>
          <w:trHeight w:val="324"/>
        </w:trPr>
        <w:tc>
          <w:tcPr>
            <w:tcW w:w="6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(g)</w:t>
            </w:r>
          </w:p>
        </w:tc>
        <w:tc>
          <w:tcPr>
            <w:tcW w:w="8060" w:type="dxa"/>
            <w:vAlign w:val="bottom"/>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tc>
      </w:tr>
      <w:tr>
        <w:trPr>
          <w:trHeight w:val="345"/>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60" w:type="dxa"/>
            <w:vAlign w:val="bottom"/>
          </w:tcPr>
          <w:p>
            <w:pPr>
              <w:ind w:left="3900"/>
              <w:spacing w:after="0"/>
              <w:rPr>
                <w:sz w:val="20"/>
                <w:szCs w:val="20"/>
                <w:color w:val="auto"/>
              </w:rPr>
            </w:pPr>
            <w:r>
              <w:rPr>
                <w:rFonts w:ascii="Arial" w:cs="Arial" w:eastAsia="Arial" w:hAnsi="Arial"/>
                <w:sz w:val="18"/>
                <w:szCs w:val="18"/>
                <w:color w:val="auto"/>
              </w:rPr>
              <w:t>Page 4 of 8 pages</w:t>
            </w:r>
          </w:p>
        </w:tc>
      </w:tr>
    </w:tbl>
    <w:p>
      <w:pPr>
        <w:ind w:left="3900"/>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 w:name="page5"/>
    <w:bookmarkEnd w:id="4"/>
    <w:p>
      <w:pPr>
        <w:ind w:left="1320" w:hanging="677"/>
        <w:spacing w:after="0" w:line="207" w:lineRule="exact"/>
        <w:tabs>
          <w:tab w:leader="none" w:pos="13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620" w:right="360" w:hanging="977"/>
        <w:spacing w:after="0" w:line="236" w:lineRule="exact"/>
        <w:tabs>
          <w:tab w:leader="none" w:pos="1323"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677"/>
        <w:spacing w:after="0" w:line="207" w:lineRule="exact"/>
        <w:tabs>
          <w:tab w:leader="none" w:pos="13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§240.13d–1(b)(1)(ii)(J);</w:t>
      </w:r>
    </w:p>
    <w:p>
      <w:pPr>
        <w:spacing w:after="0" w:line="117" w:lineRule="exact"/>
        <w:rPr>
          <w:rFonts w:ascii="Arial" w:cs="Arial" w:eastAsia="Arial" w:hAnsi="Arial"/>
          <w:sz w:val="18"/>
          <w:szCs w:val="18"/>
          <w:color w:val="auto"/>
        </w:rPr>
      </w:pPr>
    </w:p>
    <w:p>
      <w:pPr>
        <w:ind w:left="1320" w:hanging="677"/>
        <w:spacing w:after="0" w:line="184" w:lineRule="exact"/>
        <w:tabs>
          <w:tab w:leader="none" w:pos="1320" w:val="left"/>
        </w:tabs>
        <w:numPr>
          <w:ilvl w:val="0"/>
          <w:numId w:val="8"/>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Group, in accordance with §240.13d–1(b)(1)(ii)(K). If filing as a non-U.S. institution in accordance with §240.13d–1(b)(1)</w:t>
      </w:r>
    </w:p>
    <w:p>
      <w:pPr>
        <w:spacing w:after="0" w:line="79" w:lineRule="exact"/>
        <w:rPr>
          <w:sz w:val="20"/>
          <w:szCs w:val="20"/>
          <w:color w:val="auto"/>
        </w:rPr>
      </w:pPr>
    </w:p>
    <w:p>
      <w:pPr>
        <w:ind w:left="1620"/>
        <w:spacing w:after="0"/>
        <w:tabs>
          <w:tab w:leader="none" w:pos="5240" w:val="left"/>
        </w:tabs>
        <w:rPr>
          <w:sz w:val="20"/>
          <w:szCs w:val="20"/>
          <w:color w:val="auto"/>
        </w:rPr>
      </w:pPr>
      <w:r>
        <w:rPr>
          <w:rFonts w:ascii="Arial" w:cs="Arial" w:eastAsia="Arial" w:hAnsi="Arial"/>
          <w:sz w:val="18"/>
          <w:szCs w:val="18"/>
          <w:color w:val="auto"/>
        </w:rPr>
        <w:t>(ii)(J), please specify the type of institution:</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3007360</wp:posOffset>
            </wp:positionH>
            <wp:positionV relativeFrom="paragraph">
              <wp:posOffset>-22860</wp:posOffset>
            </wp:positionV>
            <wp:extent cx="3346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5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3" w:lineRule="exact"/>
        <w:rPr>
          <w:sz w:val="20"/>
          <w:szCs w:val="20"/>
          <w:color w:val="auto"/>
        </w:rPr>
      </w:pPr>
    </w:p>
    <w:p>
      <w:pPr>
        <w:ind w:left="1000" w:hanging="30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117" w:lineRule="exact"/>
        <w:rPr>
          <w:rFonts w:ascii="Arial" w:cs="Arial" w:eastAsia="Arial" w:hAnsi="Arial"/>
          <w:sz w:val="18"/>
          <w:szCs w:val="18"/>
          <w:color w:val="auto"/>
        </w:rPr>
      </w:pPr>
    </w:p>
    <w:p>
      <w:pPr>
        <w:ind w:left="1000" w:right="200"/>
        <w:spacing w:after="0" w:line="254" w:lineRule="auto"/>
        <w:rPr>
          <w:rFonts w:ascii="Arial" w:cs="Arial" w:eastAsia="Arial" w:hAnsi="Arial"/>
          <w:sz w:val="18"/>
          <w:szCs w:val="18"/>
          <w:color w:val="auto"/>
        </w:rPr>
      </w:pPr>
      <w:r>
        <w:rPr>
          <w:rFonts w:ascii="Arial" w:cs="Arial" w:eastAsia="Arial" w:hAnsi="Arial"/>
          <w:sz w:val="18"/>
          <w:szCs w:val="18"/>
          <w:color w:val="auto"/>
        </w:rPr>
        <w:t>QVT Financial LP (“QVT Financial”) is the investment manager for QVT Fund LP (the “Fund”), which beneficially owns 1,834,007 shares of Common Stock. QVT Financial is the investment manager for Quintessence Fund L.P. (“Quintessence”), which beneficially owns 201,968 shares of Common Stock. QVT Financial has the power to direct the vote and disposition of the Common Stock held by each of the Fund and Quintessence. Accordingly, QVT Financial may be deemed to be the beneficial owner of an aggregate amount of 2,035,975 shares of Common Stock, consisting of the shares owned by the Fund and Quintessence.</w:t>
      </w:r>
    </w:p>
    <w:p>
      <w:pPr>
        <w:spacing w:after="0" w:line="63" w:lineRule="exact"/>
        <w:rPr>
          <w:rFonts w:ascii="Arial" w:cs="Arial" w:eastAsia="Arial" w:hAnsi="Arial"/>
          <w:sz w:val="18"/>
          <w:szCs w:val="18"/>
          <w:color w:val="auto"/>
        </w:rPr>
      </w:pPr>
    </w:p>
    <w:p>
      <w:pPr>
        <w:ind w:left="1000" w:right="180"/>
        <w:spacing w:after="0" w:line="268" w:lineRule="auto"/>
        <w:rPr>
          <w:rFonts w:ascii="Arial" w:cs="Arial" w:eastAsia="Arial" w:hAnsi="Arial"/>
          <w:sz w:val="18"/>
          <w:szCs w:val="18"/>
          <w:color w:val="auto"/>
        </w:rPr>
      </w:pPr>
      <w:r>
        <w:rPr>
          <w:rFonts w:ascii="Arial" w:cs="Arial" w:eastAsia="Arial" w:hAnsi="Arial"/>
          <w:sz w:val="18"/>
          <w:szCs w:val="18"/>
          <w:color w:val="auto"/>
        </w:rPr>
        <w:t>QVT Financial GP LLC, as General Partner of QVT Financial, may be deemed to beneficially own the same number of shares of Common Stock reported by QVT Financial.</w:t>
      </w:r>
    </w:p>
    <w:p>
      <w:pPr>
        <w:spacing w:after="0" w:line="50" w:lineRule="exact"/>
        <w:rPr>
          <w:rFonts w:ascii="Arial" w:cs="Arial" w:eastAsia="Arial" w:hAnsi="Arial"/>
          <w:sz w:val="18"/>
          <w:szCs w:val="18"/>
          <w:color w:val="auto"/>
        </w:rPr>
      </w:pPr>
    </w:p>
    <w:p>
      <w:pPr>
        <w:ind w:left="1000" w:right="280"/>
        <w:spacing w:after="0" w:line="268" w:lineRule="auto"/>
        <w:rPr>
          <w:rFonts w:ascii="Arial" w:cs="Arial" w:eastAsia="Arial" w:hAnsi="Arial"/>
          <w:sz w:val="18"/>
          <w:szCs w:val="18"/>
          <w:color w:val="auto"/>
        </w:rPr>
      </w:pPr>
      <w:r>
        <w:rPr>
          <w:rFonts w:ascii="Arial" w:cs="Arial" w:eastAsia="Arial" w:hAnsi="Arial"/>
          <w:sz w:val="18"/>
          <w:szCs w:val="18"/>
          <w:color w:val="auto"/>
        </w:rPr>
        <w:t>Each of QVT Financial and QVT Financial GP LLC disclaim beneficial ownership of the shares of Common Stock beneficially owned by the Fund and Quintessence.</w:t>
      </w:r>
    </w:p>
    <w:p>
      <w:pPr>
        <w:spacing w:after="0" w:line="50" w:lineRule="exact"/>
        <w:rPr>
          <w:rFonts w:ascii="Arial" w:cs="Arial" w:eastAsia="Arial" w:hAnsi="Arial"/>
          <w:sz w:val="18"/>
          <w:szCs w:val="18"/>
          <w:color w:val="auto"/>
        </w:rPr>
      </w:pPr>
    </w:p>
    <w:p>
      <w:pPr>
        <w:ind w:left="1000" w:right="260"/>
        <w:spacing w:after="0" w:line="256" w:lineRule="auto"/>
        <w:rPr>
          <w:rFonts w:ascii="Arial" w:cs="Arial" w:eastAsia="Arial" w:hAnsi="Arial"/>
          <w:sz w:val="18"/>
          <w:szCs w:val="18"/>
          <w:color w:val="auto"/>
        </w:rPr>
      </w:pPr>
      <w:r>
        <w:rPr>
          <w:rFonts w:ascii="Arial" w:cs="Arial" w:eastAsia="Arial" w:hAnsi="Arial"/>
          <w:sz w:val="18"/>
          <w:szCs w:val="18"/>
          <w:color w:val="auto"/>
        </w:rPr>
        <w:t>The percentage disclosed in Item 11 of the Cover Pages for each reporting person is calculated based upon 77,392,971 shares of Common Stock outstanding, which is the total number of shares issued and outstanding as reported in the Issuer’s Quarterly Report on Form 10-Q for the quarter ended September 30, 2008 and filed with the Securities and Exchange Commission on November 5, 2008.</w:t>
      </w:r>
    </w:p>
    <w:p>
      <w:pPr>
        <w:spacing w:after="0" w:line="102" w:lineRule="exact"/>
        <w:rPr>
          <w:rFonts w:ascii="Arial" w:cs="Arial" w:eastAsia="Arial" w:hAnsi="Arial"/>
          <w:sz w:val="18"/>
          <w:szCs w:val="18"/>
          <w:color w:val="auto"/>
        </w:rPr>
      </w:pPr>
    </w:p>
    <w:p>
      <w:pPr>
        <w:ind w:left="1000" w:hanging="30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17"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See Item 11 of the Cover Pages to this Schedule 13G.</w:t>
      </w:r>
    </w:p>
    <w:p>
      <w:pPr>
        <w:spacing w:after="0" w:line="117" w:lineRule="exact"/>
        <w:rPr>
          <w:rFonts w:ascii="Arial" w:cs="Arial" w:eastAsia="Arial" w:hAnsi="Arial"/>
          <w:sz w:val="18"/>
          <w:szCs w:val="18"/>
          <w:color w:val="auto"/>
        </w:rPr>
      </w:pPr>
    </w:p>
    <w:p>
      <w:pPr>
        <w:ind w:left="1000" w:hanging="30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1380" w:right="6140" w:hanging="373"/>
        <w:spacing w:after="0" w:line="375" w:lineRule="auto"/>
        <w:tabs>
          <w:tab w:leader="none" w:pos="138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 w:lineRule="exact"/>
        <w:rPr>
          <w:rFonts w:ascii="Arial" w:cs="Arial" w:eastAsia="Arial" w:hAnsi="Arial"/>
          <w:sz w:val="18"/>
          <w:szCs w:val="18"/>
          <w:color w:val="auto"/>
        </w:rPr>
      </w:pPr>
    </w:p>
    <w:p>
      <w:pPr>
        <w:ind w:left="1380" w:right="5980" w:hanging="373"/>
        <w:spacing w:after="0" w:line="375" w:lineRule="auto"/>
        <w:tabs>
          <w:tab w:leader="none" w:pos="138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See item (a) above.</w:t>
      </w:r>
    </w:p>
    <w:p>
      <w:pPr>
        <w:spacing w:after="0" w:line="1" w:lineRule="exact"/>
        <w:rPr>
          <w:rFonts w:ascii="Arial" w:cs="Arial" w:eastAsia="Arial" w:hAnsi="Arial"/>
          <w:sz w:val="18"/>
          <w:szCs w:val="18"/>
          <w:color w:val="auto"/>
        </w:rPr>
      </w:pPr>
    </w:p>
    <w:p>
      <w:pPr>
        <w:ind w:left="1380" w:right="5260" w:hanging="373"/>
        <w:spacing w:after="0" w:line="393" w:lineRule="auto"/>
        <w:tabs>
          <w:tab w:leader="none" w:pos="138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1"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Page 5 of 8 pages</w:t>
      </w:r>
    </w:p>
    <w:p>
      <w:pPr>
        <w:sectPr>
          <w:pgSz w:w="11900" w:h="16838" w:orient="portrait"/>
          <w:cols w:equalWidth="0" w:num="1">
            <w:col w:w="10260"/>
          </w:cols>
          <w:pgMar w:left="240" w:top="355" w:right="1399" w:bottom="1440" w:gutter="0" w:footer="0" w:header="0"/>
        </w:sectPr>
      </w:pPr>
    </w:p>
    <w:bookmarkStart w:id="5" w:name="page6"/>
    <w:bookmarkEnd w:id="5"/>
    <w:p>
      <w:pPr>
        <w:ind w:left="1360" w:right="5059" w:hanging="353"/>
        <w:spacing w:after="0" w:line="372" w:lineRule="auto"/>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Shared power to dispose or to direct the disposition of See item (a) above.</w:t>
      </w:r>
    </w:p>
    <w:p>
      <w:pPr>
        <w:spacing w:after="0" w:line="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123" w:lineRule="exact"/>
        <w:rPr>
          <w:sz w:val="20"/>
          <w:szCs w:val="20"/>
          <w:color w:val="auto"/>
        </w:rPr>
      </w:pPr>
    </w:p>
    <w:p>
      <w:pPr>
        <w:ind w:left="720" w:right="119"/>
        <w:spacing w:after="0" w:line="229"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ind w:left="720" w:right="379" w:hanging="701"/>
        <w:spacing w:after="0" w:line="275" w:lineRule="auto"/>
        <w:tabs>
          <w:tab w:leader="none" w:pos="70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w:t>
      </w:r>
    </w:p>
    <w:p>
      <w:pPr>
        <w:spacing w:after="0" w:line="7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3" w:lineRule="exact"/>
        <w:rPr>
          <w:sz w:val="20"/>
          <w:szCs w:val="20"/>
          <w:color w:val="auto"/>
        </w:rPr>
      </w:pPr>
    </w:p>
    <w:p>
      <w:pPr>
        <w:ind w:left="720" w:right="159"/>
        <w:spacing w:after="0" w:line="306"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Page 6 of 8 pages</w:t>
      </w:r>
    </w:p>
    <w:p>
      <w:pPr>
        <w:sectPr>
          <w:pgSz w:w="11900" w:h="16838" w:orient="portrait"/>
          <w:cols w:equalWidth="0" w:num="1">
            <w:col w:w="10219"/>
          </w:cols>
          <w:pgMar w:left="240" w:top="388" w:right="1440" w:bottom="1440" w:gutter="0" w:footer="0" w:header="0"/>
        </w:sectPr>
      </w:pPr>
    </w:p>
    <w:bookmarkStart w:id="6" w:name="page7"/>
    <w:bookmarkEnd w:id="6"/>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 2008</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QVT FINANCIAL LP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 QVT Financial GP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Oren Eisner</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Oren Eisner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QVT FINANCIAL GP LLC</w:t>
      </w:r>
    </w:p>
    <w:p>
      <w:pPr>
        <w:spacing w:after="0" w:line="231" w:lineRule="exact"/>
        <w:rPr>
          <w:sz w:val="20"/>
          <w:szCs w:val="20"/>
          <w:color w:val="auto"/>
        </w:rPr>
      </w:pPr>
    </w:p>
    <w:p>
      <w:pPr>
        <w:spacing w:after="0"/>
        <w:tabs>
          <w:tab w:leader="none" w:pos="560" w:val="left"/>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Oren Eisner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10795</wp:posOffset>
            </wp:positionV>
            <wp:extent cx="30359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Oren Eisner</w:t>
      </w:r>
    </w:p>
    <w:p>
      <w:pPr>
        <w:spacing w:after="0" w:line="1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Authorized Signatory</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Page 7 of 8 pages</w:t>
      </w:r>
    </w:p>
    <w:p>
      <w:pPr>
        <w:sectPr>
          <w:pgSz w:w="11900" w:h="16838" w:orient="portrait"/>
          <w:cols w:equalWidth="0" w:num="1">
            <w:col w:w="11240"/>
          </w:cols>
          <w:pgMar w:left="240" w:top="274" w:right="419" w:bottom="1440" w:gutter="0" w:footer="0" w:header="0"/>
        </w:sectPr>
      </w:pPr>
    </w:p>
    <w:bookmarkStart w:id="7" w:name="page8"/>
    <w:bookmarkEnd w:id="7"/>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JOINT FILING AGREEMENT</w:t>
      </w:r>
    </w:p>
    <w:p>
      <w:pPr>
        <w:spacing w:after="0" w:line="165"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The undersigned hereby agree that the statement on Schedule 13G filed herewith (and any amendments thereto) signed by each of the undersigned shall be filed on behalf of each of the undersigned pursuant to and in accordance with the provisions of Rule 13d-1(k) under the Securities Exchange Act of 1934, as amended.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 2008</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QVT FINANCIAL LP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 QVT Financial GP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Oren Eisner</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Oren Eisner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QVT FINANCIAL GP LLC</w:t>
      </w:r>
    </w:p>
    <w:p>
      <w:pPr>
        <w:spacing w:after="0" w:line="231" w:lineRule="exact"/>
        <w:rPr>
          <w:sz w:val="20"/>
          <w:szCs w:val="20"/>
          <w:color w:val="auto"/>
        </w:rPr>
      </w:pPr>
    </w:p>
    <w:p>
      <w:pPr>
        <w:spacing w:after="0"/>
        <w:tabs>
          <w:tab w:leader="none" w:pos="560" w:val="left"/>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Oren Eisner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10795</wp:posOffset>
            </wp:positionV>
            <wp:extent cx="30359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Oren Eisner</w:t>
      </w:r>
    </w:p>
    <w:p>
      <w:pPr>
        <w:spacing w:after="0" w:line="1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Authorized Signatory</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8 of 8 pages</w:t>
      </w:r>
    </w:p>
    <w:sectPr>
      <w:pgSz w:w="11900" w:h="16838" w:orient="portrait"/>
      <w:cols w:equalWidth="0" w:num="1">
        <w:col w:w="11340"/>
      </w:cols>
      <w:pgMar w:left="240" w:top="28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lvl w:ilvl="1">
      <w:lvlJc w:val="left"/>
      <w:lvlText w:val="☐"/>
      <w:numFmt w:val="bullet"/>
      <w:start w:val="1"/>
    </w:lvl>
  </w:abstractNum>
  <w:abstractNum w:abstractNumId="3">
    <w:nsid w:val="41B71EFB"/>
    <w:multiLevelType w:val="hybridMultilevel"/>
    <w:lvl w:ilvl="0">
      <w:lvlJc w:val="left"/>
      <w:lvlText w:val="%1."/>
      <w:numFmt w:val="decimal"/>
      <w:start w:val="2"/>
    </w:lvl>
    <w:lvl w:ilvl="1">
      <w:lvlJc w:val="left"/>
      <w:lvlText w:val="(%2)"/>
      <w:numFmt w:val="lowerLetter"/>
      <w:start w:val="1"/>
    </w:lvl>
  </w:abstractNum>
  <w:abstractNum w:abstractNumId="4">
    <w:nsid w:val="79E2A9E3"/>
    <w:multiLevelType w:val="hybridMultilevel"/>
    <w:lvl w:ilvl="0">
      <w:lvlJc w:val="left"/>
      <w:lvlText w:val="%1."/>
      <w:numFmt w:val="decimal"/>
      <w:start w:val="5"/>
    </w:lvl>
  </w:abstractNum>
  <w:abstractNum w:abstractNumId="5">
    <w:nsid w:val="7545E146"/>
    <w:multiLevelType w:val="hybridMultilevel"/>
    <w:lvl w:ilvl="0">
      <w:lvlJc w:val="left"/>
      <w:lvlText w:val="%1."/>
      <w:numFmt w:val="decimal"/>
      <w:start w:val="2"/>
    </w:lvl>
    <w:lvl w:ilvl="1">
      <w:lvlJc w:val="left"/>
      <w:lvlText w:val="(%2)"/>
      <w:numFmt w:val="lowerLetter"/>
      <w:start w:val="1"/>
    </w:lvl>
  </w:abstractNum>
  <w:abstractNum w:abstractNumId="6">
    <w:nsid w:val="515F007C"/>
    <w:multiLevelType w:val="hybridMultilevel"/>
    <w:lvl w:ilvl="0">
      <w:lvlJc w:val="left"/>
      <w:lvlText w:val="%1."/>
      <w:numFmt w:val="decimal"/>
      <w:start w:val="5"/>
    </w:lvl>
  </w:abstractNum>
  <w:abstractNum w:abstractNumId="7">
    <w:nsid w:val="5BD062C2"/>
    <w:multiLevelType w:val="hybridMultilevel"/>
    <w:lvl w:ilvl="0">
      <w:lvlJc w:val="left"/>
      <w:lvlText w:val="(%1)"/>
      <w:numFmt w:val="lowerLetter"/>
      <w:start w:val="8"/>
    </w:lvl>
  </w:abstractNum>
  <w:abstractNum w:abstractNumId="8">
    <w:nsid w:val="12200854"/>
    <w:multiLevelType w:val="hybridMultilevel"/>
    <w:lvl w:ilvl="0">
      <w:lvlJc w:val="left"/>
      <w:lvlText w:val="(%1)"/>
      <w:numFmt w:val="lowerLetter"/>
      <w:start w:val="1"/>
    </w:lvl>
    <w:lvl w:ilvl="1">
      <w:lvlJc w:val="left"/>
      <w:lvlText w:val="(%2)"/>
      <w:numFmt w:val="lowerRoman"/>
      <w:start w:val="1"/>
    </w:lvl>
  </w:abstractNum>
  <w:abstractNum w:abstractNumId="9">
    <w:nsid w:val="4DB127F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2019-12-10T09:06:15Z</dcterms:created>
  <dcterms:modified xsi:type="dcterms:W3CDTF">2019-12-10T09:06:15Z</dcterms:modified>
</cp:coreProperties>
</file>