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18, 2014 (June 13,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6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000-19034</w:t>
            </w:r>
          </w:p>
        </w:tc>
        <w:tc>
          <w:tcPr>
            <w:tcW w:w="27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13-3444607</w:t>
            </w:r>
          </w:p>
        </w:tc>
      </w:tr>
      <w:tr>
        <w:trPr>
          <w:trHeight w:val="149"/>
        </w:trPr>
        <w:tc>
          <w:tcPr>
            <w:tcW w:w="56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2"/>
              </w:rPr>
              <w:t>(Commission</w:t>
            </w:r>
          </w:p>
        </w:tc>
        <w:tc>
          <w:tcPr>
            <w:tcW w:w="27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File Number)</w:t>
            </w:r>
          </w:p>
        </w:tc>
        <w:tc>
          <w:tcPr>
            <w:tcW w:w="27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6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6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left="1140" w:right="1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described in Item 5.07 below, at the 2014 Annual Meeting of Shareholders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held on June 13, 2014 (the “</w:t>
      </w:r>
      <w:r>
        <w:rPr>
          <w:rFonts w:ascii="Arial" w:cs="Arial" w:eastAsia="Arial" w:hAnsi="Arial"/>
          <w:sz w:val="18"/>
          <w:szCs w:val="18"/>
          <w:u w:val="single" w:color="auto"/>
          <w:color w:val="auto"/>
        </w:rPr>
        <w:t>Annual Meeting</w:t>
      </w:r>
      <w:r>
        <w:rPr>
          <w:rFonts w:ascii="Arial" w:cs="Arial" w:eastAsia="Arial" w:hAnsi="Arial"/>
          <w:sz w:val="18"/>
          <w:szCs w:val="18"/>
          <w:color w:val="auto"/>
        </w:rPr>
        <w:t>”), the Company’s shareholders approved the Regeneron Pharmaceuticals, Inc. 2014 Long-Term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The Plan was previously adopted by Regeneron’s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on April 4, 2014 based upon the recommendation of the Compensation Committee of the Board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 description of the material terms of the Plan is set forth on pages 82 – 87 of the Company’s Definitive Proxy Statement on Schedule 14A filed with the Securities and Exchange Commission on April 24, 2014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and is incorporated herein by reference. The description of the Plan is qualified in its entirety by reference to the full text of the Plan, which was filed as Appendix B to the Proxy Statement and is incorporated herein by reference.</w:t>
      </w:r>
    </w:p>
    <w:p>
      <w:pPr>
        <w:spacing w:after="0" w:line="14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In connection with the shareholder approval of the Plan, the Compensation Committee approved on June 13, 2014 forms of award agreements under the Plan, pursuant to which non-qualified stock options, incentive stock options and shares of restricted stock may be issued to the Company’s executive officers, and non-qualified stock options may be issued to the non-employee members of the Board. Copies of the forms of award agreements are filed as Exhibits 10.1, 10.2, 10.3 and 10.4 to this Current Report on Form 8-K, and are incorporated herein by reference.</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the Company’s shareholders voted on the matters set forth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nominees for Class II directors were elected to serve until the 2017 Annual Meeting of Shareholders and until their successors are duly elected and qualified based upon the following votes: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Votes For</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Votes Withheld</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5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Alfred G. Gilman, M.D., Ph.D.</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100,575,968</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5,494,707</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4,408,042</w:t>
            </w:r>
          </w:p>
        </w:tc>
        <w:tc>
          <w:tcPr>
            <w:tcW w:w="100" w:type="dxa"/>
            <w:vAlign w:val="bottom"/>
            <w:shd w:val="clear" w:color="auto" w:fill="CCEEFF"/>
          </w:tcPr>
          <w:p>
            <w:pPr>
              <w:spacing w:after="0"/>
              <w:rPr>
                <w:sz w:val="17"/>
                <w:szCs w:val="17"/>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Joseph L. Goldstein, M.D.</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96,908,736</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9,161,939</w:t>
            </w:r>
          </w:p>
        </w:tc>
        <w:tc>
          <w:tcPr>
            <w:tcW w:w="1100" w:type="dxa"/>
            <w:vAlign w:val="bottom"/>
          </w:tcPr>
          <w:p>
            <w:pPr>
              <w:jc w:val="right"/>
              <w:spacing w:after="0"/>
              <w:rPr>
                <w:sz w:val="20"/>
                <w:szCs w:val="20"/>
                <w:color w:val="auto"/>
              </w:rPr>
            </w:pPr>
            <w:r>
              <w:rPr>
                <w:rFonts w:ascii="Arial" w:cs="Arial" w:eastAsia="Arial" w:hAnsi="Arial"/>
                <w:sz w:val="18"/>
                <w:szCs w:val="18"/>
                <w:color w:val="auto"/>
              </w:rPr>
              <w:t>4,408,042</w:t>
            </w: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A. Poon</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96,950,738</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9,119,937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4,408,042</w:t>
            </w:r>
          </w:p>
        </w:tc>
        <w:tc>
          <w:tcPr>
            <w:tcW w:w="100" w:type="dxa"/>
            <w:vAlign w:val="bottom"/>
            <w:shd w:val="clear" w:color="auto" w:fill="CCEEFF"/>
          </w:tcPr>
          <w:p>
            <w:pPr>
              <w:spacing w:after="0"/>
              <w:rPr>
                <w:sz w:val="18"/>
                <w:szCs w:val="18"/>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P. Roy Vagelos, M.D.</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105,302,475</w:t>
            </w:r>
          </w:p>
        </w:tc>
        <w:tc>
          <w:tcPr>
            <w:tcW w:w="52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768,200</w:t>
            </w:r>
          </w:p>
        </w:tc>
        <w:tc>
          <w:tcPr>
            <w:tcW w:w="1100" w:type="dxa"/>
            <w:vAlign w:val="bottom"/>
          </w:tcPr>
          <w:p>
            <w:pPr>
              <w:jc w:val="right"/>
              <w:spacing w:after="0"/>
              <w:rPr>
                <w:sz w:val="20"/>
                <w:szCs w:val="20"/>
                <w:color w:val="auto"/>
              </w:rPr>
            </w:pPr>
            <w:r>
              <w:rPr>
                <w:rFonts w:ascii="Arial" w:cs="Arial" w:eastAsia="Arial" w:hAnsi="Arial"/>
                <w:sz w:val="18"/>
                <w:szCs w:val="18"/>
                <w:color w:val="auto"/>
              </w:rPr>
              <w:t>4,408,042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nominee for a Class I director was elected to serve until the 2016 Annual Meeting of Shareholders and until his successor is duly elected and qualified based upon the following votes: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Votes For</w:t>
            </w: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Votes Withheld</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5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A. Ingram</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104,579,164</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1,491,511</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4,408,042</w:t>
            </w:r>
          </w:p>
        </w:tc>
        <w:tc>
          <w:tcPr>
            <w:tcW w:w="100" w:type="dxa"/>
            <w:vAlign w:val="bottom"/>
            <w:shd w:val="clear" w:color="auto" w:fill="CCEEFF"/>
          </w:tcPr>
          <w:p>
            <w:pPr>
              <w:spacing w:after="0"/>
              <w:rPr>
                <w:sz w:val="17"/>
                <w:szCs w:val="17"/>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2014 was approved based upon the following votes: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4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110,033,842</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Against:</w:t>
            </w:r>
          </w:p>
        </w:tc>
        <w:tc>
          <w:tcPr>
            <w:tcW w:w="4080" w:type="dxa"/>
            <w:vAlign w:val="bottom"/>
          </w:tcPr>
          <w:p>
            <w:pPr>
              <w:jc w:val="right"/>
              <w:ind w:right="10"/>
              <w:spacing w:after="0"/>
              <w:rPr>
                <w:sz w:val="20"/>
                <w:szCs w:val="20"/>
                <w:color w:val="auto"/>
              </w:rPr>
            </w:pPr>
            <w:r>
              <w:rPr>
                <w:rFonts w:ascii="Arial" w:cs="Arial" w:eastAsia="Arial" w:hAnsi="Arial"/>
                <w:sz w:val="18"/>
                <w:szCs w:val="18"/>
                <w:color w:val="auto"/>
              </w:rPr>
              <w:t>313,526</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4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131,349</w:t>
            </w:r>
          </w:p>
        </w:tc>
      </w:tr>
    </w:tbl>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 – Advisory Vote on Executive Compensation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resolution to approve, on an advisory basis, the compensation of the Company’s Named Officers as disclosed in the Proxy Statement was approved based upon the following votes: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65,888,396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Against: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40,034,143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148,136</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Broker Non-Votes:</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4,408,042</w:t>
            </w:r>
          </w:p>
        </w:tc>
        <w:tc>
          <w:tcPr>
            <w:tcW w:w="0" w:type="dxa"/>
            <w:vAlign w:val="bottom"/>
          </w:tcPr>
          <w:p>
            <w:pPr>
              <w:spacing w:after="0"/>
              <w:rPr>
                <w:sz w:val="1"/>
                <w:szCs w:val="1"/>
                <w:color w:val="auto"/>
              </w:rPr>
            </w:pPr>
          </w:p>
        </w:tc>
      </w:tr>
      <w:tr>
        <w:trPr>
          <w:trHeight w:val="526"/>
        </w:trPr>
        <w:tc>
          <w:tcPr>
            <w:tcW w:w="7460" w:type="dxa"/>
            <w:vAlign w:val="bottom"/>
            <w:gridSpan w:val="3"/>
          </w:tcPr>
          <w:p>
            <w:pPr>
              <w:spacing w:after="0"/>
              <w:rPr>
                <w:sz w:val="20"/>
                <w:szCs w:val="20"/>
                <w:color w:val="auto"/>
              </w:rPr>
            </w:pPr>
            <w:r>
              <w:rPr>
                <w:rFonts w:ascii="Arial" w:cs="Arial" w:eastAsia="Arial" w:hAnsi="Arial"/>
                <w:sz w:val="18"/>
                <w:szCs w:val="18"/>
                <w:b w:val="1"/>
                <w:bCs w:val="1"/>
                <w:color w:val="auto"/>
              </w:rPr>
              <w:t>Proposal 4 – Approval of 2014 Long-Term Incentive Plan</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60" w:type="dxa"/>
            <w:vAlign w:val="bottom"/>
            <w:gridSpan w:val="3"/>
          </w:tcPr>
          <w:p>
            <w:pPr>
              <w:ind w:left="460"/>
              <w:spacing w:after="0"/>
              <w:rPr>
                <w:sz w:val="20"/>
                <w:szCs w:val="20"/>
                <w:color w:val="auto"/>
              </w:rPr>
            </w:pPr>
            <w:r>
              <w:rPr>
                <w:rFonts w:ascii="Arial" w:cs="Arial" w:eastAsia="Arial" w:hAnsi="Arial"/>
                <w:sz w:val="18"/>
                <w:szCs w:val="18"/>
                <w:color w:val="auto"/>
              </w:rPr>
              <w:t>The proposal to approve the Plan was approved based upon the following votes: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40" w:type="dxa"/>
            <w:vAlign w:val="bottom"/>
            <w:vMerge w:val="restart"/>
          </w:tcPr>
          <w:p>
            <w:pPr>
              <w:spacing w:after="0"/>
              <w:rPr>
                <w:sz w:val="21"/>
                <w:szCs w:val="21"/>
                <w:color w:val="auto"/>
              </w:rPr>
            </w:pPr>
          </w:p>
        </w:tc>
        <w:tc>
          <w:tcPr>
            <w:tcW w:w="56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65,053,023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Against: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40,855,936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161,716</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Broker Non-Votes:</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4,408,042</w:t>
            </w:r>
          </w:p>
        </w:tc>
        <w:tc>
          <w:tcPr>
            <w:tcW w:w="0" w:type="dxa"/>
            <w:vAlign w:val="bottom"/>
          </w:tcPr>
          <w:p>
            <w:pPr>
              <w:spacing w:after="0"/>
              <w:rPr>
                <w:sz w:val="1"/>
                <w:szCs w:val="1"/>
                <w:color w:val="auto"/>
              </w:rPr>
            </w:pPr>
          </w:p>
        </w:tc>
      </w:tr>
      <w:tr>
        <w:trPr>
          <w:trHeight w:val="566"/>
        </w:trPr>
        <w:tc>
          <w:tcPr>
            <w:tcW w:w="10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64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00" w:right="500" w:hanging="688"/>
        <w:spacing w:after="0" w:line="277"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stock option agreement and related notice of grant for use in connection with the grant of non-qualified stock options to Regeneron’s executive officers.</w:t>
      </w:r>
    </w:p>
    <w:p>
      <w:pPr>
        <w:spacing w:after="0" w:line="62" w:lineRule="exact"/>
        <w:rPr>
          <w:sz w:val="20"/>
          <w:szCs w:val="20"/>
          <w:color w:val="auto"/>
        </w:rPr>
      </w:pPr>
    </w:p>
    <w:p>
      <w:pPr>
        <w:ind w:left="700" w:right="80" w:hanging="688"/>
        <w:spacing w:after="0" w:line="277"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stock option agreement and related notice of grant for use in connection with the grant of incentive stock options to Regeneron’s executive officers.</w:t>
      </w:r>
    </w:p>
    <w:p>
      <w:pPr>
        <w:spacing w:after="0" w:line="62" w:lineRule="exact"/>
        <w:rPr>
          <w:sz w:val="20"/>
          <w:szCs w:val="20"/>
          <w:color w:val="auto"/>
        </w:rPr>
      </w:pPr>
    </w:p>
    <w:p>
      <w:pPr>
        <w:ind w:left="700" w:right="120" w:hanging="688"/>
        <w:spacing w:after="0" w:line="277"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restricted stock award agreement and related notice of grant for use in connection with the grant of restricted stock awards to Regeneron’s executive officers.</w:t>
      </w:r>
    </w:p>
    <w:p>
      <w:pPr>
        <w:spacing w:after="0" w:line="62" w:lineRule="exact"/>
        <w:rPr>
          <w:sz w:val="20"/>
          <w:szCs w:val="20"/>
          <w:color w:val="auto"/>
        </w:rPr>
      </w:pPr>
    </w:p>
    <w:p>
      <w:pPr>
        <w:ind w:left="700" w:right="120" w:hanging="688"/>
        <w:spacing w:after="0" w:line="277" w:lineRule="auto"/>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stock option agreement and related notice of grant for use in connection with the grant of non-qualified stock options to Regeneron’s non-employee directors.</w:t>
      </w:r>
    </w:p>
    <w:p>
      <w:pPr>
        <w:sectPr>
          <w:pgSz w:w="11900" w:h="16838" w:orient="portrait"/>
          <w:cols w:equalWidth="0" w:num="1">
            <w:col w:w="11380"/>
          </w:cols>
          <w:pgMar w:left="240" w:top="270" w:right="27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18, 2014</w:t>
      </w:r>
    </w:p>
    <w:p>
      <w:pPr>
        <w:sectPr>
          <w:pgSz w:w="11900" w:h="16838" w:orient="portrait"/>
          <w:cols w:equalWidth="0" w:num="1">
            <w:col w:w="10740"/>
          </w:cols>
          <w:pgMar w:left="240" w:top="270"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74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740" w:type="dxa"/>
            <w:vAlign w:val="bottom"/>
            <w:gridSpan w:val="3"/>
          </w:tcPr>
          <w:p>
            <w:pPr>
              <w:ind w:left="53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0"/>
              </w:rPr>
              <w:t>Form of stock option agreement and related notice of grant for use in connection with the grant of non-qualified stock options to Regeneron’s</w:t>
            </w: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executive officers.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3"/>
              </w:rPr>
              <w:t>Form of stock option agreement and related notice of grant for use in connection with the grant of incentive stock options to Regeneron’s</w:t>
            </w: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executive officers.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5"/>
              </w:rPr>
              <w:t>Form of restricted stock award agreement and related notice of grant for use in connection with the grant of restricted stock awards to</w:t>
            </w: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Regeneron’s executive officers.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90"/>
              </w:rPr>
              <w:t>Form of stock option agreement and related notice of grant for use in connection with the grant of non-qualified stock options to Regeneron’s</w:t>
            </w: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non-employee directors.</w:t>
            </w:r>
          </w:p>
        </w:tc>
      </w:tr>
    </w:tbl>
    <w:p>
      <w:pPr>
        <w:ind w:left="560"/>
        <w:spacing w:after="0"/>
        <w:rPr>
          <w:sz w:val="20"/>
          <w:szCs w:val="20"/>
          <w:color w:val="auto"/>
        </w:rPr>
        <w:sectPr>
          <w:pgSz w:w="11900" w:h="16838" w:orient="portrait"/>
          <w:cols w:equalWidth="0" w:num="1">
            <w:col w:w="11260"/>
          </w:cols>
          <w:pgMar w:left="240" w:top="270" w:right="3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441"/>
        </w:trPr>
        <w:tc>
          <w:tcPr>
            <w:tcW w:w="4340" w:type="dxa"/>
            <w:vAlign w:val="bottom"/>
          </w:tcPr>
          <w:p>
            <w:pPr>
              <w:spacing w:after="0"/>
              <w:rPr>
                <w:sz w:val="24"/>
                <w:szCs w:val="24"/>
                <w:color w:val="auto"/>
              </w:rPr>
            </w:pPr>
          </w:p>
        </w:tc>
        <w:tc>
          <w:tcPr>
            <w:tcW w:w="7080" w:type="dxa"/>
            <w:vAlign w:val="bottom"/>
            <w:gridSpan w:val="4"/>
          </w:tcPr>
          <w:p>
            <w:pPr>
              <w:ind w:left="700"/>
              <w:spacing w:after="0"/>
              <w:rPr>
                <w:sz w:val="20"/>
                <w:szCs w:val="20"/>
                <w:color w:val="auto"/>
              </w:rPr>
            </w:pPr>
            <w:r>
              <w:rPr>
                <w:rFonts w:ascii="Arial" w:cs="Arial" w:eastAsia="Arial" w:hAnsi="Arial"/>
                <w:sz w:val="18"/>
                <w:szCs w:val="18"/>
                <w:b w:val="1"/>
                <w:bCs w:val="1"/>
                <w:color w:val="auto"/>
              </w:rPr>
              <w:t>Regeneron Pharmaceuticals, Inc.</w:t>
            </w:r>
          </w:p>
        </w:tc>
        <w:tc>
          <w:tcPr>
            <w:tcW w:w="0" w:type="dxa"/>
            <w:vAlign w:val="bottom"/>
          </w:tcPr>
          <w:p>
            <w:pPr>
              <w:spacing w:after="0"/>
              <w:rPr>
                <w:sz w:val="1"/>
                <w:szCs w:val="1"/>
                <w:color w:val="auto"/>
              </w:rPr>
            </w:pPr>
          </w:p>
        </w:tc>
      </w:tr>
      <w:tr>
        <w:trPr>
          <w:trHeight w:val="2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1360" w:type="dxa"/>
            <w:vAlign w:val="bottom"/>
          </w:tcPr>
          <w:p>
            <w:pPr>
              <w:ind w:left="7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40" w:type="dxa"/>
            <w:vAlign w:val="bottom"/>
            <w:vMerge w:val="continue"/>
          </w:tcPr>
          <w:p>
            <w:pPr>
              <w:spacing w:after="0"/>
              <w:rPr>
                <w:sz w:val="18"/>
                <w:szCs w:val="18"/>
                <w:color w:val="auto"/>
              </w:rPr>
            </w:pPr>
          </w:p>
        </w:tc>
        <w:tc>
          <w:tcPr>
            <w:tcW w:w="3000" w:type="dxa"/>
            <w:vAlign w:val="bottom"/>
            <w:gridSpan w:val="3"/>
          </w:tcPr>
          <w:p>
            <w:pPr>
              <w:ind w:left="700"/>
              <w:spacing w:after="0"/>
              <w:rPr>
                <w:sz w:val="20"/>
                <w:szCs w:val="20"/>
                <w:color w:val="auto"/>
              </w:rPr>
            </w:pPr>
            <w:r>
              <w:rPr>
                <w:rFonts w:ascii="Arial" w:cs="Arial" w:eastAsia="Arial" w:hAnsi="Arial"/>
                <w:sz w:val="18"/>
                <w:szCs w:val="18"/>
                <w:color w:val="auto"/>
                <w:w w:val="99"/>
              </w:rPr>
              <w:t>777 Old Saw Mill River Road</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and Option Agreement for Time-Based Vesting</w:t>
            </w:r>
          </w:p>
        </w:tc>
        <w:tc>
          <w:tcPr>
            <w:tcW w:w="3000" w:type="dxa"/>
            <w:vAlign w:val="bottom"/>
            <w:gridSpan w:val="3"/>
          </w:tcPr>
          <w:p>
            <w:pPr>
              <w:ind w:left="700"/>
              <w:spacing w:after="0"/>
              <w:rPr>
                <w:sz w:val="20"/>
                <w:szCs w:val="20"/>
                <w:color w:val="auto"/>
              </w:rPr>
            </w:pPr>
            <w:r>
              <w:rPr>
                <w:rFonts w:ascii="Arial" w:cs="Arial" w:eastAsia="Arial" w:hAnsi="Arial"/>
                <w:sz w:val="18"/>
                <w:szCs w:val="18"/>
                <w:color w:val="auto"/>
              </w:rPr>
              <w:t>Tarrytown, New York 10591</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Option Awards</w:t>
            </w:r>
          </w:p>
        </w:tc>
        <w:tc>
          <w:tcPr>
            <w:tcW w:w="1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34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260" w:type="dxa"/>
            <w:vAlign w:val="bottom"/>
            <w:gridSpan w:val="2"/>
          </w:tcPr>
          <w:p>
            <w:pPr>
              <w:ind w:left="700"/>
              <w:spacing w:after="0"/>
              <w:rPr>
                <w:sz w:val="20"/>
                <w:szCs w:val="20"/>
                <w:color w:val="auto"/>
              </w:rPr>
            </w:pPr>
            <w:r>
              <w:rPr>
                <w:rFonts w:ascii="Arial" w:cs="Arial" w:eastAsia="Arial" w:hAnsi="Arial"/>
                <w:sz w:val="18"/>
                <w:szCs w:val="18"/>
                <w:b w:val="1"/>
                <w:bCs w:val="1"/>
                <w:color w:val="auto"/>
              </w:rPr>
              <w:t>Option Number:</w:t>
            </w: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jc w:val="right"/>
              <w:ind w:right="38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360" w:type="dxa"/>
            <w:vAlign w:val="bottom"/>
          </w:tcPr>
          <w:p>
            <w:pPr>
              <w:ind w:left="700"/>
              <w:spacing w:after="0"/>
              <w:rPr>
                <w:sz w:val="20"/>
                <w:szCs w:val="20"/>
                <w:color w:val="auto"/>
              </w:rPr>
            </w:pPr>
            <w:r>
              <w:rPr>
                <w:rFonts w:ascii="Arial" w:cs="Arial" w:eastAsia="Arial" w:hAnsi="Arial"/>
                <w:sz w:val="18"/>
                <w:szCs w:val="18"/>
                <w:b w:val="1"/>
                <w:bCs w:val="1"/>
                <w:color w:val="auto"/>
              </w:rPr>
              <w:t>Plan:</w:t>
            </w:r>
          </w:p>
        </w:tc>
        <w:tc>
          <w:tcPr>
            <w:tcW w:w="900" w:type="dxa"/>
            <w:vAlign w:val="bottom"/>
          </w:tcPr>
          <w:p>
            <w:pPr>
              <w:spacing w:after="0"/>
              <w:rPr>
                <w:sz w:val="18"/>
                <w:szCs w:val="18"/>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jc w:val="right"/>
              <w:ind w:right="38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1360" w:type="dxa"/>
            <w:vAlign w:val="bottom"/>
          </w:tcPr>
          <w:p>
            <w:pPr>
              <w:ind w:left="700"/>
              <w:spacing w:after="0"/>
              <w:rPr>
                <w:sz w:val="20"/>
                <w:szCs w:val="20"/>
                <w:color w:val="auto"/>
              </w:rPr>
            </w:pPr>
            <w:r>
              <w:rPr>
                <w:rFonts w:ascii="Arial" w:cs="Arial" w:eastAsia="Arial" w:hAnsi="Arial"/>
                <w:sz w:val="18"/>
                <w:szCs w:val="18"/>
                <w:b w:val="1"/>
                <w:bCs w:val="1"/>
                <w:color w:val="auto"/>
              </w:rPr>
              <w:t>ID</w:t>
            </w:r>
          </w:p>
        </w:tc>
        <w:tc>
          <w:tcPr>
            <w:tcW w:w="900" w:type="dxa"/>
            <w:vAlign w:val="bottom"/>
          </w:tcPr>
          <w:p>
            <w:pPr>
              <w:spacing w:after="0"/>
              <w:rPr>
                <w:sz w:val="20"/>
                <w:szCs w:val="20"/>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jc w:val="right"/>
              <w:ind w:right="38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&lt;date&gt; (the “Grant Date”) you have been granted a Non-Qualified Option to buy [ “Company”) stock at $[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 shares of Regeneron Pharmaceuticals, Inc. (the</w:t>
      </w:r>
    </w:p>
    <w:p>
      <w:pPr>
        <w:spacing w:after="0" w:line="463" w:lineRule="exact"/>
        <w:rPr>
          <w:sz w:val="20"/>
          <w:szCs w:val="20"/>
          <w:color w:val="auto"/>
        </w:rPr>
      </w:pPr>
    </w:p>
    <w:p>
      <w:pPr>
        <w:sectPr>
          <w:pgSz w:w="11900" w:h="16838" w:orient="portrait"/>
          <w:cols w:equalWidth="0" w:num="2">
            <w:col w:w="6640" w:space="540"/>
            <w:col w:w="42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total option price of the shares granted 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460" w:space="540"/>
            <w:col w:w="742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46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70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Vest Type</w:t>
            </w:r>
          </w:p>
        </w:tc>
        <w:tc>
          <w:tcPr>
            <w:tcW w:w="7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Full Vest</w:t>
            </w:r>
          </w:p>
        </w:tc>
        <w:tc>
          <w:tcPr>
            <w:tcW w:w="66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03"/>
        </w:trPr>
        <w:tc>
          <w:tcPr>
            <w:tcW w:w="460" w:type="dxa"/>
            <w:vAlign w:val="bottom"/>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On Vest Date</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 years from Grant Date]</w:t>
            </w:r>
          </w:p>
        </w:tc>
      </w:tr>
      <w:tr>
        <w:trPr>
          <w:trHeight w:val="202"/>
        </w:trPr>
        <w:tc>
          <w:tcPr>
            <w:tcW w:w="460" w:type="dxa"/>
            <w:vAlign w:val="bottom"/>
          </w:tcPr>
          <w:p>
            <w:pPr>
              <w:spacing w:after="0"/>
              <w:rPr>
                <w:sz w:val="17"/>
                <w:szCs w:val="17"/>
                <w:color w:val="auto"/>
              </w:rPr>
            </w:pPr>
          </w:p>
        </w:tc>
        <w:tc>
          <w:tcPr>
            <w:tcW w:w="4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0" w:type="dxa"/>
            <w:vAlign w:val="bottom"/>
            <w:gridSpan w:val="2"/>
          </w:tcPr>
          <w:p>
            <w:pPr>
              <w:jc w:val="center"/>
              <w:ind w:right="460"/>
              <w:spacing w:after="0" w:line="201" w:lineRule="exact"/>
              <w:rPr>
                <w:sz w:val="20"/>
                <w:szCs w:val="20"/>
                <w:color w:val="auto"/>
              </w:rPr>
            </w:pPr>
            <w:r>
              <w:rPr>
                <w:rFonts w:ascii="Arial" w:cs="Arial" w:eastAsia="Arial" w:hAnsi="Arial"/>
                <w:sz w:val="18"/>
                <w:szCs w:val="18"/>
                <w:color w:val="auto"/>
                <w:w w:val="89"/>
              </w:rPr>
              <w:t>On Vest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Date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02"/>
        </w:trPr>
        <w:tc>
          <w:tcPr>
            <w:tcW w:w="460" w:type="dxa"/>
            <w:vAlign w:val="bottom"/>
          </w:tcPr>
          <w:p>
            <w:pPr>
              <w:spacing w:after="0"/>
              <w:rPr>
                <w:sz w:val="17"/>
                <w:szCs w:val="17"/>
                <w:color w:val="auto"/>
              </w:rPr>
            </w:pPr>
          </w:p>
        </w:tc>
        <w:tc>
          <w:tcPr>
            <w:tcW w:w="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460"/>
              <w:spacing w:after="0" w:line="201" w:lineRule="exact"/>
              <w:rPr>
                <w:sz w:val="20"/>
                <w:szCs w:val="20"/>
                <w:color w:val="auto"/>
              </w:rPr>
            </w:pPr>
            <w:r>
              <w:rPr>
                <w:rFonts w:ascii="Arial" w:cs="Arial" w:eastAsia="Arial" w:hAnsi="Arial"/>
                <w:sz w:val="18"/>
                <w:szCs w:val="18"/>
                <w:color w:val="auto"/>
                <w:w w:val="89"/>
              </w:rPr>
              <w:t>On Vest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Date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02"/>
        </w:trPr>
        <w:tc>
          <w:tcPr>
            <w:tcW w:w="460" w:type="dxa"/>
            <w:vAlign w:val="bottom"/>
          </w:tcPr>
          <w:p>
            <w:pPr>
              <w:spacing w:after="0"/>
              <w:rPr>
                <w:sz w:val="17"/>
                <w:szCs w:val="17"/>
                <w:color w:val="auto"/>
              </w:rPr>
            </w:pPr>
          </w:p>
        </w:tc>
        <w:tc>
          <w:tcPr>
            <w:tcW w:w="4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0" w:type="dxa"/>
            <w:vAlign w:val="bottom"/>
            <w:gridSpan w:val="2"/>
          </w:tcPr>
          <w:p>
            <w:pPr>
              <w:jc w:val="center"/>
              <w:ind w:right="460"/>
              <w:spacing w:after="0" w:line="201" w:lineRule="exact"/>
              <w:rPr>
                <w:sz w:val="20"/>
                <w:szCs w:val="20"/>
                <w:color w:val="auto"/>
              </w:rPr>
            </w:pPr>
            <w:r>
              <w:rPr>
                <w:rFonts w:ascii="Arial" w:cs="Arial" w:eastAsia="Arial" w:hAnsi="Arial"/>
                <w:sz w:val="18"/>
                <w:szCs w:val="18"/>
                <w:color w:val="auto"/>
                <w:w w:val="89"/>
              </w:rPr>
              <w:t>On Vest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Date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432"/>
        </w:trPr>
        <w:tc>
          <w:tcPr>
            <w:tcW w:w="3540" w:type="dxa"/>
            <w:vAlign w:val="bottom"/>
            <w:gridSpan w:val="3"/>
          </w:tcPr>
          <w:p>
            <w:pPr>
              <w:spacing w:after="0"/>
              <w:rPr>
                <w:sz w:val="20"/>
                <w:szCs w:val="20"/>
                <w:color w:val="auto"/>
              </w:rPr>
            </w:pPr>
            <w:r>
              <w:rPr>
                <w:rFonts w:ascii="Arial" w:cs="Arial" w:eastAsia="Arial" w:hAnsi="Arial"/>
                <w:sz w:val="18"/>
                <w:szCs w:val="18"/>
                <w:color w:val="auto"/>
                <w:w w:val="99"/>
              </w:rPr>
              <w:t>The Non-Qualified Stock Option expires on [</w:t>
            </w:r>
          </w:p>
        </w:tc>
        <w:tc>
          <w:tcPr>
            <w:tcW w:w="3100" w:type="dxa"/>
            <w:vAlign w:val="bottom"/>
            <w:gridSpan w:val="3"/>
          </w:tcPr>
          <w:p>
            <w:pPr>
              <w:ind w:left="280"/>
              <w:spacing w:after="0"/>
              <w:rPr>
                <w:sz w:val="20"/>
                <w:szCs w:val="20"/>
                <w:color w:val="auto"/>
              </w:rPr>
            </w:pPr>
            <w:r>
              <w:rPr>
                <w:rFonts w:ascii="Arial" w:cs="Arial" w:eastAsia="Arial" w:hAnsi="Arial"/>
                <w:sz w:val="18"/>
                <w:szCs w:val="18"/>
                <w:color w:val="auto"/>
              </w:rPr>
              <w:t>]*** (the “Expiration Date”).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60" w:right="40" w:hanging="452"/>
        <w:spacing w:after="0" w:line="25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420"/>
          </w:cols>
          <w:pgMar w:left="240" w:top="121"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Non-Qualified Stock Option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 REGENERON PHARMACEUTICALS,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LONG-TERM INCENTIVE PLAN</w:t>
      </w:r>
    </w:p>
    <w:p>
      <w:pPr>
        <w:spacing w:after="0" w:line="211" w:lineRule="exact"/>
        <w:rPr>
          <w:sz w:val="20"/>
          <w:szCs w:val="20"/>
          <w:color w:val="auto"/>
        </w:rPr>
      </w:pPr>
    </w:p>
    <w:p>
      <w:pPr>
        <w:ind w:right="400" w:firstLine="913"/>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166"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181"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WHEREAS, the Committee administering the Regeneron Pharmaceuticals, Inc. 2014 Long-Term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has granted (as of the effective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Grantee a Stock Option to purchase the number of shares of the Company’s common stock,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as set forth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21" w:lineRule="exact"/>
        <w:rPr>
          <w:sz w:val="20"/>
          <w:szCs w:val="20"/>
          <w:color w:val="auto"/>
        </w:rPr>
      </w:pPr>
    </w:p>
    <w:p>
      <w:pPr>
        <w:ind w:right="120" w:firstLine="464"/>
        <w:spacing w:after="0" w:line="281" w:lineRule="auto"/>
        <w:tabs>
          <w:tab w:leader="none" w:pos="636" w:val="left"/>
        </w:tabs>
        <w:numPr>
          <w:ilvl w:val="1"/>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164" w:lineRule="exact"/>
        <w:rPr>
          <w:rFonts w:ascii="Arial" w:cs="Arial" w:eastAsia="Arial" w:hAnsi="Arial"/>
          <w:sz w:val="17"/>
          <w:szCs w:val="17"/>
          <w:b w:val="1"/>
          <w:bCs w:val="1"/>
          <w:color w:val="auto"/>
        </w:rPr>
      </w:pPr>
    </w:p>
    <w:p>
      <w:pPr>
        <w:ind w:firstLine="464"/>
        <w:spacing w:after="0" w:line="287" w:lineRule="auto"/>
        <w:tabs>
          <w:tab w:leader="none" w:pos="636"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w:t>
      </w:r>
    </w:p>
    <w:p>
      <w:pPr>
        <w:spacing w:after="0" w:line="2" w:lineRule="exact"/>
        <w:rPr>
          <w:rFonts w:ascii="Arial" w:cs="Arial" w:eastAsia="Arial" w:hAnsi="Arial"/>
          <w:sz w:val="16"/>
          <w:szCs w:val="16"/>
          <w:b w:val="1"/>
          <w:bCs w:val="1"/>
          <w:color w:val="auto"/>
        </w:rPr>
      </w:pPr>
    </w:p>
    <w:p>
      <w:pPr>
        <w:ind w:right="60" w:firstLine="8"/>
        <w:spacing w:after="0" w:line="252"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 Fair Market Value (as measured on the date of exercise) equal to the Option exercise price. The Company shall have the right to require the Grantee in connection with the exercise of the Option to remit to the Company in cash an amount sufficient to satisfy any federal, state and local withholding tax requirements related thereto.</w:t>
      </w:r>
    </w:p>
    <w:p>
      <w:pPr>
        <w:spacing w:after="0" w:line="194" w:lineRule="exact"/>
        <w:rPr>
          <w:sz w:val="20"/>
          <w:szCs w:val="20"/>
          <w:color w:val="auto"/>
        </w:rPr>
      </w:pPr>
    </w:p>
    <w:p>
      <w:pPr>
        <w:ind w:right="20" w:firstLine="464"/>
        <w:spacing w:after="0" w:line="289" w:lineRule="auto"/>
        <w:tabs>
          <w:tab w:leader="none" w:pos="711"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indicates each date upon which the Grantee shall be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6"/>
          <w:szCs w:val="16"/>
          <w:u w:val="single" w:color="auto"/>
          <w:color w:val="auto"/>
        </w:rPr>
        <w:t>Employer</w:t>
      </w:r>
      <w:r>
        <w:rPr>
          <w:rFonts w:ascii="Arial" w:cs="Arial" w:eastAsia="Arial" w:hAnsi="Arial"/>
          <w:sz w:val="16"/>
          <w:szCs w:val="16"/>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all vesting shall occur only on such Full Vest Dates. Except as otherwise provided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no vesting shall occur after such date as the Grantee ceases to be employed by or provide services to the Employer and the entire unvested portion of the Option shall be forfeited at such time.</w:t>
      </w:r>
    </w:p>
    <w:p>
      <w:pPr>
        <w:spacing w:after="0" w:line="166" w:lineRule="exact"/>
        <w:rPr>
          <w:rFonts w:ascii="Arial" w:cs="Arial" w:eastAsia="Arial" w:hAnsi="Arial"/>
          <w:sz w:val="16"/>
          <w:szCs w:val="16"/>
          <w:color w:val="auto"/>
        </w:rPr>
      </w:pPr>
    </w:p>
    <w:p>
      <w:pPr>
        <w:ind w:right="60" w:firstLine="464"/>
        <w:spacing w:after="0" w:line="259"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Notwithstanding anything herein (except the following sentence)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consulting agreement, change in control agreement or similar agreement in effect between the Employer and the Grantee on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if the application of the provision in the foregoing sentence, similar provisions in other stock option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grants, and other payments and benefits payable to the Grantee upon termination of employment with the Employer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Company Payments shall be automatically reduced to an amount one dollar less than an amount that would subject the Grantee to the Excise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applicable federal, state and local income, social security and other taxes) would be greater than the unreduced Company Payments to be received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Grantee minus (i) the Excise Tax payable with respect to such Company Payments and (ii) all applicable federal, state and local income, social security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taxes on such Company Payments. If the Company Payments are to be reduced in accordance with the foregoing, the Company Payments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reduced as mutually agreed between the Employer and the Grantee or, in the event the parties cannot agree, in the following order: (1) acceleration of 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option where the exercise price exceeds the fair market value of the underlying shares at the time the acceleration would otherwise occur; (2)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lump-sum severance based on a multiple of base salary or bonus; (3) any other cash amounts payable to the Grantee; (4) any benefits valued as parachute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and (5) acceleration of vesting of any equity not covered by (1) above.</w:t>
      </w:r>
    </w:p>
    <w:p>
      <w:pPr>
        <w:spacing w:after="0" w:line="207" w:lineRule="exact"/>
        <w:rPr>
          <w:sz w:val="20"/>
          <w:szCs w:val="20"/>
          <w:color w:val="auto"/>
        </w:rPr>
      </w:pPr>
    </w:p>
    <w:p>
      <w:pPr>
        <w:ind w:firstLine="464"/>
        <w:spacing w:after="0" w:line="284" w:lineRule="auto"/>
        <w:tabs>
          <w:tab w:leader="none" w:pos="636"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long-term disability, (B) the tenth anniversary of this grant if such termination is due to the Grantee’s retirement (as defined in the Company’s employee handbook as in effect on the date hereof), (C) one year after the termination if such termination is due to the Grantee’s death or long-term disability,</w:t>
      </w:r>
    </w:p>
    <w:p>
      <w:pPr>
        <w:spacing w:after="0" w:line="5" w:lineRule="exact"/>
        <w:rPr>
          <w:rFonts w:ascii="Arial" w:cs="Arial" w:eastAsia="Arial" w:hAnsi="Arial"/>
          <w:sz w:val="16"/>
          <w:szCs w:val="16"/>
          <w:b w:val="1"/>
          <w:bCs w:val="1"/>
          <w:color w:val="auto"/>
        </w:rPr>
      </w:pPr>
    </w:p>
    <w:p>
      <w:pPr>
        <w:ind w:firstLine="8"/>
        <w:spacing w:after="0" w:line="255" w:lineRule="auto"/>
        <w:tabs>
          <w:tab w:leader="none" w:pos="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90" w:lineRule="exact"/>
        <w:rPr>
          <w:sz w:val="20"/>
          <w:szCs w:val="20"/>
          <w:color w:val="auto"/>
        </w:rPr>
      </w:pPr>
    </w:p>
    <w:p>
      <w:pPr>
        <w:ind w:right="40" w:firstLine="464"/>
        <w:spacing w:after="0" w:line="284" w:lineRule="auto"/>
        <w:tabs>
          <w:tab w:leader="none" w:pos="711"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similar agreement in effect between the Company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but it does not define “cause” (or words of like import)) (A) the willful and continued failure by the Grantee substantially to perform his or her duties and obligations to the Employer,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w:t>
      </w:r>
    </w:p>
    <w:p>
      <w:pPr>
        <w:spacing w:after="0" w:line="2" w:lineRule="exact"/>
        <w:rPr>
          <w:rFonts w:ascii="Arial" w:cs="Arial" w:eastAsia="Arial" w:hAnsi="Arial"/>
          <w:sz w:val="16"/>
          <w:szCs w:val="16"/>
          <w:color w:val="auto"/>
        </w:rPr>
      </w:pPr>
    </w:p>
    <w:p>
      <w:pPr>
        <w:ind w:right="20" w:firstLine="8"/>
        <w:spacing w:after="0" w:line="270" w:lineRule="auto"/>
        <w:tabs>
          <w:tab w:leader="none" w:pos="28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that defines “cause” (or words of like import), as defined under such agreement.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78" w:lineRule="exact"/>
        <w:rPr>
          <w:rFonts w:ascii="Arial" w:cs="Arial" w:eastAsia="Arial" w:hAnsi="Arial"/>
          <w:sz w:val="17"/>
          <w:szCs w:val="17"/>
          <w:color w:val="auto"/>
        </w:rPr>
      </w:pPr>
    </w:p>
    <w:p>
      <w:pPr>
        <w:ind w:right="60" w:firstLine="464"/>
        <w:spacing w:after="0" w:line="254" w:lineRule="auto"/>
        <w:tabs>
          <w:tab w:leader="none" w:pos="7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shall mean (i) in the case where there is no employment agreement, consulting agreement, change in control agreement or similar agreement in effect between the Employer and the Grantee on the date of grant specified in the </w:t>
      </w:r>
      <w:r>
        <w:rPr>
          <w:rFonts w:ascii="Arial" w:cs="Arial" w:eastAsia="Arial" w:hAnsi="Arial"/>
          <w:sz w:val="18"/>
          <w:szCs w:val="18"/>
          <w:i w:val="1"/>
          <w:iCs w:val="1"/>
          <w:color w:val="auto"/>
        </w:rPr>
        <w:t>Notice of Grant of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Options </w:t>
      </w:r>
      <w:r>
        <w:rPr>
          <w:rFonts w:ascii="Arial" w:cs="Arial" w:eastAsia="Arial" w:hAnsi="Arial"/>
          <w:sz w:val="18"/>
          <w:szCs w:val="18"/>
          <w:color w:val="auto"/>
        </w:rPr>
        <w:t>(or where there is such an agreement but it does not define “good reason” (or words of like import)) a termination of employment by the Grantee</w:t>
      </w:r>
      <w:r>
        <w:rPr>
          <w:rFonts w:ascii="Arial" w:cs="Arial" w:eastAsia="Arial" w:hAnsi="Arial"/>
          <w:sz w:val="18"/>
          <w:szCs w:val="18"/>
          <w:i w:val="1"/>
          <w:iCs w:val="1"/>
          <w:color w:val="auto"/>
        </w:rPr>
        <w:t xml:space="preserve"> </w:t>
      </w:r>
      <w:r>
        <w:rPr>
          <w:rFonts w:ascii="Arial" w:cs="Arial" w:eastAsia="Arial" w:hAnsi="Arial"/>
          <w:sz w:val="18"/>
          <w:szCs w:val="18"/>
          <w:color w:val="auto"/>
        </w:rPr>
        <w:t>within one hundred and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those which existed immediately prior to a Change in Control (except in each case in connection with the termination of the Grantee’s employment for Cause or as a result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 w:name="page9"/>
    <w:bookmarkEnd w:id="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that defines “good reason” (or words of like import), as defined under such agreement.</w:t>
      </w:r>
    </w:p>
    <w:p>
      <w:pPr>
        <w:spacing w:after="0" w:line="175" w:lineRule="exact"/>
        <w:rPr>
          <w:sz w:val="20"/>
          <w:szCs w:val="20"/>
          <w:color w:val="auto"/>
        </w:rPr>
      </w:pPr>
    </w:p>
    <w:p>
      <w:pPr>
        <w:ind w:firstLine="464"/>
        <w:spacing w:after="0" w:line="254" w:lineRule="auto"/>
        <w:tabs>
          <w:tab w:leader="none" w:pos="63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186" w:lineRule="exact"/>
        <w:rPr>
          <w:rFonts w:ascii="Arial" w:cs="Arial" w:eastAsia="Arial" w:hAnsi="Arial"/>
          <w:sz w:val="18"/>
          <w:szCs w:val="18"/>
          <w:b w:val="1"/>
          <w:bCs w:val="1"/>
          <w:color w:val="auto"/>
        </w:rPr>
      </w:pPr>
    </w:p>
    <w:p>
      <w:pPr>
        <w:ind w:right="80" w:firstLine="464"/>
        <w:spacing w:after="0" w:line="281" w:lineRule="auto"/>
        <w:tabs>
          <w:tab w:leader="none" w:pos="63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164" w:lineRule="exact"/>
        <w:rPr>
          <w:rFonts w:ascii="Arial" w:cs="Arial" w:eastAsia="Arial" w:hAnsi="Arial"/>
          <w:sz w:val="17"/>
          <w:szCs w:val="17"/>
          <w:b w:val="1"/>
          <w:bCs w:val="1"/>
          <w:color w:val="auto"/>
        </w:rPr>
      </w:pPr>
    </w:p>
    <w:p>
      <w:pPr>
        <w:ind w:right="80" w:firstLine="464"/>
        <w:spacing w:after="0" w:line="288" w:lineRule="auto"/>
        <w:tabs>
          <w:tab w:leader="none" w:pos="63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 to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64" w:lineRule="exact"/>
        <w:rPr>
          <w:rFonts w:ascii="Arial" w:cs="Arial" w:eastAsia="Arial" w:hAnsi="Arial"/>
          <w:sz w:val="16"/>
          <w:szCs w:val="16"/>
          <w:b w:val="1"/>
          <w:bCs w:val="1"/>
          <w:color w:val="auto"/>
        </w:rPr>
      </w:pPr>
    </w:p>
    <w:p>
      <w:pPr>
        <w:ind w:right="160" w:firstLine="464"/>
        <w:spacing w:after="0" w:line="289" w:lineRule="auto"/>
        <w:tabs>
          <w:tab w:leader="none" w:pos="63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acknowledges receipt of a copy of the Plan and agrees to be bound by all the terms and provisions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158" w:lineRule="exact"/>
        <w:rPr>
          <w:rFonts w:ascii="Arial" w:cs="Arial" w:eastAsia="Arial" w:hAnsi="Arial"/>
          <w:sz w:val="17"/>
          <w:szCs w:val="17"/>
          <w:b w:val="1"/>
          <w:bCs w:val="1"/>
          <w:color w:val="auto"/>
        </w:rPr>
      </w:pPr>
    </w:p>
    <w:p>
      <w:pPr>
        <w:ind w:right="60" w:firstLine="464"/>
        <w:spacing w:after="0" w:line="258" w:lineRule="auto"/>
        <w:tabs>
          <w:tab w:leader="none" w:pos="63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83" w:lineRule="exact"/>
        <w:rPr>
          <w:rFonts w:ascii="Arial" w:cs="Arial" w:eastAsia="Arial" w:hAnsi="Arial"/>
          <w:sz w:val="18"/>
          <w:szCs w:val="18"/>
          <w:b w:val="1"/>
          <w:bCs w:val="1"/>
          <w:color w:val="auto"/>
        </w:rPr>
      </w:pPr>
    </w:p>
    <w:p>
      <w:pPr>
        <w:ind w:right="320" w:firstLine="464"/>
        <w:spacing w:after="0" w:line="282" w:lineRule="auto"/>
        <w:tabs>
          <w:tab w:leader="none" w:pos="63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nor does it modify in any respect the Grantee’s employment or compensation.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 w:name="page10"/>
    <w:bookmarkEnd w:id="9"/>
    <w:p>
      <w:pPr>
        <w:ind w:left="-180" w:firstLine="464"/>
        <w:spacing w:after="0" w:line="261" w:lineRule="auto"/>
        <w:tabs>
          <w:tab w:leader="none" w:pos="54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Recoupment. </w:t>
      </w:r>
      <w:r>
        <w:rPr>
          <w:rFonts w:ascii="Arial" w:cs="Arial" w:eastAsia="Arial" w:hAnsi="Arial"/>
          <w:sz w:val="18"/>
          <w:szCs w:val="18"/>
          <w:color w:val="auto"/>
        </w:rPr>
        <w:t>By entering into this Agreement and accepting the award hereunder, the Grantee agrees to be bound by the terms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420" w:top="270" w:right="4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tcPr>
          <w:p>
            <w:pPr>
              <w:jc w:val="right"/>
              <w:spacing w:after="0"/>
              <w:rPr>
                <w:sz w:val="20"/>
                <w:szCs w:val="20"/>
                <w:color w:val="auto"/>
              </w:rPr>
            </w:pPr>
            <w:r>
              <w:rPr>
                <w:rFonts w:ascii="Arial" w:cs="Arial" w:eastAsia="Arial" w:hAnsi="Arial"/>
                <w:sz w:val="18"/>
                <w:szCs w:val="18"/>
                <w:b w:val="1"/>
                <w:bCs w:val="1"/>
                <w:color w:val="auto"/>
              </w:rPr>
              <w:t>Exhibit 10.2</w:t>
            </w:r>
          </w:p>
        </w:tc>
        <w:tc>
          <w:tcPr>
            <w:tcW w:w="0" w:type="dxa"/>
            <w:vAlign w:val="bottom"/>
          </w:tcPr>
          <w:p>
            <w:pPr>
              <w:spacing w:after="0"/>
              <w:rPr>
                <w:sz w:val="1"/>
                <w:szCs w:val="1"/>
                <w:color w:val="auto"/>
              </w:rPr>
            </w:pPr>
          </w:p>
        </w:tc>
      </w:tr>
      <w:tr>
        <w:trPr>
          <w:trHeight w:val="441"/>
        </w:trPr>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80" w:type="dxa"/>
            <w:vAlign w:val="bottom"/>
            <w:gridSpan w:val="4"/>
          </w:tcPr>
          <w:p>
            <w:pPr>
              <w:ind w:left="1300"/>
              <w:spacing w:after="0"/>
              <w:rPr>
                <w:sz w:val="20"/>
                <w:szCs w:val="20"/>
                <w:color w:val="auto"/>
              </w:rPr>
            </w:pPr>
            <w:r>
              <w:rPr>
                <w:rFonts w:ascii="Arial" w:cs="Arial" w:eastAsia="Arial" w:hAnsi="Arial"/>
                <w:sz w:val="18"/>
                <w:szCs w:val="18"/>
                <w:b w:val="1"/>
                <w:bCs w:val="1"/>
                <w:color w:val="auto"/>
              </w:rPr>
              <w:t>Regeneron Pharmaceuticals, Inc.</w:t>
            </w:r>
          </w:p>
        </w:tc>
        <w:tc>
          <w:tcPr>
            <w:tcW w:w="0" w:type="dxa"/>
            <w:vAlign w:val="bottom"/>
          </w:tcPr>
          <w:p>
            <w:pPr>
              <w:spacing w:after="0"/>
              <w:rPr>
                <w:sz w:val="1"/>
                <w:szCs w:val="1"/>
                <w:color w:val="auto"/>
              </w:rPr>
            </w:pPr>
          </w:p>
        </w:tc>
      </w:tr>
      <w:tr>
        <w:trPr>
          <w:trHeight w:val="220"/>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1960" w:type="dxa"/>
            <w:vAlign w:val="bottom"/>
          </w:tcPr>
          <w:p>
            <w:pPr>
              <w:ind w:left="13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11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40" w:type="dxa"/>
            <w:vAlign w:val="bottom"/>
            <w:gridSpan w:val="2"/>
            <w:vMerge w:val="continue"/>
          </w:tcPr>
          <w:p>
            <w:pPr>
              <w:spacing w:after="0"/>
              <w:rPr>
                <w:sz w:val="18"/>
                <w:szCs w:val="18"/>
                <w:color w:val="auto"/>
              </w:rPr>
            </w:pPr>
          </w:p>
        </w:tc>
        <w:tc>
          <w:tcPr>
            <w:tcW w:w="3540" w:type="dxa"/>
            <w:vAlign w:val="bottom"/>
            <w:gridSpan w:val="3"/>
          </w:tcPr>
          <w:p>
            <w:pPr>
              <w:ind w:left="1300"/>
              <w:spacing w:after="0"/>
              <w:rPr>
                <w:sz w:val="20"/>
                <w:szCs w:val="20"/>
                <w:color w:val="auto"/>
              </w:rPr>
            </w:pPr>
            <w:r>
              <w:rPr>
                <w:rFonts w:ascii="Arial" w:cs="Arial" w:eastAsia="Arial" w:hAnsi="Arial"/>
                <w:sz w:val="18"/>
                <w:szCs w:val="18"/>
                <w:color w:val="auto"/>
                <w:w w:val="96"/>
              </w:rPr>
              <w:t>777 Old Saw Mill River Road</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and Option Agreement for Time Vesting</w:t>
            </w:r>
          </w:p>
        </w:tc>
        <w:tc>
          <w:tcPr>
            <w:tcW w:w="3540" w:type="dxa"/>
            <w:vAlign w:val="bottom"/>
            <w:gridSpan w:val="3"/>
          </w:tcPr>
          <w:p>
            <w:pPr>
              <w:ind w:left="1300"/>
              <w:spacing w:after="0"/>
              <w:rPr>
                <w:sz w:val="20"/>
                <w:szCs w:val="20"/>
                <w:color w:val="auto"/>
              </w:rPr>
            </w:pPr>
            <w:r>
              <w:rPr>
                <w:rFonts w:ascii="Arial" w:cs="Arial" w:eastAsia="Arial" w:hAnsi="Arial"/>
                <w:sz w:val="18"/>
                <w:szCs w:val="18"/>
                <w:color w:val="auto"/>
                <w:w w:val="99"/>
              </w:rPr>
              <w:t>Tarrytown, New York 10591</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208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1660" w:type="dxa"/>
            <w:vAlign w:val="bottom"/>
          </w:tcPr>
          <w:p>
            <w:pPr>
              <w:spacing w:after="0"/>
              <w:rPr>
                <w:sz w:val="24"/>
                <w:szCs w:val="24"/>
                <w:color w:val="auto"/>
              </w:rPr>
            </w:pPr>
          </w:p>
        </w:tc>
        <w:tc>
          <w:tcPr>
            <w:tcW w:w="3080" w:type="dxa"/>
            <w:vAlign w:val="bottom"/>
            <w:gridSpan w:val="2"/>
          </w:tcPr>
          <w:p>
            <w:pPr>
              <w:ind w:left="1300"/>
              <w:spacing w:after="0"/>
              <w:rPr>
                <w:sz w:val="20"/>
                <w:szCs w:val="20"/>
                <w:color w:val="auto"/>
              </w:rPr>
            </w:pPr>
            <w:r>
              <w:rPr>
                <w:rFonts w:ascii="Arial" w:cs="Arial" w:eastAsia="Arial" w:hAnsi="Arial"/>
                <w:sz w:val="18"/>
                <w:szCs w:val="18"/>
                <w:b w:val="1"/>
                <w:bCs w:val="1"/>
                <w:color w:val="auto"/>
              </w:rPr>
              <w:t>Option Number:</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jc w:val="right"/>
              <w:ind w:right="38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660" w:type="dxa"/>
            <w:vAlign w:val="bottom"/>
          </w:tcPr>
          <w:p>
            <w:pPr>
              <w:spacing w:after="0"/>
              <w:rPr>
                <w:sz w:val="18"/>
                <w:szCs w:val="18"/>
                <w:color w:val="auto"/>
              </w:rPr>
            </w:pPr>
          </w:p>
        </w:tc>
        <w:tc>
          <w:tcPr>
            <w:tcW w:w="1960" w:type="dxa"/>
            <w:vAlign w:val="bottom"/>
          </w:tcPr>
          <w:p>
            <w:pPr>
              <w:ind w:left="1300"/>
              <w:spacing w:after="0"/>
              <w:rPr>
                <w:sz w:val="20"/>
                <w:szCs w:val="20"/>
                <w:color w:val="auto"/>
              </w:rPr>
            </w:pPr>
            <w:r>
              <w:rPr>
                <w:rFonts w:ascii="Arial" w:cs="Arial" w:eastAsia="Arial" w:hAnsi="Arial"/>
                <w:sz w:val="18"/>
                <w:szCs w:val="18"/>
                <w:b w:val="1"/>
                <w:bCs w:val="1"/>
                <w:color w:val="auto"/>
              </w:rPr>
              <w:t>Plan:</w:t>
            </w:r>
          </w:p>
        </w:tc>
        <w:tc>
          <w:tcPr>
            <w:tcW w:w="11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jc w:val="right"/>
              <w:ind w:right="38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60" w:type="dxa"/>
            <w:vAlign w:val="bottom"/>
          </w:tcPr>
          <w:p>
            <w:pPr>
              <w:ind w:left="1300"/>
              <w:spacing w:after="0"/>
              <w:rPr>
                <w:sz w:val="20"/>
                <w:szCs w:val="20"/>
                <w:color w:val="auto"/>
              </w:rPr>
            </w:pPr>
            <w:r>
              <w:rPr>
                <w:rFonts w:ascii="Arial" w:cs="Arial" w:eastAsia="Arial" w:hAnsi="Arial"/>
                <w:sz w:val="18"/>
                <w:szCs w:val="18"/>
                <w:b w:val="1"/>
                <w:bCs w:val="1"/>
                <w:color w:val="auto"/>
              </w:rPr>
              <w:t>ID</w:t>
            </w:r>
          </w:p>
        </w:tc>
        <w:tc>
          <w:tcPr>
            <w:tcW w:w="1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4140" w:type="dxa"/>
            <w:vAlign w:val="bottom"/>
          </w:tcPr>
          <w:p>
            <w:pPr>
              <w:jc w:val="right"/>
              <w:ind w:right="38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6820" w:type="dxa"/>
            <w:vAlign w:val="bottom"/>
            <w:tcBorders>
              <w:bottom w:val="single" w:sz="8" w:color="auto"/>
            </w:tcBorders>
            <w:gridSpan w:val="4"/>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820" w:type="dxa"/>
            <w:vAlign w:val="bottom"/>
            <w:gridSpan w:val="4"/>
          </w:tcPr>
          <w:p>
            <w:pPr>
              <w:spacing w:after="0"/>
              <w:rPr>
                <w:sz w:val="20"/>
                <w:szCs w:val="20"/>
                <w:color w:val="auto"/>
              </w:rPr>
            </w:pPr>
            <w:r>
              <w:rPr>
                <w:rFonts w:ascii="Arial" w:cs="Arial" w:eastAsia="Arial" w:hAnsi="Arial"/>
                <w:sz w:val="18"/>
                <w:szCs w:val="18"/>
                <w:color w:val="auto"/>
                <w:w w:val="91"/>
              </w:rPr>
              <w:t>Effective &lt;date&gt; (the “Grant Date”) you have been granted an Incentive Stock Option to buy [</w:t>
            </w:r>
          </w:p>
        </w:tc>
        <w:tc>
          <w:tcPr>
            <w:tcW w:w="460" w:type="dxa"/>
            <w:vAlign w:val="bottom"/>
          </w:tcPr>
          <w:p>
            <w:pPr>
              <w:spacing w:after="0"/>
              <w:rPr>
                <w:sz w:val="24"/>
                <w:szCs w:val="24"/>
                <w:color w:val="auto"/>
              </w:rPr>
            </w:pPr>
          </w:p>
        </w:tc>
        <w:tc>
          <w:tcPr>
            <w:tcW w:w="4140" w:type="dxa"/>
            <w:vAlign w:val="bottom"/>
          </w:tcPr>
          <w:p>
            <w:pPr>
              <w:jc w:val="right"/>
              <w:ind w:right="510"/>
              <w:spacing w:after="0"/>
              <w:rPr>
                <w:sz w:val="20"/>
                <w:szCs w:val="20"/>
                <w:color w:val="auto"/>
              </w:rPr>
            </w:pPr>
            <w:r>
              <w:rPr>
                <w:rFonts w:ascii="Arial" w:cs="Arial" w:eastAsia="Arial" w:hAnsi="Arial"/>
                <w:sz w:val="18"/>
                <w:szCs w:val="18"/>
                <w:color w:val="auto"/>
                <w:w w:val="89"/>
              </w:rPr>
              <w:t>] shares of Regeneron Pharmaceuticals, Inc.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“Company”) stock at $[</w:t>
            </w:r>
          </w:p>
        </w:tc>
        <w:tc>
          <w:tcPr>
            <w:tcW w:w="1660" w:type="dxa"/>
            <w:vAlign w:val="bottom"/>
          </w:tcPr>
          <w:p>
            <w:pPr>
              <w:ind w:left="180"/>
              <w:spacing w:after="0"/>
              <w:rPr>
                <w:sz w:val="20"/>
                <w:szCs w:val="20"/>
                <w:color w:val="auto"/>
              </w:rPr>
            </w:pPr>
            <w:r>
              <w:rPr>
                <w:rFonts w:ascii="Arial" w:cs="Arial" w:eastAsia="Arial" w:hAnsi="Arial"/>
                <w:sz w:val="18"/>
                <w:szCs w:val="18"/>
                <w:color w:val="auto"/>
              </w:rPr>
              <w:t>] per share.</w:t>
            </w: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color w:val="auto"/>
                <w:w w:val="97"/>
              </w:rPr>
              <w:t>The total option price of the shares granted is $[</w:t>
            </w:r>
          </w:p>
        </w:tc>
        <w:tc>
          <w:tcPr>
            <w:tcW w:w="1960" w:type="dxa"/>
            <w:vAlign w:val="bottom"/>
          </w:tcPr>
          <w:p>
            <w:pPr>
              <w:ind w:left="2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460" w:type="dxa"/>
            <w:vAlign w:val="bottom"/>
          </w:tcPr>
          <w:p>
            <w:pPr>
              <w:spacing w:after="0"/>
              <w:rPr>
                <w:sz w:val="16"/>
                <w:szCs w:val="16"/>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960" w:type="dxa"/>
            <w:vAlign w:val="bottom"/>
          </w:tcPr>
          <w:p>
            <w:pPr>
              <w:spacing w:after="0"/>
              <w:rPr>
                <w:sz w:val="16"/>
                <w:szCs w:val="16"/>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Vest Type</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Full Vest</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20" w:type="dxa"/>
            <w:vAlign w:val="bottom"/>
            <w:gridSpan w:val="2"/>
          </w:tcPr>
          <w:p>
            <w:pPr>
              <w:ind w:left="480"/>
              <w:spacing w:after="0"/>
              <w:rPr>
                <w:sz w:val="20"/>
                <w:szCs w:val="20"/>
                <w:color w:val="auto"/>
              </w:rPr>
            </w:pPr>
            <w:r>
              <w:rPr>
                <w:rFonts w:ascii="Arial" w:cs="Arial" w:eastAsia="Arial" w:hAnsi="Arial"/>
                <w:sz w:val="14"/>
                <w:szCs w:val="14"/>
                <w:b w:val="1"/>
                <w:bCs w:val="1"/>
                <w:color w:val="auto"/>
              </w:rPr>
              <w:t>Expiration Date</w:t>
            </w:r>
          </w:p>
        </w:tc>
      </w:tr>
      <w:tr>
        <w:trPr>
          <w:trHeight w:val="203"/>
        </w:trPr>
        <w:tc>
          <w:tcPr>
            <w:tcW w:w="460" w:type="dxa"/>
            <w:vAlign w:val="bottom"/>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8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On Vest Date</w:t>
            </w: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[10 years from Grant Date]</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460" w:type="dxa"/>
            <w:vAlign w:val="bottom"/>
          </w:tcPr>
          <w:p>
            <w:pPr>
              <w:spacing w:after="0"/>
              <w:rPr>
                <w:sz w:val="17"/>
                <w:szCs w:val="17"/>
                <w:color w:val="auto"/>
              </w:rPr>
            </w:pPr>
          </w:p>
        </w:tc>
        <w:tc>
          <w:tcPr>
            <w:tcW w:w="4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On Vest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Date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w w:val="91"/>
              </w:rPr>
              <w:t>[10 years from Grant Date]</w:t>
            </w:r>
          </w:p>
        </w:tc>
      </w:tr>
      <w:tr>
        <w:trPr>
          <w:trHeight w:val="202"/>
        </w:trPr>
        <w:tc>
          <w:tcPr>
            <w:tcW w:w="460" w:type="dxa"/>
            <w:vAlign w:val="bottom"/>
          </w:tcPr>
          <w:p>
            <w:pPr>
              <w:spacing w:after="0"/>
              <w:rPr>
                <w:sz w:val="17"/>
                <w:szCs w:val="17"/>
                <w:color w:val="auto"/>
              </w:rPr>
            </w:pPr>
          </w:p>
        </w:tc>
        <w:tc>
          <w:tcPr>
            <w:tcW w:w="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On Vest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Date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[10 years from Grant Date]</w:t>
            </w:r>
          </w:p>
        </w:tc>
      </w:tr>
      <w:tr>
        <w:trPr>
          <w:trHeight w:val="202"/>
        </w:trPr>
        <w:tc>
          <w:tcPr>
            <w:tcW w:w="460" w:type="dxa"/>
            <w:vAlign w:val="bottom"/>
          </w:tcPr>
          <w:p>
            <w:pPr>
              <w:spacing w:after="0"/>
              <w:rPr>
                <w:sz w:val="17"/>
                <w:szCs w:val="17"/>
                <w:color w:val="auto"/>
              </w:rPr>
            </w:pPr>
          </w:p>
        </w:tc>
        <w:tc>
          <w:tcPr>
            <w:tcW w:w="4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On Vest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Date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60"/>
              <w:spacing w:after="0"/>
              <w:rPr>
                <w:sz w:val="20"/>
                <w:szCs w:val="20"/>
                <w:color w:val="auto"/>
              </w:rPr>
            </w:pPr>
            <w:r>
              <w:rPr>
                <w:rFonts w:ascii="Arial" w:cs="Arial" w:eastAsia="Arial" w:hAnsi="Arial"/>
                <w:sz w:val="18"/>
                <w:szCs w:val="18"/>
                <w:color w:val="auto"/>
                <w:w w:val="91"/>
              </w:rPr>
              <w:t>[10 years from Grant Date]</w:t>
            </w:r>
          </w:p>
        </w:tc>
      </w:tr>
      <w:tr>
        <w:trPr>
          <w:trHeight w:val="432"/>
        </w:trPr>
        <w:tc>
          <w:tcPr>
            <w:tcW w:w="3160" w:type="dxa"/>
            <w:vAlign w:val="bottom"/>
            <w:gridSpan w:val="3"/>
          </w:tcPr>
          <w:p>
            <w:pPr>
              <w:spacing w:after="0"/>
              <w:rPr>
                <w:sz w:val="20"/>
                <w:szCs w:val="20"/>
                <w:color w:val="auto"/>
              </w:rPr>
            </w:pPr>
            <w:r>
              <w:rPr>
                <w:rFonts w:ascii="Arial" w:cs="Arial" w:eastAsia="Arial" w:hAnsi="Arial"/>
                <w:sz w:val="18"/>
                <w:szCs w:val="18"/>
                <w:color w:val="auto"/>
                <w:w w:val="99"/>
              </w:rPr>
              <w:t>The Incentive Stock Option expires on [</w:t>
            </w:r>
          </w:p>
        </w:tc>
        <w:tc>
          <w:tcPr>
            <w:tcW w:w="3440" w:type="dxa"/>
            <w:vAlign w:val="bottom"/>
            <w:gridSpan w:val="3"/>
          </w:tcPr>
          <w:p>
            <w:pPr>
              <w:jc w:val="right"/>
              <w:ind w:right="1060"/>
              <w:spacing w:after="0"/>
              <w:rPr>
                <w:sz w:val="20"/>
                <w:szCs w:val="20"/>
                <w:color w:val="auto"/>
              </w:rPr>
            </w:pPr>
            <w:r>
              <w:rPr>
                <w:rFonts w:ascii="Arial" w:cs="Arial" w:eastAsia="Arial" w:hAnsi="Arial"/>
                <w:sz w:val="18"/>
                <w:szCs w:val="18"/>
                <w:color w:val="auto"/>
              </w:rPr>
              <w:t>]*** (the “Expiration Date”).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60" w:right="40" w:hanging="45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 PURSUANT TO THE 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LONG-TERM INCENTIVE PLAN</w:t>
      </w:r>
    </w:p>
    <w:p>
      <w:pPr>
        <w:spacing w:after="0" w:line="229" w:lineRule="exact"/>
        <w:rPr>
          <w:sz w:val="20"/>
          <w:szCs w:val="20"/>
          <w:color w:val="auto"/>
        </w:rPr>
      </w:pPr>
    </w:p>
    <w:p>
      <w:pPr>
        <w:ind w:right="400" w:firstLine="913"/>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166"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181"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WHEREAS, the Committee administering the Regeneron Pharmaceuticals, Inc. 2014 Long-Term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has granted (as of the effective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Grantee a Stock Option to purchase the number of shares of the Company’s common stock,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as set forth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21" w:lineRule="exact"/>
        <w:rPr>
          <w:sz w:val="20"/>
          <w:szCs w:val="20"/>
          <w:color w:val="auto"/>
        </w:rPr>
      </w:pPr>
    </w:p>
    <w:p>
      <w:pPr>
        <w:ind w:firstLine="464"/>
        <w:spacing w:after="0" w:line="289" w:lineRule="auto"/>
        <w:tabs>
          <w:tab w:leader="none" w:pos="636"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to the terms and conditions set forth herein,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to purchase from the Company all or any part of an aggregate of shares of Common Stock at the purchase price per share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The Option is intended to be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w:t>
      </w:r>
      <w:r>
        <w:rPr>
          <w:rFonts w:ascii="Arial" w:cs="Arial" w:eastAsia="Arial" w:hAnsi="Arial"/>
          <w:sz w:val="16"/>
          <w:szCs w:val="16"/>
          <w:u w:val="single" w:color="auto"/>
          <w:color w:val="auto"/>
        </w:rPr>
        <w:t>Subsidiary</w:t>
      </w:r>
      <w:r>
        <w:rPr>
          <w:rFonts w:ascii="Arial" w:cs="Arial" w:eastAsia="Arial" w:hAnsi="Arial"/>
          <w:sz w:val="16"/>
          <w:szCs w:val="16"/>
          <w:color w:val="auto"/>
        </w:rPr>
        <w:t>”)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Non-Qualified Stock Option.</w:t>
      </w:r>
    </w:p>
    <w:p>
      <w:pPr>
        <w:spacing w:after="0" w:line="161" w:lineRule="exact"/>
        <w:rPr>
          <w:rFonts w:ascii="Arial" w:cs="Arial" w:eastAsia="Arial" w:hAnsi="Arial"/>
          <w:sz w:val="16"/>
          <w:szCs w:val="16"/>
          <w:b w:val="1"/>
          <w:bCs w:val="1"/>
          <w:color w:val="auto"/>
        </w:rPr>
      </w:pPr>
    </w:p>
    <w:p>
      <w:pPr>
        <w:ind w:firstLine="464"/>
        <w:spacing w:after="0" w:line="287" w:lineRule="auto"/>
        <w:tabs>
          <w:tab w:leader="none" w:pos="636"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 Option has become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w:t>
      </w:r>
    </w:p>
    <w:p>
      <w:pPr>
        <w:spacing w:after="0" w:line="2" w:lineRule="exact"/>
        <w:rPr>
          <w:rFonts w:ascii="Arial" w:cs="Arial" w:eastAsia="Arial" w:hAnsi="Arial"/>
          <w:sz w:val="16"/>
          <w:szCs w:val="16"/>
          <w:b w:val="1"/>
          <w:bCs w:val="1"/>
          <w:color w:val="auto"/>
        </w:rPr>
      </w:pPr>
    </w:p>
    <w:p>
      <w:pPr>
        <w:ind w:right="60" w:firstLine="8"/>
        <w:spacing w:after="0" w:line="255"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the Plan, including, without limitation, the filing of such written form of exercise notice as may be provided by the Company, and in accordance with applicable tax and other laws. The Company shall have the right to require the Grantee in connection with the exercise of the Option to remit to the Company in cash an amount sufficient to satisfy any federal, state and local withholding tax requirements related thereto.</w:t>
      </w:r>
    </w:p>
    <w:p>
      <w:pPr>
        <w:spacing w:after="0" w:line="190" w:lineRule="exact"/>
        <w:rPr>
          <w:sz w:val="20"/>
          <w:szCs w:val="20"/>
          <w:color w:val="auto"/>
        </w:rPr>
      </w:pPr>
    </w:p>
    <w:p>
      <w:pPr>
        <w:ind w:right="20" w:firstLine="464"/>
        <w:spacing w:after="0" w:line="289" w:lineRule="auto"/>
        <w:tabs>
          <w:tab w:leader="none" w:pos="7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indicates each date upon which the Grantee shall be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6"/>
          <w:szCs w:val="16"/>
          <w:u w:val="single" w:color="auto"/>
          <w:color w:val="auto"/>
        </w:rPr>
        <w:t>Employer</w:t>
      </w:r>
      <w:r>
        <w:rPr>
          <w:rFonts w:ascii="Arial" w:cs="Arial" w:eastAsia="Arial" w:hAnsi="Arial"/>
          <w:sz w:val="16"/>
          <w:szCs w:val="16"/>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all vesting shall occur only on such Full Vest Dates. Except as otherwise provided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no vesting shall occur after such date as the Grantee ceases to be employed by or provide services to the Employer and the entire unvested portion of the Option shall be forfeited at such time.</w:t>
      </w:r>
    </w:p>
    <w:p>
      <w:pPr>
        <w:sectPr>
          <w:pgSz w:w="11900" w:h="16838" w:orient="portrait"/>
          <w:cols w:equalWidth="0" w:num="1">
            <w:col w:w="11420"/>
          </w:cols>
          <w:pgMar w:left="240" w:top="270" w:right="239" w:bottom="1440" w:gutter="0" w:footer="0" w:header="0"/>
        </w:sectPr>
      </w:pPr>
    </w:p>
    <w:bookmarkStart w:id="12" w:name="page13"/>
    <w:bookmarkEnd w:id="12"/>
    <w:p>
      <w:pPr>
        <w:ind w:left="-8" w:firstLine="464"/>
        <w:spacing w:after="0" w:line="283" w:lineRule="auto"/>
        <w:tabs>
          <w:tab w:leader="none" w:pos="693" w:val="left"/>
        </w:tabs>
        <w:numPr>
          <w:ilvl w:val="1"/>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herein (except the following sentence) or in the Notice of Grant of Stock Options to the contrary,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w:t>
      </w:r>
    </w:p>
    <w:p>
      <w:pPr>
        <w:spacing w:after="0" w:line="3" w:lineRule="exact"/>
        <w:rPr>
          <w:rFonts w:ascii="Arial" w:cs="Arial" w:eastAsia="Arial" w:hAnsi="Arial"/>
          <w:sz w:val="16"/>
          <w:szCs w:val="16"/>
          <w:color w:val="auto"/>
        </w:rPr>
      </w:pPr>
    </w:p>
    <w:p>
      <w:pPr>
        <w:ind w:left="-8" w:right="40" w:firstLine="8"/>
        <w:spacing w:after="0" w:line="255" w:lineRule="auto"/>
        <w:tabs>
          <w:tab w:leader="none" w:pos="2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86" w:lineRule="exact"/>
        <w:rPr>
          <w:sz w:val="20"/>
          <w:szCs w:val="20"/>
          <w:color w:val="auto"/>
        </w:rPr>
      </w:pPr>
    </w:p>
    <w:p>
      <w:pPr>
        <w:ind w:left="-8" w:right="20" w:firstLine="464"/>
        <w:spacing w:after="0" w:line="284" w:lineRule="auto"/>
        <w:tabs>
          <w:tab w:leader="none" w:pos="628"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similar agreement in effect between the Employer and the Grantee on the date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 (A) subject to (E) below, three months after such termination if such termination is for any reason other than death, retirement (as defined in the Company’s employee handbook as in effect on the date hereof), or long-term disability, (B) the tenth anniversary of this grant if such termination is due to the Grantee’s retirement (as defined in the Company’s employee handbook as in effect on the date hereof), (C) one year after the termination if such termination is due to the Grantee’s death or long-term disability,</w:t>
      </w:r>
    </w:p>
    <w:p>
      <w:pPr>
        <w:spacing w:after="0" w:line="5" w:lineRule="exact"/>
        <w:rPr>
          <w:rFonts w:ascii="Arial" w:cs="Arial" w:eastAsia="Arial" w:hAnsi="Arial"/>
          <w:sz w:val="16"/>
          <w:szCs w:val="16"/>
          <w:b w:val="1"/>
          <w:bCs w:val="1"/>
          <w:color w:val="auto"/>
        </w:rPr>
      </w:pPr>
    </w:p>
    <w:p>
      <w:pPr>
        <w:ind w:left="-8" w:right="240" w:firstLine="8"/>
        <w:spacing w:after="0" w:line="255" w:lineRule="auto"/>
        <w:tabs>
          <w:tab w:leader="none" w:pos="2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90" w:lineRule="exact"/>
        <w:rPr>
          <w:rFonts w:ascii="Arial" w:cs="Arial" w:eastAsia="Arial" w:hAnsi="Arial"/>
          <w:sz w:val="18"/>
          <w:szCs w:val="18"/>
          <w:color w:val="auto"/>
        </w:rPr>
      </w:pPr>
    </w:p>
    <w:p>
      <w:pPr>
        <w:ind w:left="-8" w:right="60" w:firstLine="921"/>
        <w:spacing w:after="0" w:line="284" w:lineRule="auto"/>
        <w:tabs>
          <w:tab w:leader="none" w:pos="11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similar agreement in effect between the Company and the Grantee on the date of grant specified in the </w:t>
      </w:r>
      <w:r>
        <w:rPr>
          <w:rFonts w:ascii="Arial" w:cs="Arial" w:eastAsia="Arial" w:hAnsi="Arial"/>
          <w:sz w:val="16"/>
          <w:szCs w:val="16"/>
          <w:i w:val="1"/>
          <w:iCs w:val="1"/>
          <w:color w:val="auto"/>
        </w:rPr>
        <w:t>Notice of Grant of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Options </w:t>
      </w:r>
      <w:r>
        <w:rPr>
          <w:rFonts w:ascii="Arial" w:cs="Arial" w:eastAsia="Arial" w:hAnsi="Arial"/>
          <w:sz w:val="16"/>
          <w:szCs w:val="16"/>
          <w:color w:val="auto"/>
        </w:rPr>
        <w:t>(or where there is such an agreement but it does not define “cause” (or words of like import)) (A) the willful and continued failure by the Grantee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to perform his or her duties and obligations to the Employer,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w:t>
      </w:r>
    </w:p>
    <w:p>
      <w:pPr>
        <w:spacing w:after="0" w:line="2" w:lineRule="exact"/>
        <w:rPr>
          <w:rFonts w:ascii="Arial" w:cs="Arial" w:eastAsia="Arial" w:hAnsi="Arial"/>
          <w:sz w:val="16"/>
          <w:szCs w:val="16"/>
          <w:color w:val="auto"/>
        </w:rPr>
      </w:pPr>
    </w:p>
    <w:p>
      <w:pPr>
        <w:ind w:left="-8" w:right="40" w:firstLine="8"/>
        <w:spacing w:after="0" w:line="270" w:lineRule="auto"/>
        <w:tabs>
          <w:tab w:leader="none" w:pos="277"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that defines “cause” (or words of like import), as defined under such agreement.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78" w:lineRule="exact"/>
        <w:rPr>
          <w:rFonts w:ascii="Arial" w:cs="Arial" w:eastAsia="Arial" w:hAnsi="Arial"/>
          <w:sz w:val="17"/>
          <w:szCs w:val="17"/>
          <w:color w:val="auto"/>
        </w:rPr>
      </w:pPr>
    </w:p>
    <w:p>
      <w:pPr>
        <w:ind w:left="-8" w:firstLine="921"/>
        <w:spacing w:after="0" w:line="272" w:lineRule="auto"/>
        <w:tabs>
          <w:tab w:leader="none" w:pos="1150" w:val="left"/>
        </w:tabs>
        <w:numPr>
          <w:ilvl w:val="2"/>
          <w:numId w:val="22"/>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shall mean (i) in the case where there is no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(or where there is such an agreement but it does not define “good reason” (or words of like import)) a termination of employment by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Grantee within one hundred and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those which existed immediately prior to a Change in</w:t>
      </w:r>
    </w:p>
    <w:p>
      <w:pPr>
        <w:sectPr>
          <w:pgSz w:w="11900" w:h="16838" w:orient="portrait"/>
          <w:cols w:equalWidth="0" w:num="1">
            <w:col w:w="11392"/>
          </w:cols>
          <w:pgMar w:left="248" w:top="274" w:right="259" w:bottom="1440" w:gutter="0" w:footer="0" w:header="0"/>
        </w:sectPr>
      </w:pPr>
    </w:p>
    <w:bookmarkStart w:id="13" w:name="page14"/>
    <w:bookmarkEnd w:id="13"/>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that defines “good reason” (or words of like import), as defined under such agreement.</w:t>
      </w:r>
    </w:p>
    <w:p>
      <w:pPr>
        <w:spacing w:after="0" w:line="193" w:lineRule="exact"/>
        <w:rPr>
          <w:sz w:val="20"/>
          <w:szCs w:val="20"/>
          <w:color w:val="auto"/>
        </w:rPr>
      </w:pPr>
    </w:p>
    <w:p>
      <w:pPr>
        <w:ind w:firstLine="464"/>
        <w:spacing w:after="0" w:line="254" w:lineRule="auto"/>
        <w:tabs>
          <w:tab w:leader="none" w:pos="63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186" w:lineRule="exact"/>
        <w:rPr>
          <w:rFonts w:ascii="Arial" w:cs="Arial" w:eastAsia="Arial" w:hAnsi="Arial"/>
          <w:sz w:val="18"/>
          <w:szCs w:val="18"/>
          <w:b w:val="1"/>
          <w:bCs w:val="1"/>
          <w:color w:val="auto"/>
        </w:rPr>
      </w:pPr>
    </w:p>
    <w:p>
      <w:pPr>
        <w:ind w:right="80" w:firstLine="464"/>
        <w:spacing w:after="0" w:line="281" w:lineRule="auto"/>
        <w:tabs>
          <w:tab w:leader="none" w:pos="636"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164" w:lineRule="exact"/>
        <w:rPr>
          <w:rFonts w:ascii="Arial" w:cs="Arial" w:eastAsia="Arial" w:hAnsi="Arial"/>
          <w:sz w:val="17"/>
          <w:szCs w:val="17"/>
          <w:b w:val="1"/>
          <w:bCs w:val="1"/>
          <w:color w:val="auto"/>
        </w:rPr>
      </w:pPr>
    </w:p>
    <w:p>
      <w:pPr>
        <w:ind w:right="60" w:firstLine="464"/>
        <w:spacing w:after="0" w:line="288" w:lineRule="auto"/>
        <w:tabs>
          <w:tab w:leader="none" w:pos="636"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 to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64" w:lineRule="exact"/>
        <w:rPr>
          <w:rFonts w:ascii="Arial" w:cs="Arial" w:eastAsia="Arial" w:hAnsi="Arial"/>
          <w:sz w:val="16"/>
          <w:szCs w:val="16"/>
          <w:b w:val="1"/>
          <w:bCs w:val="1"/>
          <w:color w:val="auto"/>
        </w:rPr>
      </w:pPr>
    </w:p>
    <w:p>
      <w:pPr>
        <w:ind w:right="160" w:firstLine="464"/>
        <w:spacing w:after="0" w:line="289" w:lineRule="auto"/>
        <w:tabs>
          <w:tab w:leader="none" w:pos="636"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acknowledges receipt of a copy of the Plan and agrees to be bound by all the terms and provisions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158" w:lineRule="exact"/>
        <w:rPr>
          <w:rFonts w:ascii="Arial" w:cs="Arial" w:eastAsia="Arial" w:hAnsi="Arial"/>
          <w:sz w:val="17"/>
          <w:szCs w:val="17"/>
          <w:b w:val="1"/>
          <w:bCs w:val="1"/>
          <w:color w:val="auto"/>
        </w:rPr>
      </w:pPr>
    </w:p>
    <w:p>
      <w:pPr>
        <w:ind w:right="60" w:firstLine="464"/>
        <w:spacing w:after="0" w:line="258" w:lineRule="auto"/>
        <w:tabs>
          <w:tab w:leader="none" w:pos="63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83" w:lineRule="exact"/>
        <w:rPr>
          <w:rFonts w:ascii="Arial" w:cs="Arial" w:eastAsia="Arial" w:hAnsi="Arial"/>
          <w:sz w:val="18"/>
          <w:szCs w:val="18"/>
          <w:b w:val="1"/>
          <w:bCs w:val="1"/>
          <w:color w:val="auto"/>
        </w:rPr>
      </w:pPr>
    </w:p>
    <w:p>
      <w:pPr>
        <w:ind w:right="320" w:firstLine="464"/>
        <w:spacing w:after="0" w:line="282" w:lineRule="auto"/>
        <w:tabs>
          <w:tab w:leader="none" w:pos="63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nor does it modify in any respect the Grantee’s employment or compensation.</w:t>
      </w:r>
    </w:p>
    <w:p>
      <w:pPr>
        <w:spacing w:after="0" w:line="161" w:lineRule="exact"/>
        <w:rPr>
          <w:rFonts w:ascii="Arial" w:cs="Arial" w:eastAsia="Arial" w:hAnsi="Arial"/>
          <w:sz w:val="18"/>
          <w:szCs w:val="18"/>
          <w:b w:val="1"/>
          <w:bCs w:val="1"/>
          <w:color w:val="auto"/>
        </w:rPr>
      </w:pPr>
    </w:p>
    <w:p>
      <w:pPr>
        <w:ind w:right="180" w:firstLine="464"/>
        <w:spacing w:after="0" w:line="261" w:lineRule="auto"/>
        <w:tabs>
          <w:tab w:leader="none" w:pos="72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80" w:type="dxa"/>
            <w:vAlign w:val="bottom"/>
          </w:tcPr>
          <w:p>
            <w:pPr>
              <w:jc w:val="right"/>
              <w:spacing w:after="0"/>
              <w:rPr>
                <w:sz w:val="20"/>
                <w:szCs w:val="20"/>
                <w:color w:val="auto"/>
              </w:rPr>
            </w:pPr>
            <w:r>
              <w:rPr>
                <w:rFonts w:ascii="Arial" w:cs="Arial" w:eastAsia="Arial" w:hAnsi="Arial"/>
                <w:sz w:val="18"/>
                <w:szCs w:val="18"/>
                <w:b w:val="1"/>
                <w:bCs w:val="1"/>
                <w:color w:val="auto"/>
              </w:rPr>
              <w:t>Exhibit 10.3</w:t>
            </w:r>
          </w:p>
        </w:tc>
      </w:tr>
      <w:tr>
        <w:trPr>
          <w:trHeight w:val="459"/>
        </w:trPr>
        <w:tc>
          <w:tcPr>
            <w:tcW w:w="3800" w:type="dxa"/>
            <w:vAlign w:val="bottom"/>
          </w:tcPr>
          <w:p>
            <w:pPr>
              <w:spacing w:after="0"/>
              <w:rPr>
                <w:sz w:val="20"/>
                <w:szCs w:val="20"/>
                <w:color w:val="auto"/>
              </w:rPr>
            </w:pPr>
            <w:r>
              <w:rPr>
                <w:rFonts w:ascii="Arial" w:cs="Arial" w:eastAsia="Arial" w:hAnsi="Arial"/>
                <w:sz w:val="18"/>
                <w:szCs w:val="18"/>
                <w:b w:val="1"/>
                <w:bCs w:val="1"/>
                <w:color w:val="auto"/>
              </w:rPr>
              <w:t>Regeneron Pharmaceuticals, Inc.</w:t>
            </w: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8"/>
        </w:trPr>
        <w:tc>
          <w:tcPr>
            <w:tcW w:w="3800" w:type="dxa"/>
            <w:vAlign w:val="bottom"/>
          </w:tcPr>
          <w:p>
            <w:pPr>
              <w:spacing w:after="0"/>
              <w:rPr>
                <w:sz w:val="24"/>
                <w:szCs w:val="24"/>
                <w:color w:val="auto"/>
              </w:rPr>
            </w:pPr>
          </w:p>
        </w:tc>
        <w:tc>
          <w:tcPr>
            <w:tcW w:w="1880" w:type="dxa"/>
            <w:vAlign w:val="bottom"/>
          </w:tcPr>
          <w:p>
            <w:pPr>
              <w:ind w:left="1240"/>
              <w:spacing w:after="0"/>
              <w:rPr>
                <w:sz w:val="20"/>
                <w:szCs w:val="20"/>
                <w:color w:val="auto"/>
              </w:rPr>
            </w:pPr>
            <w:r>
              <w:rPr>
                <w:rFonts w:ascii="Arial" w:cs="Arial" w:eastAsia="Arial" w:hAnsi="Arial"/>
                <w:sz w:val="18"/>
                <w:szCs w:val="18"/>
                <w:color w:val="auto"/>
              </w:rPr>
              <w:t>ID: [</w:t>
            </w:r>
          </w:p>
        </w:tc>
        <w:tc>
          <w:tcPr>
            <w:tcW w:w="8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Notice of Grant of Award</w:t>
            </w:r>
          </w:p>
        </w:tc>
        <w:tc>
          <w:tcPr>
            <w:tcW w:w="3540" w:type="dxa"/>
            <w:vAlign w:val="bottom"/>
            <w:gridSpan w:val="3"/>
          </w:tcPr>
          <w:p>
            <w:pPr>
              <w:ind w:left="1240"/>
              <w:spacing w:after="0"/>
              <w:rPr>
                <w:sz w:val="20"/>
                <w:szCs w:val="20"/>
                <w:color w:val="auto"/>
              </w:rPr>
            </w:pPr>
            <w:r>
              <w:rPr>
                <w:rFonts w:ascii="Arial" w:cs="Arial" w:eastAsia="Arial" w:hAnsi="Arial"/>
                <w:sz w:val="18"/>
                <w:szCs w:val="18"/>
                <w:color w:val="auto"/>
                <w:w w:val="99"/>
              </w:rPr>
              <w:t>777 Old Saw Mill River Road</w:t>
            </w:r>
          </w:p>
        </w:tc>
        <w:tc>
          <w:tcPr>
            <w:tcW w:w="408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And Award Agreement</w:t>
            </w:r>
          </w:p>
        </w:tc>
        <w:tc>
          <w:tcPr>
            <w:tcW w:w="3540" w:type="dxa"/>
            <w:vAlign w:val="bottom"/>
            <w:gridSpan w:val="3"/>
          </w:tcPr>
          <w:p>
            <w:pPr>
              <w:ind w:left="1240"/>
              <w:spacing w:after="0"/>
              <w:rPr>
                <w:sz w:val="20"/>
                <w:szCs w:val="20"/>
                <w:color w:val="auto"/>
              </w:rPr>
            </w:pPr>
            <w:r>
              <w:rPr>
                <w:rFonts w:ascii="Arial" w:cs="Arial" w:eastAsia="Arial" w:hAnsi="Arial"/>
                <w:sz w:val="18"/>
                <w:szCs w:val="18"/>
                <w:color w:val="auto"/>
              </w:rPr>
              <w:t>Tarrytown, New York 10591</w:t>
            </w:r>
          </w:p>
        </w:tc>
        <w:tc>
          <w:tcPr>
            <w:tcW w:w="4080" w:type="dxa"/>
            <w:vAlign w:val="bottom"/>
          </w:tcPr>
          <w:p>
            <w:pPr>
              <w:spacing w:after="0"/>
              <w:rPr>
                <w:sz w:val="20"/>
                <w:szCs w:val="20"/>
                <w:color w:val="auto"/>
              </w:rPr>
            </w:pPr>
          </w:p>
        </w:tc>
      </w:tr>
      <w:tr>
        <w:trPr>
          <w:trHeight w:val="216"/>
        </w:trPr>
        <w:tc>
          <w:tcPr>
            <w:tcW w:w="38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r>
      <w:tr>
        <w:trPr>
          <w:trHeight w:val="461"/>
        </w:trPr>
        <w:tc>
          <w:tcPr>
            <w:tcW w:w="3800" w:type="dxa"/>
            <w:vAlign w:val="bottom"/>
          </w:tcPr>
          <w:p>
            <w:pPr>
              <w:spacing w:after="0"/>
              <w:rPr>
                <w:sz w:val="20"/>
                <w:szCs w:val="20"/>
                <w:color w:val="auto"/>
              </w:rPr>
            </w:pPr>
            <w:r>
              <w:rPr>
                <w:rFonts w:ascii="Arial" w:cs="Arial" w:eastAsia="Arial" w:hAnsi="Arial"/>
                <w:sz w:val="18"/>
                <w:szCs w:val="18"/>
                <w:color w:val="auto"/>
              </w:rPr>
              <w:t>[NAME]</w:t>
            </w:r>
          </w:p>
        </w:tc>
        <w:tc>
          <w:tcPr>
            <w:tcW w:w="2720" w:type="dxa"/>
            <w:vAlign w:val="bottom"/>
            <w:gridSpan w:val="2"/>
          </w:tcPr>
          <w:p>
            <w:pPr>
              <w:ind w:left="1240"/>
              <w:spacing w:after="0"/>
              <w:rPr>
                <w:sz w:val="20"/>
                <w:szCs w:val="20"/>
                <w:color w:val="auto"/>
              </w:rPr>
            </w:pPr>
            <w:r>
              <w:rPr>
                <w:rFonts w:ascii="Arial" w:cs="Arial" w:eastAsia="Arial" w:hAnsi="Arial"/>
                <w:sz w:val="18"/>
                <w:szCs w:val="18"/>
                <w:color w:val="auto"/>
              </w:rPr>
              <w:t>Award Number:</w:t>
            </w: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jc w:val="right"/>
              <w:ind w:right="3810"/>
              <w:spacing w:after="0"/>
              <w:rPr>
                <w:sz w:val="20"/>
                <w:szCs w:val="20"/>
                <w:color w:val="auto"/>
              </w:rPr>
            </w:pPr>
            <w:r>
              <w:rPr>
                <w:rFonts w:ascii="Arial" w:cs="Arial" w:eastAsia="Arial" w:hAnsi="Arial"/>
                <w:sz w:val="18"/>
                <w:szCs w:val="18"/>
                <w:b w:val="1"/>
                <w:bCs w:val="1"/>
                <w:color w:val="auto"/>
              </w:rPr>
              <w:t>]</w:t>
            </w:r>
          </w:p>
        </w:tc>
      </w:tr>
      <w:tr>
        <w:trPr>
          <w:trHeight w:val="234"/>
        </w:trPr>
        <w:tc>
          <w:tcPr>
            <w:tcW w:w="3800" w:type="dxa"/>
            <w:vAlign w:val="bottom"/>
          </w:tcPr>
          <w:p>
            <w:pPr>
              <w:spacing w:after="0"/>
              <w:rPr>
                <w:sz w:val="20"/>
                <w:szCs w:val="20"/>
                <w:color w:val="auto"/>
              </w:rPr>
            </w:pPr>
            <w:r>
              <w:rPr>
                <w:rFonts w:ascii="Arial" w:cs="Arial" w:eastAsia="Arial" w:hAnsi="Arial"/>
                <w:sz w:val="18"/>
                <w:szCs w:val="18"/>
                <w:color w:val="auto"/>
              </w:rPr>
              <w:t>[ADDRESS]</w:t>
            </w:r>
          </w:p>
        </w:tc>
        <w:tc>
          <w:tcPr>
            <w:tcW w:w="1880" w:type="dxa"/>
            <w:vAlign w:val="bottom"/>
          </w:tcPr>
          <w:p>
            <w:pPr>
              <w:ind w:left="1240"/>
              <w:spacing w:after="0"/>
              <w:rPr>
                <w:sz w:val="20"/>
                <w:szCs w:val="20"/>
                <w:color w:val="auto"/>
              </w:rPr>
            </w:pPr>
            <w:r>
              <w:rPr>
                <w:rFonts w:ascii="Arial" w:cs="Arial" w:eastAsia="Arial" w:hAnsi="Arial"/>
                <w:sz w:val="18"/>
                <w:szCs w:val="18"/>
                <w:color w:val="auto"/>
              </w:rPr>
              <w:t>Plan:</w:t>
            </w:r>
          </w:p>
        </w:tc>
        <w:tc>
          <w:tcPr>
            <w:tcW w:w="84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4080" w:type="dxa"/>
            <w:vAlign w:val="bottom"/>
          </w:tcPr>
          <w:p>
            <w:pPr>
              <w:jc w:val="right"/>
              <w:ind w:right="381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gridSpan w:val="5"/>
          </w:tcPr>
          <w:p>
            <w:pPr>
              <w:spacing w:after="0"/>
              <w:rPr>
                <w:sz w:val="20"/>
                <w:szCs w:val="20"/>
                <w:color w:val="auto"/>
              </w:rPr>
            </w:pPr>
            <w:r>
              <w:rPr>
                <w:rFonts w:ascii="Arial" w:cs="Arial" w:eastAsia="Arial" w:hAnsi="Arial"/>
                <w:sz w:val="18"/>
                <w:szCs w:val="18"/>
                <w:color w:val="auto"/>
                <w:w w:val="95"/>
              </w:rPr>
              <w:t>Effective &lt;</w:t>
            </w:r>
            <w:r>
              <w:rPr>
                <w:rFonts w:ascii="Arial" w:cs="Arial" w:eastAsia="Arial" w:hAnsi="Arial"/>
                <w:sz w:val="18"/>
                <w:szCs w:val="18"/>
                <w:b w:val="1"/>
                <w:bCs w:val="1"/>
                <w:color w:val="auto"/>
                <w:w w:val="95"/>
              </w:rPr>
              <w:t>date</w:t>
            </w:r>
            <w:r>
              <w:rPr>
                <w:rFonts w:ascii="Arial" w:cs="Arial" w:eastAsia="Arial" w:hAnsi="Arial"/>
                <w:sz w:val="18"/>
                <w:szCs w:val="18"/>
                <w:color w:val="auto"/>
                <w:w w:val="95"/>
              </w:rPr>
              <w:t>&gt; (the “Grant Date”) you have been granted an award of [</w:t>
            </w:r>
          </w:p>
        </w:tc>
        <w:tc>
          <w:tcPr>
            <w:tcW w:w="5400" w:type="dxa"/>
            <w:vAlign w:val="bottom"/>
            <w:gridSpan w:val="5"/>
          </w:tcPr>
          <w:p>
            <w:pPr>
              <w:ind w:left="280"/>
              <w:spacing w:after="0"/>
              <w:rPr>
                <w:sz w:val="20"/>
                <w:szCs w:val="20"/>
                <w:color w:val="auto"/>
              </w:rPr>
            </w:pPr>
            <w:r>
              <w:rPr>
                <w:rFonts w:ascii="Arial" w:cs="Arial" w:eastAsia="Arial" w:hAnsi="Arial"/>
                <w:sz w:val="18"/>
                <w:szCs w:val="18"/>
                <w:color w:val="auto"/>
                <w:w w:val="90"/>
              </w:rPr>
              <w:t>] shares of Regeneron Pharmaceuticals, Inc. (the “Company”) common</w:t>
            </w:r>
          </w:p>
        </w:tc>
      </w:tr>
      <w:tr>
        <w:trPr>
          <w:trHeight w:val="230"/>
        </w:trPr>
        <w:tc>
          <w:tcPr>
            <w:tcW w:w="5560" w:type="dxa"/>
            <w:vAlign w:val="bottom"/>
            <w:gridSpan w:val="5"/>
          </w:tcPr>
          <w:p>
            <w:pPr>
              <w:spacing w:after="0"/>
              <w:rPr>
                <w:sz w:val="20"/>
                <w:szCs w:val="20"/>
                <w:color w:val="auto"/>
              </w:rPr>
            </w:pPr>
            <w:r>
              <w:rPr>
                <w:rFonts w:ascii="Arial" w:cs="Arial" w:eastAsia="Arial" w:hAnsi="Arial"/>
                <w:sz w:val="18"/>
                <w:szCs w:val="18"/>
                <w:color w:val="auto"/>
              </w:rPr>
              <w:t>stock. These shares are restricted until the vest date(s) shown below.</w:t>
            </w:r>
          </w:p>
        </w:tc>
        <w:tc>
          <w:tcPr>
            <w:tcW w:w="3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3260" w:type="dxa"/>
            <w:vAlign w:val="bottom"/>
            <w:gridSpan w:val="4"/>
          </w:tcPr>
          <w:p>
            <w:pPr>
              <w:spacing w:after="0"/>
              <w:rPr>
                <w:sz w:val="20"/>
                <w:szCs w:val="20"/>
                <w:color w:val="auto"/>
              </w:rPr>
            </w:pPr>
            <w:r>
              <w:rPr>
                <w:rFonts w:ascii="Arial" w:cs="Arial" w:eastAsia="Arial" w:hAnsi="Arial"/>
                <w:sz w:val="18"/>
                <w:szCs w:val="18"/>
                <w:color w:val="auto"/>
              </w:rPr>
              <w:t>The current total value of the award is $[</w:t>
            </w:r>
          </w:p>
        </w:tc>
        <w:tc>
          <w:tcPr>
            <w:tcW w:w="230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3260" w:type="dxa"/>
            <w:vAlign w:val="bottom"/>
            <w:gridSpan w:val="4"/>
          </w:tcPr>
          <w:p>
            <w:pPr>
              <w:spacing w:after="0"/>
              <w:rPr>
                <w:sz w:val="20"/>
                <w:szCs w:val="20"/>
                <w:color w:val="auto"/>
              </w:rPr>
            </w:pPr>
            <w:r>
              <w:rPr>
                <w:rFonts w:ascii="Arial" w:cs="Arial" w:eastAsia="Arial" w:hAnsi="Arial"/>
                <w:sz w:val="18"/>
                <w:szCs w:val="18"/>
                <w:color w:val="auto"/>
                <w:w w:val="97"/>
              </w:rPr>
              <w:t>The award will vest on the date(s) shown.</w:t>
            </w:r>
          </w:p>
        </w:tc>
        <w:tc>
          <w:tcPr>
            <w:tcW w:w="2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2340" w:type="dxa"/>
            <w:vAlign w:val="bottom"/>
            <w:gridSpan w:val="3"/>
          </w:tcPr>
          <w:p>
            <w:pPr>
              <w:ind w:left="184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95"/>
              </w:rPr>
              <w:t>Full Vest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jc w:val="right"/>
              <w:ind w:right="590"/>
              <w:spacing w:after="0" w:line="203" w:lineRule="exact"/>
              <w:rPr>
                <w:sz w:val="20"/>
                <w:szCs w:val="20"/>
                <w:color w:val="auto"/>
              </w:rPr>
            </w:pPr>
            <w:r>
              <w:rPr>
                <w:rFonts w:ascii="Arial" w:cs="Arial" w:eastAsia="Arial" w:hAnsi="Arial"/>
                <w:sz w:val="18"/>
                <w:szCs w:val="18"/>
                <w:color w:val="auto"/>
              </w:rPr>
              <w:t>]*</w:t>
            </w:r>
          </w:p>
        </w:tc>
        <w:tc>
          <w:tcPr>
            <w:tcW w:w="230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3800" w:type="dxa"/>
            <w:vAlign w:val="bottom"/>
            <w:gridSpan w:val="2"/>
          </w:tcPr>
          <w:p>
            <w:pPr>
              <w:ind w:left="3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bl>
    <w:p>
      <w:pPr>
        <w:spacing w:after="0" w:line="20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You and the Company agree that this award is granted under and governed by the terms and conditions of the Regeneron Pharmaceuticals, Inc. 2014 Long Term Incentive Plan, as amended from time to time, and the Award Agreement, both of which are attached and made a part of this document.</w:t>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 REGENERON PHARMACEUTICALS,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LONG-TERM INCENTIVE PLAN</w:t>
      </w:r>
    </w:p>
    <w:p>
      <w:pPr>
        <w:spacing w:after="0" w:line="21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16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181"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WHEREAS, the Committee (or the person or persons to whom the Committee has delegated the relevant authority pursuant to Section 4 of the Plan (as defined below) (the Committee or such person or person being referred to in this Agreement as the “</w:t>
      </w:r>
      <w:r>
        <w:rPr>
          <w:rFonts w:ascii="Arial" w:cs="Arial" w:eastAsia="Arial" w:hAnsi="Arial"/>
          <w:sz w:val="16"/>
          <w:szCs w:val="16"/>
          <w:u w:val="single" w:color="auto"/>
          <w:color w:val="auto"/>
        </w:rPr>
        <w:t>Committee</w:t>
      </w:r>
      <w:r>
        <w:rPr>
          <w:rFonts w:ascii="Arial" w:cs="Arial" w:eastAsia="Arial" w:hAnsi="Arial"/>
          <w:sz w:val="16"/>
          <w:szCs w:val="16"/>
          <w:color w:val="auto"/>
        </w:rPr>
        <w:t>”)) administering the Regeneron Pharmaceuticals, Inc. 2014 Long-Term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has granted (as of the effective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to the Recipient the shares of Restricted Stock as set forth in the</w:t>
      </w:r>
      <w:r>
        <w:rPr>
          <w:rFonts w:ascii="Arial" w:cs="Arial" w:eastAsia="Arial" w:hAnsi="Arial"/>
          <w:sz w:val="16"/>
          <w:szCs w:val="16"/>
          <w:i w:val="1"/>
          <w:iCs w:val="1"/>
          <w:color w:val="auto"/>
        </w:rPr>
        <w:t xml:space="preserve"> Notice of Grant of Restricted Stock</w:t>
      </w:r>
      <w:r>
        <w:rPr>
          <w:rFonts w:ascii="Arial" w:cs="Arial" w:eastAsia="Arial" w:hAnsi="Arial"/>
          <w:sz w:val="16"/>
          <w:szCs w:val="16"/>
          <w:color w:val="auto"/>
        </w:rPr>
        <w: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21" w:lineRule="exact"/>
        <w:rPr>
          <w:sz w:val="20"/>
          <w:szCs w:val="20"/>
          <w:color w:val="auto"/>
        </w:rPr>
      </w:pPr>
    </w:p>
    <w:p>
      <w:pPr>
        <w:ind w:right="60" w:firstLine="921"/>
        <w:spacing w:after="0" w:line="281" w:lineRule="auto"/>
        <w:tabs>
          <w:tab w:leader="none" w:pos="1093"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Grant of Award</w:t>
      </w:r>
      <w:r>
        <w:rPr>
          <w:rFonts w:ascii="Arial" w:cs="Arial" w:eastAsia="Arial" w:hAnsi="Arial"/>
          <w:sz w:val="17"/>
          <w:szCs w:val="17"/>
          <w:color w:val="auto"/>
        </w:rPr>
        <w:t>. Pursuant to Section 8 of the Plan, the Company grants to the Recipient,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subject further to the terms and conditions set forth herein, the number of shares of Restricted Stock as shown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The Participant’s grant and record of Restricted Stock share ownership shall be kept on the books of the Company until the restrictions on transfer have lapsed. At the Recipient’s request, vested shares may be evidenced by stock certificates or book-entry registration.</w:t>
      </w:r>
    </w:p>
    <w:p>
      <w:pPr>
        <w:spacing w:after="0" w:line="56" w:lineRule="exact"/>
        <w:rPr>
          <w:rFonts w:ascii="Arial" w:cs="Arial" w:eastAsia="Arial" w:hAnsi="Arial"/>
          <w:sz w:val="17"/>
          <w:szCs w:val="17"/>
          <w:color w:val="auto"/>
        </w:rPr>
      </w:pPr>
    </w:p>
    <w:p>
      <w:pPr>
        <w:ind w:right="80" w:firstLine="921"/>
        <w:spacing w:after="0" w:line="272" w:lineRule="auto"/>
        <w:tabs>
          <w:tab w:leader="none" w:pos="1093"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(a) The shares of Restricted Stock granted to the Recipient shall vest in installments as provided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 of Restricted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The vesting schedule in the</w:t>
      </w:r>
      <w:r>
        <w:rPr>
          <w:rFonts w:ascii="Arial" w:cs="Arial" w:eastAsia="Arial" w:hAnsi="Arial"/>
          <w:sz w:val="17"/>
          <w:szCs w:val="17"/>
          <w:i w:val="1"/>
          <w:iCs w:val="1"/>
          <w:color w:val="auto"/>
        </w:rPr>
        <w:t xml:space="preserve"> Notice of Grant of Restricted Stock </w:t>
      </w:r>
      <w:r>
        <w:rPr>
          <w:rFonts w:ascii="Arial" w:cs="Arial" w:eastAsia="Arial" w:hAnsi="Arial"/>
          <w:sz w:val="17"/>
          <w:szCs w:val="17"/>
          <w:color w:val="auto"/>
        </w:rPr>
        <w:t>indicates each date upon which the restrictions on transfer on the specified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Restricted Stock shall lapse, entitling the Recipient to freely transfer such shares, provided that the Recipient has not incurred a termination of employment with the Company and all Subsidiaries (the Company and its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There shall be no proportionate or partial vesting in the periods between the Full Vest Dates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and all vesting shall occur only on such Full Vest Dates. Except as set forth in the Plan or in any employment agreement, consulting agreement, change in control agreement or similar agreement in effect between the Employer and the Recipient on the grant date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no vesting shall occur after the termination of a Recipient’s employment with the Employer for any reason.</w:t>
      </w:r>
    </w:p>
    <w:p>
      <w:pPr>
        <w:spacing w:after="0" w:line="176" w:lineRule="exact"/>
        <w:rPr>
          <w:sz w:val="20"/>
          <w:szCs w:val="20"/>
          <w:color w:val="auto"/>
        </w:rPr>
      </w:pPr>
    </w:p>
    <w:p>
      <w:pPr>
        <w:ind w:right="60" w:firstLine="921"/>
        <w:spacing w:after="0" w:line="287" w:lineRule="auto"/>
        <w:tabs>
          <w:tab w:leader="none" w:pos="116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to the contrary, the Restricted Stock granted to Recipient shall be fully vested on the date the Recipient’s employment with the Employer is terminated if the Recipient’s employment with the Employer is terminated on or within two years after the occurrence of a Change in Control by the Company (other than for Cause) or by the Recipient for Good Reason. Except as otherwise provided in any employment agreement, consulting agreement, change in control agreement or similar agreement in effect between the Employer and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Recipient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Recipient being subject to excise tax (the “</w:t>
      </w:r>
      <w:r>
        <w:rPr>
          <w:rFonts w:ascii="Arial" w:cs="Arial" w:eastAsia="Arial" w:hAnsi="Arial"/>
          <w:sz w:val="16"/>
          <w:szCs w:val="16"/>
          <w:u w:val="single" w:color="auto"/>
          <w:color w:val="auto"/>
        </w:rPr>
        <w:t>Excise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payable under Section 4999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 the amount of any Company Payments shall be automatically reduced to an amount one dollar less than an amount that would subject the Recipient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w:t>
      </w:r>
    </w:p>
    <w:p>
      <w:pPr>
        <w:sectPr>
          <w:pgSz w:w="11900" w:h="16838" w:orient="portrait"/>
          <w:cols w:equalWidth="0" w:num="1">
            <w:col w:w="11420"/>
          </w:cols>
          <w:pgMar w:left="240" w:top="270" w:right="239" w:bottom="1440" w:gutter="0" w:footer="0" w:header="0"/>
        </w:sectPr>
      </w:pPr>
    </w:p>
    <w:bookmarkStart w:id="16" w:name="page17"/>
    <w:bookmarkEnd w:id="16"/>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Recipient; (4) any benefits valued as parachute payments; and (5) acceleration of vesting of any equity not covered by (1) above.</w:t>
      </w:r>
    </w:p>
    <w:p>
      <w:pPr>
        <w:spacing w:after="0" w:line="178" w:lineRule="exact"/>
        <w:rPr>
          <w:sz w:val="20"/>
          <w:szCs w:val="20"/>
          <w:color w:val="auto"/>
        </w:rPr>
      </w:pPr>
    </w:p>
    <w:p>
      <w:pPr>
        <w:ind w:firstLine="921"/>
        <w:spacing w:after="0" w:line="284" w:lineRule="auto"/>
        <w:tabs>
          <w:tab w:leader="none" w:pos="1158" w:val="left"/>
        </w:tabs>
        <w:numPr>
          <w:ilvl w:val="1"/>
          <w:numId w:val="26"/>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similar agreement in effect between the Employer and the Recipient on the date of grant specified in the </w:t>
      </w:r>
      <w:r>
        <w:rPr>
          <w:rFonts w:ascii="Arial" w:cs="Arial" w:eastAsia="Arial" w:hAnsi="Arial"/>
          <w:sz w:val="16"/>
          <w:szCs w:val="16"/>
          <w:i w:val="1"/>
          <w:iCs w:val="1"/>
          <w:color w:val="auto"/>
        </w:rPr>
        <w:t>Notice of Grant of 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w:t>
      </w:r>
      <w:r>
        <w:rPr>
          <w:rFonts w:ascii="Arial" w:cs="Arial" w:eastAsia="Arial" w:hAnsi="Arial"/>
          <w:sz w:val="16"/>
          <w:szCs w:val="16"/>
          <w:color w:val="auto"/>
        </w:rPr>
        <w:t>(or where there is such an agreement but it does not define “cause” (or words of like import)) (A) the willful and continued failure by the Recipient</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to perform his or her duties and obligations to the Employer, including without limitation, repeated refusal to follow the reasonable directions of the Employer, violation of the Employer’s Code of Business Conduct and Ethics, knowing violation of law in the course of performance of the duties of the Recipient’s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w:t>
      </w:r>
    </w:p>
    <w:p>
      <w:pPr>
        <w:spacing w:after="0" w:line="2" w:lineRule="exact"/>
        <w:rPr>
          <w:rFonts w:ascii="Arial" w:cs="Arial" w:eastAsia="Arial" w:hAnsi="Arial"/>
          <w:sz w:val="16"/>
          <w:szCs w:val="16"/>
          <w:color w:val="auto"/>
        </w:rPr>
      </w:pPr>
    </w:p>
    <w:p>
      <w:pPr>
        <w:ind w:right="80" w:firstLine="8"/>
        <w:spacing w:after="0" w:line="270" w:lineRule="auto"/>
        <w:tabs>
          <w:tab w:leader="none" w:pos="28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Recipient on the date of grant specified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that defines “cause” (or words of like import), as defined under such agreement. For purposes of this Section 3(c), no act, or failure to act, on a Recipient’s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178" w:lineRule="exact"/>
        <w:rPr>
          <w:rFonts w:ascii="Arial" w:cs="Arial" w:eastAsia="Arial" w:hAnsi="Arial"/>
          <w:sz w:val="17"/>
          <w:szCs w:val="17"/>
          <w:color w:val="auto"/>
        </w:rPr>
      </w:pPr>
    </w:p>
    <w:p>
      <w:pPr>
        <w:ind w:firstLine="921"/>
        <w:spacing w:after="0" w:line="286" w:lineRule="auto"/>
        <w:tabs>
          <w:tab w:leader="none" w:pos="1168"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(i) in the case where there is no employment agreement, consulting agreement, change in control agreement or similar agreement in effect between the Employer and the Recipient on the date of grant specified in the </w:t>
      </w:r>
      <w:r>
        <w:rPr>
          <w:rFonts w:ascii="Arial" w:cs="Arial" w:eastAsia="Arial" w:hAnsi="Arial"/>
          <w:sz w:val="16"/>
          <w:szCs w:val="16"/>
          <w:i w:val="1"/>
          <w:iCs w:val="1"/>
          <w:color w:val="auto"/>
        </w:rPr>
        <w:t>Notice of Grant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(or where there is such an agreement but it does not define “good reason” (or words of like import)) a termination of employment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Recipient within one hundred twenty (120) days after the occurrence of one of the following events after the occurrence of a Change in Control unless such events are fully corrected in all material respects by the Employer within thirty (30) days following written notification by the Recipient to the Employer that Recipient intends to terminate his employment hereunder for one of the reasons set forth below: (A) (1) any material diminution in the Recipient’s duties and responsibilities from those which existed 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 (B) any material breach by the Employer of any material provision of any written agreement with the Recipient or failure to timely pay any compensation obligation to the Recipient; (C) a reduction in the Recipient’s annual base salary or target bonus opportunity (if any) from that which existed immediately prior to a Change in Control; or (D) if the Recipient is based at the Employer’s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similar agreement in effect between the Employer and the Recipient on the date on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that defines “good reason” (or words of like import), as defined under such agreement.</w:t>
      </w:r>
    </w:p>
    <w:p>
      <w:pPr>
        <w:spacing w:after="0" w:line="165" w:lineRule="exact"/>
        <w:rPr>
          <w:sz w:val="20"/>
          <w:szCs w:val="20"/>
          <w:color w:val="auto"/>
        </w:rPr>
      </w:pPr>
    </w:p>
    <w:p>
      <w:pPr>
        <w:ind w:right="60" w:firstLine="921"/>
        <w:spacing w:after="0" w:line="258" w:lineRule="auto"/>
        <w:tabs>
          <w:tab w:leader="none" w:pos="1093"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Subject to the terms of the Plan and Section 2(b) hereof, if the Recipient’s employment with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for any reason (other than as set forth in Section 2(b) hereof and as a result of Recipient’s death), the Recipient shall forfeit any or all of the shares of Restricted Stock that have not vested in accordance with Section 2 hereof (the “</w:t>
      </w:r>
      <w:r>
        <w:rPr>
          <w:rFonts w:ascii="Arial" w:cs="Arial" w:eastAsia="Arial" w:hAnsi="Arial"/>
          <w:sz w:val="18"/>
          <w:szCs w:val="18"/>
          <w:u w:val="single" w:color="auto"/>
          <w:color w:val="auto"/>
        </w:rPr>
        <w:t>Unvested Shares</w:t>
      </w:r>
      <w:r>
        <w:rPr>
          <w:rFonts w:ascii="Arial" w:cs="Arial" w:eastAsia="Arial" w:hAnsi="Arial"/>
          <w:sz w:val="18"/>
          <w:szCs w:val="18"/>
          <w:color w:val="auto"/>
        </w:rPr>
        <w:t>”). Shares of Restricted Stock granted to the Recipient in the Notice of Grant of Restricted Stock shall become fully vested as of the date of death of the Recipient, provided that the Recipient is employed by the Employer on the date of his/her death.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7" w:name="page18"/>
    <w:bookmarkEnd w:id="17"/>
    <w:p>
      <w:pPr>
        <w:ind w:right="600" w:firstLine="921"/>
        <w:spacing w:after="0" w:line="282" w:lineRule="auto"/>
        <w:tabs>
          <w:tab w:leader="none" w:pos="1093"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 on Transfer</w:t>
      </w:r>
      <w:r>
        <w:rPr>
          <w:rFonts w:ascii="Arial" w:cs="Arial" w:eastAsia="Arial" w:hAnsi="Arial"/>
          <w:sz w:val="18"/>
          <w:szCs w:val="18"/>
          <w:color w:val="auto"/>
        </w:rPr>
        <w:t>. Unvested Shares may not be transferred or otherwise disposed of by the Recipient including by way of sale,</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transfer, pledge, hypothecation or otherwise, except as permitted by the Committee in its sole discretion.</w:t>
      </w:r>
    </w:p>
    <w:p>
      <w:pPr>
        <w:spacing w:after="0" w:line="161" w:lineRule="exact"/>
        <w:rPr>
          <w:rFonts w:ascii="Arial" w:cs="Arial" w:eastAsia="Arial" w:hAnsi="Arial"/>
          <w:sz w:val="18"/>
          <w:szCs w:val="18"/>
          <w:color w:val="auto"/>
        </w:rPr>
      </w:pPr>
    </w:p>
    <w:p>
      <w:pPr>
        <w:ind w:firstLine="921"/>
        <w:spacing w:after="0" w:line="266" w:lineRule="auto"/>
        <w:tabs>
          <w:tab w:leader="none" w:pos="1093"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Unvested Shares or other shares of Company Stock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 if such transfer, in the opinion of counsel for the Company, would violate the Securities Act (or any other federal or state statutes having similar requirements as may be in effect at that time).</w:t>
      </w:r>
    </w:p>
    <w:p>
      <w:pPr>
        <w:spacing w:after="0" w:line="176" w:lineRule="exact"/>
        <w:rPr>
          <w:rFonts w:ascii="Arial" w:cs="Arial" w:eastAsia="Arial" w:hAnsi="Arial"/>
          <w:sz w:val="18"/>
          <w:szCs w:val="18"/>
          <w:color w:val="auto"/>
        </w:rPr>
      </w:pPr>
    </w:p>
    <w:p>
      <w:pPr>
        <w:ind w:right="20" w:firstLine="921"/>
        <w:spacing w:after="0" w:line="256" w:lineRule="auto"/>
        <w:tabs>
          <w:tab w:leader="none" w:pos="1093"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Invalid Transfers</w:t>
      </w:r>
      <w:r>
        <w:rPr>
          <w:rFonts w:ascii="Arial" w:cs="Arial" w:eastAsia="Arial" w:hAnsi="Arial"/>
          <w:sz w:val="18"/>
          <w:szCs w:val="18"/>
          <w:color w:val="auto"/>
        </w:rPr>
        <w:t>. No purported sale, assignment, mortgage, hypothecation, transfer, pledge, encumbrance, gift, transfer in trust (voting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or other disposition of, or creation of a security interest in or lien on, any of the shares of Restricted Stock by any holder thereof in violation of the provisions of this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pacing w:after="0" w:line="187" w:lineRule="exact"/>
        <w:rPr>
          <w:rFonts w:ascii="Arial" w:cs="Arial" w:eastAsia="Arial" w:hAnsi="Arial"/>
          <w:sz w:val="18"/>
          <w:szCs w:val="18"/>
          <w:color w:val="auto"/>
        </w:rPr>
      </w:pPr>
    </w:p>
    <w:p>
      <w:pPr>
        <w:ind w:firstLine="921"/>
        <w:spacing w:after="0" w:line="270" w:lineRule="auto"/>
        <w:tabs>
          <w:tab w:leader="none" w:pos="1093"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The Recipient shall promptly notify the Company of any election made pursuant to Section 83(b) of the Code. The Recipient shall pay</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Company promptly upon request, and in any event at the time the Recipient recognizes taxable income in respect to the shares of Restricted Stock (including if the Recipient makes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payment to the Company in cash or, with the consent of the Company, by authorizing the Company to withhold cash otherwise due to the Recipient. In addition, except where the Recipient makes an election under Section 83(b) of the Code, Recipient may elect to have any withholding obligation satisfied by surrendering to the Company a portion of the shares of Restricted Stock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her or she (and not the Company) shall be responsible for any tax liability that may arise as a result of the transactions contemplated by this Agreement.</w:t>
      </w:r>
    </w:p>
    <w:p>
      <w:pPr>
        <w:spacing w:after="0" w:line="70"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THE RECIPIENT ACKNOWLEDGES THAT IT IS THE RECIPIENT’S SOLE RESPONSIBILITY, AND NOT THE COMPANY’S, TO FILE TIMELY THE ELECTION UNDER SECTION 83(b) OF THE CODE, IN THE EVENT THAT THE RECIPIENT DESIRES TO MAKE THE ELECTION.</w:t>
      </w:r>
    </w:p>
    <w:p>
      <w:pPr>
        <w:spacing w:after="0" w:line="177" w:lineRule="exact"/>
        <w:rPr>
          <w:sz w:val="20"/>
          <w:szCs w:val="20"/>
          <w:color w:val="auto"/>
        </w:rPr>
      </w:pPr>
    </w:p>
    <w:p>
      <w:pPr>
        <w:ind w:right="220" w:firstLine="921"/>
        <w:spacing w:after="0" w:line="261" w:lineRule="auto"/>
        <w:tabs>
          <w:tab w:leader="none" w:pos="109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Rights as a Shareholder</w:t>
      </w:r>
      <w:r>
        <w:rPr>
          <w:rFonts w:ascii="Arial" w:cs="Arial" w:eastAsia="Arial" w:hAnsi="Arial"/>
          <w:sz w:val="18"/>
          <w:szCs w:val="18"/>
          <w:color w:val="auto"/>
        </w:rPr>
        <w:t>. Pursuant to Section 8(e) of the Plan, the Company shall hold in escrow all dividends, if any, that are paid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Unvested Shares until all restrictions on such shares have lapsed. Pursuant to Section 8(f) of the Plan, the Recipient agrees (i) that the right to vote any Unvested Shares will be held by the Company and (ii) to execute an irrevocable proxy in favor of the Company in such form supplied by the Company.</w:t>
      </w:r>
    </w:p>
    <w:p>
      <w:pPr>
        <w:spacing w:after="0" w:line="180" w:lineRule="exact"/>
        <w:rPr>
          <w:rFonts w:ascii="Arial" w:cs="Arial" w:eastAsia="Arial" w:hAnsi="Arial"/>
          <w:sz w:val="18"/>
          <w:szCs w:val="18"/>
          <w:color w:val="auto"/>
        </w:rPr>
      </w:pPr>
    </w:p>
    <w:p>
      <w:pPr>
        <w:ind w:firstLine="921"/>
        <w:spacing w:after="0" w:line="295" w:lineRule="auto"/>
        <w:tabs>
          <w:tab w:leader="none" w:pos="1093"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Compliance with Law and Regulations</w:t>
      </w:r>
      <w:r>
        <w:rPr>
          <w:rFonts w:ascii="Arial" w:cs="Arial" w:eastAsia="Arial" w:hAnsi="Arial"/>
          <w:sz w:val="16"/>
          <w:szCs w:val="16"/>
          <w:color w:val="auto"/>
        </w:rPr>
        <w:t>. 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may require, as a condition of the issuance and delivery of certificates or the registration of book entries evidencing Restricted Stock pursuant to the terms hereof, that the certificates or book entries bear or be subject to such legends as set forth in the Plan, in addition to any other legends required under federal and state securities laws or as otherwise determined by the Committee. Except to the extent preempted by any federal law, this Agreement shall be construed and administered in accordance with the laws of the State of New York without reference to its principles of conflicts of law.</w:t>
      </w:r>
    </w:p>
    <w:p>
      <w:pPr>
        <w:spacing w:after="0" w:line="155" w:lineRule="exact"/>
        <w:rPr>
          <w:rFonts w:ascii="Arial" w:cs="Arial" w:eastAsia="Arial" w:hAnsi="Arial"/>
          <w:sz w:val="16"/>
          <w:szCs w:val="16"/>
          <w:color w:val="auto"/>
        </w:rPr>
      </w:pPr>
    </w:p>
    <w:p>
      <w:pPr>
        <w:ind w:right="200" w:firstLine="921"/>
        <w:spacing w:after="0" w:line="289" w:lineRule="auto"/>
        <w:tabs>
          <w:tab w:leader="none" w:pos="1183"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Recipient Bound by Plan</w:t>
      </w:r>
      <w:r>
        <w:rPr>
          <w:rFonts w:ascii="Arial" w:cs="Arial" w:eastAsia="Arial" w:hAnsi="Arial"/>
          <w:sz w:val="17"/>
          <w:szCs w:val="17"/>
          <w:color w:val="auto"/>
        </w:rPr>
        <w:t>. The Recipient acknowledges receipt of a copy of this Agreement and the Plan and agrees to be bound by all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8" w:name="page19"/>
    <w:bookmarkEnd w:id="18"/>
    <w:p>
      <w:pPr>
        <w:ind w:left="-20" w:right="40" w:firstLine="921"/>
        <w:spacing w:after="0" w:line="277" w:lineRule="auto"/>
        <w:tabs>
          <w:tab w:leader="none" w:pos="1156"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7"/>
          <w:szCs w:val="17"/>
          <w:color w:val="auto"/>
        </w:rPr>
        <w:t>. Any notice or communication given hereunder shall be in writing and shall be deemed given when delivered in person, or by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168" w:lineRule="exact"/>
        <w:rPr>
          <w:rFonts w:ascii="Arial" w:cs="Arial" w:eastAsia="Arial" w:hAnsi="Arial"/>
          <w:sz w:val="17"/>
          <w:szCs w:val="17"/>
          <w:color w:val="auto"/>
        </w:rPr>
      </w:pPr>
    </w:p>
    <w:p>
      <w:pPr>
        <w:ind w:left="-20" w:firstLine="921"/>
        <w:spacing w:after="0" w:line="282" w:lineRule="auto"/>
        <w:tabs>
          <w:tab w:leader="none" w:pos="116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No Obligation to Continue Employment</w:t>
      </w:r>
      <w:r>
        <w:rPr>
          <w:rFonts w:ascii="Arial" w:cs="Arial" w:eastAsia="Arial" w:hAnsi="Arial"/>
          <w:sz w:val="18"/>
          <w:szCs w:val="18"/>
          <w:color w:val="auto"/>
        </w:rPr>
        <w:t>. This Agreement does not guarantee that the Employer will employ the Recipient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Recipient’s employment or compensation.</w:t>
      </w:r>
    </w:p>
    <w:p>
      <w:pPr>
        <w:spacing w:after="0" w:line="161" w:lineRule="exact"/>
        <w:rPr>
          <w:rFonts w:ascii="Arial" w:cs="Arial" w:eastAsia="Arial" w:hAnsi="Arial"/>
          <w:sz w:val="18"/>
          <w:szCs w:val="18"/>
          <w:color w:val="auto"/>
        </w:rPr>
      </w:pPr>
    </w:p>
    <w:p>
      <w:pPr>
        <w:ind w:left="-20" w:right="60" w:firstLine="921"/>
        <w:spacing w:after="0" w:line="261" w:lineRule="auto"/>
        <w:tabs>
          <w:tab w:leader="none" w:pos="116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By entering into this Agreement and accepting the award hereunder, the Recipient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shares of Restricted Stock granted hereunder (including after all restrictions on such shares have lapsed).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0"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00" w:type="dxa"/>
            <w:vAlign w:val="bottom"/>
            <w:gridSpan w:val="2"/>
          </w:tcPr>
          <w:p>
            <w:pPr>
              <w:ind w:left="1960"/>
              <w:spacing w:after="0"/>
              <w:rPr>
                <w:sz w:val="20"/>
                <w:szCs w:val="20"/>
                <w:color w:val="auto"/>
              </w:rPr>
            </w:pPr>
            <w:r>
              <w:rPr>
                <w:rFonts w:ascii="Arial" w:cs="Arial" w:eastAsia="Arial" w:hAnsi="Arial"/>
                <w:sz w:val="18"/>
                <w:szCs w:val="18"/>
                <w:b w:val="1"/>
                <w:bCs w:val="1"/>
                <w:color w:val="auto"/>
                <w:w w:val="91"/>
              </w:rPr>
              <w:t>Exhibit 10.4</w:t>
            </w:r>
          </w:p>
        </w:tc>
      </w:tr>
      <w:tr>
        <w:trPr>
          <w:trHeight w:val="459"/>
        </w:trPr>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Regeneron Pharmaceuticals, Inc.</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6"/>
        </w:trPr>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1920" w:type="dxa"/>
            <w:vAlign w:val="bottom"/>
          </w:tcPr>
          <w:p>
            <w:pPr>
              <w:ind w:left="13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96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and Option Agreement</w:t>
            </w:r>
          </w:p>
        </w:tc>
        <w:tc>
          <w:tcPr>
            <w:tcW w:w="1620" w:type="dxa"/>
            <w:vAlign w:val="bottom"/>
          </w:tcPr>
          <w:p>
            <w:pPr>
              <w:spacing w:after="0"/>
              <w:rPr>
                <w:sz w:val="19"/>
                <w:szCs w:val="19"/>
                <w:color w:val="auto"/>
              </w:rPr>
            </w:pPr>
          </w:p>
        </w:tc>
        <w:tc>
          <w:tcPr>
            <w:tcW w:w="3540" w:type="dxa"/>
            <w:vAlign w:val="bottom"/>
            <w:gridSpan w:val="5"/>
          </w:tcPr>
          <w:p>
            <w:pPr>
              <w:ind w:left="1300"/>
              <w:spacing w:after="0"/>
              <w:rPr>
                <w:sz w:val="20"/>
                <w:szCs w:val="20"/>
                <w:color w:val="auto"/>
              </w:rPr>
            </w:pPr>
            <w:r>
              <w:rPr>
                <w:rFonts w:ascii="Arial" w:cs="Arial" w:eastAsia="Arial" w:hAnsi="Arial"/>
                <w:sz w:val="18"/>
                <w:szCs w:val="18"/>
                <w:color w:val="auto"/>
                <w:w w:val="96"/>
              </w:rPr>
              <w:t>777 Old Saw Mill River Road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540" w:type="dxa"/>
            <w:vAlign w:val="bottom"/>
            <w:gridSpan w:val="5"/>
          </w:tcPr>
          <w:p>
            <w:pPr>
              <w:ind w:left="1300"/>
              <w:spacing w:after="0"/>
              <w:rPr>
                <w:sz w:val="20"/>
                <w:szCs w:val="20"/>
                <w:color w:val="auto"/>
              </w:rPr>
            </w:pPr>
            <w:r>
              <w:rPr>
                <w:rFonts w:ascii="Arial" w:cs="Arial" w:eastAsia="Arial" w:hAnsi="Arial"/>
                <w:sz w:val="18"/>
                <w:szCs w:val="18"/>
                <w:color w:val="auto"/>
                <w:w w:val="99"/>
              </w:rPr>
              <w:t>Tarrytown, New York 10591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7"/>
        </w:trPr>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2"/>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448"/>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[OPTIONEE NAME]</w:t>
            </w:r>
          </w:p>
        </w:tc>
        <w:tc>
          <w:tcPr>
            <w:tcW w:w="1620" w:type="dxa"/>
            <w:vAlign w:val="bottom"/>
          </w:tcPr>
          <w:p>
            <w:pPr>
              <w:spacing w:after="0"/>
              <w:rPr>
                <w:sz w:val="24"/>
                <w:szCs w:val="24"/>
                <w:color w:val="auto"/>
              </w:rPr>
            </w:pPr>
          </w:p>
        </w:tc>
        <w:tc>
          <w:tcPr>
            <w:tcW w:w="2880" w:type="dxa"/>
            <w:vAlign w:val="bottom"/>
            <w:gridSpan w:val="2"/>
          </w:tcPr>
          <w:p>
            <w:pPr>
              <w:ind w:left="1300"/>
              <w:spacing w:after="0"/>
              <w:rPr>
                <w:sz w:val="20"/>
                <w:szCs w:val="20"/>
                <w:color w:val="auto"/>
              </w:rPr>
            </w:pPr>
            <w:r>
              <w:rPr>
                <w:rFonts w:ascii="Arial" w:cs="Arial" w:eastAsia="Arial" w:hAnsi="Arial"/>
                <w:sz w:val="18"/>
                <w:szCs w:val="18"/>
                <w:b w:val="1"/>
                <w:bCs w:val="1"/>
                <w:color w:val="auto"/>
              </w:rPr>
              <w:t>Option Number:</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[OPTIONEE ADDRESS]</w:t>
            </w:r>
          </w:p>
        </w:tc>
        <w:tc>
          <w:tcPr>
            <w:tcW w:w="1620" w:type="dxa"/>
            <w:vAlign w:val="bottom"/>
          </w:tcPr>
          <w:p>
            <w:pPr>
              <w:spacing w:after="0"/>
              <w:rPr>
                <w:sz w:val="18"/>
                <w:szCs w:val="18"/>
                <w:color w:val="auto"/>
              </w:rPr>
            </w:pPr>
          </w:p>
        </w:tc>
        <w:tc>
          <w:tcPr>
            <w:tcW w:w="1920" w:type="dxa"/>
            <w:vAlign w:val="bottom"/>
          </w:tcPr>
          <w:p>
            <w:pPr>
              <w:ind w:left="1300"/>
              <w:spacing w:after="0"/>
              <w:rPr>
                <w:sz w:val="20"/>
                <w:szCs w:val="20"/>
                <w:color w:val="auto"/>
              </w:rPr>
            </w:pPr>
            <w:r>
              <w:rPr>
                <w:rFonts w:ascii="Arial" w:cs="Arial" w:eastAsia="Arial" w:hAnsi="Arial"/>
                <w:sz w:val="18"/>
                <w:szCs w:val="18"/>
                <w:b w:val="1"/>
                <w:bCs w:val="1"/>
                <w:color w:val="auto"/>
              </w:rPr>
              <w:t>Plan:</w:t>
            </w:r>
          </w:p>
        </w:tc>
        <w:tc>
          <w:tcPr>
            <w:tcW w:w="96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20" w:type="dxa"/>
            <w:vAlign w:val="bottom"/>
          </w:tcPr>
          <w:p>
            <w:pPr>
              <w:ind w:left="1300"/>
              <w:spacing w:after="0"/>
              <w:rPr>
                <w:sz w:val="20"/>
                <w:szCs w:val="20"/>
                <w:color w:val="auto"/>
              </w:rPr>
            </w:pPr>
            <w:r>
              <w:rPr>
                <w:rFonts w:ascii="Arial" w:cs="Arial" w:eastAsia="Arial" w:hAnsi="Arial"/>
                <w:sz w:val="18"/>
                <w:szCs w:val="18"/>
                <w:b w:val="1"/>
                <w:bCs w:val="1"/>
                <w:color w:val="auto"/>
              </w:rPr>
              <w:t>ID</w:t>
            </w:r>
          </w:p>
        </w:tc>
        <w:tc>
          <w:tcPr>
            <w:tcW w:w="9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5"/>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411"/>
        </w:trPr>
        <w:tc>
          <w:tcPr>
            <w:tcW w:w="7100" w:type="dxa"/>
            <w:vAlign w:val="bottom"/>
            <w:gridSpan w:val="8"/>
          </w:tcPr>
          <w:p>
            <w:pPr>
              <w:spacing w:after="0"/>
              <w:rPr>
                <w:sz w:val="20"/>
                <w:szCs w:val="20"/>
                <w:color w:val="auto"/>
              </w:rPr>
            </w:pPr>
            <w:r>
              <w:rPr>
                <w:rFonts w:ascii="Arial" w:cs="Arial" w:eastAsia="Arial" w:hAnsi="Arial"/>
                <w:sz w:val="18"/>
                <w:szCs w:val="18"/>
                <w:color w:val="auto"/>
                <w:w w:val="92"/>
              </w:rPr>
              <w:t>Effective &lt;date&gt; (the “Grant Date”) you have been granted a Non-Qualified Stock Option to buy [</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gridSpan w:val="4"/>
          </w:tcPr>
          <w:p>
            <w:pPr>
              <w:ind w:left="20"/>
              <w:spacing w:after="0"/>
              <w:rPr>
                <w:sz w:val="20"/>
                <w:szCs w:val="20"/>
                <w:color w:val="auto"/>
              </w:rPr>
            </w:pPr>
            <w:r>
              <w:rPr>
                <w:rFonts w:ascii="Arial" w:cs="Arial" w:eastAsia="Arial" w:hAnsi="Arial"/>
                <w:sz w:val="18"/>
                <w:szCs w:val="18"/>
                <w:color w:val="auto"/>
                <w:w w:val="96"/>
              </w:rPr>
              <w:t>] shares of Regeneron Pharmaceuticals, Inc. (the</w:t>
            </w:r>
          </w:p>
        </w:tc>
      </w:tr>
      <w:tr>
        <w:trPr>
          <w:trHeight w:val="230"/>
        </w:trPr>
        <w:tc>
          <w:tcPr>
            <w:tcW w:w="2120" w:type="dxa"/>
            <w:vAlign w:val="bottom"/>
            <w:gridSpan w:val="3"/>
          </w:tcPr>
          <w:p>
            <w:pPr>
              <w:spacing w:after="0"/>
              <w:rPr>
                <w:sz w:val="20"/>
                <w:szCs w:val="20"/>
                <w:color w:val="auto"/>
              </w:rPr>
            </w:pPr>
            <w:r>
              <w:rPr>
                <w:rFonts w:ascii="Arial" w:cs="Arial" w:eastAsia="Arial" w:hAnsi="Arial"/>
                <w:sz w:val="18"/>
                <w:szCs w:val="18"/>
                <w:color w:val="auto"/>
              </w:rPr>
              <w:t>“Company”) stock at $[</w:t>
            </w:r>
          </w:p>
        </w:tc>
        <w:tc>
          <w:tcPr>
            <w:tcW w:w="1620" w:type="dxa"/>
            <w:vAlign w:val="bottom"/>
          </w:tcPr>
          <w:p>
            <w:pPr>
              <w:ind w:left="140"/>
              <w:spacing w:after="0"/>
              <w:rPr>
                <w:sz w:val="20"/>
                <w:szCs w:val="20"/>
                <w:color w:val="auto"/>
              </w:rPr>
            </w:pPr>
            <w:r>
              <w:rPr>
                <w:rFonts w:ascii="Arial" w:cs="Arial" w:eastAsia="Arial" w:hAnsi="Arial"/>
                <w:sz w:val="18"/>
                <w:szCs w:val="18"/>
                <w:color w:val="auto"/>
              </w:rPr>
              <w:t>] per share.</w:t>
            </w:r>
          </w:p>
        </w:tc>
        <w:tc>
          <w:tcPr>
            <w:tcW w:w="1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3740" w:type="dxa"/>
            <w:vAlign w:val="bottom"/>
            <w:gridSpan w:val="4"/>
          </w:tcPr>
          <w:p>
            <w:pPr>
              <w:spacing w:after="0"/>
              <w:rPr>
                <w:sz w:val="20"/>
                <w:szCs w:val="20"/>
                <w:color w:val="auto"/>
              </w:rPr>
            </w:pPr>
            <w:r>
              <w:rPr>
                <w:rFonts w:ascii="Arial" w:cs="Arial" w:eastAsia="Arial" w:hAnsi="Arial"/>
                <w:sz w:val="18"/>
                <w:szCs w:val="18"/>
                <w:color w:val="auto"/>
                <w:w w:val="97"/>
              </w:rPr>
              <w:t>The total option price of the shares granted is $[</w:t>
            </w:r>
          </w:p>
        </w:tc>
        <w:tc>
          <w:tcPr>
            <w:tcW w:w="1920" w:type="dxa"/>
            <w:vAlign w:val="bottom"/>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5660" w:type="dxa"/>
            <w:vAlign w:val="bottom"/>
            <w:gridSpan w:val="5"/>
          </w:tcPr>
          <w:p>
            <w:pPr>
              <w:spacing w:after="0"/>
              <w:rPr>
                <w:sz w:val="20"/>
                <w:szCs w:val="20"/>
                <w:color w:val="auto"/>
              </w:rPr>
            </w:pPr>
            <w:r>
              <w:rPr>
                <w:rFonts w:ascii="Arial" w:cs="Arial" w:eastAsia="Arial" w:hAnsi="Arial"/>
                <w:sz w:val="18"/>
                <w:szCs w:val="18"/>
                <w:color w:val="auto"/>
              </w:rPr>
              <w:t>Shares in each period will become fully vested on the date shown.</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9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Vest Type</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5"/>
          </w:tcPr>
          <w:p>
            <w:pPr>
              <w:jc w:val="right"/>
              <w:ind w:right="730"/>
              <w:spacing w:after="0"/>
              <w:rPr>
                <w:sz w:val="20"/>
                <w:szCs w:val="20"/>
                <w:color w:val="auto"/>
              </w:rPr>
            </w:pPr>
            <w:r>
              <w:rPr>
                <w:rFonts w:ascii="Arial" w:cs="Arial" w:eastAsia="Arial" w:hAnsi="Arial"/>
                <w:sz w:val="14"/>
                <w:szCs w:val="14"/>
                <w:b w:val="1"/>
                <w:bCs w:val="1"/>
                <w:color w:val="auto"/>
                <w:w w:val="99"/>
              </w:rPr>
              <w:t>Full Vest</w:t>
            </w:r>
          </w:p>
        </w:tc>
        <w:tc>
          <w:tcPr>
            <w:tcW w:w="29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5"/>
              </w:rPr>
              <w:t>Expiration Date</w:t>
            </w:r>
          </w:p>
        </w:tc>
      </w:tr>
      <w:tr>
        <w:trPr>
          <w:trHeight w:val="203"/>
        </w:trPr>
        <w:tc>
          <w:tcPr>
            <w:tcW w:w="920" w:type="dxa"/>
            <w:vAlign w:val="bottom"/>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On Vest Date</w:t>
            </w: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w w:val="78"/>
              </w:rPr>
              <w:t>[</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jc w:val="right"/>
              <w:ind w:right="390"/>
              <w:spacing w:after="0" w:line="203" w:lineRule="exact"/>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[10 years from Grant Date]</w:t>
            </w:r>
          </w:p>
        </w:tc>
        <w:tc>
          <w:tcPr>
            <w:tcW w:w="920" w:type="dxa"/>
            <w:vAlign w:val="bottom"/>
          </w:tcPr>
          <w:p>
            <w:pPr>
              <w:spacing w:after="0"/>
              <w:rPr>
                <w:sz w:val="17"/>
                <w:szCs w:val="17"/>
                <w:color w:val="auto"/>
              </w:rPr>
            </w:pPr>
          </w:p>
        </w:tc>
      </w:tr>
      <w:tr>
        <w:trPr>
          <w:trHeight w:val="202"/>
        </w:trPr>
        <w:tc>
          <w:tcPr>
            <w:tcW w:w="920" w:type="dxa"/>
            <w:vAlign w:val="bottom"/>
          </w:tcPr>
          <w:p>
            <w:pPr>
              <w:spacing w:after="0"/>
              <w:rPr>
                <w:sz w:val="17"/>
                <w:szCs w:val="17"/>
                <w:color w:val="auto"/>
              </w:rPr>
            </w:pPr>
          </w:p>
        </w:tc>
        <w:tc>
          <w:tcPr>
            <w:tcW w:w="4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9"/>
              </w:rPr>
              <w:t>On Vest</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jc w:val="right"/>
              <w:ind w:right="34"/>
              <w:spacing w:after="0"/>
              <w:rPr>
                <w:sz w:val="20"/>
                <w:szCs w:val="20"/>
                <w:color w:val="auto"/>
              </w:rPr>
            </w:pPr>
            <w:r>
              <w:rPr>
                <w:rFonts w:ascii="Arial" w:cs="Arial" w:eastAsia="Arial" w:hAnsi="Arial"/>
                <w:sz w:val="18"/>
                <w:szCs w:val="18"/>
                <w:color w:val="auto"/>
                <w:w w:val="78"/>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90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[10 years from Grant Date]</w:t>
            </w:r>
          </w:p>
        </w:tc>
      </w:tr>
      <w:tr>
        <w:trPr>
          <w:trHeight w:val="202"/>
        </w:trPr>
        <w:tc>
          <w:tcPr>
            <w:tcW w:w="920" w:type="dxa"/>
            <w:vAlign w:val="bottom"/>
          </w:tcPr>
          <w:p>
            <w:pPr>
              <w:spacing w:after="0"/>
              <w:rPr>
                <w:sz w:val="17"/>
                <w:szCs w:val="17"/>
                <w:color w:val="auto"/>
              </w:rPr>
            </w:pPr>
          </w:p>
        </w:tc>
        <w:tc>
          <w:tcPr>
            <w:tcW w:w="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On Vest</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Date</w:t>
            </w: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8"/>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60" w:right="200" w:hanging="452"/>
        <w:spacing w:after="0" w:line="25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for non-employee directors will vest in approximately equal annual 33-1/3% installments. Full Vest Dates will occur on the first, second, and third anniversaries of the Grant Date.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Non-Qualified Stock Option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THE REGENERON PHARMACEUTICALS,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LONG-TERM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(Non-Employee Director Grant)</w:t>
      </w:r>
    </w:p>
    <w:p>
      <w:pPr>
        <w:spacing w:after="0" w:line="211"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individual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166"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WHEREAS, the Grantee is a non-employee member of the board of directors of the Company (or a Subsidiary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Company desires to afford the Grantee the opportunity to acquire or enlarge the Grantee’s stock ownership in the Company so that the Grantee may have a direct proprietary interest in the Company’s success; and</w:t>
      </w:r>
    </w:p>
    <w:p>
      <w:pPr>
        <w:spacing w:after="0" w:line="18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WHEREAS, the Committee administering the Regeneron Pharmaceuticals, Inc. 2014 Long-Term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has granted (as of the effective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Grantee a Stock Option to purchase the number of shares of the Company’s common stock,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as set forth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221" w:lineRule="exact"/>
        <w:rPr>
          <w:sz w:val="20"/>
          <w:szCs w:val="20"/>
          <w:color w:val="auto"/>
        </w:rPr>
      </w:pPr>
    </w:p>
    <w:p>
      <w:pPr>
        <w:ind w:right="60" w:firstLine="464"/>
        <w:spacing w:after="0" w:line="281" w:lineRule="auto"/>
        <w:tabs>
          <w:tab w:leader="none" w:pos="636"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12 of the Plan, the Company grants to the Grantee, subject to the terms and conditions of the Plan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164" w:lineRule="exact"/>
        <w:rPr>
          <w:rFonts w:ascii="Arial" w:cs="Arial" w:eastAsia="Arial" w:hAnsi="Arial"/>
          <w:sz w:val="17"/>
          <w:szCs w:val="17"/>
          <w:b w:val="1"/>
          <w:bCs w:val="1"/>
          <w:color w:val="auto"/>
        </w:rPr>
      </w:pPr>
    </w:p>
    <w:p>
      <w:pPr>
        <w:ind w:right="80" w:firstLine="464"/>
        <w:spacing w:after="0" w:line="290" w:lineRule="auto"/>
        <w:tabs>
          <w:tab w:leader="none" w:pos="63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 Fair Market Value (as measured on the date of exercise) equal to the Option exercise price. The Grantee acknowledges that it is the Grantee’s responsibility to satisfy any federal, state and local tax requirements related to the exercise of the Option.</w:t>
      </w:r>
    </w:p>
    <w:p>
      <w:pPr>
        <w:spacing w:after="0" w:line="164" w:lineRule="exact"/>
        <w:rPr>
          <w:sz w:val="20"/>
          <w:szCs w:val="20"/>
          <w:color w:val="auto"/>
        </w:rPr>
      </w:pPr>
    </w:p>
    <w:p>
      <w:pPr>
        <w:ind w:firstLine="464"/>
        <w:spacing w:after="0" w:line="269" w:lineRule="auto"/>
        <w:tabs>
          <w:tab w:leader="none" w:pos="7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 entitled to exercise the Option with respect to the number of shares of Common Stock granted as indicated provided that (except as set forth below with respect to Retirement) the Grantee has not incurred a termination of service as a member of the Board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Except as otherwise provided below or in the </w:t>
      </w:r>
      <w:r>
        <w:rPr>
          <w:rFonts w:ascii="Arial" w:cs="Arial" w:eastAsia="Arial" w:hAnsi="Arial"/>
          <w:sz w:val="17"/>
          <w:szCs w:val="17"/>
          <w:i w:val="1"/>
          <w:iCs w:val="1"/>
          <w:color w:val="auto"/>
        </w:rPr>
        <w:t xml:space="preserve">Notice of Grant of Stock Options </w:t>
      </w:r>
      <w:r>
        <w:rPr>
          <w:rFonts w:ascii="Arial" w:cs="Arial" w:eastAsia="Arial" w:hAnsi="Arial"/>
          <w:sz w:val="17"/>
          <w:szCs w:val="17"/>
          <w:color w:val="auto"/>
        </w:rPr>
        <w:t>or as may be otherwise determined by the Committee in accordance with Section 12(e) of the Plan, no vesting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after such date as the Grantee ceases to be on the Board and the entire unvested portion of the Option shall be forfeited at such time. Notwithstanding the preceding sentence, upon the Grantee’s Retirement from service on the Board, the Option shall continue to vest in installments as provided on the </w:t>
      </w:r>
      <w:r>
        <w:rPr>
          <w:rFonts w:ascii="Arial" w:cs="Arial" w:eastAsia="Arial" w:hAnsi="Arial"/>
          <w:sz w:val="17"/>
          <w:szCs w:val="17"/>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Grant of Stock Options </w:t>
      </w:r>
      <w:r>
        <w:rPr>
          <w:rFonts w:ascii="Arial" w:cs="Arial" w:eastAsia="Arial" w:hAnsi="Arial"/>
          <w:sz w:val="17"/>
          <w:szCs w:val="17"/>
          <w:color w:val="auto"/>
        </w:rPr>
        <w:t>as if the Grantee had remained in service on the Board.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shall mean a voluntary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of service on the Board (including by not standing for re-election) by the Grantee at a time when the Grantee meets both of the following criteria: the Grantee has served as a member of the Board for a minimum of three (3) years, and the combination of the Grantee’s age and total years of service as a member of the Board equals a minimum of 80.</w:t>
      </w:r>
    </w:p>
    <w:p>
      <w:pPr>
        <w:spacing w:after="0" w:line="182" w:lineRule="exact"/>
        <w:rPr>
          <w:rFonts w:ascii="Arial" w:cs="Arial" w:eastAsia="Arial" w:hAnsi="Arial"/>
          <w:sz w:val="17"/>
          <w:szCs w:val="17"/>
          <w:color w:val="auto"/>
        </w:rPr>
      </w:pPr>
    </w:p>
    <w:p>
      <w:pPr>
        <w:ind w:right="40" w:firstLine="464"/>
        <w:spacing w:after="0" w:line="277" w:lineRule="auto"/>
        <w:tabs>
          <w:tab w:leader="none" w:pos="7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Notwithstanding anything herein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the Option shall be fully vested on the date of a Change in Control. If the application of the provision in the foregoing sentence, similar</w:t>
      </w:r>
    </w:p>
    <w:p>
      <w:pPr>
        <w:sectPr>
          <w:pgSz w:w="11900" w:h="16838" w:orient="portrait"/>
          <w:cols w:equalWidth="0" w:num="1">
            <w:col w:w="11360"/>
          </w:cols>
          <w:pgMar w:left="240" w:top="270" w:right="299" w:bottom="1440" w:gutter="0" w:footer="0" w:header="0"/>
        </w:sectPr>
      </w:pPr>
    </w:p>
    <w:bookmarkStart w:id="21" w:name="page22"/>
    <w:bookmarkEnd w:id="21"/>
    <w:p>
      <w:pPr>
        <w:ind w:right="1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in other stock option or restricted stock grants, and other payments and benefits payable to the Grantee in connection with a Change in Control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 Grantee or, in the event the parties cannot agree, in the following order:</w:t>
      </w:r>
    </w:p>
    <w:p>
      <w:pPr>
        <w:spacing w:after="0" w:line="1"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acceleration of vesting of any option where the exercise price exceeds the fair market value of the underlying shares at the time the acceleration would</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79" w:lineRule="exact"/>
        <w:rPr>
          <w:rFonts w:ascii="Arial" w:cs="Arial" w:eastAsia="Arial" w:hAnsi="Arial"/>
          <w:sz w:val="16"/>
          <w:szCs w:val="16"/>
          <w:color w:val="auto"/>
        </w:rPr>
      </w:pPr>
    </w:p>
    <w:p>
      <w:pPr>
        <w:ind w:right="20" w:firstLine="464"/>
        <w:spacing w:after="0" w:line="255" w:lineRule="auto"/>
        <w:tabs>
          <w:tab w:leader="none" w:pos="636"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Term. </w:t>
      </w:r>
      <w:r>
        <w:rPr>
          <w:rFonts w:ascii="Arial" w:cs="Arial" w:eastAsia="Arial" w:hAnsi="Arial"/>
          <w:sz w:val="18"/>
          <w:szCs w:val="18"/>
          <w:color w:val="auto"/>
        </w:rPr>
        <w:t>Except as otherwise provided in the next sentence or in the Plan, the Option shall expire on the tenth anniversary of the grant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 as shown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In the event of termination of service as a member of the Board of the Company, except as may be otherwise determined by the Committee in accordance with Section 12(e) of the Plan, the vested portion of the Option shall expire on the earlier of (i) the tenth anniversary of this grant, or (ii)(A) subject to (D) below, three months after such termination if such termination is for any reason other than death, Retirement, or long-term disability, (B) the tenth anniversary of this grant if such termination is due to Retirement, (C) one year after the termination if such termination is due to the Grantee’s death or long-term disability or (D) one year after such termination if such termination is at any time within two years after the occurrence of a Change in Control.</w:t>
      </w:r>
    </w:p>
    <w:p>
      <w:pPr>
        <w:spacing w:after="0" w:line="189" w:lineRule="exact"/>
        <w:rPr>
          <w:rFonts w:ascii="Arial" w:cs="Arial" w:eastAsia="Arial" w:hAnsi="Arial"/>
          <w:sz w:val="18"/>
          <w:szCs w:val="18"/>
          <w:b w:val="1"/>
          <w:bCs w:val="1"/>
          <w:color w:val="auto"/>
        </w:rPr>
      </w:pPr>
    </w:p>
    <w:p>
      <w:pPr>
        <w:ind w:firstLine="464"/>
        <w:spacing w:after="0" w:line="254" w:lineRule="auto"/>
        <w:tabs>
          <w:tab w:leader="none" w:pos="636"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186" w:lineRule="exact"/>
        <w:rPr>
          <w:rFonts w:ascii="Arial" w:cs="Arial" w:eastAsia="Arial" w:hAnsi="Arial"/>
          <w:sz w:val="18"/>
          <w:szCs w:val="18"/>
          <w:b w:val="1"/>
          <w:bCs w:val="1"/>
          <w:color w:val="auto"/>
        </w:rPr>
      </w:pPr>
    </w:p>
    <w:p>
      <w:pPr>
        <w:ind w:right="80" w:firstLine="464"/>
        <w:spacing w:after="0" w:line="281" w:lineRule="auto"/>
        <w:tabs>
          <w:tab w:leader="none" w:pos="636"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164" w:lineRule="exact"/>
        <w:rPr>
          <w:rFonts w:ascii="Arial" w:cs="Arial" w:eastAsia="Arial" w:hAnsi="Arial"/>
          <w:sz w:val="17"/>
          <w:szCs w:val="17"/>
          <w:b w:val="1"/>
          <w:bCs w:val="1"/>
          <w:color w:val="auto"/>
        </w:rPr>
      </w:pPr>
    </w:p>
    <w:p>
      <w:pPr>
        <w:ind w:right="60" w:firstLine="464"/>
        <w:spacing w:after="0" w:line="288" w:lineRule="auto"/>
        <w:tabs>
          <w:tab w:leader="none" w:pos="636"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 to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64" w:lineRule="exact"/>
        <w:rPr>
          <w:rFonts w:ascii="Arial" w:cs="Arial" w:eastAsia="Arial" w:hAnsi="Arial"/>
          <w:sz w:val="16"/>
          <w:szCs w:val="16"/>
          <w:b w:val="1"/>
          <w:bCs w:val="1"/>
          <w:color w:val="auto"/>
        </w:rPr>
      </w:pPr>
    </w:p>
    <w:p>
      <w:pPr>
        <w:ind w:right="160" w:firstLine="464"/>
        <w:spacing w:after="0" w:line="289" w:lineRule="auto"/>
        <w:tabs>
          <w:tab w:leader="none" w:pos="636"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acknowledges receipt of a copy of the Plan and agrees to be bound by all the terms and provisions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 w:name="page23"/>
    <w:bookmarkEnd w:id="22"/>
    <w:p>
      <w:pPr>
        <w:ind w:left="-80" w:firstLine="464"/>
        <w:spacing w:after="0" w:line="258" w:lineRule="auto"/>
        <w:tabs>
          <w:tab w:leader="none" w:pos="55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Company, to: Regeneron Pharmaceuticals, Inc., 777 Old Saw Mill River Road, Tarrytown, NY 10591, Attention: Secretary, and (ii) if to the Grantee, to: the Grantee at Regeneron Pharmaceuticals, Inc., 777 Old Saw Mill River Road, Tarrytown, NY 10591, or, if the Grantee has terminated service, to the last address for the Grantee indicated in the records of the Company, or such other address as the relevant party shall specify at any time hereafter in accordance with this Section 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260"/>
      </w:cols>
      <w:pgMar w:left="32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lvl w:ilvl="1">
      <w:lvlJc w:val="left"/>
      <w:lvlText w:val="%2."/>
      <w:numFmt w:val="decimal"/>
      <w:start w:val="1"/>
    </w:lvl>
  </w:abstractNum>
  <w:abstractNum w:abstractNumId="4">
    <w:nsid w:val="628C895D"/>
    <w:multiLevelType w:val="hybridMultilevel"/>
    <w:lvl w:ilvl="0">
      <w:lvlJc w:val="left"/>
      <w:lvlText w:val="(%1)"/>
      <w:numFmt w:val="decimal"/>
      <w:start w:val="3"/>
    </w:lvl>
    <w:lvl w:ilvl="1">
      <w:lvlJc w:val="left"/>
      <w:lvlText w:val="%2"/>
      <w:numFmt w:val="decimal"/>
      <w:start w:val="1"/>
    </w:lvl>
  </w:abstractNum>
  <w:abstractNum w:abstractNumId="5">
    <w:nsid w:val="333AB105"/>
    <w:multiLevelType w:val="hybridMultilevel"/>
    <w:lvl w:ilvl="0">
      <w:lvlJc w:val="left"/>
      <w:lvlText w:val="(%1)"/>
      <w:numFmt w:val="lowerLetter"/>
      <w:start w:val="2"/>
    </w:lvl>
  </w:abstractNum>
  <w:abstractNum w:abstractNumId="6">
    <w:nsid w:val="721DA317"/>
    <w:multiLevelType w:val="hybridMultilevel"/>
    <w:lvl w:ilvl="0">
      <w:lvlJc w:val="left"/>
      <w:lvlText w:val="%1"/>
      <w:numFmt w:val="upperLetter"/>
      <w:start w:val="1"/>
    </w:lvl>
    <w:lvl w:ilvl="1">
      <w:lvlJc w:val="left"/>
      <w:lvlText w:val="%2."/>
      <w:numFmt w:val="decimal"/>
      <w:start w:val="3"/>
    </w:lvl>
  </w:abstractNum>
  <w:abstractNum w:abstractNumId="7">
    <w:nsid w:val="2443A858"/>
    <w:multiLevelType w:val="hybridMultilevel"/>
    <w:lvl w:ilvl="0">
      <w:lvlJc w:val="left"/>
      <w:lvlText w:val="(%1)"/>
      <w:numFmt w:val="upperLetter"/>
      <w:start w:val="4"/>
    </w:lvl>
    <w:lvl w:ilvl="1">
      <w:lvlJc w:val="left"/>
      <w:lvlText w:val="%2"/>
      <w:numFmt w:val="decimal"/>
      <w:start w:val="1"/>
    </w:lvl>
  </w:abstractNum>
  <w:abstractNum w:abstractNumId="8">
    <w:nsid w:val="2D1D5AE9"/>
    <w:multiLevelType w:val="hybridMultilevel"/>
    <w:lvl w:ilvl="0">
      <w:lvlJc w:val="left"/>
      <w:lvlText w:val="%1"/>
      <w:numFmt w:val="upperLetter"/>
      <w:start w:val="1"/>
    </w:lvl>
    <w:lvl w:ilvl="1">
      <w:lvlJc w:val="left"/>
      <w:lvlText w:val="(%2)"/>
      <w:numFmt w:val="lowerLetter"/>
      <w:start w:val="2"/>
    </w:lvl>
  </w:abstractNum>
  <w:abstractNum w:abstractNumId="9">
    <w:nsid w:val="6763845E"/>
    <w:multiLevelType w:val="hybridMultilevel"/>
    <w:lvl w:ilvl="0">
      <w:lvlJc w:val="left"/>
      <w:lvlText w:val="(%1)"/>
      <w:numFmt w:val="upperLetter"/>
      <w:start w:val="2"/>
    </w:lvl>
    <w:lvl w:ilvl="1">
      <w:lvlJc w:val="left"/>
      <w:lvlText w:val="(%2)"/>
      <w:numFmt w:val="lowerLetter"/>
      <w:start w:val="3"/>
    </w:lvl>
  </w:abstractNum>
  <w:abstractNum w:abstractNumId="10">
    <w:nsid w:val="75A2A8D4"/>
    <w:multiLevelType w:val="hybridMultilevel"/>
    <w:lvl w:ilvl="0">
      <w:lvlJc w:val="left"/>
      <w:lvlText w:val="%1."/>
      <w:numFmt w:val="decimal"/>
      <w:start w:val="4"/>
    </w:lvl>
  </w:abstractNum>
  <w:abstractNum w:abstractNumId="11">
    <w:nsid w:val="8EDBDAB"/>
    <w:multiLevelType w:val="hybridMultilevel"/>
    <w:lvl w:ilvl="0">
      <w:lvlJc w:val="left"/>
      <w:lvlText w:val="%1."/>
      <w:numFmt w:val="decimal"/>
      <w:start w:val="10"/>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lvl w:ilvl="1">
      <w:lvlJc w:val="left"/>
      <w:lvlText w:val="%2."/>
      <w:numFmt w:val="decimal"/>
      <w:start w:val="1"/>
    </w:lvl>
  </w:abstractNum>
  <w:abstractNum w:abstractNumId="15">
    <w:nsid w:val="189A769B"/>
    <w:multiLevelType w:val="hybridMultilevel"/>
    <w:lvl w:ilvl="0">
      <w:lvlJc w:val="left"/>
      <w:lvlText w:val="(%1)"/>
      <w:numFmt w:val="decimal"/>
      <w:start w:val="3"/>
    </w:lvl>
    <w:lvl w:ilvl="1">
      <w:lvlJc w:val="left"/>
      <w:lvlText w:val="%2"/>
      <w:numFmt w:val="decimal"/>
      <w:start w:val="1"/>
    </w:lvl>
  </w:abstractNum>
  <w:abstractNum w:abstractNumId="16">
    <w:nsid w:val="54E49EB4"/>
    <w:multiLevelType w:val="hybridMultilevel"/>
    <w:lvl w:ilvl="0">
      <w:lvlJc w:val="left"/>
      <w:lvlText w:val="(%1)"/>
      <w:numFmt w:val="lowerLetter"/>
      <w:start w:val="2"/>
    </w:lvl>
  </w:abstractNum>
  <w:abstractNum w:abstractNumId="17">
    <w:nsid w:val="71F32454"/>
    <w:multiLevelType w:val="hybridMultilevel"/>
    <w:lvl w:ilvl="0">
      <w:lvlJc w:val="left"/>
      <w:lvlText w:val="%1"/>
      <w:numFmt w:val="decimal"/>
      <w:start w:val="1"/>
    </w:lvl>
    <w:lvl w:ilvl="1">
      <w:lvlJc w:val="left"/>
      <w:lvlText w:val="(%2)"/>
      <w:numFmt w:val="lowerLetter"/>
      <w:start w:val="3"/>
    </w:lvl>
  </w:abstractNum>
  <w:abstractNum w:abstractNumId="18">
    <w:nsid w:val="2CA88611"/>
    <w:multiLevelType w:val="hybridMultilevel"/>
    <w:lvl w:ilvl="0">
      <w:lvlJc w:val="left"/>
      <w:lvlText w:val="(%1)"/>
      <w:numFmt w:val="decimal"/>
      <w:start w:val="1"/>
    </w:lvl>
    <w:lvl w:ilvl="1">
      <w:lvlJc w:val="left"/>
      <w:lvlText w:val="%2"/>
      <w:numFmt w:val="lowerLetter"/>
      <w:start w:val="1"/>
    </w:lvl>
  </w:abstractNum>
  <w:abstractNum w:abstractNumId="19">
    <w:nsid w:val="836C40E"/>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0">
    <w:nsid w:val="2901D82"/>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2"/>
    </w:lvl>
  </w:abstractNum>
  <w:abstractNum w:abstractNumId="21">
    <w:nsid w:val="3A95F87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3"/>
    </w:lvl>
  </w:abstractNum>
  <w:abstractNum w:abstractNumId="22">
    <w:nsid w:val="8138641"/>
    <w:multiLevelType w:val="hybridMultilevel"/>
    <w:lvl w:ilvl="0">
      <w:lvlJc w:val="left"/>
      <w:lvlText w:val="%1."/>
      <w:numFmt w:val="decimal"/>
      <w:start w:val="4"/>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lowerLetter"/>
      <w:start w:val="2"/>
    </w:lvl>
  </w:abstractNum>
  <w:abstractNum w:abstractNumId="25">
    <w:nsid w:val="737B8DDC"/>
    <w:multiLevelType w:val="hybridMultilevel"/>
    <w:lvl w:ilvl="0">
      <w:lvlJc w:val="left"/>
      <w:lvlText w:val="%1"/>
      <w:numFmt w:val="upperLetter"/>
      <w:start w:val="1"/>
    </w:lvl>
    <w:lvl w:ilvl="1">
      <w:lvlJc w:val="left"/>
      <w:lvlText w:val="(%2)"/>
      <w:numFmt w:val="lowerLetter"/>
      <w:start w:val="3"/>
    </w:lvl>
  </w:abstractNum>
  <w:abstractNum w:abstractNumId="26">
    <w:nsid w:val="6CEAF087"/>
    <w:multiLevelType w:val="hybridMultilevel"/>
    <w:lvl w:ilvl="0">
      <w:lvlJc w:val="left"/>
      <w:lvlText w:val="(%1)"/>
      <w:numFmt w:val="upperLetter"/>
      <w:start w:val="2"/>
    </w:lvl>
    <w:lvl w:ilvl="1">
      <w:lvlJc w:val="left"/>
      <w:lvlText w:val="(%2)"/>
      <w:numFmt w:val="lowerLetter"/>
      <w:start w:val="4"/>
    </w:lvl>
  </w:abstractNum>
  <w:abstractNum w:abstractNumId="27">
    <w:nsid w:val="22221A70"/>
    <w:multiLevelType w:val="hybridMultilevel"/>
    <w:lvl w:ilvl="0">
      <w:lvlJc w:val="left"/>
      <w:lvlText w:val="%1."/>
      <w:numFmt w:val="decimal"/>
      <w:start w:val="3"/>
    </w:lvl>
  </w:abstractNum>
  <w:abstractNum w:abstractNumId="28">
    <w:nsid w:val="4516DDE9"/>
    <w:multiLevelType w:val="hybridMultilevel"/>
    <w:lvl w:ilvl="0">
      <w:lvlJc w:val="left"/>
      <w:lvlText w:val="%1."/>
      <w:numFmt w:val="decimal"/>
      <w:start w:val="4"/>
    </w:lvl>
  </w:abstractNum>
  <w:abstractNum w:abstractNumId="29">
    <w:nsid w:val="3006C83E"/>
    <w:multiLevelType w:val="hybridMultilevel"/>
    <w:lvl w:ilvl="0">
      <w:lvlJc w:val="left"/>
      <w:lvlText w:val="%1."/>
      <w:numFmt w:val="decimal"/>
      <w:start w:val="8"/>
    </w:lvl>
  </w:abstractNum>
  <w:abstractNum w:abstractNumId="30">
    <w:nsid w:val="614FD4A1"/>
    <w:multiLevelType w:val="hybridMultilevel"/>
    <w:lvl w:ilvl="0">
      <w:lvlJc w:val="left"/>
      <w:lvlText w:val="%1."/>
      <w:numFmt w:val="decimal"/>
      <w:start w:val="1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lowerLetter"/>
      <w:start w:val="2"/>
    </w:lvl>
  </w:abstractNum>
  <w:abstractNum w:abstractNumId="35">
    <w:nsid w:val="3804823E"/>
    <w:multiLevelType w:val="hybridMultilevel"/>
    <w:lvl w:ilvl="0">
      <w:lvlJc w:val="left"/>
      <w:lvlText w:val="(%1)"/>
      <w:numFmt w:val="decimal"/>
      <w:start w:val="1"/>
    </w:lvl>
    <w:lvl w:ilvl="1">
      <w:lvlJc w:val="left"/>
      <w:lvlText w:val="%2."/>
      <w:numFmt w:val="decimal"/>
      <w:start w:val="3"/>
    </w:lvl>
  </w:abstractNum>
  <w:abstractNum w:abstractNumId="36">
    <w:nsid w:val="77465F0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2019-12-06T04:34:08Z</dcterms:created>
  <dcterms:modified xsi:type="dcterms:W3CDTF">2019-12-06T04:34:08Z</dcterms:modified>
</cp:coreProperties>
</file>