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9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Date of Report (Date of earliest event reported): November 4, 2021 (November 4, 2021)</w:t>
      </w:r>
    </w:p>
    <w:p>
      <w:pPr>
        <w:spacing w:after="0" w:line="281"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REGENERON PHARMACEUTICALS, INC.</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94" w:lineRule="exact"/>
        <w:rPr>
          <w:sz w:val="24"/>
          <w:szCs w:val="24"/>
          <w:color w:val="auto"/>
        </w:rPr>
      </w:pPr>
    </w:p>
    <w:tbl>
      <w:tblPr>
        <w:tblLayout w:type="fixed"/>
        <w:tblInd w:w="1000" w:type="dxa"/>
        <w:tblCellMar>
          <w:top w:w="0" w:type="dxa"/>
          <w:left w:w="0" w:type="dxa"/>
          <w:bottom w:w="0" w:type="dxa"/>
          <w:right w:w="0" w:type="dxa"/>
        </w:tblCellMar>
      </w:tblPr>
      <w:tr>
        <w:trPr>
          <w:trHeight w:val="261"/>
        </w:trPr>
        <w:tc>
          <w:tcPr>
            <w:tcW w:w="3160" w:type="dxa"/>
            <w:vAlign w:val="bottom"/>
          </w:tcPr>
          <w:p>
            <w:pPr>
              <w:jc w:val="center"/>
              <w:ind w:right="559"/>
              <w:spacing w:after="0"/>
              <w:rPr>
                <w:sz w:val="20"/>
                <w:szCs w:val="20"/>
                <w:color w:val="auto"/>
              </w:rPr>
            </w:pPr>
            <w:r>
              <w:rPr>
                <w:rFonts w:ascii="Arial" w:cs="Arial" w:eastAsia="Arial" w:hAnsi="Arial"/>
                <w:sz w:val="18"/>
                <w:szCs w:val="18"/>
                <w:b w:val="1"/>
                <w:bCs w:val="1"/>
                <w:color w:val="auto"/>
                <w:w w:val="92"/>
              </w:rPr>
              <w:t>New York</w:t>
            </w:r>
          </w:p>
        </w:tc>
        <w:tc>
          <w:tcPr>
            <w:tcW w:w="3000" w:type="dxa"/>
            <w:vAlign w:val="bottom"/>
          </w:tcPr>
          <w:p>
            <w:pPr>
              <w:jc w:val="right"/>
              <w:ind w:right="1079"/>
              <w:spacing w:after="0"/>
              <w:rPr>
                <w:sz w:val="20"/>
                <w:szCs w:val="20"/>
                <w:color w:val="auto"/>
              </w:rPr>
            </w:pPr>
            <w:r>
              <w:rPr>
                <w:rFonts w:ascii="Arial" w:cs="Arial" w:eastAsia="Arial" w:hAnsi="Arial"/>
                <w:sz w:val="18"/>
                <w:szCs w:val="18"/>
                <w:b w:val="1"/>
                <w:bCs w:val="1"/>
                <w:color w:val="auto"/>
              </w:rPr>
              <w:t>000-19034</w:t>
            </w:r>
          </w:p>
        </w:tc>
        <w:tc>
          <w:tcPr>
            <w:tcW w:w="2860" w:type="dxa"/>
            <w:vAlign w:val="bottom"/>
          </w:tcPr>
          <w:p>
            <w:pPr>
              <w:jc w:val="right"/>
              <w:ind w:right="519"/>
              <w:spacing w:after="0"/>
              <w:rPr>
                <w:sz w:val="20"/>
                <w:szCs w:val="20"/>
                <w:color w:val="auto"/>
              </w:rPr>
            </w:pPr>
            <w:r>
              <w:rPr>
                <w:rFonts w:ascii="Arial" w:cs="Arial" w:eastAsia="Arial" w:hAnsi="Arial"/>
                <w:sz w:val="18"/>
                <w:szCs w:val="18"/>
                <w:b w:val="1"/>
                <w:bCs w:val="1"/>
                <w:color w:val="auto"/>
              </w:rPr>
              <w:t>13-3444607</w:t>
            </w:r>
          </w:p>
        </w:tc>
      </w:tr>
      <w:tr>
        <w:trPr>
          <w:trHeight w:val="190"/>
        </w:trPr>
        <w:tc>
          <w:tcPr>
            <w:tcW w:w="3160" w:type="dxa"/>
            <w:vAlign w:val="bottom"/>
          </w:tcPr>
          <w:p>
            <w:pPr>
              <w:jc w:val="center"/>
              <w:ind w:right="559"/>
              <w:spacing w:after="0"/>
              <w:rPr>
                <w:sz w:val="20"/>
                <w:szCs w:val="20"/>
                <w:color w:val="auto"/>
              </w:rPr>
            </w:pPr>
            <w:r>
              <w:rPr>
                <w:rFonts w:ascii="Arial" w:cs="Arial" w:eastAsia="Arial" w:hAnsi="Arial"/>
                <w:sz w:val="14"/>
                <w:szCs w:val="14"/>
                <w:color w:val="auto"/>
                <w:w w:val="95"/>
              </w:rPr>
              <w:t>(State or other jurisdiction of incorporation)</w:t>
            </w:r>
          </w:p>
        </w:tc>
        <w:tc>
          <w:tcPr>
            <w:tcW w:w="3000" w:type="dxa"/>
            <w:vAlign w:val="bottom"/>
          </w:tcPr>
          <w:p>
            <w:pPr>
              <w:jc w:val="center"/>
              <w:ind w:right="19"/>
              <w:spacing w:after="0"/>
              <w:rPr>
                <w:sz w:val="20"/>
                <w:szCs w:val="20"/>
                <w:color w:val="auto"/>
              </w:rPr>
            </w:pPr>
            <w:r>
              <w:rPr>
                <w:rFonts w:ascii="Arial" w:cs="Arial" w:eastAsia="Arial" w:hAnsi="Arial"/>
                <w:sz w:val="14"/>
                <w:szCs w:val="14"/>
                <w:color w:val="auto"/>
                <w:w w:val="94"/>
              </w:rPr>
              <w:t>(Commission File Number)</w:t>
            </w:r>
          </w:p>
        </w:tc>
        <w:tc>
          <w:tcPr>
            <w:tcW w:w="2860" w:type="dxa"/>
            <w:vAlign w:val="bottom"/>
          </w:tcPr>
          <w:p>
            <w:pPr>
              <w:jc w:val="center"/>
              <w:ind w:left="699"/>
              <w:spacing w:after="0"/>
              <w:rPr>
                <w:sz w:val="20"/>
                <w:szCs w:val="20"/>
                <w:color w:val="auto"/>
              </w:rPr>
            </w:pPr>
            <w:r>
              <w:rPr>
                <w:rFonts w:ascii="Arial" w:cs="Arial" w:eastAsia="Arial" w:hAnsi="Arial"/>
                <w:sz w:val="14"/>
                <w:szCs w:val="14"/>
                <w:color w:val="auto"/>
                <w:w w:val="96"/>
              </w:rPr>
              <w:t>(I.R.S. Employer Identification No.)</w:t>
            </w:r>
          </w:p>
        </w:tc>
      </w:tr>
    </w:tbl>
    <w:p>
      <w:pPr>
        <w:spacing w:after="0" w:line="14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777 Old Saw Mill River Road, Tarrytown, New York 10591-6707</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37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(914) 847-7000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7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Arial" w:cs="Arial" w:eastAsia="Arial" w:hAnsi="Arial"/>
                <w:sz w:val="18"/>
                <w:szCs w:val="18"/>
                <w:i w:val="1"/>
                <w:iCs w:val="1"/>
                <w:color w:val="auto"/>
                <w:w w:val="90"/>
              </w:rPr>
              <w:t>Title of each class</w:t>
            </w:r>
          </w:p>
        </w:tc>
        <w:tc>
          <w:tcPr>
            <w:tcW w:w="3120" w:type="dxa"/>
            <w:vAlign w:val="bottom"/>
            <w:gridSpan w:val="3"/>
          </w:tcPr>
          <w:p>
            <w:pPr>
              <w:jc w:val="center"/>
              <w:ind w:right="620"/>
              <w:spacing w:after="0"/>
              <w:rPr>
                <w:sz w:val="20"/>
                <w:szCs w:val="20"/>
                <w:color w:val="auto"/>
              </w:rPr>
            </w:pPr>
            <w:r>
              <w:rPr>
                <w:rFonts w:ascii="Arial" w:cs="Arial" w:eastAsia="Arial" w:hAnsi="Arial"/>
                <w:sz w:val="18"/>
                <w:szCs w:val="18"/>
                <w:i w:val="1"/>
                <w:iCs w:val="1"/>
                <w:color w:val="auto"/>
                <w:w w:val="91"/>
              </w:rPr>
              <w:t>Trading Symbol(s)</w:t>
            </w:r>
          </w:p>
        </w:tc>
        <w:tc>
          <w:tcPr>
            <w:tcW w:w="3180" w:type="dxa"/>
            <w:vAlign w:val="bottom"/>
          </w:tcPr>
          <w:p>
            <w:pPr>
              <w:jc w:val="center"/>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0"/>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9"/>
              </w:rPr>
              <w:t>REGN</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310"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1149350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7" w:right="4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firstLine="243"/>
        <w:spacing w:after="0" w:line="263" w:lineRule="auto"/>
        <w:rPr>
          <w:sz w:val="20"/>
          <w:szCs w:val="20"/>
          <w:color w:val="auto"/>
        </w:rPr>
      </w:pPr>
      <w:r>
        <w:rPr>
          <w:rFonts w:ascii="Arial" w:cs="Arial" w:eastAsia="Arial" w:hAnsi="Arial"/>
          <w:sz w:val="18"/>
          <w:szCs w:val="18"/>
          <w:color w:val="auto"/>
        </w:rPr>
        <w:t>On November 4, 2021, Regeneron Pharmaceuticals, Inc. issued a press release announcing its financial and operating results for the quarter ended September 30, 2021. A copy of the press release is being furnished to the Securities and Exchange Commission as Exhibit 99.1 to this Current Report on Form 8-K and is incorporated by reference to this Item 2.02.</w:t>
      </w:r>
    </w:p>
    <w:p>
      <w:pPr>
        <w:spacing w:after="0" w:line="211" w:lineRule="exact"/>
        <w:rPr>
          <w:sz w:val="20"/>
          <w:szCs w:val="20"/>
          <w:color w:val="auto"/>
        </w:rPr>
      </w:pPr>
    </w:p>
    <w:p>
      <w:pPr>
        <w:ind w:right="400" w:firstLine="243"/>
        <w:spacing w:after="0" w:line="286" w:lineRule="auto"/>
        <w:rPr>
          <w:sz w:val="20"/>
          <w:szCs w:val="20"/>
          <w:color w:val="auto"/>
        </w:rPr>
      </w:pPr>
      <w:r>
        <w:rPr>
          <w:rFonts w:ascii="Arial" w:cs="Arial" w:eastAsia="Arial" w:hAnsi="Arial"/>
          <w:sz w:val="17"/>
          <w:szCs w:val="17"/>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Press Release, dated November 4, 2021, Reporting Third Quarter 2021 Financial and Operating Results.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34" w:right="559"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243"/>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2520"/>
        <w:spacing w:after="0"/>
        <w:tabs>
          <w:tab w:leader="none" w:pos="486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7"/>
          <w:szCs w:val="17"/>
          <w:color w:val="auto"/>
        </w:rPr>
        <w:t>REGENERON PHARMACEUTICALS, INC.</w:t>
      </w:r>
    </w:p>
    <w:p>
      <w:pPr>
        <w:spacing w:after="0" w:line="293" w:lineRule="exact"/>
        <w:rPr>
          <w:sz w:val="20"/>
          <w:szCs w:val="20"/>
          <w:color w:val="auto"/>
        </w:rPr>
      </w:pPr>
    </w:p>
    <w:tbl>
      <w:tblPr>
        <w:tblLayout w:type="fixed"/>
        <w:tblInd w:w="48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ectPr>
          <w:pgSz w:w="11900" w:h="16838" w:orient="portrait"/>
          <w:cols w:equalWidth="0" w:num="1">
            <w:col w:w="10520"/>
          </w:cols>
          <w:pgMar w:left="320" w:top="895"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71755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Third Quarter 2021 Financial and Operating Results</w:t>
      </w:r>
    </w:p>
    <w:p>
      <w:pPr>
        <w:spacing w:after="0" w:line="178" w:lineRule="exact"/>
        <w:rPr>
          <w:sz w:val="20"/>
          <w:szCs w:val="20"/>
          <w:color w:val="auto"/>
        </w:rPr>
      </w:pPr>
    </w:p>
    <w:p>
      <w:pPr>
        <w:ind w:left="340" w:right="700" w:hanging="332"/>
        <w:spacing w:after="0" w:line="223" w:lineRule="auto"/>
        <w:tabs>
          <w:tab w:leader="none" w:pos="301" w:val="left"/>
        </w:tabs>
        <w:numPr>
          <w:ilvl w:val="0"/>
          <w:numId w:val="2"/>
        </w:numPr>
        <w:rPr>
          <w:rFonts w:ascii="Arial" w:cs="Arial" w:eastAsia="Arial" w:hAnsi="Arial"/>
          <w:sz w:val="20"/>
          <w:szCs w:val="20"/>
          <w:i w:val="1"/>
          <w:iCs w:val="1"/>
          <w:color w:val="auto"/>
        </w:rPr>
      </w:pPr>
      <w:r>
        <w:rPr>
          <w:rFonts w:ascii="Arial" w:cs="Arial" w:eastAsia="Arial" w:hAnsi="Arial"/>
          <w:sz w:val="22"/>
          <w:szCs w:val="22"/>
          <w:i w:val="1"/>
          <w:iCs w:val="1"/>
          <w:color w:val="auto"/>
        </w:rPr>
        <w:t>Third quarter 2021 revenues increased 51% to $3.45 billion versus third quarter 2020 including $804 million attributable to REGEN-COV</w:t>
      </w:r>
      <w:r>
        <w:rPr>
          <w:rFonts w:ascii="Arial" w:cs="Arial" w:eastAsia="Arial" w:hAnsi="Arial"/>
          <w:sz w:val="28"/>
          <w:szCs w:val="28"/>
          <w:b w:val="1"/>
          <w:bCs w:val="1"/>
          <w:color w:val="auto"/>
          <w:vertAlign w:val="superscript"/>
        </w:rPr>
        <w:t>®</w:t>
      </w:r>
      <w:r>
        <w:rPr>
          <w:rFonts w:ascii="Arial" w:cs="Arial" w:eastAsia="Arial" w:hAnsi="Arial"/>
          <w:sz w:val="12"/>
          <w:szCs w:val="12"/>
          <w:i w:val="1"/>
          <w:iCs w:val="1"/>
          <w:color w:val="auto"/>
        </w:rPr>
        <w:t>(2)</w:t>
      </w:r>
    </w:p>
    <w:p>
      <w:pPr>
        <w:ind w:left="320" w:hanging="312"/>
        <w:spacing w:after="0" w:line="191" w:lineRule="auto"/>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2021 EYLEA</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U.S. net sales increased 12% versus third quarter 2020 to $1.47 billion</w:t>
      </w:r>
    </w:p>
    <w:p>
      <w:pPr>
        <w:ind w:left="340" w:right="480" w:hanging="332"/>
        <w:spacing w:after="0" w:line="214"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2021 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global net sales</w:t>
      </w:r>
      <w:r>
        <w:rPr>
          <w:rFonts w:ascii="Arial" w:cs="Arial" w:eastAsia="Arial" w:hAnsi="Arial"/>
          <w:sz w:val="12"/>
          <w:szCs w:val="12"/>
          <w:i w:val="1"/>
          <w:iCs w:val="1"/>
          <w:color w:val="auto"/>
        </w:rPr>
        <w:t>(3)</w:t>
      </w:r>
      <w:r>
        <w:rPr>
          <w:rFonts w:ascii="Arial" w:cs="Arial" w:eastAsia="Arial" w:hAnsi="Arial"/>
          <w:sz w:val="22"/>
          <w:szCs w:val="22"/>
          <w:i w:val="1"/>
          <w:iCs w:val="1"/>
          <w:color w:val="auto"/>
        </w:rPr>
        <w:t>, which are recorded by Sanofi, increased 55% to $1.66 billion versus third quarter 2020</w:t>
      </w: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2021 GAAP diluted EPS was $14.33 and non-GAAP diluted EPS</w:t>
      </w:r>
      <w:r>
        <w:rPr>
          <w:rFonts w:ascii="Arial" w:cs="Arial" w:eastAsia="Arial" w:hAnsi="Arial"/>
          <w:sz w:val="12"/>
          <w:szCs w:val="12"/>
          <w:i w:val="1"/>
          <w:iCs w:val="1"/>
          <w:color w:val="auto"/>
        </w:rPr>
        <w:t>(1)</w:t>
      </w:r>
      <w:r>
        <w:rPr>
          <w:rFonts w:ascii="Arial" w:cs="Arial" w:eastAsia="Arial" w:hAnsi="Arial"/>
          <w:sz w:val="22"/>
          <w:szCs w:val="22"/>
          <w:i w:val="1"/>
          <w:iCs w:val="1"/>
          <w:color w:val="auto"/>
        </w:rPr>
        <w:t xml:space="preserve"> was $15.37</w:t>
      </w:r>
    </w:p>
    <w:p>
      <w:pPr>
        <w:spacing w:after="0" w:line="3" w:lineRule="exact"/>
        <w:rPr>
          <w:rFonts w:ascii="Arial" w:cs="Arial" w:eastAsia="Arial" w:hAnsi="Arial"/>
          <w:sz w:val="22"/>
          <w:szCs w:val="22"/>
          <w:i w:val="1"/>
          <w:iCs w:val="1"/>
          <w:color w:val="auto"/>
        </w:rPr>
      </w:pPr>
    </w:p>
    <w:p>
      <w:pPr>
        <w:ind w:left="340" w:right="580" w:hanging="332"/>
        <w:spacing w:after="0" w:line="249"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Positive results reported from four Phase 3 Dupixent studies; FDA expanded approval of Dupixent to include children aged 6 to 11 years with asthma</w:t>
      </w:r>
    </w:p>
    <w:p>
      <w:pPr>
        <w:spacing w:after="0" w:line="205" w:lineRule="exact"/>
        <w:rPr>
          <w:sz w:val="20"/>
          <w:szCs w:val="20"/>
          <w:color w:val="auto"/>
        </w:rPr>
      </w:pPr>
    </w:p>
    <w:p>
      <w:pPr>
        <w:ind w:right="40"/>
        <w:spacing w:after="0" w:line="274" w:lineRule="auto"/>
        <w:rPr>
          <w:sz w:val="20"/>
          <w:szCs w:val="20"/>
          <w:color w:val="auto"/>
        </w:rPr>
      </w:pPr>
      <w:r>
        <w:rPr>
          <w:rFonts w:ascii="Arial" w:cs="Arial" w:eastAsia="Arial" w:hAnsi="Arial"/>
          <w:sz w:val="22"/>
          <w:szCs w:val="22"/>
          <w:b w:val="1"/>
          <w:bCs w:val="1"/>
          <w:color w:val="auto"/>
        </w:rPr>
        <w:t xml:space="preserve">Tarrytown, New York (November 4, 2021)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third quarter of 2021 and provided a business update.</w:t>
      </w:r>
    </w:p>
    <w:p>
      <w:pPr>
        <w:spacing w:after="0" w:line="191" w:lineRule="exact"/>
        <w:rPr>
          <w:sz w:val="20"/>
          <w:szCs w:val="20"/>
          <w:color w:val="auto"/>
        </w:rPr>
      </w:pPr>
    </w:p>
    <w:p>
      <w:pPr>
        <w:ind w:right="160"/>
        <w:spacing w:after="0" w:line="231" w:lineRule="auto"/>
        <w:rPr>
          <w:sz w:val="20"/>
          <w:szCs w:val="20"/>
          <w:color w:val="auto"/>
        </w:rPr>
      </w:pPr>
      <w:r>
        <w:rPr>
          <w:rFonts w:ascii="Arial" w:cs="Arial" w:eastAsia="Arial" w:hAnsi="Arial"/>
          <w:sz w:val="21"/>
          <w:szCs w:val="21"/>
          <w:color w:val="auto"/>
        </w:rPr>
        <w:t>"Regeneron had another strong quarter of core business growth, with EYLEA and Dupixent reaching more patients than ever and progress made across our diverse pipeline," said Leonard S. Schleifer, M.D., Ph.D., President and Chief Executive Officer of Regeneron. "We secured a new U.S. government supply agreement and are delivering an additional 1.4 million doses of REGEN-COV. Our Biologics License Application for REGEN-COV as treatment and prophylaxis was accepted by the FDA for priority review, with a mid-April 2022 action date. During the third quarter, we announced positive data from Phase 3 trials of Dupixent in chronic spontaneous urticaria and pediatric atopic dermatitis. We also recently announced positive data from Phase 3 trials of Dupixent in eosinophilic esophagitis and prurigo nodularis, and that the FDA approval in pediatric asthma was extended to children as young as six. Finally, our abstracts that will be released today for the American Society of Hematology (ASH) Annual Meeting highlight programs across the hematology portfolio, including our BCMA and C5 antibodies."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4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0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20"/>
                <w:szCs w:val="20"/>
                <w:b w:val="1"/>
                <w:bCs w:val="1"/>
                <w:color w:val="auto"/>
              </w:rPr>
              <w:t>Q3 2021</w:t>
            </w:r>
          </w:p>
        </w:tc>
        <w:tc>
          <w:tcPr>
            <w:tcW w:w="20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20"/>
                <w:szCs w:val="20"/>
                <w:b w:val="1"/>
                <w:bCs w:val="1"/>
                <w:color w:val="auto"/>
              </w:rPr>
              <w:t>Q3 2020</w:t>
            </w:r>
          </w:p>
        </w:tc>
        <w:tc>
          <w:tcPr>
            <w:tcW w:w="1300" w:type="dxa"/>
            <w:vAlign w:val="bottom"/>
          </w:tcPr>
          <w:p>
            <w:pPr>
              <w:jc w:val="right"/>
              <w:ind w:right="8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6"/>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3,453</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2,294</w:t>
            </w: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1,632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842</w:t>
            </w:r>
          </w:p>
        </w:tc>
        <w:tc>
          <w:tcPr>
            <w:tcW w:w="10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199"/>
        </w:trPr>
        <w:tc>
          <w:tcPr>
            <w:tcW w:w="324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GAAP net income per share -</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14.33</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7.39</w:t>
            </w:r>
          </w:p>
        </w:tc>
        <w:tc>
          <w:tcPr>
            <w:tcW w:w="1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233"/>
        </w:trPr>
        <w:tc>
          <w:tcPr>
            <w:tcW w:w="32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diluted</w:t>
            </w:r>
          </w:p>
        </w:tc>
        <w:tc>
          <w:tcPr>
            <w:tcW w:w="20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line="242"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1,773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961</w:t>
            </w:r>
          </w:p>
        </w:tc>
        <w:tc>
          <w:tcPr>
            <w:tcW w:w="10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194"/>
        </w:trPr>
        <w:tc>
          <w:tcPr>
            <w:tcW w:w="324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Non-GAAP net income per share -</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15.37</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8.36</w:t>
            </w:r>
          </w:p>
        </w:tc>
        <w:tc>
          <w:tcPr>
            <w:tcW w:w="1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238"/>
        </w:trPr>
        <w:tc>
          <w:tcPr>
            <w:tcW w:w="3240" w:type="dxa"/>
            <w:vAlign w:val="bottom"/>
            <w:shd w:val="clear" w:color="auto" w:fill="CCEEFF"/>
          </w:tcPr>
          <w:p>
            <w:pPr>
              <w:ind w:left="180"/>
              <w:spacing w:after="0" w:line="238" w:lineRule="exact"/>
              <w:rPr>
                <w:sz w:val="20"/>
                <w:szCs w:val="20"/>
                <w:color w:val="auto"/>
              </w:rPr>
            </w:pPr>
            <w:r>
              <w:rPr>
                <w:rFonts w:ascii="Arial" w:cs="Arial" w:eastAsia="Arial" w:hAnsi="Arial"/>
                <w:sz w:val="20"/>
                <w:szCs w:val="20"/>
                <w:color w:val="auto"/>
              </w:rPr>
              <w:t>diluted</w:t>
            </w:r>
            <w:r>
              <w:rPr>
                <w:rFonts w:ascii="Arial" w:cs="Arial" w:eastAsia="Arial" w:hAnsi="Arial"/>
                <w:sz w:val="25"/>
                <w:szCs w:val="25"/>
                <w:color w:val="auto"/>
                <w:vertAlign w:val="superscript"/>
              </w:rPr>
              <w:t>(1)</w:t>
            </w:r>
          </w:p>
        </w:tc>
        <w:tc>
          <w:tcPr>
            <w:tcW w:w="20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 w:name="page5"/>
    <w:bookmarkEnd w:id="4"/>
    <w:p>
      <w:pPr>
        <w:ind w:right="60"/>
        <w:spacing w:after="0" w:line="234" w:lineRule="auto"/>
        <w:rPr>
          <w:sz w:val="20"/>
          <w:szCs w:val="20"/>
          <w:color w:val="auto"/>
        </w:rPr>
      </w:pPr>
      <w:r>
        <w:rPr>
          <w:rFonts w:ascii="Arial" w:cs="Arial" w:eastAsia="Arial" w:hAnsi="Arial"/>
          <w:sz w:val="22"/>
          <w:szCs w:val="22"/>
          <w:color w:val="auto"/>
        </w:rPr>
        <w:t>"Regeneron performed extremely well in the third quarter with strong top- and bottom-line growth driven by an increasingly diversified core business," said Robert E. Landry, Executive Vice President, Finance and Chief Financial Officer of Regeneron. "We are approaching the end of 2021 with positive momentum as we continue to invest in our broad pipeline to drive sustained long-term growth."</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0" w:lineRule="exact"/>
        <w:rPr>
          <w:sz w:val="20"/>
          <w:szCs w:val="20"/>
          <w:color w:val="auto"/>
        </w:rPr>
      </w:pPr>
    </w:p>
    <w:p>
      <w:pPr>
        <w:ind w:right="360"/>
        <w:spacing w:after="0" w:line="249" w:lineRule="auto"/>
        <w:rPr>
          <w:sz w:val="20"/>
          <w:szCs w:val="20"/>
          <w:color w:val="auto"/>
        </w:rPr>
      </w:pPr>
      <w:r>
        <w:rPr>
          <w:rFonts w:ascii="Arial" w:cs="Arial" w:eastAsia="Arial" w:hAnsi="Arial"/>
          <w:sz w:val="22"/>
          <w:szCs w:val="22"/>
          <w:color w:val="auto"/>
        </w:rPr>
        <w:t>Regeneron has over 30 product candidates in clinical development, including six marketed products for which it is investigating additional indications. Updates from the clinical pipeline include: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(aflibercept) Injection</w:t>
      </w:r>
    </w:p>
    <w:p>
      <w:pPr>
        <w:ind w:left="340" w:right="140" w:hanging="332"/>
        <w:spacing w:after="0" w:line="260" w:lineRule="auto"/>
        <w:tabs>
          <w:tab w:leader="none" w:pos="335" w:val="left"/>
        </w:tabs>
        <w:numPr>
          <w:ilvl w:val="0"/>
          <w:numId w:val="3"/>
        </w:numPr>
        <w:rPr>
          <w:rFonts w:ascii="Arial" w:cs="Arial" w:eastAsia="Arial" w:hAnsi="Arial"/>
          <w:sz w:val="21"/>
          <w:szCs w:val="21"/>
          <w:color w:val="auto"/>
        </w:rPr>
      </w:pPr>
      <w:r>
        <w:rPr>
          <w:rFonts w:ascii="Arial" w:cs="Arial" w:eastAsia="Arial" w:hAnsi="Arial"/>
          <w:sz w:val="21"/>
          <w:szCs w:val="21"/>
          <w:color w:val="auto"/>
        </w:rPr>
        <w:t>In August 2021, the Company announced that an ongoing Phase 2 trial evaluating an 8 mg dose of aflibercept in patients with neovascular age-related macular degeneration (wet AMD) met its primary safety and efficacy endpoints. The high-dose aflibercept formulation is currently also being evaluated in two large Phase 3 trials in wet AMD and diabetic macular edema (DME), which are expected to report results in the second half of 2022.</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(dupilumab)</w:t>
      </w:r>
    </w:p>
    <w:p>
      <w:pPr>
        <w:ind w:left="340" w:hanging="332"/>
        <w:spacing w:after="0" w:line="243"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October 2021, the U.S. Food and Drug Administration (FDA) approved Dupixent for children aged 6 to 11 years with moderate-to-severe asthma.</w:t>
      </w:r>
    </w:p>
    <w:p>
      <w:pPr>
        <w:ind w:left="340" w:right="40" w:hanging="332"/>
        <w:spacing w:after="0" w:line="243"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July 2021, the Company and Sanofi announced that a Phase 3 trial in patients with moderate-to-severe chronic spontaneous urticaria (CSU) met its primary and all key secondary endpoints at 24 weeks.</w:t>
      </w:r>
    </w:p>
    <w:p>
      <w:pPr>
        <w:ind w:left="340" w:right="140" w:hanging="332"/>
        <w:spacing w:after="0" w:line="243"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October 2021, the Company and Sanofi announced that a second Phase 3 trial in adults and adolescents with eosinophilic esophagitis (EoE) met its co-primary endpoints in patients taking Dupixent 300 mg weekly, showing significant improvements in clinical (Dysphagia Symptom Questionnaire) and histologic disease measures compared to placebo. A rolling supplemental Biologics License Application (sBLA) has been initiated for adults and adolescents with EoE.</w:t>
      </w:r>
    </w:p>
    <w:p>
      <w:pPr>
        <w:spacing w:after="0" w:line="1" w:lineRule="exact"/>
        <w:rPr>
          <w:rFonts w:ascii="Arial" w:cs="Arial" w:eastAsia="Arial" w:hAnsi="Arial"/>
          <w:sz w:val="22"/>
          <w:szCs w:val="22"/>
          <w:color w:val="auto"/>
        </w:rPr>
      </w:pPr>
    </w:p>
    <w:p>
      <w:pPr>
        <w:ind w:left="340" w:right="80" w:hanging="332"/>
        <w:spacing w:after="0" w:line="243"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October 2021, the Company and Sanofi announced that a Phase 3 trial in adults with uncontrolled prurigo nodularis met its primary and all key secondary endpoints, showing that Dupixent significantly reduced itch and skin lesions compared to placebo in this investigational setting. Results from an additional Phase 3 trial in prurigo nodularis are expected to be reported in the first half of 2022.</w:t>
      </w:r>
    </w:p>
    <w:p>
      <w:pPr>
        <w:spacing w:after="0" w:line="1" w:lineRule="exact"/>
        <w:rPr>
          <w:rFonts w:ascii="Arial" w:cs="Arial" w:eastAsia="Arial" w:hAnsi="Arial"/>
          <w:sz w:val="22"/>
          <w:szCs w:val="22"/>
          <w:color w:val="auto"/>
        </w:rPr>
      </w:pPr>
    </w:p>
    <w:p>
      <w:pPr>
        <w:ind w:left="340" w:right="40" w:hanging="332"/>
        <w:spacing w:after="0" w:line="263" w:lineRule="auto"/>
        <w:tabs>
          <w:tab w:leader="none" w:pos="335" w:val="left"/>
        </w:tabs>
        <w:numPr>
          <w:ilvl w:val="0"/>
          <w:numId w:val="4"/>
        </w:numPr>
        <w:rPr>
          <w:rFonts w:ascii="Arial" w:cs="Arial" w:eastAsia="Arial" w:hAnsi="Arial"/>
          <w:sz w:val="21"/>
          <w:szCs w:val="21"/>
          <w:color w:val="auto"/>
        </w:rPr>
      </w:pPr>
      <w:r>
        <w:rPr>
          <w:rFonts w:ascii="Arial" w:cs="Arial" w:eastAsia="Arial" w:hAnsi="Arial"/>
          <w:sz w:val="21"/>
          <w:szCs w:val="21"/>
          <w:color w:val="auto"/>
        </w:rPr>
        <w:t>In August 2021, the Company and Sanofi announced that a Phase 3 trial in children aged 6 months to 5 years with moderate-to-severe atopic dermatitis met its primary and all secondary endpoints, and the companies expect to complete regulatory submissions in the United States and European Union (EU) in the coming months.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REGEN-COV</w:t>
      </w:r>
      <w:r>
        <w:rPr>
          <w:rFonts w:ascii="Arial" w:cs="Arial" w:eastAsia="Arial" w:hAnsi="Arial"/>
          <w:sz w:val="28"/>
          <w:szCs w:val="28"/>
          <w:color w:val="auto"/>
          <w:vertAlign w:val="superscript"/>
        </w:rPr>
        <w:t>®</w:t>
      </w:r>
      <w:r>
        <w:rPr>
          <w:rFonts w:ascii="Arial" w:cs="Arial" w:eastAsia="Arial" w:hAnsi="Arial"/>
          <w:sz w:val="22"/>
          <w:szCs w:val="22"/>
          <w:color w:val="auto"/>
        </w:rPr>
        <w:t xml:space="preserve"> (casirivimab and imdevimab)</w:t>
      </w:r>
      <w:r>
        <w:rPr>
          <w:rFonts w:ascii="Arial" w:cs="Arial" w:eastAsia="Arial" w:hAnsi="Arial"/>
          <w:sz w:val="28"/>
          <w:szCs w:val="28"/>
          <w:color w:val="auto"/>
          <w:vertAlign w:val="superscript"/>
        </w:rPr>
        <w:t>(2)</w:t>
      </w:r>
      <w:r>
        <w:rPr>
          <w:rFonts w:ascii="Arial" w:cs="Arial" w:eastAsia="Arial" w:hAnsi="Arial"/>
          <w:sz w:val="22"/>
          <w:szCs w:val="22"/>
          <w:color w:val="auto"/>
        </w:rPr>
        <w:t>, a dual antibody cocktail to SARS-CoV-2 virus</w:t>
      </w:r>
    </w:p>
    <w:p>
      <w:pPr>
        <w:ind w:left="320" w:hanging="312"/>
        <w:spacing w:after="0"/>
        <w:tabs>
          <w:tab w:leader="none" w:pos="320" w:val="left"/>
        </w:tabs>
        <w:numPr>
          <w:ilvl w:val="0"/>
          <w:numId w:val="5"/>
        </w:numPr>
        <w:rPr>
          <w:rFonts w:ascii="Arial" w:cs="Arial" w:eastAsia="Arial" w:hAnsi="Arial"/>
          <w:sz w:val="22"/>
          <w:szCs w:val="22"/>
          <w:i w:val="1"/>
          <w:iCs w:val="1"/>
          <w:color w:val="auto"/>
        </w:rPr>
      </w:pPr>
      <w:r>
        <w:rPr>
          <w:rFonts w:ascii="Arial" w:cs="Arial" w:eastAsia="Arial" w:hAnsi="Arial"/>
          <w:sz w:val="22"/>
          <w:szCs w:val="22"/>
          <w:color w:val="auto"/>
        </w:rPr>
        <w:t>In September 2021, the Company announced an agreement to supply the U.S. government with an additional</w:t>
      </w:r>
    </w:p>
    <w:p>
      <w:pPr>
        <w:spacing w:after="0" w:line="3" w:lineRule="exact"/>
        <w:rPr>
          <w:rFonts w:ascii="Arial" w:cs="Arial" w:eastAsia="Arial" w:hAnsi="Arial"/>
          <w:sz w:val="22"/>
          <w:szCs w:val="22"/>
          <w:i w:val="1"/>
          <w:iCs w:val="1"/>
          <w:color w:val="auto"/>
        </w:rPr>
      </w:pPr>
    </w:p>
    <w:p>
      <w:pPr>
        <w:ind w:left="340" w:right="140"/>
        <w:spacing w:after="0" w:line="260" w:lineRule="auto"/>
        <w:rPr>
          <w:rFonts w:ascii="Arial" w:cs="Arial" w:eastAsia="Arial" w:hAnsi="Arial"/>
          <w:sz w:val="22"/>
          <w:szCs w:val="22"/>
          <w:i w:val="1"/>
          <w:iCs w:val="1"/>
          <w:color w:val="auto"/>
        </w:rPr>
      </w:pPr>
      <w:r>
        <w:rPr>
          <w:rFonts w:ascii="Arial" w:cs="Arial" w:eastAsia="Arial" w:hAnsi="Arial"/>
          <w:sz w:val="21"/>
          <w:szCs w:val="21"/>
          <w:color w:val="auto"/>
        </w:rPr>
        <w:t>1.4 million doses of REGEN-COV (of which over 300,000 doses were delivered during the third quarter of 2021). Pursuant to the agreement, the U.S. government is obligated to purchase REGEN-COV doses delivered by January 31, 2022, resulting in aggregate payments to the Company of up to $2.940 billion. Roche will supply a portion of the doses to Regeneron to fulfill Regeneron's agreement with the U.S. government.</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903" w:right="379" w:bottom="1440" w:gutter="0" w:footer="0" w:header="0"/>
        </w:sectPr>
      </w:pPr>
    </w:p>
    <w:bookmarkStart w:id="5" w:name="page6"/>
    <w:bookmarkEnd w:id="5"/>
    <w:p>
      <w:pPr>
        <w:ind w:left="340" w:hanging="332"/>
        <w:spacing w:after="0" w:line="243"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FDA accepted for priority review the BLA for COVID-19 treatment in non-hospitalized patients and as prophylaxis in certain individuals, with a target action date of April 13, 2022. A Marketing Authorization Application (MAA) for COVID-19 treatment in infected non-hospitalized patients or as prophylaxis was also submitted in the EU.</w:t>
      </w:r>
    </w:p>
    <w:p>
      <w:pPr>
        <w:spacing w:after="0" w:line="1" w:lineRule="exact"/>
        <w:rPr>
          <w:rFonts w:ascii="Arial" w:cs="Arial" w:eastAsia="Arial" w:hAnsi="Arial"/>
          <w:sz w:val="22"/>
          <w:szCs w:val="22"/>
          <w:color w:val="auto"/>
        </w:rPr>
      </w:pPr>
    </w:p>
    <w:p>
      <w:pPr>
        <w:ind w:left="340" w:right="180" w:hanging="332"/>
        <w:spacing w:after="0" w:line="243"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September 2021, the Company announced that a Phase 3 trial in patients hospitalized with COVID-19 met its primary endpoint, showing REGEN-COV significantly reduced viral load. The FDA is currently reviewing the Company's request to expand the Emergency Use Authorization (EUA) to include treatment in hospital settings, and the Company plans to submit a BLA and MAA for this patient population in the coming months.</w:t>
      </w:r>
    </w:p>
    <w:p>
      <w:pPr>
        <w:spacing w:after="0" w:line="1" w:lineRule="exact"/>
        <w:rPr>
          <w:rFonts w:ascii="Arial" w:cs="Arial" w:eastAsia="Arial" w:hAnsi="Arial"/>
          <w:sz w:val="22"/>
          <w:szCs w:val="22"/>
          <w:color w:val="auto"/>
        </w:rPr>
      </w:pPr>
    </w:p>
    <w:p>
      <w:pPr>
        <w:ind w:left="340" w:right="40" w:hanging="332"/>
        <w:spacing w:after="0" w:line="249"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i w:val="1"/>
          <w:iCs w:val="1"/>
          <w:color w:val="auto"/>
        </w:rPr>
        <w:t>New England Journal of Medicine</w:t>
      </w:r>
      <w:r>
        <w:rPr>
          <w:rFonts w:ascii="Arial" w:cs="Arial" w:eastAsia="Arial" w:hAnsi="Arial"/>
          <w:sz w:val="22"/>
          <w:szCs w:val="22"/>
          <w:color w:val="auto"/>
        </w:rPr>
        <w:t xml:space="preserve"> published positive detailed results from the Phase 3 trial that assessed the ability of REGEN-COV to treat COVID-19 in infected high-risk non-hospitalized patients.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Oncology Programs</w:t>
      </w:r>
    </w:p>
    <w:p>
      <w:pPr>
        <w:ind w:left="340" w:right="220" w:hanging="332"/>
        <w:spacing w:after="0" w:line="226"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FDA accepted for priority review, with a target action date of January 30, 2022, the sBLA for Libtayo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(cemiplimab) to treat patients with recurrent or metastatic cervical cancer whose disease progressed on or after chemotherapy. The MAA in the EU is expected to be submitted by the end of the year.</w:t>
      </w:r>
    </w:p>
    <w:p>
      <w:pPr>
        <w:spacing w:after="0" w:line="2" w:lineRule="exact"/>
        <w:rPr>
          <w:rFonts w:ascii="Arial" w:cs="Arial" w:eastAsia="Arial" w:hAnsi="Arial"/>
          <w:sz w:val="22"/>
          <w:szCs w:val="22"/>
          <w:color w:val="auto"/>
        </w:rPr>
      </w:pPr>
    </w:p>
    <w:p>
      <w:pPr>
        <w:ind w:left="340" w:right="80" w:hanging="332"/>
        <w:spacing w:after="0" w:line="243"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Positive data from the Phase 3 trial of Libtayo, in combination with chemotherapy, in patients with advanced non-small cell lung cancer, were presented at the European Society for Medical Oncology Virtual Congress 2021. These results will form the basis of regulatory submissions, which are planned in the United States and EU in the coming months.</w:t>
      </w:r>
    </w:p>
    <w:p>
      <w:pPr>
        <w:spacing w:after="0" w:line="1" w:lineRule="exact"/>
        <w:rPr>
          <w:rFonts w:ascii="Arial" w:cs="Arial" w:eastAsia="Arial" w:hAnsi="Arial"/>
          <w:sz w:val="22"/>
          <w:szCs w:val="22"/>
          <w:color w:val="auto"/>
        </w:rPr>
      </w:pPr>
    </w:p>
    <w:p>
      <w:pPr>
        <w:ind w:left="340" w:right="220" w:hanging="332"/>
        <w:spacing w:after="0" w:line="249"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1 study of REGN5093-M114, a bispecific antibody-drug conjugate targeting two distinct MET epitopes, was initiated in MET-altered advanced non-small cell lung cancer.</w:t>
      </w:r>
    </w:p>
    <w:p>
      <w:pPr>
        <w:spacing w:after="0" w:line="231" w:lineRule="exact"/>
        <w:rPr>
          <w:rFonts w:ascii="Arial" w:cs="Arial" w:eastAsia="Arial" w:hAnsi="Arial"/>
          <w:sz w:val="22"/>
          <w:szCs w:val="22"/>
          <w:color w:val="auto"/>
        </w:rPr>
      </w:pPr>
    </w:p>
    <w:p>
      <w:pPr>
        <w:ind w:left="340"/>
        <w:spacing w:after="0"/>
        <w:rPr>
          <w:rFonts w:ascii="Arial" w:cs="Arial" w:eastAsia="Arial" w:hAnsi="Arial"/>
          <w:sz w:val="22"/>
          <w:szCs w:val="22"/>
          <w:color w:val="auto"/>
        </w:rPr>
      </w:pPr>
      <w:r>
        <w:rPr>
          <w:rFonts w:ascii="Arial" w:cs="Arial" w:eastAsia="Arial" w:hAnsi="Arial"/>
          <w:sz w:val="22"/>
          <w:szCs w:val="22"/>
          <w:u w:val="single" w:color="auto"/>
          <w:color w:val="auto"/>
        </w:rPr>
        <w:t>Pozelimab</w:t>
      </w:r>
      <w:r>
        <w:rPr>
          <w:rFonts w:ascii="Arial" w:cs="Arial" w:eastAsia="Arial" w:hAnsi="Arial"/>
          <w:sz w:val="22"/>
          <w:szCs w:val="22"/>
          <w:color w:val="auto"/>
        </w:rPr>
        <w:t>, an antibody to C5</w:t>
      </w:r>
    </w:p>
    <w:p>
      <w:pPr>
        <w:spacing w:after="0" w:line="3" w:lineRule="exact"/>
        <w:rPr>
          <w:rFonts w:ascii="Arial" w:cs="Arial" w:eastAsia="Arial" w:hAnsi="Arial"/>
          <w:sz w:val="22"/>
          <w:szCs w:val="22"/>
          <w:color w:val="auto"/>
        </w:rPr>
      </w:pPr>
    </w:p>
    <w:p>
      <w:pPr>
        <w:ind w:left="340" w:right="420" w:hanging="332"/>
        <w:spacing w:after="0" w:line="249"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3 study of pozelimab in combination with cemdisiran, a siRNA therapeutic, in myasthenia gravis was initiated.</w:t>
      </w:r>
    </w:p>
    <w:p>
      <w:pPr>
        <w:spacing w:after="0" w:line="221" w:lineRule="exact"/>
        <w:rPr>
          <w:rFonts w:ascii="Arial" w:cs="Arial" w:eastAsia="Arial" w:hAnsi="Arial"/>
          <w:sz w:val="22"/>
          <w:szCs w:val="22"/>
          <w:color w:val="auto"/>
        </w:rPr>
      </w:pPr>
    </w:p>
    <w:p>
      <w:pPr>
        <w:ind w:left="340"/>
        <w:spacing w:after="0"/>
        <w:rPr>
          <w:rFonts w:ascii="Arial" w:cs="Arial" w:eastAsia="Arial" w:hAnsi="Arial"/>
          <w:sz w:val="22"/>
          <w:szCs w:val="22"/>
          <w:color w:val="auto"/>
        </w:rPr>
      </w:pPr>
      <w:r>
        <w:rPr>
          <w:rFonts w:ascii="Arial" w:cs="Arial" w:eastAsia="Arial" w:hAnsi="Arial"/>
          <w:sz w:val="22"/>
          <w:szCs w:val="22"/>
          <w:u w:val="single" w:color="auto"/>
          <w:color w:val="auto"/>
        </w:rPr>
        <w:t>REGN5713-5714-5715</w:t>
      </w:r>
      <w:r>
        <w:rPr>
          <w:rFonts w:ascii="Arial" w:cs="Arial" w:eastAsia="Arial" w:hAnsi="Arial"/>
          <w:sz w:val="22"/>
          <w:szCs w:val="22"/>
          <w:color w:val="auto"/>
        </w:rPr>
        <w:t>, a multi-antibody therapy to Bet v 1</w:t>
      </w:r>
    </w:p>
    <w:p>
      <w:pPr>
        <w:jc w:val="both"/>
        <w:ind w:left="340" w:right="240" w:hanging="332"/>
        <w:spacing w:after="0" w:line="238" w:lineRule="auto"/>
        <w:tabs>
          <w:tab w:leader="none" w:pos="335"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initial Phase 3 study in birch allergic patients with allergic rhinoconjunctivitis met its primary endpoint with a reduction in the combined allergic rhinitis symptom and medication score. The Company is currently evaluating further development plans, including an additional Phase 3 study during an upcoming birch pollen season.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Third Quarter 2021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65"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Total revenues increased by 51% to $3.453 billion in the third quarter of 2021, compared to $2.294 billion in the third quarter of 2020. Total revenues excluding (i) REGEN-COV (casirivimab and imdevimab) net product sales in the United States and (ii) the Company's share of gross profits in connection with sales of casirivimab and imdevimab pursuant to the Roche collaboration agreement, increased by 18% to $2.649 billion in the third quarter of 2021, compared to the third quarter of 2020</w:t>
      </w:r>
      <w:r>
        <w:rPr>
          <w:rFonts w:ascii="Arial" w:cs="Arial" w:eastAsia="Arial" w:hAnsi="Arial"/>
          <w:sz w:val="28"/>
          <w:szCs w:val="28"/>
          <w:color w:val="auto"/>
          <w:vertAlign w:val="superscript"/>
        </w:rPr>
        <w:t>(1)</w:t>
      </w:r>
      <w:r>
        <w:rPr>
          <w:rFonts w:ascii="Arial" w:cs="Arial" w:eastAsia="Arial" w:hAnsi="Arial"/>
          <w:sz w:val="22"/>
          <w:szCs w:val="22"/>
          <w:color w:val="auto"/>
        </w:rPr>
        <w:t>.</w:t>
      </w: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916" w:right="39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Net product sales recorded by the Company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1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20"/>
                <w:szCs w:val="20"/>
                <w:b w:val="1"/>
                <w:bCs w:val="1"/>
                <w:color w:val="auto"/>
              </w:rPr>
              <w:t>Q3 2021</w:t>
            </w:r>
          </w:p>
        </w:tc>
        <w:tc>
          <w:tcPr>
            <w:tcW w:w="20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20"/>
                <w:szCs w:val="20"/>
                <w:b w:val="1"/>
                <w:bCs w:val="1"/>
                <w:color w:val="auto"/>
              </w:rPr>
              <w:t>Q3 2020</w:t>
            </w:r>
          </w:p>
        </w:tc>
        <w:tc>
          <w:tcPr>
            <w:tcW w:w="1540" w:type="dxa"/>
            <w:vAlign w:val="bottom"/>
          </w:tcPr>
          <w:p>
            <w:pPr>
              <w:jc w:val="right"/>
              <w:ind w:right="201"/>
              <w:spacing w:after="0"/>
              <w:rPr>
                <w:sz w:val="20"/>
                <w:szCs w:val="20"/>
                <w:color w:val="auto"/>
              </w:rPr>
            </w:pPr>
            <w:r>
              <w:rPr>
                <w:rFonts w:ascii="Arial" w:cs="Arial" w:eastAsia="Arial" w:hAnsi="Arial"/>
                <w:sz w:val="20"/>
                <w:szCs w:val="20"/>
                <w:b w:val="1"/>
                <w:bCs w:val="1"/>
                <w:color w:val="auto"/>
              </w:rPr>
              <w:t>% Change</w:t>
            </w:r>
          </w:p>
        </w:tc>
      </w:tr>
      <w:tr>
        <w:trPr>
          <w:trHeight w:val="237"/>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EYLEA</w:t>
            </w: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1,473</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1,318</w:t>
            </w:r>
          </w:p>
        </w:tc>
        <w:tc>
          <w:tcPr>
            <w:tcW w:w="100" w:type="dxa"/>
            <w:vAlign w:val="bottom"/>
            <w:tcBorders>
              <w:top w:val="single" w:sz="8" w:color="CCEEFF"/>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12 %</w:t>
            </w:r>
          </w:p>
        </w:tc>
      </w:tr>
      <w:tr>
        <w:trPr>
          <w:trHeight w:val="243"/>
        </w:trPr>
        <w:tc>
          <w:tcPr>
            <w:tcW w:w="4160" w:type="dxa"/>
            <w:vAlign w:val="bottom"/>
          </w:tcPr>
          <w:p>
            <w:pPr>
              <w:ind w:left="20"/>
              <w:spacing w:after="0"/>
              <w:rPr>
                <w:sz w:val="20"/>
                <w:szCs w:val="20"/>
                <w:color w:val="auto"/>
              </w:rPr>
            </w:pPr>
            <w:r>
              <w:rPr>
                <w:rFonts w:ascii="Arial" w:cs="Arial" w:eastAsia="Arial" w:hAnsi="Arial"/>
                <w:sz w:val="20"/>
                <w:szCs w:val="20"/>
                <w:color w:val="auto"/>
              </w:rPr>
              <w:t>Libtayo</w:t>
            </w:r>
          </w:p>
        </w:tc>
        <w:tc>
          <w:tcPr>
            <w:tcW w:w="220" w:type="dxa"/>
            <w:vAlign w:val="bottom"/>
          </w:tcPr>
          <w:p>
            <w:pPr>
              <w:spacing w:after="0"/>
              <w:rPr>
                <w:sz w:val="21"/>
                <w:szCs w:val="21"/>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72</w:t>
            </w:r>
          </w:p>
        </w:tc>
        <w:tc>
          <w:tcPr>
            <w:tcW w:w="100" w:type="dxa"/>
            <w:vAlign w:val="bottom"/>
          </w:tcPr>
          <w:p>
            <w:pPr>
              <w:spacing w:after="0"/>
              <w:rPr>
                <w:sz w:val="21"/>
                <w:szCs w:val="21"/>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8 %</w:t>
            </w:r>
          </w:p>
        </w:tc>
      </w:tr>
      <w:tr>
        <w:trPr>
          <w:trHeight w:val="243"/>
        </w:trPr>
        <w:tc>
          <w:tcPr>
            <w:tcW w:w="4160" w:type="dxa"/>
            <w:vAlign w:val="bottom"/>
            <w:shd w:val="clear" w:color="auto" w:fill="CCEEFF"/>
          </w:tcPr>
          <w:p>
            <w:pPr>
              <w:ind w:left="20"/>
              <w:spacing w:after="0" w:line="242" w:lineRule="exact"/>
              <w:rPr>
                <w:sz w:val="20"/>
                <w:szCs w:val="20"/>
                <w:color w:val="auto"/>
              </w:rPr>
            </w:pPr>
            <w:r>
              <w:rPr>
                <w:rFonts w:ascii="Arial" w:cs="Arial" w:eastAsia="Arial" w:hAnsi="Arial"/>
                <w:sz w:val="20"/>
                <w:szCs w:val="20"/>
                <w:color w:val="auto"/>
              </w:rPr>
              <w:t>Praluent</w:t>
            </w:r>
            <w:r>
              <w:rPr>
                <w:rFonts w:ascii="Arial" w:cs="Arial" w:eastAsia="Arial" w:hAnsi="Arial"/>
                <w:sz w:val="25"/>
                <w:szCs w:val="25"/>
                <w:color w:val="auto"/>
                <w:vertAlign w:val="superscript"/>
              </w:rPr>
              <w:t>®</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45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(8 %)</w:t>
            </w:r>
          </w:p>
        </w:tc>
      </w:tr>
      <w:tr>
        <w:trPr>
          <w:trHeight w:val="243"/>
        </w:trPr>
        <w:tc>
          <w:tcPr>
            <w:tcW w:w="4160" w:type="dxa"/>
            <w:vAlign w:val="bottom"/>
          </w:tcPr>
          <w:p>
            <w:pPr>
              <w:ind w:left="20"/>
              <w:spacing w:after="0"/>
              <w:rPr>
                <w:sz w:val="20"/>
                <w:szCs w:val="20"/>
                <w:color w:val="auto"/>
              </w:rPr>
            </w:pPr>
            <w:r>
              <w:rPr>
                <w:rFonts w:ascii="Arial" w:cs="Arial" w:eastAsia="Arial" w:hAnsi="Arial"/>
                <w:sz w:val="20"/>
                <w:szCs w:val="20"/>
                <w:color w:val="auto"/>
              </w:rPr>
              <w:t>REGEN-COV</w:t>
            </w:r>
          </w:p>
        </w:tc>
        <w:tc>
          <w:tcPr>
            <w:tcW w:w="220" w:type="dxa"/>
            <w:vAlign w:val="bottom"/>
          </w:tcPr>
          <w:p>
            <w:pPr>
              <w:spacing w:after="0"/>
              <w:rPr>
                <w:sz w:val="21"/>
                <w:szCs w:val="21"/>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677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40</w:t>
            </w:r>
          </w:p>
        </w:tc>
        <w:tc>
          <w:tcPr>
            <w:tcW w:w="100" w:type="dxa"/>
            <w:vAlign w:val="bottom"/>
          </w:tcPr>
          <w:p>
            <w:pPr>
              <w:spacing w:after="0"/>
              <w:rPr>
                <w:sz w:val="21"/>
                <w:szCs w:val="21"/>
                <w:color w:val="auto"/>
              </w:rPr>
            </w:pPr>
          </w:p>
        </w:tc>
        <w:tc>
          <w:tcPr>
            <w:tcW w:w="1540" w:type="dxa"/>
            <w:vAlign w:val="bottom"/>
          </w:tcPr>
          <w:p>
            <w:pPr>
              <w:jc w:val="right"/>
              <w:ind w:right="41"/>
              <w:spacing w:after="0"/>
              <w:rPr>
                <w:sz w:val="20"/>
                <w:szCs w:val="20"/>
                <w:color w:val="auto"/>
              </w:rPr>
            </w:pPr>
            <w:r>
              <w:rPr>
                <w:rFonts w:ascii="Arial" w:cs="Arial" w:eastAsia="Arial" w:hAnsi="Arial"/>
                <w:sz w:val="20"/>
                <w:szCs w:val="20"/>
                <w:color w:val="auto"/>
              </w:rPr>
              <w:t>**</w:t>
            </w:r>
          </w:p>
        </w:tc>
      </w:tr>
      <w:tr>
        <w:trPr>
          <w:trHeight w:val="243"/>
        </w:trPr>
        <w:tc>
          <w:tcPr>
            <w:tcW w:w="4160" w:type="dxa"/>
            <w:vAlign w:val="bottom"/>
            <w:shd w:val="clear" w:color="auto" w:fill="CCEEFF"/>
          </w:tcPr>
          <w:p>
            <w:pPr>
              <w:ind w:left="20"/>
              <w:spacing w:after="0" w:line="243" w:lineRule="exact"/>
              <w:rPr>
                <w:sz w:val="20"/>
                <w:szCs w:val="20"/>
                <w:color w:val="auto"/>
              </w:rPr>
            </w:pPr>
            <w:r>
              <w:rPr>
                <w:rFonts w:ascii="Arial" w:cs="Arial" w:eastAsia="Arial" w:hAnsi="Arial"/>
                <w:sz w:val="20"/>
                <w:szCs w:val="20"/>
                <w:color w:val="auto"/>
              </w:rPr>
              <w:t>Evkeeza</w:t>
            </w:r>
            <w:r>
              <w:rPr>
                <w:rFonts w:ascii="Arial" w:cs="Arial" w:eastAsia="Arial" w:hAnsi="Arial"/>
                <w:sz w:val="28"/>
                <w:szCs w:val="28"/>
                <w:b w:val="1"/>
                <w:bCs w:val="1"/>
                <w:color w:val="auto"/>
                <w:vertAlign w:val="superscript"/>
              </w:rPr>
              <w:t>®</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r>
      <w:tr>
        <w:trPr>
          <w:trHeight w:val="243"/>
        </w:trPr>
        <w:tc>
          <w:tcPr>
            <w:tcW w:w="4160" w:type="dxa"/>
            <w:vAlign w:val="bottom"/>
          </w:tcPr>
          <w:p>
            <w:pPr>
              <w:ind w:left="20"/>
              <w:spacing w:after="0" w:line="242" w:lineRule="exact"/>
              <w:rPr>
                <w:sz w:val="20"/>
                <w:szCs w:val="20"/>
                <w:color w:val="auto"/>
              </w:rPr>
            </w:pPr>
            <w:r>
              <w:rPr>
                <w:rFonts w:ascii="Arial" w:cs="Arial" w:eastAsia="Arial" w:hAnsi="Arial"/>
                <w:sz w:val="20"/>
                <w:szCs w:val="20"/>
                <w:color w:val="auto"/>
              </w:rPr>
              <w:t>ARCALYST</w:t>
            </w:r>
            <w:r>
              <w:rPr>
                <w:rFonts w:ascii="Arial" w:cs="Arial" w:eastAsia="Arial" w:hAnsi="Arial"/>
                <w:sz w:val="25"/>
                <w:szCs w:val="25"/>
                <w:color w:val="auto"/>
                <w:vertAlign w:val="superscript"/>
              </w:rPr>
              <w:t>®</w:t>
            </w:r>
          </w:p>
        </w:tc>
        <w:tc>
          <w:tcPr>
            <w:tcW w:w="220" w:type="dxa"/>
            <w:vAlign w:val="bottom"/>
          </w:tcPr>
          <w:p>
            <w:pPr>
              <w:spacing w:after="0"/>
              <w:rPr>
                <w:sz w:val="21"/>
                <w:szCs w:val="21"/>
                <w:color w:val="auto"/>
              </w:rPr>
            </w:pPr>
          </w:p>
        </w:tc>
        <w:tc>
          <w:tcPr>
            <w:tcW w:w="1280" w:type="dxa"/>
            <w:vAlign w:val="bottom"/>
            <w:gridSpan w:val="2"/>
          </w:tcPr>
          <w:p>
            <w:pPr>
              <w:ind w:left="800"/>
              <w:spacing w:after="0"/>
              <w:rPr>
                <w:sz w:val="20"/>
                <w:szCs w:val="20"/>
                <w:color w:val="auto"/>
              </w:rPr>
            </w:pPr>
            <w:r>
              <w:rPr>
                <w:rFonts w:ascii="Arial" w:cs="Arial" w:eastAsia="Arial" w:hAnsi="Arial"/>
                <w:sz w:val="20"/>
                <w:szCs w:val="20"/>
                <w:color w:val="auto"/>
              </w:rPr>
              <w:t>— *</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w:t>
            </w:r>
          </w:p>
        </w:tc>
        <w:tc>
          <w:tcPr>
            <w:tcW w:w="100" w:type="dxa"/>
            <w:vAlign w:val="bottom"/>
          </w:tcPr>
          <w:p>
            <w:pPr>
              <w:spacing w:after="0"/>
              <w:rPr>
                <w:sz w:val="21"/>
                <w:szCs w:val="21"/>
                <w:color w:val="auto"/>
              </w:rPr>
            </w:pPr>
          </w:p>
        </w:tc>
        <w:tc>
          <w:tcPr>
            <w:tcW w:w="1540" w:type="dxa"/>
            <w:vAlign w:val="bottom"/>
          </w:tcPr>
          <w:p>
            <w:pPr>
              <w:jc w:val="right"/>
              <w:ind w:right="41"/>
              <w:spacing w:after="0"/>
              <w:rPr>
                <w:sz w:val="20"/>
                <w:szCs w:val="20"/>
                <w:color w:val="auto"/>
              </w:rPr>
            </w:pPr>
            <w:r>
              <w:rPr>
                <w:rFonts w:ascii="Arial" w:cs="Arial" w:eastAsia="Arial" w:hAnsi="Arial"/>
                <w:sz w:val="20"/>
                <w:szCs w:val="20"/>
                <w:color w:val="auto"/>
              </w:rPr>
              <w:t>**</w:t>
            </w:r>
          </w:p>
        </w:tc>
      </w:tr>
      <w:tr>
        <w:trPr>
          <w:trHeight w:val="262"/>
        </w:trPr>
        <w:tc>
          <w:tcPr>
            <w:tcW w:w="4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Total net product sales in the U.S.</w:t>
            </w:r>
          </w:p>
        </w:tc>
        <w:tc>
          <w:tcPr>
            <w:tcW w:w="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2,280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54 %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240" w:right="3160" w:firstLine="2"/>
        <w:spacing w:after="0" w:line="218" w:lineRule="auto"/>
        <w:tabs>
          <w:tab w:leader="none" w:pos="355" w:val="left"/>
        </w:tabs>
        <w:numPr>
          <w:ilvl w:val="0"/>
          <w:numId w:val="8"/>
        </w:numPr>
        <w:rPr>
          <w:rFonts w:ascii="Arial" w:cs="Arial" w:eastAsia="Arial" w:hAnsi="Arial"/>
          <w:sz w:val="18"/>
          <w:szCs w:val="18"/>
          <w:color w:val="auto"/>
        </w:rPr>
      </w:pPr>
      <w:r>
        <w:rPr>
          <w:rFonts w:ascii="Arial" w:cs="Arial" w:eastAsia="Arial" w:hAnsi="Arial"/>
          <w:sz w:val="16"/>
          <w:szCs w:val="16"/>
          <w:color w:val="auto"/>
        </w:rPr>
        <w:t>Effective April 1, 2021, Kiniksa records net product sales of ARCALYST in the United States. Previously, the Company recorded net product sales of ARCALYST in the United States.</w:t>
      </w:r>
    </w:p>
    <w:p>
      <w:pPr>
        <w:spacing w:after="0" w:line="24" w:lineRule="exact"/>
        <w:rPr>
          <w:sz w:val="20"/>
          <w:szCs w:val="20"/>
          <w:color w:val="auto"/>
        </w:rPr>
      </w:pPr>
    </w:p>
    <w:p>
      <w:pPr>
        <w:ind w:left="420" w:hanging="178"/>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6"/>
          <w:szCs w:val="16"/>
          <w:color w:val="auto"/>
        </w:rPr>
        <w:t>Percentage not meaningful</w:t>
      </w:r>
    </w:p>
    <w:p>
      <w:pPr>
        <w:spacing w:after="0" w:line="243" w:lineRule="exact"/>
        <w:rPr>
          <w:sz w:val="20"/>
          <w:szCs w:val="20"/>
          <w:color w:val="auto"/>
        </w:rPr>
      </w:pPr>
    </w:p>
    <w:p>
      <w:pPr>
        <w:ind w:right="460"/>
        <w:spacing w:after="0" w:line="249" w:lineRule="auto"/>
        <w:rPr>
          <w:sz w:val="20"/>
          <w:szCs w:val="20"/>
          <w:color w:val="auto"/>
        </w:rPr>
      </w:pPr>
      <w:r>
        <w:rPr>
          <w:rFonts w:ascii="Arial" w:cs="Arial" w:eastAsia="Arial" w:hAnsi="Arial"/>
          <w:sz w:val="22"/>
          <w:szCs w:val="22"/>
          <w:color w:val="auto"/>
        </w:rPr>
        <w:t>During the third quarter of 2021, the Company commenced deliveries of REGEN-COV under its September 2021 supply agreement with the U.S. government (as described above).</w:t>
      </w:r>
    </w:p>
    <w:p>
      <w:pPr>
        <w:spacing w:after="0" w:line="137"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Total revenues also include collaboration revenues</w:t>
      </w:r>
      <w:r>
        <w:rPr>
          <w:rFonts w:ascii="Arial" w:cs="Arial" w:eastAsia="Arial" w:hAnsi="Arial"/>
          <w:sz w:val="12"/>
          <w:szCs w:val="12"/>
          <w:color w:val="auto"/>
        </w:rPr>
        <w:t>(3)</w:t>
      </w:r>
      <w:r>
        <w:rPr>
          <w:rFonts w:ascii="Arial" w:cs="Arial" w:eastAsia="Arial" w:hAnsi="Arial"/>
          <w:sz w:val="22"/>
          <w:szCs w:val="22"/>
          <w:color w:val="auto"/>
        </w:rPr>
        <w:t xml:space="preserve"> of $1.074 billion in the third quarter of 2021, compared to $653 million in the third quarter of 2020. Sanofi collaboration revenue increased primarily due to the Company's share of profits from commercialization of antibodies, which were $387 million in the third quarter of 2021, compared to $213 million in the third quarter of 2020. The change in the Company's share of profits from commercialization of antibodies was driven by higher Dupixent profits. In addition, in both the third quarter of 2021 and 2020, the Company earned $50 million sales-based milestones from Sanofi based upon sales of antibodies outside the United States on a rolling twelve-month basis. In the third quarter of 2021, the Company also recorded Roche collaboration revenue of $127 million in connection with the true-up payment owed from Roche in connection with global gross profits from sales of the casirivimab and imdevimab antibody cocktail</w:t>
      </w:r>
      <w:r>
        <w:rPr>
          <w:rFonts w:ascii="Arial" w:cs="Arial" w:eastAsia="Arial" w:hAnsi="Arial"/>
          <w:sz w:val="17"/>
          <w:szCs w:val="17"/>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139"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Other revenue decreased in the third quarter of 2021, compared to the third quarter of 2020, primarily due to lower amounts recognized in connection with the Company's agreements with the Biomedical Advanced Research Development Authority (BARDA) related to funding of certain development activities for COVID-19 antibodies, and, to a lesser extent, Inmazeb</w:t>
      </w:r>
      <w:r>
        <w:rPr>
          <w:rFonts w:ascii="Arial" w:cs="Arial" w:eastAsia="Arial" w:hAnsi="Arial"/>
          <w:sz w:val="11"/>
          <w:szCs w:val="11"/>
          <w:color w:val="auto"/>
        </w:rPr>
        <w:t>®</w:t>
      </w:r>
      <w:r>
        <w:rPr>
          <w:rFonts w:ascii="Arial" w:cs="Arial" w:eastAsia="Arial" w:hAnsi="Arial"/>
          <w:sz w:val="22"/>
          <w:szCs w:val="22"/>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Q3 2021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98"/>
              </w:rPr>
              <w:t>Q3 2020</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 Change</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98"/>
              </w:rPr>
              <w:t>Q3 2021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Q3 2020</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7"/>
        </w:trPr>
        <w:tc>
          <w:tcPr>
            <w:tcW w:w="4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685</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629</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20"/>
                <w:szCs w:val="20"/>
                <w:color w:val="auto"/>
              </w:rPr>
              <w:t>Selling, general, and administrative (SG&amp;A)</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327</w:t>
            </w:r>
          </w:p>
        </w:tc>
        <w:tc>
          <w:tcPr>
            <w:tcW w:w="1160" w:type="dxa"/>
            <w:vAlign w:val="bottom"/>
            <w:gridSpan w:val="2"/>
          </w:tcPr>
          <w:p>
            <w:pPr>
              <w:jc w:val="right"/>
              <w:ind w:right="21"/>
              <w:spacing w:after="0"/>
              <w:rPr>
                <w:sz w:val="20"/>
                <w:szCs w:val="20"/>
                <w:color w:val="auto"/>
              </w:rPr>
            </w:pPr>
            <w:r>
              <w:rPr>
                <w:rFonts w:ascii="Arial" w:cs="Arial" w:eastAsia="Arial" w:hAnsi="Arial"/>
                <w:sz w:val="20"/>
                <w:szCs w:val="20"/>
                <w:color w:val="auto"/>
              </w:rPr>
              <w:t>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291</w:t>
            </w:r>
          </w:p>
        </w:tc>
        <w:tc>
          <w:tcPr>
            <w:tcW w:w="1160" w:type="dxa"/>
            <w:vAlign w:val="bottom"/>
            <w:gridSpan w:val="2"/>
          </w:tcPr>
          <w:p>
            <w:pPr>
              <w:jc w:val="right"/>
              <w:ind w:right="21"/>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Cost of goods sold (COGS)</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131</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82%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199"/>
        </w:trPr>
        <w:tc>
          <w:tcPr>
            <w:tcW w:w="4180" w:type="dxa"/>
            <w:vAlign w:val="bottom"/>
          </w:tcPr>
          <w:p>
            <w:pPr>
              <w:ind w:left="20"/>
              <w:spacing w:after="0" w:line="199" w:lineRule="exact"/>
              <w:rPr>
                <w:sz w:val="20"/>
                <w:szCs w:val="20"/>
                <w:color w:val="auto"/>
              </w:rPr>
            </w:pPr>
            <w:r>
              <w:rPr>
                <w:rFonts w:ascii="Arial" w:cs="Arial" w:eastAsia="Arial" w:hAnsi="Arial"/>
                <w:sz w:val="20"/>
                <w:szCs w:val="20"/>
                <w:color w:val="auto"/>
              </w:rPr>
              <w:t>Cost of collaboration and contract</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214</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143</w:t>
            </w:r>
          </w:p>
        </w:tc>
        <w:tc>
          <w:tcPr>
            <w:tcW w:w="1160" w:type="dxa"/>
            <w:vAlign w:val="bottom"/>
            <w:gridSpan w:val="2"/>
            <w:vMerge w:val="restart"/>
          </w:tcPr>
          <w:p>
            <w:pPr>
              <w:jc w:val="right"/>
              <w:ind w:right="21"/>
              <w:spacing w:after="0"/>
              <w:rPr>
                <w:sz w:val="20"/>
                <w:szCs w:val="20"/>
                <w:color w:val="auto"/>
              </w:rPr>
            </w:pPr>
            <w:r>
              <w:rPr>
                <w:rFonts w:ascii="Arial" w:cs="Arial" w:eastAsia="Arial" w:hAnsi="Arial"/>
                <w:sz w:val="20"/>
                <w:szCs w:val="20"/>
                <w:color w:val="auto"/>
              </w:rPr>
              <w:t>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7"/>
                <w:szCs w:val="17"/>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33"/>
        </w:trPr>
        <w:tc>
          <w:tcPr>
            <w:tcW w:w="4180" w:type="dxa"/>
            <w:vAlign w:val="bottom"/>
          </w:tcPr>
          <w:p>
            <w:pPr>
              <w:ind w:left="180"/>
              <w:spacing w:after="0"/>
              <w:rPr>
                <w:sz w:val="20"/>
                <w:szCs w:val="20"/>
                <w:color w:val="auto"/>
              </w:rPr>
            </w:pPr>
            <w:r>
              <w:rPr>
                <w:rFonts w:ascii="Arial" w:cs="Arial" w:eastAsia="Arial" w:hAnsi="Arial"/>
                <w:sz w:val="20"/>
                <w:szCs w:val="20"/>
                <w:color w:val="auto"/>
              </w:rPr>
              <w:t>manufacturing (COCM)</w:t>
            </w:r>
          </w:p>
        </w:tc>
        <w:tc>
          <w:tcPr>
            <w:tcW w:w="16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operating expense (income), net</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(193%)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00" w:hanging="11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recorded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4</w:t>
      </w:r>
    </w:p>
    <w:p>
      <w:pPr>
        <w:sectPr>
          <w:pgSz w:w="11900" w:h="16838" w:orient="portrait"/>
          <w:cols w:equalWidth="0" w:num="1">
            <w:col w:w="11240"/>
          </w:cols>
          <w:pgMar w:left="320" w:top="1065" w:right="339" w:bottom="1440" w:gutter="0" w:footer="0" w:header="0"/>
        </w:sectPr>
      </w:pPr>
    </w:p>
    <w:bookmarkStart w:id="7" w:name="page8"/>
    <w:bookmarkEnd w:id="7"/>
    <w:p>
      <w:pPr>
        <w:ind w:left="660" w:right="340" w:hanging="328"/>
        <w:spacing w:after="0" w:line="246" w:lineRule="auto"/>
        <w:tabs>
          <w:tab w:leader="none" w:pos="655" w:val="left"/>
        </w:tabs>
        <w:numPr>
          <w:ilvl w:val="0"/>
          <w:numId w:val="11"/>
        </w:numPr>
        <w:rPr>
          <w:rFonts w:ascii="Arial" w:cs="Arial" w:eastAsia="Arial" w:hAnsi="Arial"/>
          <w:sz w:val="22"/>
          <w:szCs w:val="22"/>
          <w:i w:val="1"/>
          <w:iCs w:val="1"/>
          <w:color w:val="auto"/>
        </w:rPr>
      </w:pPr>
      <w:r>
        <w:rPr>
          <w:rFonts w:ascii="Arial" w:cs="Arial" w:eastAsia="Arial" w:hAnsi="Arial"/>
          <w:sz w:val="22"/>
          <w:szCs w:val="22"/>
          <w:color w:val="auto"/>
        </w:rPr>
        <w:t>The increase in SG&amp;A expenses in the third quarter of 2021 was primarily due to higher headcount-related costs and an increase in commercialization-related expenses for EYLEA, including direct-to-consumer advertising.</w:t>
      </w:r>
    </w:p>
    <w:p>
      <w:pPr>
        <w:spacing w:after="0" w:line="72" w:lineRule="exact"/>
        <w:rPr>
          <w:rFonts w:ascii="Arial" w:cs="Arial" w:eastAsia="Arial" w:hAnsi="Arial"/>
          <w:sz w:val="22"/>
          <w:szCs w:val="22"/>
          <w:i w:val="1"/>
          <w:iCs w:val="1"/>
          <w:color w:val="auto"/>
        </w:rPr>
      </w:pPr>
    </w:p>
    <w:p>
      <w:pPr>
        <w:ind w:left="660" w:right="40" w:hanging="328"/>
        <w:spacing w:after="0" w:line="249" w:lineRule="auto"/>
        <w:tabs>
          <w:tab w:leader="none" w:pos="655" w:val="left"/>
        </w:tabs>
        <w:numPr>
          <w:ilvl w:val="0"/>
          <w:numId w:val="11"/>
        </w:numPr>
        <w:rPr>
          <w:rFonts w:ascii="Arial" w:cs="Arial" w:eastAsia="Arial" w:hAnsi="Arial"/>
          <w:sz w:val="22"/>
          <w:szCs w:val="22"/>
          <w:i w:val="1"/>
          <w:iCs w:val="1"/>
          <w:color w:val="auto"/>
        </w:rPr>
      </w:pPr>
      <w:r>
        <w:rPr>
          <w:rFonts w:ascii="Arial" w:cs="Arial" w:eastAsia="Arial" w:hAnsi="Arial"/>
          <w:sz w:val="22"/>
          <w:szCs w:val="22"/>
          <w:color w:val="auto"/>
        </w:rPr>
        <w:t>The increase in COGS in the third quarter of 2021 was primarily due to the recognition of manufacturing costs in connection with product sales of REGEN-COV in the United States.</w:t>
      </w:r>
    </w:p>
    <w:p>
      <w:pPr>
        <w:spacing w:after="0" w:line="55" w:lineRule="exact"/>
        <w:rPr>
          <w:rFonts w:ascii="Arial" w:cs="Arial" w:eastAsia="Arial" w:hAnsi="Arial"/>
          <w:sz w:val="22"/>
          <w:szCs w:val="22"/>
          <w:i w:val="1"/>
          <w:iCs w:val="1"/>
          <w:color w:val="auto"/>
        </w:rPr>
      </w:pPr>
    </w:p>
    <w:p>
      <w:pPr>
        <w:ind w:left="660" w:hanging="328"/>
        <w:spacing w:after="0" w:line="249" w:lineRule="auto"/>
        <w:tabs>
          <w:tab w:leader="none" w:pos="655" w:val="left"/>
        </w:tabs>
        <w:numPr>
          <w:ilvl w:val="0"/>
          <w:numId w:val="11"/>
        </w:numPr>
        <w:rPr>
          <w:rFonts w:ascii="Arial" w:cs="Arial" w:eastAsia="Arial" w:hAnsi="Arial"/>
          <w:sz w:val="22"/>
          <w:szCs w:val="22"/>
          <w:i w:val="1"/>
          <w:iCs w:val="1"/>
          <w:color w:val="auto"/>
        </w:rPr>
      </w:pPr>
      <w:r>
        <w:rPr>
          <w:rFonts w:ascii="Arial" w:cs="Arial" w:eastAsia="Arial" w:hAnsi="Arial"/>
          <w:sz w:val="22"/>
          <w:szCs w:val="22"/>
          <w:color w:val="auto"/>
        </w:rPr>
        <w:t>The increase in COCM in the third quarter of 2021 was primarily due to the recognition of manufacturing costs associated with higher sales of Dupixent.</w:t>
      </w:r>
    </w:p>
    <w:p>
      <w:pPr>
        <w:spacing w:after="0" w:line="55" w:lineRule="exact"/>
        <w:rPr>
          <w:rFonts w:ascii="Arial" w:cs="Arial" w:eastAsia="Arial" w:hAnsi="Arial"/>
          <w:sz w:val="22"/>
          <w:szCs w:val="22"/>
          <w:i w:val="1"/>
          <w:iCs w:val="1"/>
          <w:color w:val="auto"/>
        </w:rPr>
      </w:pPr>
    </w:p>
    <w:p>
      <w:pPr>
        <w:ind w:left="660" w:right="20" w:hanging="328"/>
        <w:spacing w:after="0" w:line="244" w:lineRule="auto"/>
        <w:tabs>
          <w:tab w:leader="none" w:pos="655" w:val="left"/>
        </w:tabs>
        <w:numPr>
          <w:ilvl w:val="0"/>
          <w:numId w:val="11"/>
        </w:numPr>
        <w:rPr>
          <w:rFonts w:ascii="Arial" w:cs="Arial" w:eastAsia="Arial" w:hAnsi="Arial"/>
          <w:sz w:val="22"/>
          <w:szCs w:val="22"/>
          <w:i w:val="1"/>
          <w:iCs w:val="1"/>
          <w:color w:val="auto"/>
        </w:rPr>
      </w:pPr>
      <w:r>
        <w:rPr>
          <w:rFonts w:ascii="Arial" w:cs="Arial" w:eastAsia="Arial" w:hAnsi="Arial"/>
          <w:sz w:val="22"/>
          <w:szCs w:val="22"/>
          <w:color w:val="auto"/>
        </w:rPr>
        <w:t>Other operating expense (income), net, includes recognition of a portion of amounts previously deferred in connection with up-front and development milestone payments, as applicable, received in connection with the Company's collaborative arrangements. The decrease in other operating income in the third quarter of 2021 was primarily due to the recognition of a cumulative catch-up adjustment of $67 million arising from an update to the estimate of the total R&amp;D costs expected to be incurred under the Sanofi Immuno-oncology collaboration agreement.</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78" w:lineRule="exact"/>
        <w:rPr>
          <w:sz w:val="20"/>
          <w:szCs w:val="20"/>
          <w:color w:val="auto"/>
        </w:rPr>
      </w:pPr>
    </w:p>
    <w:p>
      <w:pPr>
        <w:ind w:right="380"/>
        <w:spacing w:after="0" w:line="260" w:lineRule="auto"/>
        <w:rPr>
          <w:sz w:val="20"/>
          <w:szCs w:val="20"/>
          <w:color w:val="auto"/>
        </w:rPr>
      </w:pPr>
      <w:r>
        <w:rPr>
          <w:rFonts w:ascii="Arial" w:cs="Arial" w:eastAsia="Arial" w:hAnsi="Arial"/>
          <w:sz w:val="21"/>
          <w:szCs w:val="21"/>
          <w:color w:val="auto"/>
        </w:rPr>
        <w:t>In the third quarter of 2021, the Company's GAAP effective tax rate was 10.2%, compared to 15.6% in the third quarter of 2020. The decrease in the third quarter 2021 GAAP effective tax rate, compared to the third quarter of 2020, was due in part to the positive impact of stock-based compensation in the third quarter of 2021. In the third quarter of 2021, the non-GAAP effective tax rate was 10.8%, compared to 16.3% in the third quarter of 2020.</w:t>
      </w:r>
    </w:p>
    <w:p>
      <w:pPr>
        <w:spacing w:after="0" w:line="115" w:lineRule="exact"/>
        <w:rPr>
          <w:sz w:val="20"/>
          <w:szCs w:val="20"/>
          <w:color w:val="auto"/>
        </w:rPr>
      </w:pPr>
    </w:p>
    <w:p>
      <w:pPr>
        <w:ind w:right="260"/>
        <w:spacing w:after="0" w:line="245" w:lineRule="auto"/>
        <w:rPr>
          <w:sz w:val="20"/>
          <w:szCs w:val="20"/>
          <w:color w:val="auto"/>
        </w:rPr>
      </w:pPr>
      <w:r>
        <w:rPr>
          <w:rFonts w:ascii="Arial" w:cs="Arial" w:eastAsia="Arial" w:hAnsi="Arial"/>
          <w:sz w:val="22"/>
          <w:szCs w:val="22"/>
          <w:color w:val="auto"/>
        </w:rPr>
        <w:t>GAAP net income per diluted share was $14.33 in the third quarter of 2021, compared to GAAP net income per diluted share of $7.39 in the third quarter of 2020. Non-GAAP net income per diluted share was $15.37 in the third quarter of 2021, compared to non-GAAP net income per diluted share of $8.36 in the third quarter of 2020. A reconciliation of the Company's GAAP to non-GAAP results is included in Table 3 of this press release.</w:t>
      </w:r>
    </w:p>
    <w:p>
      <w:pPr>
        <w:spacing w:after="0" w:line="142" w:lineRule="exact"/>
        <w:rPr>
          <w:sz w:val="20"/>
          <w:szCs w:val="20"/>
          <w:color w:val="auto"/>
        </w:rPr>
      </w:pPr>
    </w:p>
    <w:p>
      <w:pPr>
        <w:ind w:right="120"/>
        <w:spacing w:after="0" w:line="238" w:lineRule="auto"/>
        <w:rPr>
          <w:sz w:val="20"/>
          <w:szCs w:val="20"/>
          <w:color w:val="auto"/>
        </w:rPr>
      </w:pPr>
      <w:r>
        <w:rPr>
          <w:rFonts w:ascii="Arial" w:cs="Arial" w:eastAsia="Arial" w:hAnsi="Arial"/>
          <w:sz w:val="21"/>
          <w:szCs w:val="21"/>
          <w:color w:val="auto"/>
        </w:rPr>
        <w:t>Net cash provided by operating activities in the first nine months of 2021 was $4.709 billion, compared to $1.387 billion in the first nine months of 2020, resulting in $4.312 billion in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for the first nine months of 2021, compared to $934 million for the first nine months of 2020. The increase in free cash flow was primarily due to the Company's collection of amounts due from the U.S. government in connection with REGEN-COV sales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984" w:right="4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i w:val="1"/>
          <w:iCs w:val="1"/>
          <w:color w:val="auto"/>
        </w:rPr>
        <w:t>2021 Financial Guidance</w:t>
      </w:r>
      <w:r>
        <w:rPr>
          <w:rFonts w:ascii="Arial" w:cs="Arial" w:eastAsia="Arial" w:hAnsi="Arial"/>
          <w:sz w:val="12"/>
          <w:szCs w:val="12"/>
          <w:b w:val="1"/>
          <w:bCs w:val="1"/>
          <w:i w:val="1"/>
          <w:iCs w:val="1"/>
          <w:color w:val="auto"/>
        </w:rPr>
        <w:t>(4)</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2021 financial guidance consists of the following components: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3660" w:type="dxa"/>
            <w:vAlign w:val="bottom"/>
            <w:tcBorders>
              <w:bottom w:val="single" w:sz="8" w:color="CCEEFF"/>
            </w:tcBorders>
          </w:tcPr>
          <w:p>
            <w:pPr>
              <w:spacing w:after="0"/>
              <w:rPr>
                <w:sz w:val="24"/>
                <w:szCs w:val="24"/>
                <w:color w:val="auto"/>
              </w:rPr>
            </w:pPr>
          </w:p>
        </w:tc>
        <w:tc>
          <w:tcPr>
            <w:tcW w:w="2620" w:type="dxa"/>
            <w:vAlign w:val="bottom"/>
            <w:tcBorders>
              <w:bottom w:val="single" w:sz="8" w:color="auto"/>
            </w:tcBorders>
          </w:tcPr>
          <w:p>
            <w:pPr>
              <w:ind w:left="1040"/>
              <w:spacing w:after="0"/>
              <w:rPr>
                <w:sz w:val="20"/>
                <w:szCs w:val="20"/>
                <w:color w:val="auto"/>
              </w:rPr>
            </w:pPr>
            <w:r>
              <w:rPr>
                <w:rFonts w:ascii="Arial" w:cs="Arial" w:eastAsia="Arial" w:hAnsi="Arial"/>
                <w:sz w:val="20"/>
                <w:szCs w:val="20"/>
                <w:b w:val="1"/>
                <w:bCs w:val="1"/>
                <w:color w:val="auto"/>
              </w:rPr>
              <w:t>GAAP</w:t>
            </w:r>
          </w:p>
        </w:tc>
        <w:tc>
          <w:tcPr>
            <w:tcW w:w="140" w:type="dxa"/>
            <w:vAlign w:val="bottom"/>
            <w:tcBorders>
              <w:bottom w:val="single" w:sz="8" w:color="CCEEFF"/>
            </w:tcBorders>
          </w:tcPr>
          <w:p>
            <w:pPr>
              <w:spacing w:after="0"/>
              <w:rPr>
                <w:sz w:val="24"/>
                <w:szCs w:val="24"/>
                <w:color w:val="auto"/>
              </w:rPr>
            </w:pPr>
          </w:p>
        </w:tc>
        <w:tc>
          <w:tcPr>
            <w:tcW w:w="2620" w:type="dxa"/>
            <w:vAlign w:val="bottom"/>
            <w:tcBorders>
              <w:bottom w:val="single" w:sz="8" w:color="auto"/>
            </w:tcBorders>
          </w:tcPr>
          <w:p>
            <w:pPr>
              <w:ind w:left="720"/>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(1)</w:t>
            </w:r>
          </w:p>
        </w:tc>
      </w:tr>
      <w:tr>
        <w:trPr>
          <w:trHeight w:val="183"/>
        </w:trPr>
        <w:tc>
          <w:tcPr>
            <w:tcW w:w="3660" w:type="dxa"/>
            <w:vAlign w:val="bottom"/>
            <w:shd w:val="clear" w:color="auto" w:fill="CCEEFF"/>
          </w:tcPr>
          <w:p>
            <w:pPr>
              <w:ind w:left="20"/>
              <w:spacing w:after="0" w:line="183" w:lineRule="exact"/>
              <w:rPr>
                <w:sz w:val="20"/>
                <w:szCs w:val="20"/>
                <w:color w:val="auto"/>
              </w:rPr>
            </w:pPr>
            <w:r>
              <w:rPr>
                <w:rFonts w:ascii="Arial" w:cs="Arial" w:eastAsia="Arial" w:hAnsi="Arial"/>
                <w:sz w:val="20"/>
                <w:szCs w:val="20"/>
                <w:color w:val="auto"/>
              </w:rPr>
              <w:t>R&amp;D</w:t>
            </w:r>
          </w:p>
        </w:tc>
        <w:tc>
          <w:tcPr>
            <w:tcW w:w="27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20"/>
                <w:szCs w:val="20"/>
                <w:color w:val="auto"/>
              </w:rPr>
              <w:t>$2.845 billion–$2.915 billion</w:t>
            </w:r>
          </w:p>
        </w:tc>
        <w:tc>
          <w:tcPr>
            <w:tcW w:w="2620" w:type="dxa"/>
            <w:vAlign w:val="bottom"/>
            <w:shd w:val="clear" w:color="auto" w:fill="CCEEFF"/>
          </w:tcPr>
          <w:p>
            <w:pPr>
              <w:ind w:left="20"/>
              <w:spacing w:after="0" w:line="183" w:lineRule="exact"/>
              <w:rPr>
                <w:sz w:val="20"/>
                <w:szCs w:val="20"/>
                <w:color w:val="auto"/>
              </w:rPr>
            </w:pPr>
            <w:r>
              <w:rPr>
                <w:rFonts w:ascii="Arial" w:cs="Arial" w:eastAsia="Arial" w:hAnsi="Arial"/>
                <w:sz w:val="20"/>
                <w:szCs w:val="20"/>
                <w:color w:val="auto"/>
              </w:rPr>
              <w:t>$2.550 billion–$2.600 billion</w:t>
            </w:r>
          </w:p>
        </w:tc>
      </w:tr>
      <w:tr>
        <w:trPr>
          <w:trHeight w:val="189"/>
        </w:trPr>
        <w:tc>
          <w:tcPr>
            <w:tcW w:w="36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i w:val="1"/>
                <w:iCs w:val="1"/>
                <w:color w:val="auto"/>
              </w:rPr>
              <w:t>(previously $2.950 billion–</w:t>
            </w:r>
          </w:p>
        </w:tc>
        <w:tc>
          <w:tcPr>
            <w:tcW w:w="26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i w:val="1"/>
                <w:iCs w:val="1"/>
                <w:color w:val="auto"/>
              </w:rPr>
              <w:t>(previously $2.650 billion–</w:t>
            </w:r>
          </w:p>
        </w:tc>
      </w:tr>
      <w:tr>
        <w:trPr>
          <w:trHeight w:val="277"/>
        </w:trPr>
        <w:tc>
          <w:tcPr>
            <w:tcW w:w="366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$3.075 billion)</w:t>
            </w: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$2.750 billion)</w:t>
            </w:r>
          </w:p>
        </w:tc>
      </w:tr>
      <w:tr>
        <w:trPr>
          <w:trHeight w:val="189"/>
        </w:trPr>
        <w:tc>
          <w:tcPr>
            <w:tcW w:w="3660" w:type="dxa"/>
            <w:vAlign w:val="bottom"/>
          </w:tcPr>
          <w:p>
            <w:pPr>
              <w:ind w:left="20"/>
              <w:spacing w:after="0" w:line="189" w:lineRule="exact"/>
              <w:rPr>
                <w:sz w:val="20"/>
                <w:szCs w:val="20"/>
                <w:color w:val="auto"/>
              </w:rPr>
            </w:pPr>
            <w:r>
              <w:rPr>
                <w:rFonts w:ascii="Arial" w:cs="Arial" w:eastAsia="Arial" w:hAnsi="Arial"/>
                <w:sz w:val="20"/>
                <w:szCs w:val="20"/>
                <w:color w:val="auto"/>
              </w:rPr>
              <w:t>SG&amp;A</w:t>
            </w:r>
          </w:p>
        </w:tc>
        <w:tc>
          <w:tcPr>
            <w:tcW w:w="276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$1.760 billion–$1.830 billion</w:t>
            </w:r>
          </w:p>
        </w:tc>
        <w:tc>
          <w:tcPr>
            <w:tcW w:w="2620" w:type="dxa"/>
            <w:vAlign w:val="bottom"/>
          </w:tcPr>
          <w:p>
            <w:pPr>
              <w:ind w:left="20"/>
              <w:spacing w:after="0" w:line="189" w:lineRule="exact"/>
              <w:rPr>
                <w:sz w:val="20"/>
                <w:szCs w:val="20"/>
                <w:color w:val="auto"/>
              </w:rPr>
            </w:pPr>
            <w:r>
              <w:rPr>
                <w:rFonts w:ascii="Arial" w:cs="Arial" w:eastAsia="Arial" w:hAnsi="Arial"/>
                <w:sz w:val="20"/>
                <w:szCs w:val="20"/>
                <w:color w:val="auto"/>
              </w:rPr>
              <w:t>$1.560 billion–$1.610 billion</w:t>
            </w:r>
          </w:p>
        </w:tc>
      </w:tr>
      <w:tr>
        <w:trPr>
          <w:trHeight w:val="189"/>
        </w:trPr>
        <w:tc>
          <w:tcPr>
            <w:tcW w:w="3660" w:type="dxa"/>
            <w:vAlign w:val="bottom"/>
          </w:tcPr>
          <w:p>
            <w:pPr>
              <w:spacing w:after="0"/>
              <w:rPr>
                <w:sz w:val="16"/>
                <w:szCs w:val="16"/>
                <w:color w:val="auto"/>
              </w:rPr>
            </w:pPr>
          </w:p>
        </w:tc>
        <w:tc>
          <w:tcPr>
            <w:tcW w:w="2760" w:type="dxa"/>
            <w:vAlign w:val="bottom"/>
            <w:gridSpan w:val="2"/>
          </w:tcPr>
          <w:p>
            <w:pPr>
              <w:ind w:left="20"/>
              <w:spacing w:after="0" w:line="189" w:lineRule="exact"/>
              <w:rPr>
                <w:sz w:val="20"/>
                <w:szCs w:val="20"/>
                <w:color w:val="auto"/>
              </w:rPr>
            </w:pPr>
            <w:r>
              <w:rPr>
                <w:rFonts w:ascii="Arial" w:cs="Arial" w:eastAsia="Arial" w:hAnsi="Arial"/>
                <w:sz w:val="20"/>
                <w:szCs w:val="20"/>
                <w:i w:val="1"/>
                <w:iCs w:val="1"/>
                <w:color w:val="auto"/>
              </w:rPr>
              <w:t>(previously $1.730 billion–</w:t>
            </w:r>
          </w:p>
        </w:tc>
        <w:tc>
          <w:tcPr>
            <w:tcW w:w="2620" w:type="dxa"/>
            <w:vAlign w:val="bottom"/>
          </w:tcPr>
          <w:p>
            <w:pPr>
              <w:ind w:left="20"/>
              <w:spacing w:after="0" w:line="189" w:lineRule="exact"/>
              <w:rPr>
                <w:sz w:val="20"/>
                <w:szCs w:val="20"/>
                <w:color w:val="auto"/>
              </w:rPr>
            </w:pPr>
            <w:r>
              <w:rPr>
                <w:rFonts w:ascii="Arial" w:cs="Arial" w:eastAsia="Arial" w:hAnsi="Arial"/>
                <w:sz w:val="20"/>
                <w:szCs w:val="20"/>
                <w:i w:val="1"/>
                <w:iCs w:val="1"/>
                <w:color w:val="auto"/>
              </w:rPr>
              <w:t>(previously $1.540 billion–</w:t>
            </w:r>
          </w:p>
        </w:tc>
      </w:tr>
      <w:tr>
        <w:trPr>
          <w:trHeight w:val="257"/>
        </w:trPr>
        <w:tc>
          <w:tcPr>
            <w:tcW w:w="3660" w:type="dxa"/>
            <w:vAlign w:val="bottom"/>
          </w:tcPr>
          <w:p>
            <w:pPr>
              <w:spacing w:after="0"/>
              <w:rPr>
                <w:sz w:val="22"/>
                <w:szCs w:val="22"/>
                <w:color w:val="auto"/>
              </w:rPr>
            </w:pPr>
          </w:p>
        </w:tc>
        <w:tc>
          <w:tcPr>
            <w:tcW w:w="2760" w:type="dxa"/>
            <w:vAlign w:val="bottom"/>
            <w:gridSpan w:val="2"/>
          </w:tcPr>
          <w:p>
            <w:pPr>
              <w:ind w:left="20"/>
              <w:spacing w:after="0"/>
              <w:rPr>
                <w:sz w:val="20"/>
                <w:szCs w:val="20"/>
                <w:color w:val="auto"/>
              </w:rPr>
            </w:pPr>
            <w:r>
              <w:rPr>
                <w:rFonts w:ascii="Arial" w:cs="Arial" w:eastAsia="Arial" w:hAnsi="Arial"/>
                <w:sz w:val="20"/>
                <w:szCs w:val="20"/>
                <w:i w:val="1"/>
                <w:iCs w:val="1"/>
                <w:color w:val="auto"/>
              </w:rPr>
              <w:t>$1.830 billion)</w:t>
            </w:r>
          </w:p>
        </w:tc>
        <w:tc>
          <w:tcPr>
            <w:tcW w:w="2620" w:type="dxa"/>
            <w:vAlign w:val="bottom"/>
          </w:tcPr>
          <w:p>
            <w:pPr>
              <w:ind w:left="20"/>
              <w:spacing w:after="0"/>
              <w:rPr>
                <w:sz w:val="20"/>
                <w:szCs w:val="20"/>
                <w:color w:val="auto"/>
              </w:rPr>
            </w:pPr>
            <w:r>
              <w:rPr>
                <w:rFonts w:ascii="Arial" w:cs="Arial" w:eastAsia="Arial" w:hAnsi="Arial"/>
                <w:sz w:val="20"/>
                <w:szCs w:val="20"/>
                <w:i w:val="1"/>
                <w:iCs w:val="1"/>
                <w:color w:val="auto"/>
              </w:rPr>
              <w:t>$1.620 billion)</w:t>
            </w:r>
          </w:p>
        </w:tc>
      </w:tr>
      <w:tr>
        <w:trPr>
          <w:trHeight w:val="53"/>
        </w:trPr>
        <w:tc>
          <w:tcPr>
            <w:tcW w:w="366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20" w:type="dxa"/>
            <w:vAlign w:val="bottom"/>
          </w:tcPr>
          <w:p>
            <w:pPr>
              <w:spacing w:after="0"/>
              <w:rPr>
                <w:sz w:val="4"/>
                <w:szCs w:val="4"/>
                <w:color w:val="auto"/>
              </w:rPr>
            </w:pPr>
          </w:p>
        </w:tc>
      </w:tr>
      <w:tr>
        <w:trPr>
          <w:trHeight w:val="189"/>
        </w:trPr>
        <w:tc>
          <w:tcPr>
            <w:tcW w:w="36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Gross margin on net product sales</w:t>
            </w:r>
            <w:r>
              <w:rPr>
                <w:rFonts w:ascii="Arial" w:cs="Arial" w:eastAsia="Arial" w:hAnsi="Arial"/>
                <w:sz w:val="21"/>
                <w:szCs w:val="21"/>
                <w:color w:val="auto"/>
                <w:vertAlign w:val="superscript"/>
              </w:rPr>
              <w:t>(5)</w:t>
            </w:r>
          </w:p>
        </w:tc>
        <w:tc>
          <w:tcPr>
            <w:tcW w:w="27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Approximately 87.5%</w:t>
            </w:r>
          </w:p>
        </w:tc>
        <w:tc>
          <w:tcPr>
            <w:tcW w:w="26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Approximately 88%</w:t>
            </w:r>
          </w:p>
        </w:tc>
      </w:tr>
      <w:tr>
        <w:trPr>
          <w:trHeight w:val="277"/>
        </w:trPr>
        <w:tc>
          <w:tcPr>
            <w:tcW w:w="366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87</w:t>
            </w:r>
            <w:r>
              <w:rPr>
                <w:rFonts w:ascii="Arial" w:cs="Arial" w:eastAsia="Arial" w:hAnsi="Arial"/>
                <w:sz w:val="20"/>
                <w:szCs w:val="20"/>
                <w:color w:val="auto"/>
              </w:rPr>
              <w:t>–</w:t>
            </w:r>
            <w:r>
              <w:rPr>
                <w:rFonts w:ascii="Arial" w:cs="Arial" w:eastAsia="Arial" w:hAnsi="Arial"/>
                <w:sz w:val="20"/>
                <w:szCs w:val="20"/>
                <w:i w:val="1"/>
                <w:iCs w:val="1"/>
                <w:color w:val="auto"/>
              </w:rPr>
              <w:t>88%)</w:t>
            </w: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88</w:t>
            </w:r>
            <w:r>
              <w:rPr>
                <w:rFonts w:ascii="Arial" w:cs="Arial" w:eastAsia="Arial" w:hAnsi="Arial"/>
                <w:sz w:val="20"/>
                <w:szCs w:val="20"/>
                <w:color w:val="auto"/>
              </w:rPr>
              <w:t>–</w:t>
            </w:r>
            <w:r>
              <w:rPr>
                <w:rFonts w:ascii="Arial" w:cs="Arial" w:eastAsia="Arial" w:hAnsi="Arial"/>
                <w:sz w:val="20"/>
                <w:szCs w:val="20"/>
                <w:i w:val="1"/>
                <w:iCs w:val="1"/>
                <w:color w:val="auto"/>
              </w:rPr>
              <w:t>89%)</w:t>
            </w:r>
          </w:p>
        </w:tc>
      </w:tr>
      <w:tr>
        <w:trPr>
          <w:trHeight w:val="189"/>
        </w:trPr>
        <w:tc>
          <w:tcPr>
            <w:tcW w:w="3660" w:type="dxa"/>
            <w:vAlign w:val="bottom"/>
          </w:tcPr>
          <w:p>
            <w:pPr>
              <w:ind w:left="20"/>
              <w:spacing w:after="0" w:line="189" w:lineRule="exact"/>
              <w:rPr>
                <w:sz w:val="20"/>
                <w:szCs w:val="20"/>
                <w:color w:val="auto"/>
              </w:rPr>
            </w:pPr>
            <w:r>
              <w:rPr>
                <w:rFonts w:ascii="Arial" w:cs="Arial" w:eastAsia="Arial" w:hAnsi="Arial"/>
                <w:sz w:val="17"/>
                <w:szCs w:val="17"/>
                <w:color w:val="auto"/>
              </w:rPr>
              <w:t>COCM</w:t>
            </w:r>
            <w:r>
              <w:rPr>
                <w:rFonts w:ascii="Arial" w:cs="Arial" w:eastAsia="Arial" w:hAnsi="Arial"/>
                <w:sz w:val="21"/>
                <w:szCs w:val="21"/>
                <w:color w:val="auto"/>
                <w:vertAlign w:val="superscript"/>
              </w:rPr>
              <w:t>(6)</w:t>
            </w:r>
          </w:p>
        </w:tc>
        <w:tc>
          <w:tcPr>
            <w:tcW w:w="276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$670 million–$700 million</w:t>
            </w:r>
          </w:p>
        </w:tc>
        <w:tc>
          <w:tcPr>
            <w:tcW w:w="2620" w:type="dxa"/>
            <w:vAlign w:val="bottom"/>
          </w:tcPr>
          <w:p>
            <w:pPr>
              <w:ind w:left="20"/>
              <w:spacing w:after="0" w:line="189" w:lineRule="exact"/>
              <w:rPr>
                <w:sz w:val="20"/>
                <w:szCs w:val="20"/>
                <w:color w:val="auto"/>
              </w:rPr>
            </w:pPr>
            <w:r>
              <w:rPr>
                <w:rFonts w:ascii="Arial" w:cs="Arial" w:eastAsia="Arial" w:hAnsi="Arial"/>
                <w:sz w:val="20"/>
                <w:szCs w:val="20"/>
                <w:color w:val="auto"/>
              </w:rPr>
              <w:t>*</w:t>
            </w:r>
          </w:p>
        </w:tc>
      </w:tr>
      <w:tr>
        <w:trPr>
          <w:trHeight w:val="189"/>
        </w:trPr>
        <w:tc>
          <w:tcPr>
            <w:tcW w:w="3660" w:type="dxa"/>
            <w:vAlign w:val="bottom"/>
          </w:tcPr>
          <w:p>
            <w:pPr>
              <w:spacing w:after="0"/>
              <w:rPr>
                <w:sz w:val="16"/>
                <w:szCs w:val="16"/>
                <w:color w:val="auto"/>
              </w:rPr>
            </w:pPr>
          </w:p>
        </w:tc>
        <w:tc>
          <w:tcPr>
            <w:tcW w:w="2760" w:type="dxa"/>
            <w:vAlign w:val="bottom"/>
            <w:gridSpan w:val="2"/>
          </w:tcPr>
          <w:p>
            <w:pPr>
              <w:ind w:left="20"/>
              <w:spacing w:after="0" w:line="189" w:lineRule="exact"/>
              <w:rPr>
                <w:sz w:val="20"/>
                <w:szCs w:val="20"/>
                <w:color w:val="auto"/>
              </w:rPr>
            </w:pPr>
            <w:r>
              <w:rPr>
                <w:rFonts w:ascii="Arial" w:cs="Arial" w:eastAsia="Arial" w:hAnsi="Arial"/>
                <w:sz w:val="20"/>
                <w:szCs w:val="20"/>
                <w:i w:val="1"/>
                <w:iCs w:val="1"/>
                <w:color w:val="auto"/>
              </w:rPr>
              <w:t>(previously $630 million–</w:t>
            </w:r>
          </w:p>
        </w:tc>
        <w:tc>
          <w:tcPr>
            <w:tcW w:w="2620" w:type="dxa"/>
            <w:vAlign w:val="bottom"/>
          </w:tcPr>
          <w:p>
            <w:pPr>
              <w:spacing w:after="0"/>
              <w:rPr>
                <w:sz w:val="16"/>
                <w:szCs w:val="16"/>
                <w:color w:val="auto"/>
              </w:rPr>
            </w:pPr>
          </w:p>
        </w:tc>
      </w:tr>
      <w:tr>
        <w:trPr>
          <w:trHeight w:val="257"/>
        </w:trPr>
        <w:tc>
          <w:tcPr>
            <w:tcW w:w="3660" w:type="dxa"/>
            <w:vAlign w:val="bottom"/>
          </w:tcPr>
          <w:p>
            <w:pPr>
              <w:spacing w:after="0"/>
              <w:rPr>
                <w:sz w:val="22"/>
                <w:szCs w:val="22"/>
                <w:color w:val="auto"/>
              </w:rPr>
            </w:pPr>
          </w:p>
        </w:tc>
        <w:tc>
          <w:tcPr>
            <w:tcW w:w="2760" w:type="dxa"/>
            <w:vAlign w:val="bottom"/>
            <w:gridSpan w:val="2"/>
          </w:tcPr>
          <w:p>
            <w:pPr>
              <w:ind w:left="20"/>
              <w:spacing w:after="0"/>
              <w:rPr>
                <w:sz w:val="20"/>
                <w:szCs w:val="20"/>
                <w:color w:val="auto"/>
              </w:rPr>
            </w:pPr>
            <w:r>
              <w:rPr>
                <w:rFonts w:ascii="Arial" w:cs="Arial" w:eastAsia="Arial" w:hAnsi="Arial"/>
                <w:sz w:val="20"/>
                <w:szCs w:val="20"/>
                <w:i w:val="1"/>
                <w:iCs w:val="1"/>
                <w:color w:val="auto"/>
              </w:rPr>
              <w:t>$680 million)</w:t>
            </w:r>
          </w:p>
        </w:tc>
        <w:tc>
          <w:tcPr>
            <w:tcW w:w="2620" w:type="dxa"/>
            <w:vAlign w:val="bottom"/>
          </w:tcPr>
          <w:p>
            <w:pPr>
              <w:spacing w:after="0"/>
              <w:rPr>
                <w:sz w:val="22"/>
                <w:szCs w:val="22"/>
                <w:color w:val="auto"/>
              </w:rPr>
            </w:pPr>
          </w:p>
        </w:tc>
      </w:tr>
      <w:tr>
        <w:trPr>
          <w:trHeight w:val="53"/>
        </w:trPr>
        <w:tc>
          <w:tcPr>
            <w:tcW w:w="366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20" w:type="dxa"/>
            <w:vAlign w:val="bottom"/>
          </w:tcPr>
          <w:p>
            <w:pPr>
              <w:spacing w:after="0"/>
              <w:rPr>
                <w:sz w:val="4"/>
                <w:szCs w:val="4"/>
                <w:color w:val="auto"/>
              </w:rPr>
            </w:pPr>
          </w:p>
        </w:tc>
      </w:tr>
      <w:tr>
        <w:trPr>
          <w:trHeight w:val="189"/>
        </w:trPr>
        <w:tc>
          <w:tcPr>
            <w:tcW w:w="366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Other operating (income) expense, net</w:t>
            </w:r>
          </w:p>
        </w:tc>
        <w:tc>
          <w:tcPr>
            <w:tcW w:w="27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($50) million–($60) million</w:t>
            </w:r>
          </w:p>
        </w:tc>
        <w:tc>
          <w:tcPr>
            <w:tcW w:w="26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w:t>
            </w:r>
          </w:p>
        </w:tc>
      </w:tr>
      <w:tr>
        <w:trPr>
          <w:trHeight w:val="189"/>
        </w:trPr>
        <w:tc>
          <w:tcPr>
            <w:tcW w:w="36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i w:val="1"/>
                <w:iCs w:val="1"/>
                <w:color w:val="auto"/>
              </w:rPr>
              <w:t>(previously ($135) million–</w:t>
            </w:r>
          </w:p>
        </w:tc>
        <w:tc>
          <w:tcPr>
            <w:tcW w:w="2620" w:type="dxa"/>
            <w:vAlign w:val="bottom"/>
            <w:shd w:val="clear" w:color="auto" w:fill="CCEEFF"/>
          </w:tcPr>
          <w:p>
            <w:pPr>
              <w:spacing w:after="0"/>
              <w:rPr>
                <w:sz w:val="16"/>
                <w:szCs w:val="16"/>
                <w:color w:val="auto"/>
              </w:rPr>
            </w:pPr>
          </w:p>
        </w:tc>
      </w:tr>
      <w:tr>
        <w:trPr>
          <w:trHeight w:val="291"/>
        </w:trPr>
        <w:tc>
          <w:tcPr>
            <w:tcW w:w="366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($155) million)</w:t>
            </w:r>
          </w:p>
        </w:tc>
        <w:tc>
          <w:tcPr>
            <w:tcW w:w="2620" w:type="dxa"/>
            <w:vAlign w:val="bottom"/>
            <w:tcBorders>
              <w:bottom w:val="single" w:sz="8" w:color="CCEEFF"/>
            </w:tcBorders>
            <w:shd w:val="clear" w:color="auto" w:fill="CCEEFF"/>
          </w:tcPr>
          <w:p>
            <w:pPr>
              <w:spacing w:after="0"/>
              <w:rPr>
                <w:sz w:val="24"/>
                <w:szCs w:val="24"/>
                <w:color w:val="auto"/>
              </w:rPr>
            </w:pPr>
          </w:p>
        </w:tc>
      </w:tr>
      <w:tr>
        <w:trPr>
          <w:trHeight w:val="189"/>
        </w:trPr>
        <w:tc>
          <w:tcPr>
            <w:tcW w:w="3660" w:type="dxa"/>
            <w:vAlign w:val="bottom"/>
          </w:tcPr>
          <w:p>
            <w:pPr>
              <w:ind w:left="20"/>
              <w:spacing w:after="0" w:line="189" w:lineRule="exact"/>
              <w:rPr>
                <w:sz w:val="20"/>
                <w:szCs w:val="20"/>
                <w:color w:val="auto"/>
              </w:rPr>
            </w:pPr>
            <w:r>
              <w:rPr>
                <w:rFonts w:ascii="Arial" w:cs="Arial" w:eastAsia="Arial" w:hAnsi="Arial"/>
                <w:sz w:val="20"/>
                <w:szCs w:val="20"/>
                <w:color w:val="auto"/>
              </w:rPr>
              <w:t>Capital expenditures</w:t>
            </w:r>
          </w:p>
        </w:tc>
        <w:tc>
          <w:tcPr>
            <w:tcW w:w="276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$545 million–$575 million</w:t>
            </w:r>
          </w:p>
        </w:tc>
        <w:tc>
          <w:tcPr>
            <w:tcW w:w="2620" w:type="dxa"/>
            <w:vAlign w:val="bottom"/>
          </w:tcPr>
          <w:p>
            <w:pPr>
              <w:ind w:left="20"/>
              <w:spacing w:after="0" w:line="189" w:lineRule="exact"/>
              <w:rPr>
                <w:sz w:val="20"/>
                <w:szCs w:val="20"/>
                <w:color w:val="auto"/>
              </w:rPr>
            </w:pPr>
            <w:r>
              <w:rPr>
                <w:rFonts w:ascii="Arial" w:cs="Arial" w:eastAsia="Arial" w:hAnsi="Arial"/>
                <w:sz w:val="20"/>
                <w:szCs w:val="20"/>
                <w:color w:val="auto"/>
              </w:rPr>
              <w:t>*</w:t>
            </w:r>
          </w:p>
        </w:tc>
      </w:tr>
      <w:tr>
        <w:trPr>
          <w:trHeight w:val="189"/>
        </w:trPr>
        <w:tc>
          <w:tcPr>
            <w:tcW w:w="3660" w:type="dxa"/>
            <w:vAlign w:val="bottom"/>
          </w:tcPr>
          <w:p>
            <w:pPr>
              <w:spacing w:after="0"/>
              <w:rPr>
                <w:sz w:val="16"/>
                <w:szCs w:val="16"/>
                <w:color w:val="auto"/>
              </w:rPr>
            </w:pPr>
          </w:p>
        </w:tc>
        <w:tc>
          <w:tcPr>
            <w:tcW w:w="2760" w:type="dxa"/>
            <w:vAlign w:val="bottom"/>
            <w:gridSpan w:val="2"/>
          </w:tcPr>
          <w:p>
            <w:pPr>
              <w:ind w:left="20"/>
              <w:spacing w:after="0" w:line="189" w:lineRule="exact"/>
              <w:rPr>
                <w:sz w:val="20"/>
                <w:szCs w:val="20"/>
                <w:color w:val="auto"/>
              </w:rPr>
            </w:pPr>
            <w:r>
              <w:rPr>
                <w:rFonts w:ascii="Arial" w:cs="Arial" w:eastAsia="Arial" w:hAnsi="Arial"/>
                <w:sz w:val="20"/>
                <w:szCs w:val="20"/>
                <w:i w:val="1"/>
                <w:iCs w:val="1"/>
                <w:color w:val="auto"/>
              </w:rPr>
              <w:t>(previously $590 million–</w:t>
            </w:r>
          </w:p>
        </w:tc>
        <w:tc>
          <w:tcPr>
            <w:tcW w:w="2620" w:type="dxa"/>
            <w:vAlign w:val="bottom"/>
          </w:tcPr>
          <w:p>
            <w:pPr>
              <w:spacing w:after="0"/>
              <w:rPr>
                <w:sz w:val="16"/>
                <w:szCs w:val="16"/>
                <w:color w:val="auto"/>
              </w:rPr>
            </w:pPr>
          </w:p>
        </w:tc>
      </w:tr>
      <w:tr>
        <w:trPr>
          <w:trHeight w:val="257"/>
        </w:trPr>
        <w:tc>
          <w:tcPr>
            <w:tcW w:w="3660" w:type="dxa"/>
            <w:vAlign w:val="bottom"/>
          </w:tcPr>
          <w:p>
            <w:pPr>
              <w:spacing w:after="0"/>
              <w:rPr>
                <w:sz w:val="22"/>
                <w:szCs w:val="22"/>
                <w:color w:val="auto"/>
              </w:rPr>
            </w:pPr>
          </w:p>
        </w:tc>
        <w:tc>
          <w:tcPr>
            <w:tcW w:w="2760" w:type="dxa"/>
            <w:vAlign w:val="bottom"/>
            <w:gridSpan w:val="2"/>
          </w:tcPr>
          <w:p>
            <w:pPr>
              <w:ind w:left="20"/>
              <w:spacing w:after="0"/>
              <w:rPr>
                <w:sz w:val="20"/>
                <w:szCs w:val="20"/>
                <w:color w:val="auto"/>
              </w:rPr>
            </w:pPr>
            <w:r>
              <w:rPr>
                <w:rFonts w:ascii="Arial" w:cs="Arial" w:eastAsia="Arial" w:hAnsi="Arial"/>
                <w:sz w:val="20"/>
                <w:szCs w:val="20"/>
                <w:i w:val="1"/>
                <w:iCs w:val="1"/>
                <w:color w:val="auto"/>
              </w:rPr>
              <w:t>$640 million)</w:t>
            </w:r>
          </w:p>
        </w:tc>
        <w:tc>
          <w:tcPr>
            <w:tcW w:w="2620" w:type="dxa"/>
            <w:vAlign w:val="bottom"/>
          </w:tcPr>
          <w:p>
            <w:pPr>
              <w:spacing w:after="0"/>
              <w:rPr>
                <w:sz w:val="22"/>
                <w:szCs w:val="22"/>
                <w:color w:val="auto"/>
              </w:rPr>
            </w:pPr>
          </w:p>
        </w:tc>
      </w:tr>
      <w:tr>
        <w:trPr>
          <w:trHeight w:val="53"/>
        </w:trPr>
        <w:tc>
          <w:tcPr>
            <w:tcW w:w="366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20" w:type="dxa"/>
            <w:vAlign w:val="bottom"/>
          </w:tcPr>
          <w:p>
            <w:pPr>
              <w:spacing w:after="0"/>
              <w:rPr>
                <w:sz w:val="4"/>
                <w:szCs w:val="4"/>
                <w:color w:val="auto"/>
              </w:rPr>
            </w:pPr>
          </w:p>
        </w:tc>
      </w:tr>
      <w:tr>
        <w:trPr>
          <w:trHeight w:val="189"/>
        </w:trPr>
        <w:tc>
          <w:tcPr>
            <w:tcW w:w="366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Effective tax rate (ETR)</w:t>
            </w:r>
          </w:p>
        </w:tc>
        <w:tc>
          <w:tcPr>
            <w:tcW w:w="27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14–15%</w:t>
            </w:r>
          </w:p>
        </w:tc>
        <w:tc>
          <w:tcPr>
            <w:tcW w:w="26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14–15%</w:t>
            </w:r>
          </w:p>
        </w:tc>
      </w:tr>
      <w:tr>
        <w:trPr>
          <w:trHeight w:val="257"/>
        </w:trPr>
        <w:tc>
          <w:tcPr>
            <w:tcW w:w="3660" w:type="dxa"/>
            <w:vAlign w:val="bottom"/>
            <w:shd w:val="clear" w:color="auto" w:fill="CCEEFF"/>
          </w:tcPr>
          <w:p>
            <w:pPr>
              <w:spacing w:after="0"/>
              <w:rPr>
                <w:sz w:val="22"/>
                <w:szCs w:val="22"/>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14–16%)</w:t>
            </w:r>
          </w:p>
        </w:tc>
        <w:tc>
          <w:tcPr>
            <w:tcW w:w="262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14–16%)</w:t>
            </w:r>
          </w:p>
        </w:tc>
      </w:tr>
      <w:tr>
        <w:trPr>
          <w:trHeight w:val="40"/>
        </w:trPr>
        <w:tc>
          <w:tcPr>
            <w:tcW w:w="366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r>
    </w:tbl>
    <w:p>
      <w:pPr>
        <w:spacing w:after="0" w:line="111" w:lineRule="exact"/>
        <w:rPr>
          <w:sz w:val="20"/>
          <w:szCs w:val="20"/>
          <w:color w:val="auto"/>
        </w:rPr>
      </w:pPr>
    </w:p>
    <w:p>
      <w:pPr>
        <w:ind w:left="300" w:hanging="11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6</w:t>
      </w:r>
    </w:p>
    <w:p>
      <w:pPr>
        <w:sectPr>
          <w:pgSz w:w="11900" w:h="16838" w:orient="portrait"/>
          <w:cols w:equalWidth="0" w:num="1">
            <w:col w:w="10139"/>
          </w:cols>
          <w:pgMar w:left="320" w:top="1039" w:right="1440"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A reconciliation of full year 2021 GAAP to Non-GAAP financial guidance is included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880" w:type="dxa"/>
            <w:vAlign w:val="bottom"/>
            <w:tcBorders>
              <w:bottom w:val="single" w:sz="8" w:color="auto"/>
            </w:tcBorders>
            <w:gridSpan w:val="4"/>
          </w:tcPr>
          <w:p>
            <w:pPr>
              <w:jc w:val="right"/>
              <w:ind w:right="1701"/>
              <w:spacing w:after="0"/>
              <w:rPr>
                <w:sz w:val="20"/>
                <w:szCs w:val="20"/>
                <w:color w:val="auto"/>
              </w:rPr>
            </w:pPr>
            <w:r>
              <w:rPr>
                <w:rFonts w:ascii="Arial" w:cs="Arial" w:eastAsia="Arial" w:hAnsi="Arial"/>
                <w:sz w:val="20"/>
                <w:szCs w:val="20"/>
                <w:b w:val="1"/>
                <w:bCs w:val="1"/>
                <w:color w:val="auto"/>
              </w:rPr>
              <w:t>Projected Range</w:t>
            </w: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80" w:type="dxa"/>
            <w:vAlign w:val="bottom"/>
          </w:tcPr>
          <w:p>
            <w:pPr>
              <w:spacing w:after="0"/>
              <w:rPr>
                <w:sz w:val="20"/>
                <w:szCs w:val="20"/>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b w:val="1"/>
                <w:bCs w:val="1"/>
                <w:color w:val="auto"/>
              </w:rPr>
              <w:t>Low</w:t>
            </w:r>
          </w:p>
        </w:tc>
        <w:tc>
          <w:tcPr>
            <w:tcW w:w="320" w:type="dxa"/>
            <w:vAlign w:val="bottom"/>
          </w:tcPr>
          <w:p>
            <w:pPr>
              <w:spacing w:after="0"/>
              <w:rPr>
                <w:sz w:val="20"/>
                <w:szCs w:val="20"/>
                <w:color w:val="auto"/>
              </w:rPr>
            </w:pPr>
          </w:p>
        </w:tc>
        <w:tc>
          <w:tcPr>
            <w:tcW w:w="2200" w:type="dxa"/>
            <w:vAlign w:val="bottom"/>
          </w:tcPr>
          <w:p>
            <w:pPr>
              <w:jc w:val="right"/>
              <w:ind w:right="94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36"/>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2240" w:type="dxa"/>
            <w:vAlign w:val="bottom"/>
            <w:tcBorders>
              <w:top w:val="single" w:sz="8" w:color="auto"/>
            </w:tcBorders>
            <w:shd w:val="clear" w:color="auto" w:fill="CCEEFF"/>
          </w:tcPr>
          <w:p>
            <w:pPr>
              <w:ind w:left="1660"/>
              <w:spacing w:after="0"/>
              <w:rPr>
                <w:sz w:val="20"/>
                <w:szCs w:val="20"/>
                <w:color w:val="auto"/>
              </w:rPr>
            </w:pPr>
            <w:r>
              <w:rPr>
                <w:rFonts w:ascii="Arial" w:cs="Arial" w:eastAsia="Arial" w:hAnsi="Arial"/>
                <w:sz w:val="20"/>
                <w:szCs w:val="20"/>
                <w:color w:val="auto"/>
              </w:rPr>
              <w:t>2,845</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2200" w:type="dxa"/>
            <w:vAlign w:val="bottom"/>
            <w:tcBorders>
              <w:top w:val="single" w:sz="8" w:color="auto"/>
            </w:tcBorders>
            <w:shd w:val="clear" w:color="auto" w:fill="CCEEFF"/>
          </w:tcPr>
          <w:p>
            <w:pPr>
              <w:ind w:left="1640"/>
              <w:spacing w:after="0"/>
              <w:rPr>
                <w:sz w:val="20"/>
                <w:szCs w:val="20"/>
                <w:color w:val="auto"/>
              </w:rPr>
            </w:pPr>
            <w:r>
              <w:rPr>
                <w:rFonts w:ascii="Arial" w:cs="Arial" w:eastAsia="Arial" w:hAnsi="Arial"/>
                <w:sz w:val="20"/>
                <w:szCs w:val="20"/>
                <w:color w:val="auto"/>
              </w:rPr>
              <w:t>2,915</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R&amp;D: Non-cash share-based compensation expense</w:t>
            </w:r>
          </w:p>
        </w:tc>
        <w:tc>
          <w:tcPr>
            <w:tcW w:w="2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w:t>
            </w:r>
          </w:p>
        </w:tc>
        <w:tc>
          <w:tcPr>
            <w:tcW w:w="0" w:type="dxa"/>
            <w:vAlign w:val="bottom"/>
          </w:tcPr>
          <w:p>
            <w:pPr>
              <w:spacing w:after="0"/>
              <w:rPr>
                <w:sz w:val="1"/>
                <w:szCs w:val="1"/>
                <w:color w:val="auto"/>
              </w:rPr>
            </w:pPr>
          </w:p>
        </w:tc>
      </w:tr>
      <w:tr>
        <w:trPr>
          <w:trHeight w:val="237"/>
        </w:trPr>
        <w:tc>
          <w:tcPr>
            <w:tcW w:w="5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R&amp;D</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2240" w:type="dxa"/>
            <w:vAlign w:val="bottom"/>
            <w:tcBorders>
              <w:bottom w:val="single" w:sz="8" w:color="auto"/>
            </w:tcBorders>
            <w:shd w:val="clear" w:color="auto" w:fill="CCEEFF"/>
          </w:tcPr>
          <w:p>
            <w:pPr>
              <w:ind w:left="1660"/>
              <w:spacing w:after="0"/>
              <w:rPr>
                <w:sz w:val="20"/>
                <w:szCs w:val="20"/>
                <w:color w:val="auto"/>
              </w:rPr>
            </w:pPr>
            <w:r>
              <w:rPr>
                <w:rFonts w:ascii="Arial" w:cs="Arial" w:eastAsia="Arial" w:hAnsi="Arial"/>
                <w:sz w:val="20"/>
                <w:szCs w:val="20"/>
                <w:color w:val="auto"/>
              </w:rPr>
              <w:t>2,550</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220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20"/>
                <w:szCs w:val="20"/>
                <w:color w:val="auto"/>
              </w:rPr>
              <w:t>2,600</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2240" w:type="dxa"/>
            <w:vAlign w:val="bottom"/>
            <w:shd w:val="clear" w:color="auto" w:fill="CCEEFF"/>
          </w:tcPr>
          <w:p>
            <w:pPr>
              <w:ind w:left="1660"/>
              <w:spacing w:after="0"/>
              <w:rPr>
                <w:sz w:val="20"/>
                <w:szCs w:val="20"/>
                <w:color w:val="auto"/>
              </w:rPr>
            </w:pPr>
            <w:r>
              <w:rPr>
                <w:rFonts w:ascii="Arial" w:cs="Arial" w:eastAsia="Arial" w:hAnsi="Arial"/>
                <w:sz w:val="20"/>
                <w:szCs w:val="20"/>
                <w:color w:val="auto"/>
              </w:rPr>
              <w:t>1,760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2200" w:type="dxa"/>
            <w:vAlign w:val="bottom"/>
            <w:shd w:val="clear" w:color="auto" w:fill="CCEEFF"/>
          </w:tcPr>
          <w:p>
            <w:pPr>
              <w:ind w:left="1640"/>
              <w:spacing w:after="0"/>
              <w:rPr>
                <w:sz w:val="20"/>
                <w:szCs w:val="20"/>
                <w:color w:val="auto"/>
              </w:rPr>
            </w:pPr>
            <w:r>
              <w:rPr>
                <w:rFonts w:ascii="Arial" w:cs="Arial" w:eastAsia="Arial" w:hAnsi="Arial"/>
                <w:sz w:val="20"/>
                <w:szCs w:val="20"/>
                <w:color w:val="auto"/>
              </w:rPr>
              <w:t>1,830</w:t>
            </w:r>
          </w:p>
        </w:tc>
        <w:tc>
          <w:tcPr>
            <w:tcW w:w="0" w:type="dxa"/>
            <w:vAlign w:val="bottom"/>
          </w:tcPr>
          <w:p>
            <w:pPr>
              <w:spacing w:after="0"/>
              <w:rPr>
                <w:sz w:val="1"/>
                <w:szCs w:val="1"/>
                <w:color w:val="auto"/>
              </w:rPr>
            </w:pPr>
          </w:p>
        </w:tc>
      </w:tr>
      <w:tr>
        <w:trPr>
          <w:trHeight w:val="243"/>
        </w:trPr>
        <w:tc>
          <w:tcPr>
            <w:tcW w:w="5140" w:type="dxa"/>
            <w:vAlign w:val="bottom"/>
          </w:tcPr>
          <w:p>
            <w:pPr>
              <w:ind w:left="220"/>
              <w:spacing w:after="0"/>
              <w:rPr>
                <w:sz w:val="20"/>
                <w:szCs w:val="20"/>
                <w:color w:val="auto"/>
              </w:rPr>
            </w:pPr>
            <w:r>
              <w:rPr>
                <w:rFonts w:ascii="Arial" w:cs="Arial" w:eastAsia="Arial" w:hAnsi="Arial"/>
                <w:sz w:val="20"/>
                <w:szCs w:val="20"/>
                <w:color w:val="auto"/>
              </w:rPr>
              <w:t>SG&amp;A: Non-cash share-based compensation expense</w:t>
            </w:r>
          </w:p>
        </w:tc>
        <w:tc>
          <w:tcPr>
            <w:tcW w:w="2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20"/>
                <w:szCs w:val="20"/>
                <w:color w:val="auto"/>
              </w:rPr>
              <w:t>(194)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20"/>
                <w:szCs w:val="20"/>
                <w:color w:val="auto"/>
              </w:rPr>
              <w:t>(214)</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SG&amp;A: Litigation contingencies and other</w:t>
            </w:r>
          </w:p>
        </w:tc>
        <w:tc>
          <w:tcPr>
            <w:tcW w:w="280" w:type="dxa"/>
            <w:vAlign w:val="bottom"/>
            <w:tcBorders>
              <w:bottom w:val="single" w:sz="8" w:color="auto"/>
            </w:tcBorders>
            <w:shd w:val="clear" w:color="auto" w:fill="CCEEFF"/>
          </w:tcPr>
          <w:p>
            <w:pPr>
              <w:spacing w:after="0"/>
              <w:rPr>
                <w:sz w:val="21"/>
                <w:szCs w:val="21"/>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Non-GAAP SG&amp;A</w:t>
            </w: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2240" w:type="dxa"/>
            <w:vAlign w:val="bottom"/>
            <w:tcBorders>
              <w:bottom w:val="single" w:sz="8" w:color="auto"/>
            </w:tcBorders>
          </w:tcPr>
          <w:p>
            <w:pPr>
              <w:ind w:left="1660"/>
              <w:spacing w:after="0"/>
              <w:rPr>
                <w:sz w:val="20"/>
                <w:szCs w:val="20"/>
                <w:color w:val="auto"/>
              </w:rPr>
            </w:pPr>
            <w:r>
              <w:rPr>
                <w:rFonts w:ascii="Arial" w:cs="Arial" w:eastAsia="Arial" w:hAnsi="Arial"/>
                <w:sz w:val="20"/>
                <w:szCs w:val="20"/>
                <w:color w:val="auto"/>
              </w:rPr>
              <w:t>1,560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2200" w:type="dxa"/>
            <w:vAlign w:val="bottom"/>
            <w:tcBorders>
              <w:bottom w:val="single" w:sz="8" w:color="auto"/>
            </w:tcBorders>
          </w:tcPr>
          <w:p>
            <w:pPr>
              <w:ind w:left="1640"/>
              <w:spacing w:after="0"/>
              <w:rPr>
                <w:sz w:val="20"/>
                <w:szCs w:val="20"/>
                <w:color w:val="auto"/>
              </w:rPr>
            </w:pPr>
            <w:r>
              <w:rPr>
                <w:rFonts w:ascii="Arial" w:cs="Arial" w:eastAsia="Arial" w:hAnsi="Arial"/>
                <w:sz w:val="20"/>
                <w:szCs w:val="20"/>
                <w:color w:val="auto"/>
              </w:rPr>
              <w:t>1,610</w:t>
            </w:r>
          </w:p>
        </w:tc>
        <w:tc>
          <w:tcPr>
            <w:tcW w:w="0" w:type="dxa"/>
            <w:vAlign w:val="bottom"/>
          </w:tcPr>
          <w:p>
            <w:pPr>
              <w:spacing w:after="0"/>
              <w:rPr>
                <w:sz w:val="1"/>
                <w:szCs w:val="1"/>
                <w:color w:val="auto"/>
              </w:rPr>
            </w:pPr>
          </w:p>
        </w:tc>
      </w:tr>
      <w:tr>
        <w:trPr>
          <w:trHeight w:val="250"/>
        </w:trPr>
        <w:tc>
          <w:tcPr>
            <w:tcW w:w="5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20"/>
                <w:szCs w:val="20"/>
                <w:color w:val="auto"/>
              </w:rPr>
              <w:t>GAAP gross margin on net product sales</w:t>
            </w:r>
          </w:p>
        </w:tc>
        <w:tc>
          <w:tcPr>
            <w:tcW w:w="280" w:type="dxa"/>
            <w:vAlign w:val="bottom"/>
          </w:tcPr>
          <w:p>
            <w:pPr>
              <w:spacing w:after="0"/>
              <w:rPr>
                <w:sz w:val="21"/>
                <w:szCs w:val="21"/>
                <w:color w:val="auto"/>
              </w:rPr>
            </w:pPr>
          </w:p>
        </w:tc>
        <w:tc>
          <w:tcPr>
            <w:tcW w:w="2360" w:type="dxa"/>
            <w:vAlign w:val="bottom"/>
            <w:gridSpan w:val="2"/>
          </w:tcPr>
          <w:p>
            <w:pPr>
              <w:jc w:val="right"/>
              <w:ind w:right="240"/>
              <w:spacing w:after="0"/>
              <w:rPr>
                <w:sz w:val="20"/>
                <w:szCs w:val="20"/>
                <w:color w:val="auto"/>
              </w:rPr>
            </w:pPr>
            <w:r>
              <w:rPr>
                <w:rFonts w:ascii="Arial" w:cs="Arial" w:eastAsia="Arial" w:hAnsi="Arial"/>
                <w:sz w:val="20"/>
                <w:szCs w:val="20"/>
                <w:color w:val="auto"/>
              </w:rPr>
              <w:t>Approximately 87.5%</w:t>
            </w:r>
          </w:p>
        </w:tc>
        <w:tc>
          <w:tcPr>
            <w:tcW w:w="320" w:type="dxa"/>
            <w:vAlign w:val="bottom"/>
          </w:tcPr>
          <w:p>
            <w:pPr>
              <w:spacing w:after="0"/>
              <w:rPr>
                <w:sz w:val="21"/>
                <w:szCs w:val="21"/>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Approximately 87.5%</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Non-cash share-based compensation expense</w:t>
            </w:r>
          </w:p>
        </w:tc>
        <w:tc>
          <w:tcPr>
            <w:tcW w:w="280" w:type="dxa"/>
            <w:vAlign w:val="bottom"/>
            <w:tcBorders>
              <w:bottom w:val="single" w:sz="8" w:color="auto"/>
            </w:tcBorders>
            <w:shd w:val="clear" w:color="auto" w:fill="CCEEFF"/>
          </w:tcPr>
          <w:p>
            <w:pPr>
              <w:spacing w:after="0"/>
              <w:rPr>
                <w:sz w:val="21"/>
                <w:szCs w:val="21"/>
                <w:color w:val="auto"/>
              </w:rPr>
            </w:pPr>
          </w:p>
        </w:tc>
        <w:tc>
          <w:tcPr>
            <w:tcW w:w="2240" w:type="dxa"/>
            <w:vAlign w:val="bottom"/>
            <w:tcBorders>
              <w:bottom w:val="single" w:sz="8" w:color="auto"/>
            </w:tcBorders>
            <w:shd w:val="clear" w:color="auto" w:fill="CCEEFF"/>
          </w:tcPr>
          <w:p>
            <w:pPr>
              <w:ind w:left="1660"/>
              <w:spacing w:after="0"/>
              <w:rPr>
                <w:sz w:val="20"/>
                <w:szCs w:val="20"/>
                <w:color w:val="auto"/>
              </w:rPr>
            </w:pPr>
            <w:r>
              <w:rPr>
                <w:rFonts w:ascii="Arial" w:cs="Arial" w:eastAsia="Arial" w:hAnsi="Arial"/>
                <w:sz w:val="20"/>
                <w:szCs w:val="20"/>
                <w:color w:val="auto"/>
              </w:rPr>
              <w:t>&lt; 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20"/>
                <w:szCs w:val="20"/>
                <w:color w:val="auto"/>
              </w:rPr>
              <w:t>&lt; 1%</w:t>
            </w: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20"/>
                <w:szCs w:val="20"/>
                <w:color w:val="auto"/>
              </w:rPr>
              <w:t>Non-GAAP gross margin on net product sales</w:t>
            </w:r>
          </w:p>
        </w:tc>
        <w:tc>
          <w:tcPr>
            <w:tcW w:w="280" w:type="dxa"/>
            <w:vAlign w:val="bottom"/>
          </w:tcPr>
          <w:p>
            <w:pPr>
              <w:spacing w:after="0"/>
              <w:rPr>
                <w:sz w:val="20"/>
                <w:szCs w:val="20"/>
                <w:color w:val="auto"/>
              </w:rPr>
            </w:pPr>
          </w:p>
        </w:tc>
        <w:tc>
          <w:tcPr>
            <w:tcW w:w="2360" w:type="dxa"/>
            <w:vAlign w:val="bottom"/>
            <w:gridSpan w:val="2"/>
          </w:tcPr>
          <w:p>
            <w:pPr>
              <w:jc w:val="right"/>
              <w:ind w:right="240"/>
              <w:spacing w:after="0"/>
              <w:rPr>
                <w:sz w:val="20"/>
                <w:szCs w:val="20"/>
                <w:color w:val="auto"/>
              </w:rPr>
            </w:pPr>
            <w:r>
              <w:rPr>
                <w:rFonts w:ascii="Arial" w:cs="Arial" w:eastAsia="Arial" w:hAnsi="Arial"/>
                <w:sz w:val="20"/>
                <w:szCs w:val="20"/>
                <w:color w:val="auto"/>
              </w:rPr>
              <w:t>Approximately 88%</w:t>
            </w:r>
          </w:p>
        </w:tc>
        <w:tc>
          <w:tcPr>
            <w:tcW w:w="320" w:type="dxa"/>
            <w:vAlign w:val="bottom"/>
          </w:tcPr>
          <w:p>
            <w:pPr>
              <w:spacing w:after="0"/>
              <w:rPr>
                <w:sz w:val="20"/>
                <w:szCs w:val="20"/>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Approximately 88%</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22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20"/>
                <w:szCs w:val="20"/>
                <w:color w:val="auto"/>
              </w:rPr>
              <w:t>GAAP ETR</w:t>
            </w:r>
          </w:p>
        </w:tc>
        <w:tc>
          <w:tcPr>
            <w:tcW w:w="280" w:type="dxa"/>
            <w:vAlign w:val="bottom"/>
          </w:tcPr>
          <w:p>
            <w:pPr>
              <w:spacing w:after="0"/>
              <w:rPr>
                <w:sz w:val="21"/>
                <w:szCs w:val="21"/>
                <w:color w:val="auto"/>
              </w:rPr>
            </w:pPr>
          </w:p>
        </w:tc>
        <w:tc>
          <w:tcPr>
            <w:tcW w:w="2240" w:type="dxa"/>
            <w:vAlign w:val="bottom"/>
          </w:tcPr>
          <w:p>
            <w:pPr>
              <w:jc w:val="right"/>
              <w:ind w:right="22"/>
              <w:spacing w:after="0"/>
              <w:rPr>
                <w:sz w:val="20"/>
                <w:szCs w:val="20"/>
                <w:color w:val="auto"/>
              </w:rPr>
            </w:pPr>
            <w:r>
              <w:rPr>
                <w:rFonts w:ascii="Arial" w:cs="Arial" w:eastAsia="Arial" w:hAnsi="Arial"/>
                <w:sz w:val="20"/>
                <w:szCs w:val="20"/>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20"/>
              <w:spacing w:after="0" w:line="199" w:lineRule="exact"/>
              <w:rPr>
                <w:sz w:val="20"/>
                <w:szCs w:val="20"/>
                <w:color w:val="auto"/>
              </w:rPr>
            </w:pPr>
            <w:r>
              <w:rPr>
                <w:rFonts w:ascii="Arial" w:cs="Arial" w:eastAsia="Arial" w:hAnsi="Arial"/>
                <w:sz w:val="20"/>
                <w:szCs w:val="20"/>
                <w:color w:val="auto"/>
              </w:rPr>
              <w:t>Income tax effect of GAAP to non-GAAP reconciling</w:t>
            </w:r>
          </w:p>
        </w:tc>
        <w:tc>
          <w:tcPr>
            <w:tcW w:w="280" w:type="dxa"/>
            <w:vAlign w:val="bottom"/>
            <w:shd w:val="clear" w:color="auto" w:fill="CCEEFF"/>
          </w:tcPr>
          <w:p>
            <w:pPr>
              <w:spacing w:after="0"/>
              <w:rPr>
                <w:sz w:val="17"/>
                <w:szCs w:val="17"/>
                <w:color w:val="auto"/>
              </w:rPr>
            </w:pPr>
          </w:p>
        </w:tc>
        <w:tc>
          <w:tcPr>
            <w:tcW w:w="2240" w:type="dxa"/>
            <w:vAlign w:val="bottom"/>
            <w:vMerge w:val="restart"/>
            <w:shd w:val="clear" w:color="auto" w:fill="CCEEFF"/>
          </w:tcPr>
          <w:p>
            <w:pPr>
              <w:ind w:left="1660"/>
              <w:spacing w:after="0"/>
              <w:rPr>
                <w:sz w:val="20"/>
                <w:szCs w:val="20"/>
                <w:color w:val="auto"/>
              </w:rPr>
            </w:pPr>
            <w:r>
              <w:rPr>
                <w:rFonts w:ascii="Arial" w:cs="Arial" w:eastAsia="Arial" w:hAnsi="Arial"/>
                <w:sz w:val="20"/>
                <w:szCs w:val="20"/>
                <w:color w:val="auto"/>
              </w:rPr>
              <w:t>&lt; 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0" w:type="dxa"/>
            <w:vAlign w:val="bottom"/>
            <w:vMerge w:val="restart"/>
            <w:shd w:val="clear" w:color="auto" w:fill="CCEEFF"/>
          </w:tcPr>
          <w:p>
            <w:pPr>
              <w:ind w:left="1620"/>
              <w:spacing w:after="0"/>
              <w:rPr>
                <w:sz w:val="20"/>
                <w:szCs w:val="20"/>
                <w:color w:val="auto"/>
              </w:rPr>
            </w:pPr>
            <w:r>
              <w:rPr>
                <w:rFonts w:ascii="Arial" w:cs="Arial" w:eastAsia="Arial" w:hAnsi="Arial"/>
                <w:sz w:val="20"/>
                <w:szCs w:val="20"/>
                <w:color w:val="auto"/>
              </w:rPr>
              <w:t>&lt; 1%</w:t>
            </w:r>
          </w:p>
        </w:tc>
        <w:tc>
          <w:tcPr>
            <w:tcW w:w="0" w:type="dxa"/>
            <w:vAlign w:val="bottom"/>
          </w:tcPr>
          <w:p>
            <w:pPr>
              <w:spacing w:after="0"/>
              <w:rPr>
                <w:sz w:val="1"/>
                <w:szCs w:val="1"/>
                <w:color w:val="auto"/>
              </w:rPr>
            </w:pPr>
          </w:p>
        </w:tc>
      </w:tr>
      <w:tr>
        <w:trPr>
          <w:trHeight w:val="233"/>
        </w:trPr>
        <w:tc>
          <w:tcPr>
            <w:tcW w:w="51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items and other</w:t>
            </w:r>
          </w:p>
        </w:tc>
        <w:tc>
          <w:tcPr>
            <w:tcW w:w="280" w:type="dxa"/>
            <w:vAlign w:val="bottom"/>
            <w:tcBorders>
              <w:bottom w:val="single" w:sz="8" w:color="auto"/>
            </w:tcBorders>
            <w:shd w:val="clear" w:color="auto" w:fill="CCEEFF"/>
          </w:tcPr>
          <w:p>
            <w:pPr>
              <w:spacing w:after="0"/>
              <w:rPr>
                <w:sz w:val="20"/>
                <w:szCs w:val="20"/>
                <w:color w:val="auto"/>
              </w:rPr>
            </w:pPr>
          </w:p>
        </w:tc>
        <w:tc>
          <w:tcPr>
            <w:tcW w:w="2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2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20"/>
                <w:szCs w:val="20"/>
                <w:color w:val="auto"/>
              </w:rPr>
              <w:t>Non-GAAP ETR</w:t>
            </w:r>
          </w:p>
        </w:tc>
        <w:tc>
          <w:tcPr>
            <w:tcW w:w="2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14%</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858"/>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jc w:val="right"/>
              <w:ind w:right="190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320" w:top="1065" w:right="1279" w:bottom="1440" w:gutter="0" w:footer="0" w:header="0"/>
        </w:sectPr>
      </w:pPr>
    </w:p>
    <w:bookmarkStart w:id="10" w:name="page11"/>
    <w:bookmarkEnd w:id="10"/>
    <w:p>
      <w:pPr>
        <w:ind w:left="340" w:hanging="334"/>
        <w:spacing w:after="0" w:line="202"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t>This press release uses non-GAAP R&amp;D, non-GAAP SG&amp;A, non-GAAP gross margin on net product sales, non-GAAP other income (expense) net, non-GAAP effective tax rate, non-GAAP net income, non-GAAP net income per share, total revenues excluding REGEN-COV,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w:t>
      </w:r>
    </w:p>
    <w:p>
      <w:pPr>
        <w:spacing w:after="0" w:line="196" w:lineRule="exact"/>
        <w:rPr>
          <w:rFonts w:ascii="Arial" w:cs="Arial" w:eastAsia="Arial" w:hAnsi="Arial"/>
          <w:sz w:val="22"/>
          <w:szCs w:val="22"/>
          <w:color w:val="auto"/>
          <w:vertAlign w:val="superscript"/>
        </w:rPr>
      </w:pPr>
    </w:p>
    <w:p>
      <w:pPr>
        <w:ind w:left="340"/>
        <w:spacing w:after="0" w:line="213"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restructuring-related expenses).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operations' ability to generate cash flows.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83" w:lineRule="exact"/>
        <w:rPr>
          <w:rFonts w:ascii="Arial" w:cs="Arial" w:eastAsia="Arial" w:hAnsi="Arial"/>
          <w:sz w:val="22"/>
          <w:szCs w:val="22"/>
          <w:color w:val="auto"/>
          <w:vertAlign w:val="superscript"/>
        </w:rPr>
      </w:pPr>
    </w:p>
    <w:p>
      <w:pPr>
        <w:ind w:left="340" w:right="120" w:hanging="334"/>
        <w:spacing w:after="0" w:line="207"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20"/>
          <w:szCs w:val="20"/>
          <w:color w:val="auto"/>
        </w:rPr>
        <w:t>The casirivimab and imdevimab antibody cocktail is known as REGEN-COV in the United States and Ronapreve</w:t>
      </w:r>
      <w:r>
        <w:rPr>
          <w:rFonts w:ascii="Arial" w:cs="Arial" w:eastAsia="Arial" w:hAnsi="Arial"/>
          <w:sz w:val="11"/>
          <w:szCs w:val="11"/>
          <w:color w:val="auto"/>
        </w:rPr>
        <w:t>TM</w:t>
      </w:r>
      <w:r>
        <w:rPr>
          <w:rFonts w:ascii="Arial" w:cs="Arial" w:eastAsia="Arial" w:hAnsi="Arial"/>
          <w:sz w:val="20"/>
          <w:szCs w:val="20"/>
          <w:color w:val="auto"/>
        </w:rPr>
        <w:t xml:space="preserve"> in other countries. The Company records net product sales of REGEN-COV in the United States and Roche records net product sales of Ronapreve outside the United States.</w:t>
      </w:r>
    </w:p>
    <w:p>
      <w:pPr>
        <w:spacing w:after="0" w:line="60" w:lineRule="exact"/>
        <w:rPr>
          <w:rFonts w:ascii="Arial" w:cs="Arial" w:eastAsia="Arial" w:hAnsi="Arial"/>
          <w:sz w:val="22"/>
          <w:szCs w:val="22"/>
          <w:color w:val="auto"/>
          <w:vertAlign w:val="superscript"/>
        </w:rPr>
      </w:pPr>
    </w:p>
    <w:p>
      <w:pPr>
        <w:ind w:left="340" w:hanging="334"/>
        <w:spacing w:after="0" w:line="204"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20"/>
          <w:szCs w:val="20"/>
          <w:color w:val="auto"/>
        </w:rPr>
        <w:t>The Company's collaborators provide it with estimates of the collaborators' respective sales and the Company's share of the profits or losses (if applicable) from commercialization of products for the most recent fiscal quarter. The Company's estimates for such quarter are reconciled to actual results in the subsequent fiscal quarter, and the Company's share of the profit or loss (if applicable) is adjusted on a prospective basis accordingly, if necessary.</w:t>
      </w:r>
    </w:p>
    <w:p>
      <w:pPr>
        <w:sectPr>
          <w:pgSz w:w="11900" w:h="16838" w:orient="portrait"/>
          <w:cols w:equalWidth="0" w:num="1">
            <w:col w:w="11160"/>
          </w:cols>
          <w:pgMar w:left="340" w:top="959" w:right="399"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860"/>
        <w:spacing w:after="0" w:line="222" w:lineRule="auto"/>
        <w:rPr>
          <w:sz w:val="20"/>
          <w:szCs w:val="20"/>
          <w:color w:val="auto"/>
        </w:rPr>
      </w:pPr>
      <w:r>
        <w:rPr>
          <w:rFonts w:ascii="Arial" w:cs="Arial" w:eastAsia="Arial" w:hAnsi="Arial"/>
          <w:sz w:val="20"/>
          <w:szCs w:val="20"/>
          <w:color w:val="auto"/>
        </w:rPr>
        <w:t>The Company's 2021 financial guidance does not assume the completion of any significant business development transactions not completed as of the date of this press release.</w:t>
      </w:r>
    </w:p>
    <w:p>
      <w:pPr>
        <w:spacing w:after="0" w:line="61"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61" w:lineRule="exact"/>
        <w:rPr>
          <w:sz w:val="20"/>
          <w:szCs w:val="20"/>
          <w:color w:val="auto"/>
        </w:rPr>
      </w:pPr>
    </w:p>
    <w:p>
      <w:pPr>
        <w:ind w:right="180"/>
        <w:spacing w:after="0" w:line="222" w:lineRule="auto"/>
        <w:rPr>
          <w:sz w:val="20"/>
          <w:szCs w:val="20"/>
          <w:color w:val="auto"/>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-1270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200"/>
            <w:col w:w="10820"/>
          </w:cols>
          <w:pgMar w:left="340" w:top="95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60"/>
          </w:cols>
          <w:pgMar w:left="340" w:top="959" w:right="3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273"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Regeneron will host a conference call and simultaneous webcast to discuss its third quarter 2021 financial and operating results on Thursday, November 4, 2021, at 8:30 AM Eastern Time. Participants may access the conference call live via webcast on the "Investors and Media" page of Regeneron's website at www.regeneron.com. To participate via telephone, please register in advance at http://www.directeventreg.com/registration/event/4979976.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73" w:lineRule="exact"/>
        <w:rPr>
          <w:sz w:val="20"/>
          <w:szCs w:val="20"/>
          <w:color w:val="auto"/>
        </w:rPr>
      </w:pPr>
    </w:p>
    <w:p>
      <w:pPr>
        <w:ind w:right="120"/>
        <w:spacing w:after="0" w:line="258" w:lineRule="auto"/>
        <w:rPr>
          <w:sz w:val="20"/>
          <w:szCs w:val="20"/>
          <w:color w:val="auto"/>
        </w:rPr>
      </w:pPr>
      <w:r>
        <w:rPr>
          <w:rFonts w:ascii="Arial" w:cs="Arial" w:eastAsia="Arial" w:hAnsi="Arial"/>
          <w:sz w:val="21"/>
          <w:szCs w:val="21"/>
          <w:color w:val="auto"/>
        </w:rPr>
        <w:t>Regeneron is a leading biotechnology company that invents life-transforming medicines for people with serious diseases. Founded and led for over 30 years by physician-scientists, Regeneron's unique ability to repeatedly and consistently translate science into medicine has led to nine FDA-approved treatments and numerous product candidates in development, almost all of which were homegrown in Regeneron's laboratories. Regeneron's medicines and pipeline are designed to help patients with eye diseases, allergic and inflammatory diseases, cancer, cardiovascular and metabolic diseases, pain, hematologic conditions, infectious diseases, and rare diseases.</w:t>
      </w:r>
    </w:p>
    <w:p>
      <w:pPr>
        <w:spacing w:after="0" w:line="224" w:lineRule="exact"/>
        <w:rPr>
          <w:sz w:val="20"/>
          <w:szCs w:val="20"/>
          <w:color w:val="auto"/>
        </w:rPr>
      </w:pPr>
    </w:p>
    <w:p>
      <w:pPr>
        <w:ind w:right="360"/>
        <w:spacing w:after="0" w:line="243" w:lineRule="auto"/>
        <w:rPr>
          <w:sz w:val="20"/>
          <w:szCs w:val="20"/>
          <w:color w:val="auto"/>
        </w:rPr>
      </w:pPr>
      <w:r>
        <w:rPr>
          <w:rFonts w:ascii="Arial" w:cs="Arial" w:eastAsia="Arial" w:hAnsi="Arial"/>
          <w:sz w:val="21"/>
          <w:szCs w:val="21"/>
          <w:color w:val="auto"/>
        </w:rPr>
        <w:t xml:space="preserve">Regeneron is accelerating and improving the traditional drug development process through its proprietary </w:t>
      </w:r>
      <w:r>
        <w:rPr>
          <w:rFonts w:ascii="Arial" w:cs="Arial" w:eastAsia="Arial" w:hAnsi="Arial"/>
          <w:sz w:val="21"/>
          <w:szCs w:val="21"/>
          <w:i w:val="1"/>
          <w:iCs w:val="1"/>
          <w:color w:val="auto"/>
        </w:rPr>
        <w:t>VelociSuite</w:t>
      </w:r>
      <w:r>
        <w:rPr>
          <w:rFonts w:ascii="Arial" w:cs="Arial" w:eastAsia="Arial" w:hAnsi="Arial"/>
          <w:sz w:val="27"/>
          <w:szCs w:val="27"/>
          <w:color w:val="auto"/>
          <w:vertAlign w:val="superscript"/>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technologies, such as</w:t>
      </w:r>
      <w:r>
        <w:rPr>
          <w:rFonts w:ascii="Arial" w:cs="Arial" w:eastAsia="Arial" w:hAnsi="Arial"/>
          <w:sz w:val="21"/>
          <w:szCs w:val="21"/>
          <w:i w:val="1"/>
          <w:iCs w:val="1"/>
          <w:color w:val="auto"/>
        </w:rPr>
        <w:t xml:space="preserve"> VelocImmune</w:t>
      </w:r>
      <w:r>
        <w:rPr>
          <w:rFonts w:ascii="Arial" w:cs="Arial" w:eastAsia="Arial" w:hAnsi="Arial"/>
          <w:sz w:val="27"/>
          <w:szCs w:val="27"/>
          <w:color w:val="auto"/>
          <w:vertAlign w:val="superscript"/>
        </w:rPr>
        <w:t>®</w:t>
      </w:r>
      <w:r>
        <w:rPr>
          <w:rFonts w:ascii="Arial" w:cs="Arial" w:eastAsia="Arial" w:hAnsi="Arial"/>
          <w:sz w:val="21"/>
          <w:szCs w:val="21"/>
          <w:color w:val="auto"/>
        </w:rPr>
        <w:t>, which uses unique genetically humanized mice to produce</w:t>
      </w:r>
      <w:r>
        <w:rPr>
          <w:rFonts w:ascii="Arial" w:cs="Arial" w:eastAsia="Arial" w:hAnsi="Arial"/>
          <w:sz w:val="21"/>
          <w:szCs w:val="21"/>
          <w:i w:val="1"/>
          <w:iCs w:val="1"/>
          <w:color w:val="auto"/>
        </w:rPr>
        <w:t xml:space="preserve"> </w:t>
      </w:r>
      <w:r>
        <w:rPr>
          <w:rFonts w:ascii="Arial" w:cs="Arial" w:eastAsia="Arial" w:hAnsi="Arial"/>
          <w:sz w:val="21"/>
          <w:szCs w:val="21"/>
          <w:color w:val="auto"/>
        </w:rPr>
        <w:t>optimized fully human antibodies and bispecific antibodies, and through ambitious research initiatives such as the Regeneron Genetics Center</w:t>
      </w:r>
      <w:r>
        <w:rPr>
          <w:rFonts w:ascii="Arial" w:cs="Arial" w:eastAsia="Arial" w:hAnsi="Arial"/>
          <w:sz w:val="27"/>
          <w:szCs w:val="27"/>
          <w:color w:val="auto"/>
          <w:vertAlign w:val="superscript"/>
        </w:rPr>
        <w:t>®</w:t>
      </w:r>
      <w:r>
        <w:rPr>
          <w:rFonts w:ascii="Arial" w:cs="Arial" w:eastAsia="Arial" w:hAnsi="Arial"/>
          <w:sz w:val="21"/>
          <w:szCs w:val="21"/>
          <w:color w:val="auto"/>
        </w:rPr>
        <w:t>, which is conducting one of the largest genetics sequencing efforts in the world.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59" w:lineRule="exact"/>
        <w:rPr>
          <w:sz w:val="20"/>
          <w:szCs w:val="20"/>
          <w:color w:val="auto"/>
        </w:rPr>
      </w:pPr>
    </w:p>
    <w:p>
      <w:pPr>
        <w:ind w:right="20"/>
        <w:spacing w:after="0" w:line="230" w:lineRule="auto"/>
        <w:rPr>
          <w:sz w:val="20"/>
          <w:szCs w:val="20"/>
          <w:color w:val="auto"/>
        </w:rPr>
      </w:pPr>
      <w:r>
        <w:rPr>
          <w:rFonts w:ascii="Arial" w:cs="Arial" w:eastAsia="Arial" w:hAnsi="Arial"/>
          <w:sz w:val="21"/>
          <w:szCs w:val="2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or licensees (collectively, "Regeneron's Products"), and the global economy; the nature, timing, and possible success and therapeutic applications of Regeneron's Products and product candidates being developed by Regeneron and/or its collaborators or licensees (collectively, "Regeneron's Product Candidates") and research and clinical programs now underway or</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320" w:top="890" w:right="399" w:bottom="1440" w:gutter="0" w:footer="0" w:header="0"/>
        </w:sectPr>
      </w:pPr>
    </w:p>
    <w:bookmarkStart w:id="12" w:name="page13"/>
    <w:bookmarkEnd w:id="12"/>
    <w:p>
      <w:pPr>
        <w:spacing w:after="0" w:line="230" w:lineRule="auto"/>
        <w:rPr>
          <w:sz w:val="20"/>
          <w:szCs w:val="20"/>
          <w:color w:val="auto"/>
        </w:rPr>
      </w:pPr>
      <w:r>
        <w:rPr>
          <w:rFonts w:ascii="Arial" w:cs="Arial" w:eastAsia="Arial" w:hAnsi="Arial"/>
          <w:sz w:val="21"/>
          <w:szCs w:val="21"/>
          <w:color w:val="auto"/>
        </w:rPr>
        <w:t>planned, including without limitation EYLEA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(aflibercept) Injection, Dupixent</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(dupilumab), Libtayo</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(cemiplimab), Praluent</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(alirocumab), Kevzara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(sarilumab), Evkeeza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(evinacumab), Inmazeb</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(atoltivimab, maftivimab, and odesivimab-ebgn), fasinumab, REGEN-COV</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(casirivimab and imdevimab), garetosmab, pozelimab, odronextamab, itepekimab, REGN5458, REGN5713-5714-5715, REGN1908-1909, Regeneron's other oncology programs (including its costimulatory bispecific portfolio),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other operating (income) expense, net, capital expenditures, and GAAP and non-GAAP effective tax rate; the potential for any license or collaboration agreement, including Regeneron's agreements with Sanofi, Bayer, and Teva Pharmaceutical Industries Ltd. (or their respective affiliated companies, as applicable), as well as Regeneron's agreement with Roche relating to the casirivimab and imdevimab antibody cocktail (known as REGEN-COV in the United States and Ronapreve</w:t>
      </w:r>
      <w:r>
        <w:rPr>
          <w:rFonts w:ascii="Arial" w:cs="Arial" w:eastAsia="Arial" w:hAnsi="Arial"/>
          <w:sz w:val="11"/>
          <w:szCs w:val="11"/>
          <w:color w:val="auto"/>
        </w:rPr>
        <w:t>TM</w:t>
      </w:r>
      <w:r>
        <w:rPr>
          <w:rFonts w:ascii="Arial" w:cs="Arial" w:eastAsia="Arial" w:hAnsi="Arial"/>
          <w:sz w:val="21"/>
          <w:szCs w:val="21"/>
          <w:color w:val="auto"/>
        </w:rPr>
        <w:t xml:space="preserve"> in other countries) and its REGEN-COV supply agreement with the U.S. government, to be cancelled or terminated; and risks associated with intellectual property of other parties and pending or future litigation relating thereto (including without limitation the patent litigation and other related proceedings relating to EYLEA, Dupixent, Praluent, and REGEN-COV), other litigation and other proceedings and government investigations relating to the Company and/or its operations (including the pending civil litigation initiated by the U.S. Attorney's Office for the District of Massachusetts), the ultimate outcome of any such proceedings and investigations, and the impact any of the foregoing may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874" w:right="359" w:bottom="1440" w:gutter="0" w:footer="0" w:header="0"/>
        </w:sectPr>
      </w:pPr>
    </w:p>
    <w:bookmarkStart w:id="13" w:name="page14"/>
    <w:bookmarkEnd w:id="13"/>
    <w:p>
      <w:pPr>
        <w:spacing w:after="0" w:line="221" w:lineRule="auto"/>
        <w:rPr>
          <w:sz w:val="20"/>
          <w:szCs w:val="20"/>
          <w:color w:val="auto"/>
        </w:rPr>
      </w:pPr>
      <w:r>
        <w:rPr>
          <w:rFonts w:ascii="Arial" w:cs="Arial" w:eastAsia="Arial" w:hAnsi="Arial"/>
          <w:sz w:val="22"/>
          <w:szCs w:val="22"/>
          <w:color w:val="auto"/>
        </w:rPr>
        <w:t>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2020 and its Form 10-Q for the quarterly period ended September 30, 2021.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229" w:lineRule="exact"/>
        <w:rPr>
          <w:sz w:val="20"/>
          <w:szCs w:val="20"/>
          <w:color w:val="auto"/>
        </w:rPr>
      </w:pPr>
    </w:p>
    <w:p>
      <w:pPr>
        <w:ind w:right="16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73"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5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40"/>
          </w:cols>
          <w:pgMar w:left="320" w:top="903" w:right="339" w:bottom="1440" w:gutter="0" w:footer="0" w:header="0"/>
        </w:sectPr>
      </w:pP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Justin Holko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914-847-7786</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justin.holko@regeneron.com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11" w:lineRule="exact"/>
        <w:rPr>
          <w:sz w:val="20"/>
          <w:szCs w:val="20"/>
          <w:color w:val="auto"/>
        </w:rPr>
      </w:pPr>
    </w:p>
    <w:p>
      <w:pPr>
        <w:sectPr>
          <w:pgSz w:w="11900" w:h="16838" w:orient="portrait"/>
          <w:cols w:equalWidth="0" w:num="2">
            <w:col w:w="6100" w:space="720"/>
            <w:col w:w="4420"/>
          </w:cols>
          <w:pgMar w:left="320" w:top="903" w:right="33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903"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TABLE 1</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20" w:type="dxa"/>
            <w:vAlign w:val="bottom"/>
          </w:tcPr>
          <w:p>
            <w:pPr>
              <w:spacing w:after="0"/>
              <w:rPr>
                <w:sz w:val="24"/>
                <w:szCs w:val="24"/>
                <w:color w:val="auto"/>
              </w:rPr>
            </w:pPr>
          </w:p>
        </w:tc>
        <w:tc>
          <w:tcPr>
            <w:tcW w:w="7720" w:type="dxa"/>
            <w:vAlign w:val="bottom"/>
          </w:tcPr>
          <w:p>
            <w:pPr>
              <w:jc w:val="center"/>
              <w:ind w:left="2990"/>
              <w:spacing w:after="0"/>
              <w:rPr>
                <w:sz w:val="20"/>
                <w:szCs w:val="20"/>
                <w:color w:val="auto"/>
              </w:rPr>
            </w:pPr>
            <w:r>
              <w:rPr>
                <w:rFonts w:ascii="Arial" w:cs="Arial" w:eastAsia="Arial" w:hAnsi="Arial"/>
                <w:sz w:val="18"/>
                <w:szCs w:val="18"/>
                <w:b w:val="1"/>
                <w:bCs w:val="1"/>
                <w:color w:val="auto"/>
              </w:rPr>
              <w:t>REGENERON PHARMACEUTICALS, INC.</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9320" w:type="dxa"/>
            <w:vAlign w:val="bottom"/>
            <w:gridSpan w:val="4"/>
          </w:tcPr>
          <w:p>
            <w:pPr>
              <w:jc w:val="center"/>
              <w:ind w:left="141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7720" w:type="dxa"/>
            <w:vAlign w:val="bottom"/>
          </w:tcPr>
          <w:p>
            <w:pPr>
              <w:jc w:val="center"/>
              <w:ind w:left="3010"/>
              <w:spacing w:after="0"/>
              <w:rPr>
                <w:sz w:val="20"/>
                <w:szCs w:val="20"/>
                <w:color w:val="auto"/>
              </w:rPr>
            </w:pPr>
            <w:r>
              <w:rPr>
                <w:rFonts w:ascii="Arial" w:cs="Arial" w:eastAsia="Arial" w:hAnsi="Arial"/>
                <w:sz w:val="18"/>
                <w:szCs w:val="18"/>
                <w:b w:val="1"/>
                <w:bCs w:val="1"/>
                <w:i w:val="1"/>
                <w:iCs w:val="1"/>
                <w:color w:val="auto"/>
                <w:w w:val="93"/>
              </w:rPr>
              <w:t>(In millions)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7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Cash and marketable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11,418.9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6,722.6</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4,114.7</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1,916.6</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7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2,806.8</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Finance lease liabilities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1,978.5</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11,025.3</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jc w:val="center"/>
              <w:ind w:left="3230"/>
              <w:spacing w:after="0"/>
              <w:rPr>
                <w:sz w:val="20"/>
                <w:szCs w:val="20"/>
                <w:color w:val="auto"/>
              </w:rPr>
            </w:pPr>
            <w:r>
              <w:rPr>
                <w:rFonts w:ascii="Arial" w:cs="Arial" w:eastAsia="Arial" w:hAnsi="Arial"/>
                <w:sz w:val="18"/>
                <w:szCs w:val="18"/>
                <w:color w:val="auto"/>
                <w:w w:val="89"/>
              </w:rPr>
              <w:t>12</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79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895" w:right="5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TABLE 2</w:t>
            </w: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41"/>
        </w:trPr>
        <w:tc>
          <w:tcPr>
            <w:tcW w:w="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7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0"/>
        </w:trPr>
        <w:tc>
          <w:tcPr>
            <w:tcW w:w="60" w:type="dxa"/>
            <w:vAlign w:val="bottom"/>
          </w:tcPr>
          <w:p>
            <w:pPr>
              <w:spacing w:after="0"/>
              <w:rPr>
                <w:sz w:val="19"/>
                <w:szCs w:val="19"/>
                <w:color w:val="auto"/>
              </w:rPr>
            </w:pPr>
          </w:p>
        </w:tc>
        <w:tc>
          <w:tcPr>
            <w:tcW w:w="8760" w:type="dxa"/>
            <w:vAlign w:val="bottom"/>
            <w:gridSpan w:val="8"/>
          </w:tcPr>
          <w:p>
            <w:pPr>
              <w:jc w:val="center"/>
              <w:ind w:left="227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740" w:type="dxa"/>
            <w:vAlign w:val="bottom"/>
            <w:gridSpan w:val="4"/>
          </w:tcPr>
          <w:p>
            <w:pPr>
              <w:jc w:val="center"/>
              <w:ind w:right="18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500"/>
              <w:spacing w:after="0" w:line="202" w:lineRule="exact"/>
              <w:rPr>
                <w:sz w:val="20"/>
                <w:szCs w:val="20"/>
                <w:color w:val="auto"/>
              </w:rPr>
            </w:pPr>
            <w:r>
              <w:rPr>
                <w:rFonts w:ascii="Arial" w:cs="Arial" w:eastAsia="Arial" w:hAnsi="Arial"/>
                <w:sz w:val="18"/>
                <w:szCs w:val="18"/>
                <w:b w:val="1"/>
                <w:bCs w:val="1"/>
                <w:color w:val="auto"/>
                <w:w w:val="97"/>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350"/>
              <w:spacing w:after="0" w:line="202" w:lineRule="exact"/>
              <w:rPr>
                <w:sz w:val="20"/>
                <w:szCs w:val="20"/>
                <w:color w:val="auto"/>
              </w:rPr>
            </w:pPr>
            <w:r>
              <w:rPr>
                <w:rFonts w:ascii="Arial" w:cs="Arial" w:eastAsia="Arial" w:hAnsi="Arial"/>
                <w:sz w:val="18"/>
                <w:szCs w:val="18"/>
                <w:b w:val="1"/>
                <w:bCs w:val="1"/>
                <w:color w:val="auto"/>
                <w:w w:val="99"/>
              </w:rPr>
              <w:t>Nine Months Ended</w:t>
            </w:r>
          </w:p>
        </w:tc>
      </w:tr>
      <w:tr>
        <w:trPr>
          <w:trHeight w:val="230"/>
        </w:trPr>
        <w:tc>
          <w:tcPr>
            <w:tcW w:w="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0" w:type="dxa"/>
            <w:vAlign w:val="bottom"/>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09"/>
        </w:trPr>
        <w:tc>
          <w:tcPr>
            <w:tcW w:w="6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2,279.9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1,482.2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8,142.0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3,945.8</w:t>
            </w:r>
          </w:p>
        </w:tc>
      </w:tr>
      <w:tr>
        <w:trPr>
          <w:trHeight w:val="229"/>
        </w:trPr>
        <w:tc>
          <w:tcPr>
            <w:tcW w:w="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1,694.8</w:t>
            </w:r>
          </w:p>
        </w:tc>
      </w:tr>
      <w:tr>
        <w:trPr>
          <w:trHeight w:val="230"/>
        </w:trPr>
        <w:tc>
          <w:tcPr>
            <w:tcW w:w="60" w:type="dxa"/>
            <w:vAlign w:val="bottom"/>
          </w:tcPr>
          <w:p>
            <w:pPr>
              <w:spacing w:after="0"/>
              <w:rPr>
                <w:sz w:val="19"/>
                <w:szCs w:val="19"/>
                <w:color w:val="auto"/>
              </w:rPr>
            </w:pPr>
          </w:p>
        </w:tc>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w:t>
            </w:r>
          </w:p>
        </w:tc>
      </w:tr>
      <w:tr>
        <w:trPr>
          <w:trHeight w:val="223"/>
        </w:trPr>
        <w:tc>
          <w:tcPr>
            <w:tcW w:w="6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6,074.2</w:t>
            </w:r>
          </w:p>
        </w:tc>
      </w:tr>
      <w:tr>
        <w:trPr>
          <w:trHeight w:val="210"/>
        </w:trPr>
        <w:tc>
          <w:tcPr>
            <w:tcW w:w="6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w:t>
            </w:r>
          </w:p>
        </w:tc>
      </w:tr>
      <w:tr>
        <w:trPr>
          <w:trHeight w:val="229"/>
        </w:trPr>
        <w:tc>
          <w:tcPr>
            <w:tcW w:w="6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1,042.5</w:t>
            </w:r>
          </w:p>
        </w:tc>
      </w:tr>
      <w:tr>
        <w:trPr>
          <w:trHeight w:val="230"/>
        </w:trPr>
        <w:tc>
          <w:tcPr>
            <w:tcW w:w="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goods sold</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r>
      <w:tr>
        <w:trPr>
          <w:trHeight w:val="229"/>
        </w:trPr>
        <w:tc>
          <w:tcPr>
            <w:tcW w:w="6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w w:val="91"/>
              </w:rPr>
              <w:t>Cost of collaboration and contract manufacturing</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454.5</w:t>
            </w:r>
          </w:p>
        </w:tc>
      </w:tr>
      <w:tr>
        <w:trPr>
          <w:trHeight w:val="229"/>
        </w:trPr>
        <w:tc>
          <w:tcPr>
            <w:tcW w:w="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expense (income), net</w:t>
            </w:r>
          </w:p>
        </w:tc>
        <w:tc>
          <w:tcPr>
            <w:tcW w:w="2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r>
      <w:tr>
        <w:trPr>
          <w:trHeight w:val="223"/>
        </w:trPr>
        <w:tc>
          <w:tcPr>
            <w:tcW w:w="60" w:type="dxa"/>
            <w:vAlign w:val="bottom"/>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3,664.6</w:t>
            </w:r>
          </w:p>
        </w:tc>
      </w:tr>
      <w:tr>
        <w:trPr>
          <w:trHeight w:val="250"/>
        </w:trPr>
        <w:tc>
          <w:tcPr>
            <w:tcW w:w="60" w:type="dxa"/>
            <w:vAlign w:val="bottom"/>
          </w:tcPr>
          <w:p>
            <w:pPr>
              <w:spacing w:after="0"/>
              <w:rPr>
                <w:sz w:val="21"/>
                <w:szCs w:val="21"/>
                <w:color w:val="auto"/>
              </w:rPr>
            </w:pPr>
          </w:p>
        </w:tc>
        <w:tc>
          <w:tcPr>
            <w:tcW w:w="378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6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6,307.1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2,409.6</w:t>
            </w:r>
          </w:p>
        </w:tc>
      </w:tr>
      <w:tr>
        <w:trPr>
          <w:trHeight w:val="270"/>
        </w:trPr>
        <w:tc>
          <w:tcPr>
            <w:tcW w:w="60" w:type="dxa"/>
            <w:vAlign w:val="bottom"/>
          </w:tcPr>
          <w:p>
            <w:pPr>
              <w:spacing w:after="0"/>
              <w:rPr>
                <w:sz w:val="23"/>
                <w:szCs w:val="23"/>
                <w:color w:val="auto"/>
              </w:rPr>
            </w:pPr>
          </w:p>
        </w:tc>
        <w:tc>
          <w:tcPr>
            <w:tcW w:w="378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6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r>
      <w:tr>
        <w:trPr>
          <w:trHeight w:val="230"/>
        </w:trPr>
        <w:tc>
          <w:tcPr>
            <w:tcW w:w="60" w:type="dxa"/>
            <w:vAlign w:val="bottom"/>
          </w:tcPr>
          <w:p>
            <w:pPr>
              <w:spacing w:after="0"/>
              <w:rPr>
                <w:sz w:val="19"/>
                <w:szCs w:val="19"/>
                <w:color w:val="auto"/>
              </w:rPr>
            </w:pPr>
          </w:p>
        </w:tc>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2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r>
      <w:tr>
        <w:trPr>
          <w:trHeight w:val="223"/>
        </w:trPr>
        <w:tc>
          <w:tcPr>
            <w:tcW w:w="6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r>
      <w:tr>
        <w:trPr>
          <w:trHeight w:val="250"/>
        </w:trPr>
        <w:tc>
          <w:tcPr>
            <w:tcW w:w="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0"/>
        </w:trPr>
        <w:tc>
          <w:tcPr>
            <w:tcW w:w="6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2,585.8</w:t>
            </w:r>
          </w:p>
        </w:tc>
      </w:tr>
      <w:tr>
        <w:trPr>
          <w:trHeight w:val="270"/>
        </w:trPr>
        <w:tc>
          <w:tcPr>
            <w:tcW w:w="6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6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50"/>
        </w:trPr>
        <w:tc>
          <w:tcPr>
            <w:tcW w:w="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9"/>
        </w:trPr>
        <w:tc>
          <w:tcPr>
            <w:tcW w:w="60" w:type="dxa"/>
            <w:vAlign w:val="bottom"/>
          </w:tcPr>
          <w:p>
            <w:pPr>
              <w:spacing w:after="0"/>
              <w:rPr>
                <w:sz w:val="21"/>
                <w:szCs w:val="21"/>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2,364.0</w:t>
            </w:r>
          </w:p>
        </w:tc>
      </w:tr>
      <w:tr>
        <w:trPr>
          <w:trHeight w:val="20"/>
        </w:trPr>
        <w:tc>
          <w:tcPr>
            <w:tcW w:w="6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r>
      <w:tr>
        <w:trPr>
          <w:trHeight w:val="230"/>
        </w:trPr>
        <w:tc>
          <w:tcPr>
            <w:tcW w:w="6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2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52.29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20.36</w:t>
            </w:r>
          </w:p>
        </w:tc>
      </w:tr>
      <w:tr>
        <w:trPr>
          <w:trHeight w:val="270"/>
        </w:trPr>
        <w:tc>
          <w:tcPr>
            <w:tcW w:w="60" w:type="dxa"/>
            <w:vAlign w:val="bottom"/>
          </w:tcPr>
          <w:p>
            <w:pPr>
              <w:spacing w:after="0"/>
              <w:rPr>
                <w:sz w:val="23"/>
                <w:szCs w:val="23"/>
                <w:color w:val="auto"/>
              </w:rPr>
            </w:pPr>
          </w:p>
        </w:tc>
        <w:tc>
          <w:tcPr>
            <w:tcW w:w="378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6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108.3</w:t>
            </w:r>
          </w:p>
        </w:tc>
      </w:tr>
      <w:tr>
        <w:trPr>
          <w:trHeight w:val="230"/>
        </w:trPr>
        <w:tc>
          <w:tcPr>
            <w:tcW w:w="6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895" w:right="3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TABLE 3</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660" w:type="dxa"/>
            <w:vAlign w:val="bottom"/>
            <w:gridSpan w:val="5"/>
          </w:tcPr>
          <w:p>
            <w:pPr>
              <w:jc w:val="center"/>
              <w:ind w:left="3490"/>
              <w:spacing w:after="0"/>
              <w:rPr>
                <w:sz w:val="20"/>
                <w:szCs w:val="20"/>
                <w:color w:val="auto"/>
              </w:rPr>
            </w:pPr>
            <w:r>
              <w:rPr>
                <w:rFonts w:ascii="Arial" w:cs="Arial" w:eastAsia="Arial" w:hAnsi="Arial"/>
                <w:sz w:val="18"/>
                <w:szCs w:val="18"/>
                <w:b w:val="1"/>
                <w:bCs w:val="1"/>
                <w:color w:val="auto"/>
              </w:rPr>
              <w:t>REGENERON PHARMACEUTICALS,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240" w:type="dxa"/>
            <w:vAlign w:val="bottom"/>
            <w:gridSpan w:val="9"/>
          </w:tcPr>
          <w:p>
            <w:pPr>
              <w:jc w:val="center"/>
              <w:ind w:left="1910"/>
              <w:spacing w:after="0"/>
              <w:rPr>
                <w:sz w:val="20"/>
                <w:szCs w:val="20"/>
                <w:color w:val="auto"/>
              </w:rPr>
            </w:pPr>
            <w:r>
              <w:rPr>
                <w:rFonts w:ascii="Arial" w:cs="Arial" w:eastAsia="Arial" w:hAnsi="Arial"/>
                <w:sz w:val="18"/>
                <w:szCs w:val="18"/>
                <w:b w:val="1"/>
                <w:bCs w:val="1"/>
                <w:color w:val="auto"/>
              </w:rPr>
              <w:t>RECONCILIATION OF GAAP TO NON-GAAP FINANCIAL INFORMATION (Unaudited)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5"/>
          </w:tcPr>
          <w:p>
            <w:pPr>
              <w:jc w:val="center"/>
              <w:ind w:left="349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jc w:val="right"/>
              <w:ind w:right="500"/>
              <w:spacing w:after="0" w:line="202" w:lineRule="exact"/>
              <w:rPr>
                <w:sz w:val="20"/>
                <w:szCs w:val="20"/>
                <w:color w:val="auto"/>
              </w:rPr>
            </w:pPr>
            <w:r>
              <w:rPr>
                <w:rFonts w:ascii="Arial" w:cs="Arial" w:eastAsia="Arial" w:hAnsi="Arial"/>
                <w:sz w:val="18"/>
                <w:szCs w:val="18"/>
                <w:b w:val="1"/>
                <w:bCs w:val="1"/>
                <w:color w:val="auto"/>
                <w:w w:val="96"/>
              </w:rPr>
              <w:t>Three Months Ended</w:t>
            </w:r>
          </w:p>
        </w:tc>
        <w:tc>
          <w:tcPr>
            <w:tcW w:w="340" w:type="dxa"/>
            <w:vAlign w:val="bottom"/>
          </w:tcPr>
          <w:p>
            <w:pPr>
              <w:spacing w:after="0"/>
              <w:rPr>
                <w:sz w:val="17"/>
                <w:szCs w:val="17"/>
                <w:color w:val="auto"/>
              </w:rPr>
            </w:pPr>
          </w:p>
        </w:tc>
        <w:tc>
          <w:tcPr>
            <w:tcW w:w="200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19"/>
                <w:szCs w:val="19"/>
                <w:color w:val="auto"/>
              </w:rPr>
            </w:pPr>
          </w:p>
        </w:tc>
        <w:tc>
          <w:tcPr>
            <w:tcW w:w="20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R&amp;D</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w:t>
            </w: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R&amp;D: Non-cash share-based compensation expense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R&amp;D: Up-front payments related to license and collaboration agreements</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Non-GAAP R&amp;D</w:t>
            </w:r>
          </w:p>
        </w:tc>
        <w:tc>
          <w:tcPr>
            <w:tcW w:w="9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1,736.0</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5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326.9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1,265.3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SG&amp;A: Non-cash share-based compensation expense</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SG&amp;A: Litigation contingencies and other</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COGS</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COGS: Non-cash share-based compensation expense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COGS: Other</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Non-GAAP COGS</w:t>
            </w:r>
          </w:p>
        </w:tc>
        <w:tc>
          <w:tcPr>
            <w:tcW w:w="9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5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GAAP other (expense) income, net</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income/expense: Losses (gains) on investments</w:t>
            </w: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Interest expense: Other</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other (expense) income, net</w:t>
            </w: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income</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2,364.0</w:t>
            </w: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Total of GAAP to non-GAAP reconciling items above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9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9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2,586.2</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5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54.76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diluted</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diluted</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Effective tax rate reconciliation:</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GAAP effective tax rate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9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Non-GAAP effective tax rate</w:t>
            </w:r>
          </w:p>
        </w:tc>
        <w:tc>
          <w:tcPr>
            <w:tcW w:w="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i w:val="1"/>
                <w:iCs w:val="1"/>
                <w:color w:val="auto"/>
              </w:rPr>
              <w:t>Free cash flow reconciliation:</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1,387.1</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 expenditures</w:t>
            </w: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center"/>
              <w:ind w:right="610"/>
              <w:spacing w:after="0"/>
              <w:rPr>
                <w:sz w:val="20"/>
                <w:szCs w:val="20"/>
                <w:color w:val="auto"/>
              </w:rPr>
            </w:pPr>
            <w:r>
              <w:rPr>
                <w:rFonts w:ascii="Arial" w:cs="Arial" w:eastAsia="Arial" w:hAnsi="Arial"/>
                <w:sz w:val="18"/>
                <w:szCs w:val="18"/>
                <w:color w:val="auto"/>
                <w:w w:val="89"/>
              </w:rPr>
              <w:t>14</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5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TABLE 4</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620" w:type="dxa"/>
            <w:vAlign w:val="bottom"/>
            <w:gridSpan w:val="4"/>
          </w:tcPr>
          <w:p>
            <w:pPr>
              <w:jc w:val="center"/>
              <w:ind w:left="3530"/>
              <w:spacing w:after="0"/>
              <w:rPr>
                <w:sz w:val="20"/>
                <w:szCs w:val="20"/>
                <w:color w:val="auto"/>
              </w:rPr>
            </w:pPr>
            <w:r>
              <w:rPr>
                <w:rFonts w:ascii="Arial" w:cs="Arial" w:eastAsia="Arial" w:hAnsi="Arial"/>
                <w:sz w:val="18"/>
                <w:szCs w:val="18"/>
                <w:b w:val="1"/>
                <w:bCs w:val="1"/>
                <w:color w:val="auto"/>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620" w:type="dxa"/>
            <w:vAlign w:val="bottom"/>
            <w:gridSpan w:val="4"/>
          </w:tcPr>
          <w:p>
            <w:pPr>
              <w:jc w:val="center"/>
              <w:ind w:left="3550"/>
              <w:spacing w:after="0"/>
              <w:rPr>
                <w:sz w:val="20"/>
                <w:szCs w:val="20"/>
                <w:color w:val="auto"/>
              </w:rPr>
            </w:pPr>
            <w:r>
              <w:rPr>
                <w:rFonts w:ascii="Arial" w:cs="Arial" w:eastAsia="Arial" w:hAnsi="Arial"/>
                <w:sz w:val="18"/>
                <w:szCs w:val="18"/>
                <w:b w:val="1"/>
                <w:bCs w:val="1"/>
                <w:color w:val="auto"/>
                <w:w w:val="98"/>
              </w:rPr>
              <w:t>COLLABORATION REVENUE (Unaudited)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jc w:val="center"/>
              <w:ind w:left="4790"/>
              <w:spacing w:after="0"/>
              <w:rPr>
                <w:sz w:val="20"/>
                <w:szCs w:val="20"/>
                <w:color w:val="auto"/>
              </w:rPr>
            </w:pPr>
            <w:r>
              <w:rPr>
                <w:rFonts w:ascii="Arial" w:cs="Arial" w:eastAsia="Arial" w:hAnsi="Arial"/>
                <w:sz w:val="18"/>
                <w:szCs w:val="18"/>
                <w:b w:val="1"/>
                <w:bCs w:val="1"/>
                <w:i w:val="1"/>
                <w:iCs w:val="1"/>
                <w:color w:val="auto"/>
                <w:w w:val="93"/>
              </w:rPr>
              <w:t>(In millions)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500"/>
              <w:spacing w:after="0" w:line="202" w:lineRule="exact"/>
              <w:rPr>
                <w:sz w:val="20"/>
                <w:szCs w:val="20"/>
                <w:color w:val="auto"/>
              </w:rPr>
            </w:pPr>
            <w:r>
              <w:rPr>
                <w:rFonts w:ascii="Arial" w:cs="Arial" w:eastAsia="Arial" w:hAnsi="Arial"/>
                <w:sz w:val="18"/>
                <w:szCs w:val="18"/>
                <w:b w:val="1"/>
                <w:bCs w:val="1"/>
                <w:color w:val="auto"/>
                <w:w w:val="97"/>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350"/>
              <w:spacing w:after="0" w:line="202" w:lineRule="exact"/>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9"/>
                <w:szCs w:val="19"/>
                <w:color w:val="auto"/>
              </w:rPr>
            </w:pPr>
          </w:p>
        </w:tc>
        <w:tc>
          <w:tcPr>
            <w:tcW w:w="21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180"/>
              <w:spacing w:after="0"/>
              <w:rPr>
                <w:sz w:val="20"/>
                <w:szCs w:val="20"/>
                <w:color w:val="auto"/>
              </w:rPr>
            </w:pPr>
            <w:r>
              <w:rPr>
                <w:rFonts w:ascii="Arial" w:cs="Arial" w:eastAsia="Arial" w:hAnsi="Arial"/>
                <w:sz w:val="18"/>
                <w:szCs w:val="18"/>
                <w:color w:val="auto"/>
              </w:rPr>
              <w:t>Antibody:</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Regeneron's share of profits in connection with commercialization of antibodies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Sales-based milestone earned</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29"/>
        </w:trPr>
        <w:tc>
          <w:tcPr>
            <w:tcW w:w="6380" w:type="dxa"/>
            <w:vAlign w:val="bottom"/>
          </w:tcPr>
          <w:p>
            <w:pPr>
              <w:ind w:left="180"/>
              <w:spacing w:after="0"/>
              <w:rPr>
                <w:sz w:val="20"/>
                <w:szCs w:val="20"/>
                <w:color w:val="auto"/>
              </w:rPr>
            </w:pPr>
            <w:r>
              <w:rPr>
                <w:rFonts w:ascii="Arial" w:cs="Arial" w:eastAsia="Arial" w:hAnsi="Arial"/>
                <w:sz w:val="18"/>
                <w:szCs w:val="18"/>
                <w:color w:val="auto"/>
              </w:rPr>
              <w:t>Immuno-oncology:</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Regeneron's share of losses in connection with commercialization of Libtayo</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outside the United States</w:t>
            </w: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0" w:type="dxa"/>
            <w:vAlign w:val="bottom"/>
          </w:tcPr>
          <w:p>
            <w:pPr>
              <w:spacing w:after="0"/>
              <w:rPr>
                <w:sz w:val="1"/>
                <w:szCs w:val="1"/>
                <w:color w:val="auto"/>
              </w:rPr>
            </w:pPr>
          </w:p>
        </w:tc>
      </w:tr>
      <w:tr>
        <w:trPr>
          <w:trHeight w:val="250"/>
        </w:trPr>
        <w:tc>
          <w:tcPr>
            <w:tcW w:w="6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80" w:type="dxa"/>
            <w:vAlign w:val="bottom"/>
          </w:tcPr>
          <w:p>
            <w:pPr>
              <w:ind w:left="360"/>
              <w:spacing w:after="0" w:line="176" w:lineRule="exact"/>
              <w:rPr>
                <w:sz w:val="20"/>
                <w:szCs w:val="20"/>
                <w:color w:val="auto"/>
              </w:rPr>
            </w:pPr>
            <w:r>
              <w:rPr>
                <w:rFonts w:ascii="Arial" w:cs="Arial" w:eastAsia="Arial" w:hAnsi="Arial"/>
                <w:sz w:val="18"/>
                <w:szCs w:val="18"/>
                <w:color w:val="auto"/>
                <w:w w:val="96"/>
              </w:rPr>
              <w:t>Regeneron's net profit in connection with commercialization of EYLEA outside</w:t>
            </w: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995.3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772.6</w:t>
            </w:r>
          </w:p>
        </w:tc>
        <w:tc>
          <w:tcPr>
            <w:tcW w:w="0" w:type="dxa"/>
            <w:vAlign w:val="bottom"/>
          </w:tcPr>
          <w:p>
            <w:pPr>
              <w:spacing w:after="0"/>
              <w:rPr>
                <w:sz w:val="1"/>
                <w:szCs w:val="1"/>
                <w:color w:val="auto"/>
              </w:rPr>
            </w:pPr>
          </w:p>
        </w:tc>
      </w:tr>
      <w:tr>
        <w:trPr>
          <w:trHeight w:val="230"/>
        </w:trPr>
        <w:tc>
          <w:tcPr>
            <w:tcW w:w="6380" w:type="dxa"/>
            <w:vAlign w:val="bottom"/>
          </w:tcPr>
          <w:p>
            <w:pPr>
              <w:ind w:left="520"/>
              <w:spacing w:after="0"/>
              <w:rPr>
                <w:sz w:val="20"/>
                <w:szCs w:val="20"/>
                <w:color w:val="auto"/>
              </w:rPr>
            </w:pPr>
            <w:r>
              <w:rPr>
                <w:rFonts w:ascii="Arial" w:cs="Arial" w:eastAsia="Arial" w:hAnsi="Arial"/>
                <w:sz w:val="18"/>
                <w:szCs w:val="18"/>
                <w:color w:val="auto"/>
              </w:rPr>
              <w:t>the United States</w:t>
            </w: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Bayer collaboration revenue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825.5</w:t>
            </w:r>
          </w:p>
        </w:tc>
        <w:tc>
          <w:tcPr>
            <w:tcW w:w="0" w:type="dxa"/>
            <w:vAlign w:val="bottom"/>
          </w:tcPr>
          <w:p>
            <w:pPr>
              <w:spacing w:after="0"/>
              <w:rPr>
                <w:sz w:val="1"/>
                <w:szCs w:val="1"/>
                <w:color w:val="auto"/>
              </w:rPr>
            </w:pPr>
          </w:p>
        </w:tc>
      </w:tr>
      <w:tr>
        <w:trPr>
          <w:trHeight w:val="250"/>
        </w:trPr>
        <w:tc>
          <w:tcPr>
            <w:tcW w:w="6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i w:val="1"/>
                <w:iCs w:val="1"/>
                <w:color w:val="auto"/>
              </w:rPr>
              <w:t>Roche collaboration revenue: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Global gross profit true-up payment owed from Roche in connection with sales of</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casirivimab and imdevimab</w:t>
            </w: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1,694.8</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9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TABLE 5</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41"/>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gridSpan w:val="9"/>
          </w:tcPr>
          <w:p>
            <w:pPr>
              <w:jc w:val="center"/>
              <w:ind w:right="10"/>
              <w:spacing w:after="0"/>
              <w:rPr>
                <w:sz w:val="20"/>
                <w:szCs w:val="20"/>
                <w:color w:val="auto"/>
              </w:rPr>
            </w:pPr>
            <w:r>
              <w:rPr>
                <w:rFonts w:ascii="Arial" w:cs="Arial" w:eastAsia="Arial" w:hAnsi="Arial"/>
                <w:sz w:val="18"/>
                <w:szCs w:val="18"/>
                <w:b w:val="1"/>
                <w:bCs w:val="1"/>
                <w:color w:val="auto"/>
              </w:rPr>
              <w:t>REGENERON PHARMACEUTICALS, INC.</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00" w:type="dxa"/>
            <w:vAlign w:val="bottom"/>
            <w:gridSpan w:val="19"/>
          </w:tcPr>
          <w:p>
            <w:pPr>
              <w:jc w:val="center"/>
              <w:ind w:right="240"/>
              <w:spacing w:after="0"/>
              <w:rPr>
                <w:sz w:val="20"/>
                <w:szCs w:val="20"/>
                <w:color w:val="auto"/>
              </w:rPr>
            </w:pPr>
            <w:r>
              <w:rPr>
                <w:rFonts w:ascii="Arial" w:cs="Arial" w:eastAsia="Arial" w:hAnsi="Arial"/>
                <w:sz w:val="18"/>
                <w:szCs w:val="18"/>
                <w:b w:val="1"/>
                <w:bCs w:val="1"/>
                <w:color w:val="auto"/>
                <w:w w:val="97"/>
              </w:rPr>
              <w:t>NET PRODUCT SALES OF REGENERON-DISCOVERED PRODUCTS (Unaudited)</w:t>
            </w:r>
          </w:p>
        </w:tc>
        <w:tc>
          <w:tcPr>
            <w:tcW w:w="14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93"/>
              </w:rPr>
              <w:t>(In millions)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24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(Total Sales)</w:t>
            </w:r>
          </w:p>
        </w:tc>
      </w:tr>
      <w:tr>
        <w:trPr>
          <w:trHeight w:val="223"/>
        </w:trPr>
        <w:tc>
          <w:tcPr>
            <w:tcW w:w="40" w:type="dxa"/>
            <w:vAlign w:val="bottom"/>
          </w:tcPr>
          <w:p>
            <w:pPr>
              <w:spacing w:after="0"/>
              <w:rPr>
                <w:sz w:val="19"/>
                <w:szCs w:val="19"/>
                <w:color w:val="auto"/>
              </w:rPr>
            </w:pPr>
          </w:p>
        </w:tc>
        <w:tc>
          <w:tcPr>
            <w:tcW w:w="17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7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1,256.7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406.2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1,662.9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851.2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1,072.6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55 %</w:t>
            </w:r>
          </w:p>
        </w:tc>
      </w:tr>
      <w:tr>
        <w:trPr>
          <w:trHeight w:val="229"/>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(h)</w:t>
            </w:r>
          </w:p>
        </w:tc>
      </w:tr>
      <w:tr>
        <w:trPr>
          <w:trHeight w:val="229"/>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Evkeeza</w:t>
            </w:r>
            <w:r>
              <w:rPr>
                <w:rFonts w:ascii="Arial" w:cs="Arial" w:eastAsia="Arial" w:hAnsi="Arial"/>
                <w:sz w:val="23"/>
                <w:szCs w:val="23"/>
                <w:color w:val="auto"/>
                <w:vertAlign w:val="superscript"/>
              </w:rPr>
              <w:t>(f)</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(h)</w:t>
            </w:r>
          </w:p>
        </w:tc>
      </w:tr>
      <w:tr>
        <w:trPr>
          <w:trHeight w:val="229"/>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(g)</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236 %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ZALTRAP</w:t>
            </w:r>
            <w:r>
              <w:rPr>
                <w:rFonts w:ascii="Arial" w:cs="Arial" w:eastAsia="Arial" w:hAnsi="Arial"/>
                <w:sz w:val="23"/>
                <w:szCs w:val="23"/>
                <w:color w:val="auto"/>
                <w:vertAlign w:val="superscript"/>
              </w:rPr>
              <w:t>(b)</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445"/>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24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(Total Sales)</w:t>
            </w:r>
          </w:p>
        </w:tc>
      </w:tr>
      <w:tr>
        <w:trPr>
          <w:trHeight w:val="223"/>
        </w:trPr>
        <w:tc>
          <w:tcPr>
            <w:tcW w:w="40" w:type="dxa"/>
            <w:vAlign w:val="bottom"/>
          </w:tcPr>
          <w:p>
            <w:pPr>
              <w:spacing w:after="0"/>
              <w:rPr>
                <w:sz w:val="19"/>
                <w:szCs w:val="19"/>
                <w:color w:val="auto"/>
              </w:rPr>
            </w:pPr>
          </w:p>
        </w:tc>
        <w:tc>
          <w:tcPr>
            <w:tcW w:w="17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7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6,904.0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3,364.8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4,424.8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2,300.6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2,872.8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(h)</w:t>
            </w:r>
          </w:p>
        </w:tc>
      </w:tr>
      <w:tr>
        <w:trPr>
          <w:trHeight w:val="229"/>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233.6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Evkeeza</w:t>
            </w:r>
            <w:r>
              <w:rPr>
                <w:rFonts w:ascii="Arial" w:cs="Arial" w:eastAsia="Arial" w:hAnsi="Arial"/>
                <w:sz w:val="23"/>
                <w:szCs w:val="23"/>
                <w:color w:val="auto"/>
                <w:vertAlign w:val="superscript"/>
              </w:rPr>
              <w:t>(f)</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(h)</w:t>
            </w:r>
          </w:p>
        </w:tc>
      </w:tr>
      <w:tr>
        <w:trPr>
          <w:trHeight w:val="230"/>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(g)</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ZALTRAP</w:t>
            </w:r>
            <w:r>
              <w:rPr>
                <w:rFonts w:ascii="Arial" w:cs="Arial" w:eastAsia="Arial" w:hAnsi="Arial"/>
                <w:sz w:val="23"/>
                <w:szCs w:val="23"/>
                <w:color w:val="auto"/>
                <w:vertAlign w:val="superscript"/>
              </w:rPr>
              <w:t>(b)</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98" w:lineRule="exact"/>
        <w:rPr>
          <w:sz w:val="20"/>
          <w:szCs w:val="20"/>
          <w:color w:val="auto"/>
        </w:rPr>
      </w:pPr>
    </w:p>
    <w:p>
      <w:pPr>
        <w:ind w:left="260" w:right="140" w:firstLine="2"/>
        <w:spacing w:after="0" w:line="226" w:lineRule="auto"/>
        <w:tabs>
          <w:tab w:leader="none" w:pos="43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9" w:lineRule="exact"/>
        <w:rPr>
          <w:rFonts w:ascii="Arial" w:cs="Arial" w:eastAsia="Arial" w:hAnsi="Arial"/>
          <w:sz w:val="20"/>
          <w:szCs w:val="20"/>
          <w:color w:val="auto"/>
          <w:vertAlign w:val="superscript"/>
        </w:rPr>
      </w:pPr>
    </w:p>
    <w:p>
      <w:pPr>
        <w:ind w:left="260" w:right="380" w:firstLine="2"/>
        <w:spacing w:after="0" w:line="213" w:lineRule="auto"/>
        <w:tabs>
          <w:tab w:leader="none" w:pos="437"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Sanofi records global net product sales of Dupixent, Kevzara, and ZALTRAP. The Company records its share of profits/losses in connection with global sales of Dupixent and Kevzara, and Sanofi pays the Company a percentage of net sales of ZALTRAP.</w:t>
      </w:r>
    </w:p>
    <w:p>
      <w:pPr>
        <w:spacing w:after="0" w:line="10" w:lineRule="exact"/>
        <w:rPr>
          <w:rFonts w:ascii="Arial" w:cs="Arial" w:eastAsia="Arial" w:hAnsi="Arial"/>
          <w:sz w:val="21"/>
          <w:szCs w:val="21"/>
          <w:color w:val="auto"/>
          <w:vertAlign w:val="superscript"/>
        </w:rPr>
      </w:pPr>
    </w:p>
    <w:p>
      <w:pPr>
        <w:ind w:left="260" w:right="320" w:firstLine="2"/>
        <w:spacing w:after="0" w:line="213" w:lineRule="auto"/>
        <w:tabs>
          <w:tab w:leader="none" w:pos="43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Regeneron records net product sales of Libtayo in the United States and Sanofi records net product sales of Libtayo outside the United States. The parties equally share profits/losses in connection with global sales of Libtayo.</w:t>
      </w:r>
    </w:p>
    <w:p>
      <w:pPr>
        <w:spacing w:after="0" w:line="10" w:lineRule="exact"/>
        <w:rPr>
          <w:rFonts w:ascii="Arial" w:cs="Arial" w:eastAsia="Arial" w:hAnsi="Arial"/>
          <w:sz w:val="21"/>
          <w:szCs w:val="21"/>
          <w:color w:val="auto"/>
          <w:vertAlign w:val="superscript"/>
        </w:rPr>
      </w:pPr>
    </w:p>
    <w:p>
      <w:pPr>
        <w:ind w:left="260" w:right="340" w:firstLine="2"/>
        <w:spacing w:after="0" w:line="217" w:lineRule="auto"/>
        <w:tabs>
          <w:tab w:leader="none" w:pos="437"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Effective April 1, 2020, Regeneron records net product sales of Praluent in the United States. Also effective April 1, 2020, Sanofi records net product sales of Praluent outside the United States and pays the Company a royalty on such sales. Previously, Sanofi recorded global net product sales of Praluent and the Company recorded its share of profits/losses in connection with such sales.</w:t>
      </w:r>
    </w:p>
    <w:p>
      <w:pPr>
        <w:spacing w:after="0" w:line="9" w:lineRule="exact"/>
        <w:rPr>
          <w:rFonts w:ascii="Arial" w:cs="Arial" w:eastAsia="Arial" w:hAnsi="Arial"/>
          <w:sz w:val="21"/>
          <w:szCs w:val="21"/>
          <w:color w:val="auto"/>
          <w:vertAlign w:val="superscript"/>
        </w:rPr>
      </w:pPr>
    </w:p>
    <w:p>
      <w:pPr>
        <w:ind w:left="260" w:right="200" w:firstLine="2"/>
        <w:spacing w:after="0" w:line="230" w:lineRule="auto"/>
        <w:tabs>
          <w:tab w:leader="none" w:pos="43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REGEN-COV in connection with its agreements with the U.S. government. Roche records net product sales of the antibody cocktail outside the United States and the parties share gross profits from global sales based on a pre-specified formula, depending on the amount of manufactured product supplied by each party to the market.</w:t>
      </w:r>
    </w:p>
    <w:p>
      <w:pPr>
        <w:spacing w:after="0" w:line="1" w:lineRule="exact"/>
        <w:rPr>
          <w:rFonts w:ascii="Arial" w:cs="Arial" w:eastAsia="Arial" w:hAnsi="Arial"/>
          <w:sz w:val="20"/>
          <w:szCs w:val="20"/>
          <w:color w:val="auto"/>
          <w:vertAlign w:val="superscript"/>
        </w:rPr>
      </w:pPr>
    </w:p>
    <w:p>
      <w:pPr>
        <w:ind w:left="420" w:hanging="158"/>
        <w:spacing w:after="0" w:line="196" w:lineRule="auto"/>
        <w:tabs>
          <w:tab w:leader="none" w:pos="420"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Regeneron records net product sales of Evkeeza in the United States</w:t>
      </w:r>
    </w:p>
    <w:p>
      <w:pPr>
        <w:spacing w:after="0" w:line="23" w:lineRule="exact"/>
        <w:rPr>
          <w:rFonts w:ascii="Arial" w:cs="Arial" w:eastAsia="Arial" w:hAnsi="Arial"/>
          <w:sz w:val="23"/>
          <w:szCs w:val="23"/>
          <w:color w:val="auto"/>
          <w:vertAlign w:val="superscript"/>
        </w:rPr>
      </w:pPr>
    </w:p>
    <w:p>
      <w:pPr>
        <w:ind w:left="260" w:right="140" w:firstLine="2"/>
        <w:spacing w:after="0" w:line="205" w:lineRule="auto"/>
        <w:tabs>
          <w:tab w:leader="none" w:pos="437"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Effective April 1, 2021, Kiniksa records net product sales of ARCALYST in the United States and pays the Company a share of ARCALYST profits, if any. Prior to April 1, 2021, Regeneron recorded net product sales of ARCALYST in the United States.</w:t>
      </w:r>
    </w:p>
    <w:p>
      <w:pPr>
        <w:ind w:left="440" w:hanging="178"/>
        <w:spacing w:after="0" w:line="228" w:lineRule="auto"/>
        <w:tabs>
          <w:tab w:leader="none" w:pos="44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Percentage not meaningful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sectPr>
      <w:pgSz w:w="11900" w:h="16838" w:orient="portrait"/>
      <w:cols w:equalWidth="0" w:num="1">
        <w:col w:w="11220"/>
      </w:cols>
      <w:pgMar w:left="320" w:top="8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2021-11-04T06:15:04Z</dcterms:created>
  <dcterms:modified xsi:type="dcterms:W3CDTF">2021-11-04T06:15:04Z</dcterms:modified>
</cp:coreProperties>
</file>