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15"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February 1, 2006 (February 3,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w:t>
            </w:r>
          </w:p>
        </w:tc>
        <w:tc>
          <w:tcPr>
            <w:tcW w:w="4000" w:type="dxa"/>
            <w:vAlign w:val="bottom"/>
            <w:gridSpan w:val="2"/>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right"/>
              <w:ind w:right="1210"/>
              <w:spacing w:after="0"/>
              <w:rPr>
                <w:sz w:val="20"/>
                <w:szCs w:val="20"/>
                <w:color w:val="auto"/>
              </w:rPr>
            </w:pPr>
            <w:r>
              <w:rPr>
                <w:rFonts w:ascii="Arial" w:cs="Arial" w:eastAsia="Arial" w:hAnsi="Arial"/>
                <w:sz w:val="18"/>
                <w:szCs w:val="18"/>
                <w:b w:val="1"/>
                <w:bCs w:val="1"/>
                <w:color w:val="auto"/>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color w:val="auto"/>
                <w:w w:val="94"/>
              </w:rPr>
              <w:t>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7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980" w:type="dxa"/>
            <w:vAlign w:val="bottom"/>
            <w:tcBorders>
              <w:bottom w:val="single" w:sz="8" w:color="auto"/>
            </w:tcBorders>
            <w:gridSpan w:val="2"/>
          </w:tcPr>
          <w:p>
            <w:pPr>
              <w:jc w:val="right"/>
              <w:ind w:right="119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7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56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8890</wp:posOffset>
            </wp:positionV>
            <wp:extent cx="24269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1820" w:right="180"/>
        <w:spacing w:after="0" w:line="276" w:lineRule="auto"/>
        <w:rPr>
          <w:sz w:val="20"/>
          <w:szCs w:val="20"/>
          <w:color w:val="auto"/>
        </w:rPr>
      </w:pPr>
      <w:r>
        <w:rPr>
          <w:rFonts w:ascii="Arial" w:cs="Arial" w:eastAsia="Arial" w:hAnsi="Arial"/>
          <w:sz w:val="17"/>
          <w:szCs w:val="17"/>
          <w:color w:val="auto"/>
        </w:rPr>
        <w:t>On February 1, 2006, Regeneron Pharmaceuticals, Inc. and sanofi-aventis U.S., LLC (successor in interest to Aventis Pharmaceuticals Inc.) entered into Amendment No. 4 (the “Fourth Amendment”) to their Collaboration Agreement dated as of September 5, 2003 (the “Collaboration Agreement”). The Fourth Amendment added a new section to the Collaboration Agreement granting each party a royalty free, non-exclusive license to certain intellectual property discovered directly in connection with research and development activities performed under the Collaboration Agreement.</w:t>
      </w:r>
    </w:p>
    <w:p>
      <w:pPr>
        <w:spacing w:after="0" w:line="169"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1820" w:right="80"/>
        <w:spacing w:after="0" w:line="312" w:lineRule="auto"/>
        <w:rPr>
          <w:sz w:val="20"/>
          <w:szCs w:val="20"/>
          <w:color w:val="auto"/>
        </w:rPr>
      </w:pPr>
      <w:r>
        <w:rPr>
          <w:rFonts w:ascii="Arial" w:cs="Arial" w:eastAsia="Arial" w:hAnsi="Arial"/>
          <w:sz w:val="16"/>
          <w:szCs w:val="16"/>
          <w:color w:val="auto"/>
        </w:rPr>
        <w:t>On February 2, 2006, Regeneron Pharmaceuticals, Inc. issued a press release announcing preliminary results from an ongoing phase 1 dose-escalation study of the Vascular Endothelial Growth Factor Trap eye formulation (VEGF Trap — Eye) in patients with the neovascular form of age-related macular degeneration. A copy of the press release is furnished as Exhibit 99.1 to this Form 8-K.</w:t>
      </w:r>
    </w:p>
    <w:p>
      <w:pPr>
        <w:spacing w:after="0" w:line="14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99.1 Press Release dated February 2, 2006</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February 3, 2006</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Stuart Kolinski</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and General Counsel</w:t>
            </w:r>
          </w:p>
        </w:tc>
        <w:tc>
          <w:tcPr>
            <w:tcW w:w="1680" w:type="dxa"/>
            <w:vAlign w:val="bottom"/>
          </w:tcPr>
          <w:p>
            <w:pPr>
              <w:spacing w:after="0"/>
              <w:rPr>
                <w:sz w:val="20"/>
                <w:szCs w:val="20"/>
                <w:color w:val="auto"/>
              </w:rPr>
            </w:pPr>
          </w:p>
        </w:tc>
      </w:tr>
      <w:tr>
        <w:trPr>
          <w:trHeight w:val="405"/>
        </w:trPr>
        <w:tc>
          <w:tcPr>
            <w:tcW w:w="3560" w:type="dxa"/>
            <w:vAlign w:val="bottom"/>
          </w:tcPr>
          <w:p>
            <w:pPr>
              <w:spacing w:after="0"/>
              <w:rPr>
                <w:sz w:val="24"/>
                <w:szCs w:val="24"/>
                <w:color w:val="auto"/>
              </w:rPr>
            </w:pPr>
          </w:p>
        </w:tc>
        <w:tc>
          <w:tcPr>
            <w:tcW w:w="618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480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236"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 2006.</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1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324"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REGENERON’S VEGF TRAP DEMONSTRATES POSITIVE PRELIMINARY RESULTS IN PATIENTS WITH AGE-RELATED MACULAR DEGENERATION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Phase 1 Preliminary Results to be Presented at the Angiogenesis 2006 Meeting sponsored by Bascom Palmer Eye Institute</w:t>
      </w:r>
    </w:p>
    <w:p>
      <w:pPr>
        <w:spacing w:after="0" w:line="117"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Tarrytown New York, (February 2, 2006) — Regeneron Pharmaceuticals, Inc. (Nasdaq: </w:t>
      </w:r>
      <w:r>
        <w:rPr>
          <w:rFonts w:ascii="Arial" w:cs="Arial" w:eastAsia="Arial" w:hAnsi="Arial"/>
          <w:sz w:val="16"/>
          <w:szCs w:val="16"/>
          <w:b w:val="1"/>
          <w:bCs w:val="1"/>
          <w:color w:val="auto"/>
        </w:rPr>
        <w:t>REGN</w:t>
      </w:r>
      <w:r>
        <w:rPr>
          <w:rFonts w:ascii="Arial" w:cs="Arial" w:eastAsia="Arial" w:hAnsi="Arial"/>
          <w:sz w:val="16"/>
          <w:szCs w:val="16"/>
          <w:color w:val="auto"/>
        </w:rPr>
        <w:t>) announced today positive preliminary results from an ongoing phase 1 dose-escalation study of the Vascular Endothelial Growth Factor Trap eye formulation (“VEGF Trap — Eye”) in 18 patients with the neovascular form of age-related macular degeneration (wet AMD). Patients have shown rapid, substantial, and prolonged (up to at least 4 weeks) reductions in retinal thickness as measured by optical coherence tomography (OCT). Patients in this trial have received a single dose of the VEGF Trap at levels up to 2 milligrams (mg) intravitreally (direct injection into the eye). A maximum tolerated dose has not been reached, and there has been no evidence of ocular inflammation. Additional patients are now being tested at the 4 mg dose level. Patients are being followed for three months after dosing.</w:t>
      </w:r>
    </w:p>
    <w:p>
      <w:pPr>
        <w:spacing w:after="0" w:line="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Preliminary results of the study will be discussed in a presentation at 11:30 am (EST) on Friday, February 3, 2006 at the “Angiogenesis 2006” symposium sponsored by the Bascom Palmer Eye Institute of the University of Miami Miller School of Medicine. Additional data from this study, including longer follow up, will be presented at future scientific meetings. The presentation slides will be posted to the Events page of Regeneron’s website, </w:t>
      </w:r>
      <w:r>
        <w:rPr>
          <w:rFonts w:ascii="Arial" w:cs="Arial" w:eastAsia="Arial" w:hAnsi="Arial"/>
          <w:sz w:val="18"/>
          <w:szCs w:val="18"/>
          <w:u w:val="single" w:color="auto"/>
          <w:color w:val="auto"/>
        </w:rPr>
        <w:t>www.regeneron.com</w:t>
      </w:r>
      <w:r>
        <w:rPr>
          <w:rFonts w:ascii="Arial" w:cs="Arial" w:eastAsia="Arial" w:hAnsi="Arial"/>
          <w:sz w:val="18"/>
          <w:szCs w:val="18"/>
          <w:color w:val="auto"/>
        </w:rPr>
        <w:t>, at the time of the presentation.</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“Age related macular degeneration is a major cause of vision loss and blindness in older Americans,” said Jesse Cedarbaum, MD, Vice President of Clinical Affairs at Regeneron. “We are strongly encouraged by these preliminary data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right="320"/>
        <w:spacing w:after="0" w:line="277" w:lineRule="auto"/>
        <w:rPr>
          <w:sz w:val="20"/>
          <w:szCs w:val="20"/>
          <w:color w:val="auto"/>
        </w:rPr>
      </w:pPr>
      <w:r>
        <w:rPr>
          <w:rFonts w:ascii="Arial" w:cs="Arial" w:eastAsia="Arial" w:hAnsi="Arial"/>
          <w:sz w:val="18"/>
          <w:szCs w:val="18"/>
          <w:color w:val="auto"/>
        </w:rPr>
        <w:t>indicating biological activity of the VEGF Trap — Eye in patients with wet AMD. We look forward to continued follow up from this study, as well as the initiation of additional studies in the near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VEGF Trap Program in Eye Disease</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VEGF is a naturally occurring protein in the body whose normal role is to trigger formation of new blood vessels (angiogenesis) to support the growth of the body’s tissues and organs. It has also been associated with the abnormal growth and fragility of new blood vessels in the eye, important factors in the development of wet AMD.</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VEGF Trap is a protein-based product candidate that binds all forms of VEGF-A and the related Placental Growth Factor (PlGF). The VEGF Trap is designed to block the interaction of these growth factors with cell-surface receptors and prevent the subsequent formation of new blood vessels that play an important role in eye diseases. Regeneron is independently developing the VEGF Trap — Eye, a specially purified and formulated form of the VEGF Trap, for clinical evaluation in eye diseases by direct injection into the eye.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 with the sanofi-aventis Group,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2004 and Form 10-Q for the quarter ended September 30, 2005. Regeneron does not undertake any obligation to update publicly any forward-looking statement, whether as a result of new information, future events, or otherwise unless required by law.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360" w:type="dxa"/>
            <w:vAlign w:val="bottom"/>
          </w:tcPr>
          <w:p>
            <w:pPr>
              <w:jc w:val="right"/>
              <w:ind w:right="333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r>
      <w:tr>
        <w:trPr>
          <w:trHeight w:val="41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53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536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Media: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536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Lauren Tortorete</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914.345.7640</w:t>
            </w:r>
          </w:p>
        </w:tc>
        <w:tc>
          <w:tcPr>
            <w:tcW w:w="1700" w:type="dxa"/>
            <w:vAlign w:val="bottom"/>
          </w:tcPr>
          <w:p>
            <w:pPr>
              <w:spacing w:after="0"/>
              <w:rPr>
                <w:sz w:val="18"/>
                <w:szCs w:val="18"/>
                <w:color w:val="auto"/>
              </w:rPr>
            </w:pPr>
          </w:p>
        </w:tc>
        <w:tc>
          <w:tcPr>
            <w:tcW w:w="7280" w:type="dxa"/>
            <w:vAlign w:val="bottom"/>
            <w:gridSpan w:val="2"/>
          </w:tcPr>
          <w:p>
            <w:pPr>
              <w:ind w:left="5360"/>
              <w:spacing w:after="0"/>
              <w:rPr>
                <w:sz w:val="20"/>
                <w:szCs w:val="20"/>
                <w:color w:val="auto"/>
              </w:rPr>
            </w:pPr>
            <w:r>
              <w:rPr>
                <w:rFonts w:ascii="Arial" w:cs="Arial" w:eastAsia="Arial" w:hAnsi="Arial"/>
                <w:sz w:val="18"/>
                <w:szCs w:val="18"/>
                <w:color w:val="auto"/>
              </w:rPr>
              <w:t>212.845.5609</w:t>
            </w: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5360" w:type="dxa"/>
            <w:vAlign w:val="bottom"/>
          </w:tcPr>
          <w:p>
            <w:pPr>
              <w:spacing w:after="0"/>
              <w:rPr>
                <w:sz w:val="16"/>
                <w:szCs w:val="16"/>
                <w:color w:val="auto"/>
              </w:rPr>
            </w:pPr>
          </w:p>
        </w:tc>
        <w:tc>
          <w:tcPr>
            <w:tcW w:w="1920" w:type="dxa"/>
            <w:vAlign w:val="bottom"/>
          </w:tcPr>
          <w:p>
            <w:pPr>
              <w:spacing w:after="0" w:line="190" w:lineRule="exact"/>
              <w:rPr>
                <w:sz w:val="20"/>
                <w:szCs w:val="20"/>
                <w:color w:val="auto"/>
              </w:rPr>
            </w:pPr>
            <w:r>
              <w:rPr>
                <w:rFonts w:ascii="Arial" w:cs="Arial" w:eastAsia="Arial" w:hAnsi="Arial"/>
                <w:sz w:val="18"/>
                <w:szCs w:val="18"/>
                <w:color w:val="auto"/>
                <w:w w:val="89"/>
              </w:rPr>
              <w:t>ltortorete@biosector2.com</w:t>
            </w:r>
          </w:p>
        </w:tc>
      </w:tr>
      <w:tr>
        <w:trPr>
          <w:trHeight w:val="426"/>
        </w:trPr>
        <w:tc>
          <w:tcPr>
            <w:tcW w:w="220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5360" w:type="dxa"/>
            <w:vAlign w:val="bottom"/>
          </w:tcPr>
          <w:p>
            <w:pPr>
              <w:jc w:val="right"/>
              <w:ind w:right="3410"/>
              <w:spacing w:after="0"/>
              <w:rPr>
                <w:sz w:val="20"/>
                <w:szCs w:val="20"/>
                <w:color w:val="auto"/>
              </w:rPr>
            </w:pPr>
            <w:r>
              <w:rPr>
                <w:rFonts w:ascii="Arial" w:cs="Arial" w:eastAsia="Arial" w:hAnsi="Arial"/>
                <w:sz w:val="18"/>
                <w:szCs w:val="18"/>
                <w:color w:val="auto"/>
              </w:rPr>
              <w:t>5</w:t>
            </w:r>
          </w:p>
        </w:tc>
        <w:tc>
          <w:tcPr>
            <w:tcW w:w="192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2019-12-20T02:59:09Z</dcterms:created>
  <dcterms:modified xsi:type="dcterms:W3CDTF">2019-12-20T02:59:09Z</dcterms:modified>
</cp:coreProperties>
</file>