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2023 (January 9, 2023)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REGENERON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9, 2023, at the 41st Annual J.P. Morgan Healthcare Conference, Leonard S. Schleifer, M.D., Ph.D., President and Chief Executive Officer of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George D. Yancopoulos, M.D., Ph.D., President and Chief Scientific Officer of Regeneron, are providing a corporate update.</w:t>
      </w:r>
    </w:p>
    <w:p>
      <w:pPr>
        <w:spacing w:after="0" w:line="179" w:lineRule="exact"/>
        <w:rPr>
          <w:sz w:val="20"/>
          <w:szCs w:val="20"/>
          <w:color w:val="auto"/>
        </w:rPr>
      </w:pPr>
    </w:p>
    <w:p>
      <w:pPr>
        <w:ind w:right="40" w:firstLine="324"/>
        <w:spacing w:after="0" w:line="231" w:lineRule="auto"/>
        <w:rPr>
          <w:sz w:val="20"/>
          <w:szCs w:val="20"/>
          <w:color w:val="auto"/>
        </w:rPr>
      </w:pPr>
      <w:r>
        <w:rPr>
          <w:rFonts w:ascii="Times New Roman" w:cs="Times New Roman" w:eastAsia="Times New Roman" w:hAnsi="Times New Roman"/>
          <w:sz w:val="18"/>
          <w:szCs w:val="18"/>
          <w:color w:val="auto"/>
        </w:rPr>
        <w:t>The presentation includes information regarding the Company’s preliminary (unaudited) U.S. net product sales of EYLEA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(aflibercept) Injection of approximately $6.26 billion for the full year 2022 (based on preliminary (unaudited) fourth quarter 2022 U.S. net product sales of EYLEA of approximately $1.50 billion). With respect to the preliminary (unaudited) fourth quarter 2022 U.S. net product sales of EYLEA, the presentation further notes the following:</w:t>
      </w:r>
    </w:p>
    <w:p>
      <w:pPr>
        <w:spacing w:after="0" w:line="6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Negatively impacted by a short-term shift to off-label use of compounded Avastin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(bevacizumab)</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closing in Q4 2022 of fund that provides patient co-pay assistance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recent Q4 2022 market data suggests that shift to off-label Avastin is already beginning to reverse</w:t>
      </w:r>
    </w:p>
    <w:p>
      <w:pPr>
        <w:spacing w:after="0" w:line="20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presentation also includes information regarding the Company’s current expectation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fourth quarter 2022 and full year 2022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$30 million relating to an up-front payment in connection with the Company’s previously announced collaboration and licensing agreement with CytomX Therapeutics, Inc. This acquired IPR&amp;D charge is expected to negatively impact each of GAAP and non-GAAP net income per diluted share for the fourth quarter 2022 by approximately $0.21.</w:t>
      </w:r>
    </w:p>
    <w:p>
      <w:pPr>
        <w:spacing w:after="0" w:line="18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fourth quarter and full year 2022 have not been finalized and are subject to Regeneron’s financial statement closing procedures. There can be no assurance that actual results will not differ from the preliminary (unaudited) estimates described herein.</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2.02 of this Current Report on Form 8-K is incorporated by reference herein. A copy of the presentation referenced in Item 2.02 is furnished as Exhibit 99.1 to this Current Report on Form 8-K and is incorporated by reference in this Item 7.01.</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2.02 and the information included or incorporated in Item 7.01 of this Current Report on Form 8-K,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800" w:right="120" w:hanging="795"/>
        <w:spacing w:after="0" w:line="25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Presentation by Leonard S. Schleifer, M.D., Ph.D., President and Chief Executive Officer of Regeneron Pharmaceuticals, Inc., and George D. Yancopoulos, M.D., Ph.D., President and Chief Scientific Officer of Regeneron Pharmaceuticals, Inc., at the 41st Annual J.P. Morgan Healthcare Conference.</w:t>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17"/>
          <w:szCs w:val="17"/>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expectations with respect to commercialization of its marketed products (including EYLEA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(aflibercept) Injection), competitive and other relevant developments affecting the market share of Regeneron’s marketed products, and other relevant factors (whether within or without Regeneron’s control) impacting the degree to which commercialization of Regeneron’s marketed products is successful, as well as the impact of any of the foregoing on Regeneron’s results of operations; Regeneron’s expected acquired in-process research and development charge in the quarterly period ended December 31, 2022 and its expected impact on GAAP and non-GAAP net income per diluted share for the quarterly period then ended as discussed in this Report; and the potential for any license, collaboration, or supply agreement, including Regeneron's agreement with CytomX Therapeutics, Inc. referenced in this Report, to be cancelled or terminated.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includes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4174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200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00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4615180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83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83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4615180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83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2023-01-09T07:52:14Z</dcterms:created>
  <dcterms:modified xsi:type="dcterms:W3CDTF">2023-01-09T07:52:14Z</dcterms:modified>
</cp:coreProperties>
</file>