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512"/>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81915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SCHEDULE TO</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83185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0"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CHECKMATE PHARMACEUTICALS, INC.</w:t>
      </w:r>
    </w:p>
    <w:p>
      <w:pPr>
        <w:spacing w:after="0" w:line="34" w:lineRule="exact"/>
        <w:rPr>
          <w:sz w:val="24"/>
          <w:szCs w:val="24"/>
          <w:color w:val="auto"/>
        </w:rPr>
      </w:pPr>
    </w:p>
    <w:p>
      <w:pPr>
        <w:ind w:left="4532"/>
        <w:spacing w:after="0"/>
        <w:rPr>
          <w:sz w:val="20"/>
          <w:szCs w:val="20"/>
          <w:color w:val="auto"/>
        </w:rPr>
      </w:pPr>
      <w:r>
        <w:rPr>
          <w:rFonts w:ascii="Arial" w:cs="Arial" w:eastAsia="Arial" w:hAnsi="Arial"/>
          <w:sz w:val="18"/>
          <w:szCs w:val="18"/>
          <w:b w:val="1"/>
          <w:bCs w:val="1"/>
          <w:color w:val="auto"/>
        </w:rPr>
        <w:t>(Name of Subject Company)</w:t>
      </w:r>
    </w:p>
    <w:p>
      <w:pPr>
        <w:spacing w:after="0" w:line="268"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SCANDINAVIAN ACQUISITION SUB, INC.</w:t>
      </w:r>
    </w:p>
    <w:p>
      <w:pPr>
        <w:spacing w:after="0" w:line="34" w:lineRule="exact"/>
        <w:rPr>
          <w:sz w:val="24"/>
          <w:szCs w:val="24"/>
          <w:color w:val="auto"/>
        </w:rPr>
      </w:pPr>
    </w:p>
    <w:p>
      <w:pPr>
        <w:ind w:left="5272"/>
        <w:spacing w:after="0"/>
        <w:rPr>
          <w:sz w:val="20"/>
          <w:szCs w:val="20"/>
          <w:color w:val="auto"/>
        </w:rPr>
      </w:pPr>
      <w:r>
        <w:rPr>
          <w:rFonts w:ascii="Arial" w:cs="Arial" w:eastAsia="Arial" w:hAnsi="Arial"/>
          <w:sz w:val="18"/>
          <w:szCs w:val="18"/>
          <w:b w:val="1"/>
          <w:bCs w:val="1"/>
          <w:color w:val="auto"/>
        </w:rPr>
        <w:t>(Offeror)</w:t>
      </w:r>
    </w:p>
    <w:p>
      <w:pPr>
        <w:spacing w:after="0" w:line="389" w:lineRule="exact"/>
        <w:rPr>
          <w:sz w:val="24"/>
          <w:szCs w:val="24"/>
          <w:color w:val="auto"/>
        </w:rPr>
      </w:pPr>
    </w:p>
    <w:p>
      <w:pPr>
        <w:jc w:val="center"/>
        <w:ind w:right="-591"/>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(Names of Filing Persons)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162818108</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(CUSIP Number of Class of Securities)</w:t>
      </w:r>
    </w:p>
    <w:p>
      <w:pPr>
        <w:spacing w:after="0" w:line="20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(914) 847-7000</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6"/>
          <w:szCs w:val="16"/>
          <w:b w:val="1"/>
          <w:bCs w:val="1"/>
          <w:color w:val="auto"/>
        </w:rPr>
        <w:t>(Name, Address and Telephone Number of Person Authorized to Receive Notices and Communications on Behalf of Filing Persons)</w:t>
      </w:r>
    </w:p>
    <w:p>
      <w:pPr>
        <w:spacing w:after="0" w:line="234"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i w:val="1"/>
          <w:iCs w:val="1"/>
          <w:color w:val="auto"/>
        </w:rPr>
        <w:t>With a copy to</w:t>
      </w:r>
      <w:r>
        <w:rPr>
          <w:rFonts w:ascii="Arial" w:cs="Arial" w:eastAsia="Arial" w:hAnsi="Arial"/>
          <w:sz w:val="18"/>
          <w:szCs w:val="18"/>
          <w:color w:val="auto"/>
        </w:rPr>
        <w:t>:</w:t>
      </w:r>
    </w:p>
    <w:p>
      <w:pPr>
        <w:spacing w:after="0" w:line="221"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Andrew R. Brownstein, Esq.</w:t>
      </w:r>
    </w:p>
    <w:p>
      <w:pPr>
        <w:spacing w:after="0" w:line="27"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Victor Goldfeld,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John L. Robinson, Esq.</w:t>
      </w:r>
    </w:p>
    <w:p>
      <w:pPr>
        <w:spacing w:after="0" w:line="9" w:lineRule="exact"/>
        <w:rPr>
          <w:sz w:val="24"/>
          <w:szCs w:val="24"/>
          <w:color w:val="auto"/>
        </w:rPr>
      </w:pPr>
    </w:p>
    <w:p>
      <w:pPr>
        <w:jc w:val="center"/>
        <w:ind w:right="-591"/>
        <w:spacing w:after="0"/>
        <w:rPr>
          <w:sz w:val="20"/>
          <w:szCs w:val="20"/>
          <w:color w:val="auto"/>
        </w:rPr>
      </w:pPr>
      <w:r>
        <w:rPr>
          <w:rFonts w:ascii="Arial" w:cs="Arial" w:eastAsia="Arial" w:hAnsi="Arial"/>
          <w:sz w:val="18"/>
          <w:szCs w:val="18"/>
          <w:b w:val="1"/>
          <w:bCs w:val="1"/>
          <w:color w:val="auto"/>
        </w:rPr>
        <w:t>Wachtell, Lipton, Rosen &amp; Katz</w:t>
      </w:r>
    </w:p>
    <w:p>
      <w:pPr>
        <w:ind w:left="4872"/>
        <w:spacing w:after="0" w:line="192" w:lineRule="auto"/>
        <w:rPr>
          <w:sz w:val="20"/>
          <w:szCs w:val="20"/>
          <w:color w:val="auto"/>
        </w:rPr>
      </w:pPr>
      <w:r>
        <w:rPr>
          <w:rFonts w:ascii="Arial" w:cs="Arial" w:eastAsia="Arial" w:hAnsi="Arial"/>
          <w:sz w:val="18"/>
          <w:szCs w:val="18"/>
          <w:b w:val="1"/>
          <w:bCs w:val="1"/>
          <w:color w:val="auto"/>
        </w:rPr>
        <w:t>51 West 52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w:t>
      </w:r>
    </w:p>
    <w:p>
      <w:pPr>
        <w:ind w:left="4812"/>
        <w:spacing w:after="0"/>
        <w:rPr>
          <w:sz w:val="20"/>
          <w:szCs w:val="20"/>
          <w:color w:val="auto"/>
        </w:rPr>
      </w:pPr>
      <w:r>
        <w:rPr>
          <w:rFonts w:ascii="Arial" w:cs="Arial" w:eastAsia="Arial" w:hAnsi="Arial"/>
          <w:sz w:val="18"/>
          <w:szCs w:val="18"/>
          <w:b w:val="1"/>
          <w:bCs w:val="1"/>
          <w:color w:val="auto"/>
        </w:rPr>
        <w:t>New York, NY 10019</w:t>
      </w:r>
    </w:p>
    <w:p>
      <w:pPr>
        <w:spacing w:after="0" w:line="7" w:lineRule="exact"/>
        <w:rPr>
          <w:sz w:val="24"/>
          <w:szCs w:val="24"/>
          <w:color w:val="auto"/>
        </w:rPr>
      </w:pPr>
    </w:p>
    <w:p>
      <w:pPr>
        <w:ind w:left="5492" w:hanging="438"/>
        <w:spacing w:after="0"/>
        <w:tabs>
          <w:tab w:leader="none" w:pos="5492" w:val="left"/>
        </w:tabs>
        <w:numPr>
          <w:ilvl w:val="2"/>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403-1000</w:t>
      </w:r>
    </w:p>
    <w:p>
      <w:pPr>
        <w:spacing w:after="0" w:line="200" w:lineRule="exact"/>
        <w:rPr>
          <w:rFonts w:ascii="Arial" w:cs="Arial" w:eastAsia="Arial" w:hAnsi="Arial"/>
          <w:sz w:val="18"/>
          <w:szCs w:val="18"/>
          <w:b w:val="1"/>
          <w:bCs w:val="1"/>
          <w:color w:val="auto"/>
        </w:rPr>
      </w:pPr>
    </w:p>
    <w:p>
      <w:pPr>
        <w:spacing w:after="0" w:line="361" w:lineRule="exact"/>
        <w:rPr>
          <w:rFonts w:ascii="Arial" w:cs="Arial" w:eastAsia="Arial" w:hAnsi="Arial"/>
          <w:sz w:val="18"/>
          <w:szCs w:val="18"/>
          <w:b w:val="1"/>
          <w:bCs w:val="1"/>
          <w:color w:val="auto"/>
        </w:rPr>
      </w:pPr>
    </w:p>
    <w:p>
      <w:pPr>
        <w:ind w:left="332" w:right="1520" w:hanging="332"/>
        <w:spacing w:after="0" w:line="481"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4" w:lineRule="exact"/>
        <w:rPr>
          <w:rFonts w:ascii="MS PGothic" w:cs="MS PGothic" w:eastAsia="MS PGothic" w:hAnsi="MS PGothic"/>
          <w:sz w:val="18"/>
          <w:szCs w:val="18"/>
          <w:color w:val="auto"/>
        </w:rPr>
      </w:pPr>
    </w:p>
    <w:p>
      <w:pPr>
        <w:ind w:left="1052" w:hanging="323"/>
        <w:spacing w:after="0"/>
        <w:tabs>
          <w:tab w:leader="none" w:pos="105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-859155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4"/>
          <w:szCs w:val="24"/>
          <w:color w:val="auto"/>
        </w:rPr>
      </w:pPr>
    </w:p>
    <w:p>
      <w:pPr>
        <w:ind w:left="1052" w:hanging="323"/>
        <w:spacing w:after="0"/>
        <w:tabs>
          <w:tab w:leader="none" w:pos="10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1052" w:hanging="323"/>
        <w:spacing w:after="0"/>
        <w:tabs>
          <w:tab w:leader="none" w:pos="10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1052" w:hanging="323"/>
        <w:spacing w:after="0"/>
        <w:tabs>
          <w:tab w:leader="none" w:pos="10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052" w:hanging="323"/>
        <w:spacing w:after="0"/>
        <w:tabs>
          <w:tab w:leader="none" w:pos="10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25" w:lineRule="exact"/>
        <w:rPr>
          <w:rFonts w:ascii="Arial" w:cs="Arial" w:eastAsia="Arial" w:hAnsi="Arial"/>
          <w:sz w:val="18"/>
          <w:szCs w:val="18"/>
          <w:color w:val="auto"/>
        </w:rPr>
      </w:pPr>
    </w:p>
    <w:p>
      <w:pPr>
        <w:ind w:left="1052" w:hanging="323"/>
        <w:spacing w:after="0"/>
        <w:tabs>
          <w:tab w:leader="none" w:pos="1052"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52"/>
          </w:cols>
          <w:pgMar w:left="328" w:top="1048" w:right="919" w:bottom="56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0" w:firstLine="648"/>
        <w:spacing w:after="0" w:line="290" w:lineRule="auto"/>
        <w:rPr>
          <w:sz w:val="20"/>
          <w:szCs w:val="20"/>
          <w:color w:val="auto"/>
        </w:rPr>
      </w:pPr>
      <w:r>
        <w:rPr>
          <w:rFonts w:ascii="Arial" w:cs="Arial" w:eastAsia="Arial" w:hAnsi="Arial"/>
          <w:sz w:val="16"/>
          <w:szCs w:val="16"/>
          <w:color w:val="auto"/>
        </w:rPr>
        <w:t>This Amendment No. 2 (this “Amendment”) amends and supplements the Tender Offer Statement on Schedule TO filed by Scandinavian Acquisition Sub, Inc., a Delaware corporation (“Purchaser”) and a wholly owned subsidiary of Regeneron Pharmaceuticals, Inc., a New York corporation (“Regeneron”), with the U.S. Securities and Exchange Commission on May 2, 2022 (together with any subsequent amendments and supplements thereto, the “Schedule TO”). The Schedule TO relates to the offer by Purchaser to purchase all of the outstanding shares of common stock, par value $0.0001 per share (“Shares”), of Checkmate Pharmaceuticals, Inc., a Delaware corporation (“Checkmate”), at a price of $10.50 per share, to be paid to the seller in cash, without interest, and subject to reduction for any applicable withholding taxes, upon the terms and conditions set forth in the offer to purchase, dated May 2, 2022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6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 and Item 11</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information set forth in the Offer to Purchase under “The Tender Offer—Section 16—Certain Legal Matters; Regulatory Approvals” and Items 1 through 9 and Item 11 of the Schedule TO, to the extent such Items incorporate by reference the information contained in the Offer to Purchase, are hereby amended and supplemented by replacing in its entirety the subsection titled “Securityholder Litigation,” which was added to page 54 of the Offer to Purchase by Amendment No. 1 to the Tender Offer Statement on Schedule TO, filed on May 11, 2022, to read as follows: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Securityholder Litigation.</w:t>
      </w:r>
      <w:r>
        <w:rPr>
          <w:rFonts w:ascii="Arial" w:cs="Arial" w:eastAsia="Arial" w:hAnsi="Arial"/>
          <w:sz w:val="16"/>
          <w:szCs w:val="16"/>
          <w:color w:val="auto"/>
        </w:rPr>
        <w:t xml:space="preserve"> On May 5, 2022, a complaint was filed against Checkmate and the Checkmate Board of Directors by a purported Checkmate shareholder in the United States District Court for the Eastern District of New York captioned </w:t>
      </w:r>
      <w:r>
        <w:rPr>
          <w:rFonts w:ascii="Arial" w:cs="Arial" w:eastAsia="Arial" w:hAnsi="Arial"/>
          <w:sz w:val="16"/>
          <w:szCs w:val="16"/>
          <w:i w:val="1"/>
          <w:iCs w:val="1"/>
          <w:color w:val="auto"/>
        </w:rPr>
        <w:t>Hopkins</w:t>
      </w:r>
      <w:r>
        <w:rPr>
          <w:rFonts w:ascii="Arial" w:cs="Arial" w:eastAsia="Arial" w:hAnsi="Arial"/>
          <w:sz w:val="16"/>
          <w:szCs w:val="16"/>
          <w:color w:val="auto"/>
        </w:rPr>
        <w:t xml:space="preserve"> v. </w:t>
      </w:r>
      <w:r>
        <w:rPr>
          <w:rFonts w:ascii="Arial" w:cs="Arial" w:eastAsia="Arial" w:hAnsi="Arial"/>
          <w:sz w:val="16"/>
          <w:szCs w:val="16"/>
          <w:i w:val="1"/>
          <w:iCs w:val="1"/>
          <w:color w:val="auto"/>
        </w:rPr>
        <w:t>Checkmate Pharmaceuticals, Inc.</w:t>
      </w:r>
      <w:r>
        <w:rPr>
          <w:rFonts w:ascii="Arial" w:cs="Arial" w:eastAsia="Arial" w:hAnsi="Arial"/>
          <w:sz w:val="16"/>
          <w:szCs w:val="16"/>
          <w:color w:val="auto"/>
        </w:rPr>
        <w:t xml:space="preserve">, et al., 1:22-cv-02582. A similar complaint was filed in the same court on May 13, 2022 captioned </w:t>
      </w:r>
      <w:r>
        <w:rPr>
          <w:rFonts w:ascii="Arial" w:cs="Arial" w:eastAsia="Arial" w:hAnsi="Arial"/>
          <w:sz w:val="16"/>
          <w:szCs w:val="16"/>
          <w:i w:val="1"/>
          <w:iCs w:val="1"/>
          <w:color w:val="auto"/>
        </w:rPr>
        <w:t>Savage</w:t>
      </w:r>
      <w:r>
        <w:rPr>
          <w:rFonts w:ascii="Arial" w:cs="Arial" w:eastAsia="Arial" w:hAnsi="Arial"/>
          <w:sz w:val="16"/>
          <w:szCs w:val="16"/>
          <w:color w:val="auto"/>
        </w:rPr>
        <w:t xml:space="preserve"> v. </w:t>
      </w:r>
      <w:r>
        <w:rPr>
          <w:rFonts w:ascii="Arial" w:cs="Arial" w:eastAsia="Arial" w:hAnsi="Arial"/>
          <w:sz w:val="16"/>
          <w:szCs w:val="16"/>
          <w:i w:val="1"/>
          <w:iCs w:val="1"/>
          <w:color w:val="auto"/>
        </w:rPr>
        <w:t>Checkmate Pharmaceuticals, Inc.</w:t>
      </w:r>
      <w:r>
        <w:rPr>
          <w:rFonts w:ascii="Arial" w:cs="Arial" w:eastAsia="Arial" w:hAnsi="Arial"/>
          <w:sz w:val="16"/>
          <w:szCs w:val="16"/>
          <w:color w:val="auto"/>
        </w:rPr>
        <w:t xml:space="preserve">, et al., 1:22-cv-02823. On May 12, 2022, a similar complaint was filed in the United States District Court for the Eastern District of Pennsylvania captioned </w:t>
      </w:r>
      <w:r>
        <w:rPr>
          <w:rFonts w:ascii="Arial" w:cs="Arial" w:eastAsia="Arial" w:hAnsi="Arial"/>
          <w:sz w:val="16"/>
          <w:szCs w:val="16"/>
          <w:i w:val="1"/>
          <w:iCs w:val="1"/>
          <w:color w:val="auto"/>
        </w:rPr>
        <w:t>Whitfield</w:t>
      </w:r>
      <w:r>
        <w:rPr>
          <w:rFonts w:ascii="Arial" w:cs="Arial" w:eastAsia="Arial" w:hAnsi="Arial"/>
          <w:sz w:val="16"/>
          <w:szCs w:val="16"/>
          <w:color w:val="auto"/>
        </w:rPr>
        <w:t xml:space="preserve"> v. </w:t>
      </w:r>
      <w:r>
        <w:rPr>
          <w:rFonts w:ascii="Arial" w:cs="Arial" w:eastAsia="Arial" w:hAnsi="Arial"/>
          <w:sz w:val="16"/>
          <w:szCs w:val="16"/>
          <w:i w:val="1"/>
          <w:iCs w:val="1"/>
          <w:color w:val="auto"/>
        </w:rPr>
        <w:t>Checkmate Pharmaceuticals, Inc.</w:t>
      </w:r>
      <w:r>
        <w:rPr>
          <w:rFonts w:ascii="Arial" w:cs="Arial" w:eastAsia="Arial" w:hAnsi="Arial"/>
          <w:sz w:val="16"/>
          <w:szCs w:val="16"/>
          <w:color w:val="auto"/>
        </w:rPr>
        <w:t>, et al., 2:22-cv-01860. We refer to the foregoing cases collectively as the “Merger Actions.” The Merger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allege that the Schedule 14D-9 misrepresents and/or omits certain purportedly material information relating to financial projections, the analyses performed by Checkmate’s financial advisor in connection with the Merger and potential conflicts of interest of Checkmate’s officers and directors. The Merger Actions assert violations of Sections 14(d) and 14(e) of the Securities Exchange Act of 1934, and Rule 14d-9 promulgated thereunder, against all defendants (Checkmate and the Checkmate Board of Directors), and violations of Section 20(a) of the Exchange Act against Checkmate’s directors. The Merger Actions seek, among other things, an injunction enjoining the consummation of the Merger, costs of the action, including plaintiffs’ attorneys’ fees and experts’ fees, and other relief the court may deem just and proper. Checkmate has also received demand letters from purported Checkmate shareholders (which we refer to as the “Demands”) requesting that Checkmate provide additional disclosures in connection with the Merger. Checkmate believes the claims asserted in the Merger Actions and the Demands are without merit. Additional lawsuits may be filed against Checkmate, the Checkmate Board of Directors, Regeneron and/or Purchaser, and additional demand letters may be received, in connection with the transactions contemplated by the Merger Agreement, including the Offer and the Merger (which we refer to as the “Transactions”), the Schedule TO and the Schedule 14D-9.</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Checkmate believes that no supplemental disclosure is required under applicable laws and that the Schedule 14D-9 disclosed all material information required to be disclosed therein.” However, to avoid the risk that lawsuits may delay or otherwise adversely affect the Transactions and to minimize the expense of defending such actions, Checkmate voluntarily made certain supplemental disclosures related to the proposed Transactions, all of which are set forth in Checkmate's Amendment No. 2 to its Solicitation/Recommendation Statement on Schedule 14D-9, filed by Checkmate with the SEC on May 20, 2022.”</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Summary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Offer to Purchase under the caption SUMMARY TERM SHEET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Subject Company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1002</w:t>
      </w:r>
    </w:p>
    <w:p>
      <w:pPr>
        <w:spacing w:after="0" w:line="229" w:lineRule="exact"/>
        <w:rPr>
          <w:sz w:val="20"/>
          <w:szCs w:val="20"/>
          <w:color w:val="auto"/>
        </w:rPr>
      </w:pPr>
    </w:p>
    <w:p>
      <w:pPr>
        <w:ind w:left="1180" w:hanging="524"/>
        <w:spacing w:after="0"/>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Name and Address. </w:t>
      </w:r>
      <w:r>
        <w:rPr>
          <w:rFonts w:ascii="Arial" w:cs="Arial" w:eastAsia="Arial" w:hAnsi="Arial"/>
          <w:sz w:val="17"/>
          <w:szCs w:val="17"/>
          <w:color w:val="auto"/>
        </w:rPr>
        <w:t>The name, address, and telephone number of the subject company’s principal executive offices are as follows: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Checkmate Pharmaceuticals,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245 Main Street, 2nd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(617) 682-3625</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(b)-(c)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Trading Market and Price</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6 (“Price Range of Shares; Dividends”)</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Identity and Background of Filing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1003</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(a)-(c) </w:t>
      </w:r>
      <w:r>
        <w:rPr>
          <w:rFonts w:ascii="Arial" w:cs="Arial" w:eastAsia="Arial" w:hAnsi="Arial"/>
          <w:sz w:val="18"/>
          <w:szCs w:val="18"/>
          <w:i w:val="1"/>
          <w:iCs w:val="1"/>
          <w:color w:val="auto"/>
        </w:rPr>
        <w:t>Name and Address; Business and Background of Entities; and Business and Background of Natural Persons</w:t>
      </w:r>
      <w:r>
        <w:rPr>
          <w:rFonts w:ascii="Arial" w:cs="Arial" w:eastAsia="Arial" w:hAnsi="Arial"/>
          <w:sz w:val="18"/>
          <w:szCs w:val="18"/>
          <w:color w:val="auto"/>
        </w:rPr>
        <w:t>. The information set forth in the Offer to Purchase under the following 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8 (“Certain Information Concerning Regeneron and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 — Information Relating to Regeneron and Purchaser</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1004</w:t>
      </w:r>
    </w:p>
    <w:p>
      <w:pPr>
        <w:spacing w:after="0" w:line="229" w:lineRule="exact"/>
        <w:rPr>
          <w:sz w:val="20"/>
          <w:szCs w:val="20"/>
          <w:color w:val="auto"/>
        </w:rPr>
      </w:pPr>
    </w:p>
    <w:p>
      <w:pPr>
        <w:ind w:left="1180" w:hanging="52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Material Terms. </w:t>
      </w:r>
      <w:r>
        <w:rPr>
          <w:rFonts w:ascii="Arial" w:cs="Arial" w:eastAsia="Arial" w:hAnsi="Arial"/>
          <w:sz w:val="18"/>
          <w:szCs w:val="18"/>
          <w:color w:val="auto"/>
        </w:rPr>
        <w:t>The information set forth in the Offer to Purchase is incorporated herein by reference.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Past Contacts, Transactions, Negotiations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1005</w:t>
      </w:r>
    </w:p>
    <w:p>
      <w:pPr>
        <w:spacing w:after="0" w:line="229" w:lineRule="exact"/>
        <w:rPr>
          <w:sz w:val="20"/>
          <w:szCs w:val="20"/>
          <w:color w:val="auto"/>
        </w:rPr>
      </w:pPr>
    </w:p>
    <w:p>
      <w:pPr>
        <w:ind w:left="1180" w:hanging="524"/>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Transactions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Checkmate”)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ind w:left="1180" w:hanging="524"/>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Significant Corporate Events</w:t>
      </w:r>
      <w:r>
        <w:rPr>
          <w:rFonts w:ascii="Arial" w:cs="Arial" w:eastAsia="Arial" w:hAnsi="Arial"/>
          <w:sz w:val="16"/>
          <w:szCs w:val="16"/>
          <w:color w:val="auto"/>
        </w:rPr>
        <w:t>. The information set forth in the Offer to Purchase under the following captions is incorporated herein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Checkmate”)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Purposes of the Transaction and Plans or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1006</w:t>
      </w:r>
    </w:p>
    <w:p>
      <w:pPr>
        <w:spacing w:after="0" w:line="229" w:lineRule="exact"/>
        <w:rPr>
          <w:sz w:val="20"/>
          <w:szCs w:val="20"/>
          <w:color w:val="auto"/>
        </w:rPr>
      </w:pPr>
    </w:p>
    <w:p>
      <w:pPr>
        <w:ind w:left="660" w:right="680" w:hanging="4"/>
        <w:spacing w:after="0" w:line="500" w:lineRule="auto"/>
        <w:tabs>
          <w:tab w:leader="none" w:pos="117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Purposes</w:t>
      </w:r>
      <w:r>
        <w:rPr>
          <w:rFonts w:ascii="Arial" w:cs="Arial" w:eastAsia="Arial" w:hAnsi="Arial"/>
          <w:sz w:val="18"/>
          <w:szCs w:val="18"/>
          <w:color w:val="auto"/>
        </w:rPr>
        <w:t>. The information set forth in the Offer to Purchase under the following captions is incorporated herein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THE TENDER OFFER — Section 12 (“Purpose of the Offer; Plans for Checkmate”)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(1)-(7)  </w:t>
      </w:r>
      <w:r>
        <w:rPr>
          <w:rFonts w:ascii="Arial" w:cs="Arial" w:eastAsia="Arial" w:hAnsi="Arial"/>
          <w:sz w:val="17"/>
          <w:szCs w:val="17"/>
          <w:i w:val="1"/>
          <w:iCs w:val="1"/>
          <w:color w:val="auto"/>
        </w:rPr>
        <w:t>Plans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7"/>
          <w:szCs w:val="17"/>
          <w:color w:val="auto"/>
        </w:rPr>
      </w:pPr>
    </w:p>
    <w:p>
      <w:pPr>
        <w:ind w:left="660" w:right="1960"/>
        <w:spacing w:after="0" w:line="500" w:lineRule="auto"/>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Checkmate”) THE TENDER OFFER — Section 11 (“The Merger Agreement; Other Agreements”)</w:t>
      </w:r>
    </w:p>
    <w:p>
      <w:pPr>
        <w:spacing w:after="0" w:line="1" w:lineRule="exact"/>
        <w:rPr>
          <w:rFonts w:ascii="Arial" w:cs="Arial" w:eastAsia="Arial" w:hAnsi="Arial"/>
          <w:sz w:val="17"/>
          <w:szCs w:val="17"/>
          <w:color w:val="auto"/>
        </w:rPr>
      </w:pPr>
    </w:p>
    <w:p>
      <w:pPr>
        <w:ind w:left="660" w:right="4120"/>
        <w:spacing w:after="0" w:line="530" w:lineRule="auto"/>
        <w:rPr>
          <w:rFonts w:ascii="Arial" w:cs="Arial" w:eastAsia="Arial" w:hAnsi="Arial"/>
          <w:sz w:val="17"/>
          <w:szCs w:val="17"/>
          <w:color w:val="auto"/>
        </w:rPr>
      </w:pPr>
      <w:r>
        <w:rPr>
          <w:rFonts w:ascii="Arial" w:cs="Arial" w:eastAsia="Arial" w:hAnsi="Arial"/>
          <w:sz w:val="17"/>
          <w:szCs w:val="17"/>
          <w:color w:val="auto"/>
        </w:rPr>
        <w:t>THE TENDER OFFER — Section 12 (“Purpose of the Offer; Plans for Checkmate”) THE TENDER OFFER — Section 13 (“Certain Effects of the Offer”)</w:t>
      </w: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14 (“Dividends and Distributions”)</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1007</w:t>
      </w:r>
    </w:p>
    <w:p>
      <w:pPr>
        <w:spacing w:after="0" w:line="229" w:lineRule="exact"/>
        <w:rPr>
          <w:sz w:val="20"/>
          <w:szCs w:val="20"/>
          <w:color w:val="auto"/>
        </w:rPr>
      </w:pPr>
    </w:p>
    <w:p>
      <w:pPr>
        <w:ind w:left="1180" w:hanging="524"/>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Source of Funds</w:t>
      </w:r>
      <w:r>
        <w:rPr>
          <w:rFonts w:ascii="Arial" w:cs="Arial" w:eastAsia="Arial" w:hAnsi="Arial"/>
          <w:sz w:val="16"/>
          <w:szCs w:val="16"/>
          <w:color w:val="auto"/>
        </w:rPr>
        <w:t>. The information set forth in the Offer to Purchase under the following captions is incorporated herein by reference:</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TENDER OFFER — Section 10 (“Background of the Offer; Past Contacts or Negotiations with Checkmate”)</w:t>
      </w:r>
    </w:p>
    <w:p>
      <w:pPr>
        <w:spacing w:after="0" w:line="225" w:lineRule="exact"/>
        <w:rPr>
          <w:rFonts w:ascii="Arial" w:cs="Arial" w:eastAsia="Arial" w:hAnsi="Arial"/>
          <w:sz w:val="16"/>
          <w:szCs w:val="16"/>
          <w:color w:val="auto"/>
        </w:rPr>
      </w:pPr>
    </w:p>
    <w:p>
      <w:pPr>
        <w:ind w:left="1180" w:hanging="52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Conditions</w:t>
      </w:r>
      <w:r>
        <w:rPr>
          <w:rFonts w:ascii="Arial" w:cs="Arial" w:eastAsia="Arial" w:hAnsi="Arial"/>
          <w:sz w:val="18"/>
          <w:szCs w:val="18"/>
          <w:color w:val="auto"/>
        </w:rPr>
        <w:t>. The Offer is not subject to a financing condition.</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5" w:name="page6"/>
    <w:bookmarkEnd w:id="5"/>
    <w:p>
      <w:pPr>
        <w:ind w:left="1180" w:hanging="524"/>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Borrowed Funds</w:t>
      </w:r>
      <w:r>
        <w:rPr>
          <w:rFonts w:ascii="Arial" w:cs="Arial" w:eastAsia="Arial" w:hAnsi="Arial"/>
          <w:sz w:val="17"/>
          <w:szCs w:val="17"/>
          <w:color w:val="auto"/>
        </w:rPr>
        <w:t>. The information set forth in the Offer to Purchase under the following captions is incorporated herein by reference: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SUMMARY TERM SHEET</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9 (“Source and Amount of Funds”)</w:t>
      </w:r>
    </w:p>
    <w:p>
      <w:pPr>
        <w:spacing w:after="0" w:line="225" w:lineRule="exact"/>
        <w:rPr>
          <w:rFonts w:ascii="Arial" w:cs="Arial" w:eastAsia="Arial" w:hAnsi="Arial"/>
          <w:sz w:val="17"/>
          <w:szCs w:val="17"/>
          <w:color w:val="auto"/>
        </w:rPr>
      </w:pPr>
    </w:p>
    <w:p>
      <w:pPr>
        <w:ind w:left="660" w:right="2160"/>
        <w:spacing w:after="0" w:line="500" w:lineRule="auto"/>
        <w:rPr>
          <w:rFonts w:ascii="Arial" w:cs="Arial" w:eastAsia="Arial" w:hAnsi="Arial"/>
          <w:sz w:val="17"/>
          <w:szCs w:val="17"/>
          <w:color w:val="auto"/>
        </w:rPr>
      </w:pPr>
      <w:r>
        <w:rPr>
          <w:rFonts w:ascii="Arial" w:cs="Arial" w:eastAsia="Arial" w:hAnsi="Arial"/>
          <w:sz w:val="18"/>
          <w:szCs w:val="18"/>
          <w:color w:val="auto"/>
        </w:rPr>
        <w:t>THE TENDER OFFER — Section 10 (“Background of the Offer; Past Contacts or Negotiations with Checkmate”) THE TENDER OFFER — Section 11 (“The Merger Agreement; Other Agreements”)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TENDER OFFER — Section 15 (“Conditions of the Offer”)</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Interest in Securities of the Subject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1008</w:t>
      </w:r>
    </w:p>
    <w:p>
      <w:pPr>
        <w:spacing w:after="0" w:line="229" w:lineRule="exact"/>
        <w:rPr>
          <w:sz w:val="20"/>
          <w:szCs w:val="20"/>
          <w:color w:val="auto"/>
        </w:rPr>
      </w:pPr>
    </w:p>
    <w:p>
      <w:pPr>
        <w:ind w:left="660" w:hanging="4"/>
        <w:spacing w:after="0" w:line="500" w:lineRule="auto"/>
        <w:tabs>
          <w:tab w:leader="none" w:pos="117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Securities Ownership</w:t>
      </w:r>
      <w:r>
        <w:rPr>
          <w:rFonts w:ascii="Arial" w:cs="Arial" w:eastAsia="Arial" w:hAnsi="Arial"/>
          <w:sz w:val="18"/>
          <w:szCs w:val="18"/>
          <w:color w:val="auto"/>
        </w:rPr>
        <w:t>. The information set forth in the Offer to Purchase under the following captions is incorporated herein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THE TENDER OFFER — Section 8 (“Certain Information Concerning Regeneron and Purchaser”)</w:t>
      </w:r>
    </w:p>
    <w:p>
      <w:pPr>
        <w:spacing w:after="0" w:line="1" w:lineRule="exact"/>
        <w:rPr>
          <w:rFonts w:ascii="Arial" w:cs="Arial" w:eastAsia="Arial" w:hAnsi="Arial"/>
          <w:sz w:val="18"/>
          <w:szCs w:val="18"/>
          <w:color w:val="auto"/>
        </w:rPr>
      </w:pPr>
    </w:p>
    <w:p>
      <w:pPr>
        <w:jc w:val="both"/>
        <w:ind w:left="660" w:right="4260"/>
        <w:spacing w:after="0" w:line="563" w:lineRule="auto"/>
        <w:rPr>
          <w:rFonts w:ascii="Arial" w:cs="Arial" w:eastAsia="Arial" w:hAnsi="Arial"/>
          <w:sz w:val="18"/>
          <w:szCs w:val="18"/>
          <w:color w:val="auto"/>
        </w:rPr>
      </w:pPr>
      <w:r>
        <w:rPr>
          <w:rFonts w:ascii="Arial" w:cs="Arial" w:eastAsia="Arial" w:hAnsi="Arial"/>
          <w:sz w:val="16"/>
          <w:szCs w:val="16"/>
          <w:color w:val="auto"/>
        </w:rPr>
        <w:t>THE TENDER OFFER — Section 11 (“The Merger Agreement; Other Agreements”) THE TENDER OFFER — Section 12 (“Purpose of the Offer; Plans for Checkmate”) SCHEDULE I — Information Relating to Regeneron and Purchaser</w:t>
      </w:r>
    </w:p>
    <w:p>
      <w:pPr>
        <w:spacing w:after="0" w:line="1" w:lineRule="exact"/>
        <w:rPr>
          <w:rFonts w:ascii="Arial" w:cs="Arial" w:eastAsia="Arial" w:hAnsi="Arial"/>
          <w:sz w:val="18"/>
          <w:szCs w:val="18"/>
          <w:color w:val="auto"/>
        </w:rPr>
      </w:pPr>
    </w:p>
    <w:p>
      <w:pPr>
        <w:ind w:left="1180" w:hanging="52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Securities Transactions</w:t>
      </w:r>
      <w:r>
        <w:rPr>
          <w:rFonts w:ascii="Arial" w:cs="Arial" w:eastAsia="Arial" w:hAnsi="Arial"/>
          <w:sz w:val="18"/>
          <w:szCs w:val="18"/>
          <w:color w:val="auto"/>
        </w:rPr>
        <w:t>. None.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Persons/Assets Retained, Employed, Compensated or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1009</w:t>
      </w:r>
    </w:p>
    <w:p>
      <w:pPr>
        <w:spacing w:after="0" w:line="229" w:lineRule="exact"/>
        <w:rPr>
          <w:sz w:val="20"/>
          <w:szCs w:val="20"/>
          <w:color w:val="auto"/>
        </w:rPr>
      </w:pPr>
    </w:p>
    <w:p>
      <w:pPr>
        <w:ind w:left="1180" w:hanging="524"/>
        <w:spacing w:after="0"/>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Solicitations or Recommendations</w:t>
      </w:r>
      <w:r>
        <w:rPr>
          <w:rFonts w:ascii="Arial" w:cs="Arial" w:eastAsia="Arial" w:hAnsi="Arial"/>
          <w:sz w:val="16"/>
          <w:szCs w:val="16"/>
          <w:color w:val="auto"/>
        </w:rPr>
        <w:t>. The information set forth in the Offer to Purchase under the following captions is incorporated herein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reference: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3 (“Procedures for Accepting the Offer and Tendering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18 (“Fees and Expenses”)</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1010</w:t>
      </w:r>
    </w:p>
    <w:p>
      <w:pPr>
        <w:spacing w:after="0" w:line="229" w:lineRule="exact"/>
        <w:rPr>
          <w:sz w:val="20"/>
          <w:szCs w:val="20"/>
          <w:color w:val="auto"/>
        </w:rPr>
      </w:pPr>
    </w:p>
    <w:p>
      <w:pPr>
        <w:ind w:left="1180" w:hanging="52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Information</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Pro Forma Information</w:t>
      </w:r>
      <w:r>
        <w:rPr>
          <w:rFonts w:ascii="Arial" w:cs="Arial" w:eastAsia="Arial" w:hAnsi="Arial"/>
          <w:sz w:val="18"/>
          <w:szCs w:val="18"/>
          <w:color w:val="auto"/>
        </w:rPr>
        <w:t>. Not Applicable.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24" w:right="479" w:bottom="1440" w:gutter="0" w:footer="0" w:header="0"/>
        </w:sectPr>
      </w:pPr>
    </w:p>
    <w:bookmarkStart w:id="6" w:name="page7"/>
    <w:bookmarkEnd w:id="6"/>
    <w:p>
      <w:pPr>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M-A Item 1011</w:t>
      </w:r>
    </w:p>
    <w:p>
      <w:pPr>
        <w:spacing w:after="0" w:line="229" w:lineRule="exact"/>
        <w:rPr>
          <w:sz w:val="20"/>
          <w:szCs w:val="20"/>
          <w:color w:val="auto"/>
        </w:rPr>
      </w:pPr>
    </w:p>
    <w:p>
      <w:pPr>
        <w:ind w:right="20" w:firstLine="656"/>
        <w:spacing w:after="0" w:line="277"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w:t>
      </w:r>
      <w:r>
        <w:rPr>
          <w:rFonts w:ascii="Arial" w:cs="Arial" w:eastAsia="Arial" w:hAnsi="Arial"/>
          <w:sz w:val="18"/>
          <w:szCs w:val="18"/>
          <w:i w:val="1"/>
          <w:iCs w:val="1"/>
          <w:color w:val="auto"/>
        </w:rPr>
        <w:t xml:space="preserve"> Regulatory Requirements and Legal Proceedings</w:t>
      </w:r>
      <w:r>
        <w:rPr>
          <w:rFonts w:ascii="Arial" w:cs="Arial" w:eastAsia="Arial" w:hAnsi="Arial"/>
          <w:sz w:val="18"/>
          <w:szCs w:val="18"/>
          <w:color w:val="auto"/>
        </w:rPr>
        <w:t>. The information set forth in the Offer to Purchase under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captions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12 (“Purpose of the Offer; Plans for Checkmate”)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13 (“Certain Effects of the Offer”)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 Section 16 (“Certain Legal Matters; Regulatory Approvals”)</w:t>
      </w:r>
    </w:p>
    <w:p>
      <w:pPr>
        <w:spacing w:after="0" w:line="225" w:lineRule="exact"/>
        <w:rPr>
          <w:sz w:val="20"/>
          <w:szCs w:val="20"/>
          <w:color w:val="auto"/>
        </w:rPr>
      </w:pPr>
    </w:p>
    <w:p>
      <w:pPr>
        <w:ind w:left="1180" w:hanging="524"/>
        <w:spacing w:after="0"/>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Other Material Information</w:t>
      </w:r>
      <w:r>
        <w:rPr>
          <w:rFonts w:ascii="Arial" w:cs="Arial" w:eastAsia="Arial" w:hAnsi="Arial"/>
          <w:sz w:val="16"/>
          <w:szCs w:val="16"/>
          <w:color w:val="auto"/>
        </w:rPr>
        <w:t>. The information set forth in the Offer to Purchase and the Letter of Transmittal is incorporated herein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10100" w:type="dxa"/>
            <w:vAlign w:val="bottom"/>
            <w:gridSpan w:val="18"/>
          </w:tcPr>
          <w:p>
            <w:pPr>
              <w:ind w:left="80"/>
              <w:spacing w:after="0"/>
              <w:rPr>
                <w:sz w:val="20"/>
                <w:szCs w:val="20"/>
                <w:color w:val="auto"/>
              </w:rPr>
            </w:pPr>
            <w:r>
              <w:rPr>
                <w:rFonts w:ascii="Arial" w:cs="Arial" w:eastAsia="Arial" w:hAnsi="Arial"/>
                <w:sz w:val="18"/>
                <w:szCs w:val="18"/>
                <w:b w:val="1"/>
                <w:bCs w:val="1"/>
                <w:i w:val="1"/>
                <w:iCs w:val="1"/>
                <w:color w:val="auto"/>
              </w:rPr>
              <w:t>Exhibits.</w:t>
            </w:r>
          </w:p>
        </w:tc>
      </w:tr>
      <w:tr>
        <w:trPr>
          <w:trHeight w:val="432"/>
        </w:trPr>
        <w:tc>
          <w:tcPr>
            <w:tcW w:w="11240" w:type="dxa"/>
            <w:vAlign w:val="bottom"/>
            <w:gridSpan w:val="23"/>
          </w:tcPr>
          <w:p>
            <w:pPr>
              <w:spacing w:after="0"/>
              <w:rPr>
                <w:sz w:val="20"/>
                <w:szCs w:val="20"/>
                <w:color w:val="auto"/>
              </w:rPr>
            </w:pPr>
            <w:r>
              <w:rPr>
                <w:rFonts w:ascii="Arial" w:cs="Arial" w:eastAsia="Arial" w:hAnsi="Arial"/>
                <w:sz w:val="18"/>
                <w:szCs w:val="18"/>
                <w:b w:val="1"/>
                <w:bCs w:val="1"/>
                <w:color w:val="auto"/>
              </w:rPr>
              <w:t>Regulation M-A Item 1016</w:t>
            </w:r>
          </w:p>
        </w:tc>
      </w:tr>
      <w:tr>
        <w:trPr>
          <w:trHeight w:val="439"/>
        </w:trPr>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580" w:type="dxa"/>
            <w:vAlign w:val="bottom"/>
            <w:gridSpan w:val="14"/>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760" w:type="dxa"/>
            <w:vAlign w:val="bottom"/>
            <w:tcBorders>
              <w:top w:val="single" w:sz="8" w:color="auto"/>
              <w:bottom w:val="single" w:sz="8" w:color="0000EE"/>
            </w:tcBorders>
            <w:gridSpan w:val="3"/>
          </w:tcPr>
          <w:p>
            <w:pPr>
              <w:spacing w:after="0" w:line="176" w:lineRule="exact"/>
              <w:rPr>
                <w:rFonts w:ascii="Arial" w:cs="Arial" w:eastAsia="Arial" w:hAnsi="Arial"/>
                <w:sz w:val="18"/>
                <w:szCs w:val="18"/>
                <w:color w:val="0000EE"/>
                <w:w w:val="98"/>
              </w:rPr>
            </w:pPr>
            <w:hyperlink r:id="rId21">
              <w:r>
                <w:rPr>
                  <w:rFonts w:ascii="Arial" w:cs="Arial" w:eastAsia="Arial" w:hAnsi="Arial"/>
                  <w:sz w:val="18"/>
                  <w:szCs w:val="18"/>
                  <w:color w:val="0000EE"/>
                  <w:w w:val="98"/>
                </w:rPr>
                <w:t>(a)(1)(A)*</w:t>
              </w:r>
            </w:hyperlink>
          </w:p>
        </w:tc>
        <w:tc>
          <w:tcPr>
            <w:tcW w:w="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tcBorders>
              <w:top w:val="single" w:sz="8" w:color="auto"/>
              <w:bottom w:val="single" w:sz="8" w:color="0000EE"/>
            </w:tcBorders>
            <w:gridSpan w:val="3"/>
          </w:tcPr>
          <w:p>
            <w:pPr>
              <w:spacing w:after="0" w:line="176"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Offer to Purchase, dated May 2, 2022.</w:t>
              </w:r>
            </w:hyperlink>
          </w:p>
        </w:tc>
        <w:tc>
          <w:tcPr>
            <w:tcW w:w="7340" w:type="dxa"/>
            <w:vAlign w:val="bottom"/>
            <w:tcBorders>
              <w:top w:val="single" w:sz="8" w:color="auto"/>
            </w:tcBorders>
            <w:gridSpan w:val="15"/>
          </w:tcPr>
          <w:p>
            <w:pPr>
              <w:spacing w:after="0"/>
              <w:rPr>
                <w:sz w:val="15"/>
                <w:szCs w:val="15"/>
                <w:color w:val="auto"/>
              </w:rPr>
            </w:pPr>
          </w:p>
        </w:tc>
      </w:tr>
      <w:tr>
        <w:trPr>
          <w:trHeight w:val="412"/>
        </w:trPr>
        <w:tc>
          <w:tcPr>
            <w:tcW w:w="1140" w:type="dxa"/>
            <w:vAlign w:val="bottom"/>
            <w:gridSpan w:val="5"/>
          </w:tcPr>
          <w:p>
            <w:pPr>
              <w:spacing w:after="0"/>
              <w:rPr>
                <w:rFonts w:ascii="Arial" w:cs="Arial" w:eastAsia="Arial" w:hAnsi="Arial"/>
                <w:sz w:val="18"/>
                <w:szCs w:val="18"/>
                <w:color w:val="0000EE"/>
              </w:rPr>
            </w:pPr>
            <w:hyperlink r:id="rId22">
              <w:r>
                <w:rPr>
                  <w:rFonts w:ascii="Arial" w:cs="Arial" w:eastAsia="Arial" w:hAnsi="Arial"/>
                  <w:sz w:val="18"/>
                  <w:szCs w:val="18"/>
                  <w:color w:val="0000EE"/>
                </w:rPr>
                <w:t>(a)(1)(B)*</w:t>
              </w:r>
            </w:hyperlink>
          </w:p>
        </w:tc>
        <w:tc>
          <w:tcPr>
            <w:tcW w:w="10100" w:type="dxa"/>
            <w:vAlign w:val="bottom"/>
            <w:gridSpan w:val="18"/>
          </w:tcPr>
          <w:p>
            <w:pPr>
              <w:spacing w:after="0"/>
              <w:rPr>
                <w:rFonts w:ascii="Arial" w:cs="Arial" w:eastAsia="Arial" w:hAnsi="Arial"/>
                <w:sz w:val="18"/>
                <w:szCs w:val="18"/>
                <w:color w:val="0000EE"/>
              </w:rPr>
            </w:pPr>
            <w:hyperlink r:id="rId22">
              <w:r>
                <w:rPr>
                  <w:rFonts w:ascii="Arial" w:cs="Arial" w:eastAsia="Arial" w:hAnsi="Arial"/>
                  <w:sz w:val="18"/>
                  <w:szCs w:val="18"/>
                  <w:color w:val="0000EE"/>
                </w:rPr>
                <w:t>Letter of Transmittal.</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color w:val="0000EE"/>
              </w:rPr>
            </w:pPr>
            <w:hyperlink r:id="rId23">
              <w:r>
                <w:rPr>
                  <w:rFonts w:ascii="Arial" w:cs="Arial" w:eastAsia="Arial" w:hAnsi="Arial"/>
                  <w:sz w:val="18"/>
                  <w:szCs w:val="18"/>
                  <w:color w:val="0000EE"/>
                </w:rPr>
                <w:t>(a)(1)(C)*</w:t>
              </w:r>
            </w:hyperlink>
          </w:p>
        </w:tc>
        <w:tc>
          <w:tcPr>
            <w:tcW w:w="10100" w:type="dxa"/>
            <w:vAlign w:val="bottom"/>
            <w:gridSpan w:val="18"/>
          </w:tcPr>
          <w:p>
            <w:pPr>
              <w:spacing w:after="0"/>
              <w:rPr>
                <w:rFonts w:ascii="Arial" w:cs="Arial" w:eastAsia="Arial" w:hAnsi="Arial"/>
                <w:sz w:val="18"/>
                <w:szCs w:val="18"/>
                <w:color w:val="0000EE"/>
              </w:rPr>
            </w:pPr>
            <w:hyperlink r:id="rId23">
              <w:r>
                <w:rPr>
                  <w:rFonts w:ascii="Arial" w:cs="Arial" w:eastAsia="Arial" w:hAnsi="Arial"/>
                  <w:sz w:val="18"/>
                  <w:szCs w:val="18"/>
                  <w:color w:val="0000EE"/>
                </w:rPr>
                <w:t>Letter to Brokers, Dealers, Commercial Banks, Trust Companies and Other Nominees.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color w:val="0000EE"/>
                <w:w w:val="97"/>
              </w:rPr>
            </w:pPr>
            <w:hyperlink r:id="rId24">
              <w:r>
                <w:rPr>
                  <w:rFonts w:ascii="Arial" w:cs="Arial" w:eastAsia="Arial" w:hAnsi="Arial"/>
                  <w:sz w:val="18"/>
                  <w:szCs w:val="18"/>
                  <w:color w:val="0000EE"/>
                  <w:w w:val="97"/>
                </w:rPr>
                <w:t>(a)(1)(D)*</w:t>
              </w:r>
            </w:hyperlink>
          </w:p>
        </w:tc>
        <w:tc>
          <w:tcPr>
            <w:tcW w:w="380" w:type="dxa"/>
            <w:vAlign w:val="bottom"/>
            <w:gridSpan w:val="2"/>
          </w:tcPr>
          <w:p>
            <w:pPr>
              <w:spacing w:after="0"/>
              <w:rPr>
                <w:sz w:val="24"/>
                <w:szCs w:val="24"/>
                <w:color w:val="auto"/>
              </w:rPr>
            </w:pPr>
          </w:p>
        </w:tc>
        <w:tc>
          <w:tcPr>
            <w:tcW w:w="7620" w:type="dxa"/>
            <w:vAlign w:val="bottom"/>
            <w:tcBorders>
              <w:bottom w:val="single" w:sz="8" w:color="0000EE"/>
            </w:tcBorders>
            <w:gridSpan w:val="9"/>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Letter to Clients for Use by Brokers, Dealers, Commercial Banks, Trust Companies and Other Nominees.</w:t>
              </w:r>
            </w:hyperlink>
          </w:p>
        </w:tc>
        <w:tc>
          <w:tcPr>
            <w:tcW w:w="2480" w:type="dxa"/>
            <w:vAlign w:val="bottom"/>
            <w:gridSpan w:val="9"/>
          </w:tcPr>
          <w:p>
            <w:pPr>
              <w:spacing w:after="0"/>
              <w:rPr>
                <w:sz w:val="24"/>
                <w:szCs w:val="24"/>
                <w:color w:val="auto"/>
              </w:rPr>
            </w:pPr>
          </w:p>
        </w:tc>
      </w:tr>
      <w:tr>
        <w:trPr>
          <w:trHeight w:val="412"/>
        </w:trPr>
        <w:tc>
          <w:tcPr>
            <w:tcW w:w="1140" w:type="dxa"/>
            <w:vAlign w:val="bottom"/>
            <w:gridSpan w:val="5"/>
          </w:tcPr>
          <w:p>
            <w:pPr>
              <w:spacing w:after="0"/>
              <w:rPr>
                <w:rFonts w:ascii="Arial" w:cs="Arial" w:eastAsia="Arial" w:hAnsi="Arial"/>
                <w:sz w:val="18"/>
                <w:szCs w:val="18"/>
                <w:color w:val="0000EE"/>
              </w:rPr>
            </w:pPr>
            <w:hyperlink r:id="rId25">
              <w:r>
                <w:rPr>
                  <w:rFonts w:ascii="Arial" w:cs="Arial" w:eastAsia="Arial" w:hAnsi="Arial"/>
                  <w:sz w:val="18"/>
                  <w:szCs w:val="18"/>
                  <w:color w:val="0000EE"/>
                </w:rPr>
                <w:t>(a)(1)(E)*</w:t>
              </w:r>
            </w:hyperlink>
          </w:p>
        </w:tc>
        <w:tc>
          <w:tcPr>
            <w:tcW w:w="10100" w:type="dxa"/>
            <w:vAlign w:val="bottom"/>
            <w:gridSpan w:val="18"/>
          </w:tcPr>
          <w:p>
            <w:pPr>
              <w:spacing w:after="0"/>
              <w:rPr>
                <w:rFonts w:ascii="Arial" w:cs="Arial" w:eastAsia="Arial" w:hAnsi="Arial"/>
                <w:sz w:val="18"/>
                <w:szCs w:val="18"/>
                <w:color w:val="0000EE"/>
              </w:rPr>
            </w:pPr>
            <w:hyperlink r:id="rId25">
              <w:r>
                <w:rPr>
                  <w:rFonts w:ascii="Arial" w:cs="Arial" w:eastAsia="Arial" w:hAnsi="Arial"/>
                  <w:sz w:val="18"/>
                  <w:szCs w:val="18"/>
                  <w:color w:val="0000EE"/>
                </w:rPr>
                <w:t xml:space="preserve">Summary Advertisement as published in </w:t>
              </w:r>
              <w:r>
                <w:rPr>
                  <w:rFonts w:ascii="Arial" w:cs="Arial" w:eastAsia="Arial" w:hAnsi="Arial"/>
                  <w:sz w:val="18"/>
                  <w:szCs w:val="18"/>
                  <w:i w:val="1"/>
                  <w:iCs w:val="1"/>
                  <w:color w:val="0000EE"/>
                </w:rPr>
                <w:t>The New York Times</w:t>
              </w:r>
              <w:r>
                <w:rPr>
                  <w:rFonts w:ascii="Arial" w:cs="Arial" w:eastAsia="Arial" w:hAnsi="Arial"/>
                  <w:sz w:val="18"/>
                  <w:szCs w:val="18"/>
                  <w:color w:val="0000EE"/>
                </w:rPr>
                <w:t xml:space="preserve"> on May 2, 2022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color w:val="0000EE"/>
              </w:rPr>
            </w:pPr>
            <w:hyperlink r:id="rId26">
              <w:r>
                <w:rPr>
                  <w:rFonts w:ascii="Arial" w:cs="Arial" w:eastAsia="Arial" w:hAnsi="Arial"/>
                  <w:sz w:val="18"/>
                  <w:szCs w:val="18"/>
                  <w:color w:val="0000EE"/>
                </w:rPr>
                <w:t>(a)(1)(F)*</w:t>
              </w:r>
            </w:hyperlink>
          </w:p>
        </w:tc>
        <w:tc>
          <w:tcPr>
            <w:tcW w:w="10100" w:type="dxa"/>
            <w:vAlign w:val="bottom"/>
            <w:gridSpan w:val="18"/>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Joint Press Release issued by Regeneron Pharmaceuticals, Inc. and Checkmate Pharmaceuticals, Inc. on April 19, 2022 (incorporated by</w:t>
              </w:r>
            </w:hyperlink>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tcBorders>
            <w:gridSpan w:val="15"/>
          </w:tcPr>
          <w:p>
            <w:pPr>
              <w:spacing w:after="0" w:line="196" w:lineRule="exact"/>
              <w:rPr>
                <w:rFonts w:ascii="Arial" w:cs="Arial" w:eastAsia="Arial" w:hAnsi="Arial"/>
                <w:sz w:val="18"/>
                <w:szCs w:val="18"/>
                <w:color w:val="0000EE"/>
                <w:w w:val="96"/>
              </w:rPr>
            </w:pPr>
            <w:hyperlink r:id="rId26">
              <w:r>
                <w:rPr>
                  <w:rFonts w:ascii="Arial" w:cs="Arial" w:eastAsia="Arial" w:hAnsi="Arial"/>
                  <w:sz w:val="18"/>
                  <w:szCs w:val="18"/>
                  <w:color w:val="0000EE"/>
                  <w:w w:val="96"/>
                </w:rPr>
                <w:t>reference to Exhibit 99.1 to the Schedule TO-C filed by Regeneron Pharmaceuticals, Inc. with the U.S. Securities and Exchange</w:t>
              </w:r>
            </w:hyperlink>
          </w:p>
        </w:tc>
        <w:tc>
          <w:tcPr>
            <w:tcW w:w="280" w:type="dxa"/>
            <w:vAlign w:val="bottom"/>
            <w:gridSpan w:val="3"/>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Commission on April 19, 2022).</w:t>
              </w:r>
            </w:hyperlink>
          </w:p>
        </w:tc>
        <w:tc>
          <w:tcPr>
            <w:tcW w:w="880" w:type="dxa"/>
            <w:vAlign w:val="bottom"/>
            <w:gridSpan w:val="7"/>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60" w:type="dxa"/>
            <w:vAlign w:val="bottom"/>
            <w:gridSpan w:val="3"/>
          </w:tcPr>
          <w:p>
            <w:pPr>
              <w:spacing w:after="0"/>
              <w:rPr>
                <w:rFonts w:ascii="Arial" w:cs="Arial" w:eastAsia="Arial" w:hAnsi="Arial"/>
                <w:sz w:val="18"/>
                <w:szCs w:val="18"/>
                <w:color w:val="0000EE"/>
                <w:w w:val="96"/>
              </w:rPr>
            </w:pPr>
            <w:hyperlink r:id="rId27">
              <w:r>
                <w:rPr>
                  <w:rFonts w:ascii="Arial" w:cs="Arial" w:eastAsia="Arial" w:hAnsi="Arial"/>
                  <w:sz w:val="18"/>
                  <w:szCs w:val="18"/>
                  <w:color w:val="0000EE"/>
                  <w:w w:val="96"/>
                </w:rPr>
                <w:t>(a)(1)(G)*</w:t>
              </w:r>
            </w:hyperlink>
          </w:p>
        </w:tc>
        <w:tc>
          <w:tcPr>
            <w:tcW w:w="380" w:type="dxa"/>
            <w:vAlign w:val="bottom"/>
            <w:gridSpan w:val="2"/>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rPr>
            </w:pPr>
            <w:hyperlink r:id="rId27">
              <w:r>
                <w:rPr>
                  <w:rFonts w:ascii="Arial" w:cs="Arial" w:eastAsia="Arial" w:hAnsi="Arial"/>
                  <w:sz w:val="18"/>
                  <w:szCs w:val="18"/>
                  <w:color w:val="0000EE"/>
                </w:rPr>
                <w:t>Social Media Posts from April 19, 2022 (incorporated by reference to Exhibit 99.2 to the Schedule TO-C filed by Regeneron</w:t>
              </w:r>
            </w:hyperlink>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Pharmaceuticals, Inc. with the U.S. Securities and Exchange Commission on April 19, 2022).</w:t>
              </w:r>
            </w:hyperlink>
          </w:p>
        </w:tc>
        <w:tc>
          <w:tcPr>
            <w:tcW w:w="2240" w:type="dxa"/>
            <w:vAlign w:val="bottom"/>
            <w:tcBorders>
              <w:top w:val="single" w:sz="8" w:color="0000EE"/>
            </w:tcBorders>
            <w:gridSpan w:val="3"/>
          </w:tcPr>
          <w:p>
            <w:pPr>
              <w:spacing w:after="0"/>
              <w:rPr>
                <w:sz w:val="17"/>
                <w:szCs w:val="17"/>
                <w:color w:val="auto"/>
              </w:rPr>
            </w:pPr>
          </w:p>
        </w:tc>
        <w:tc>
          <w:tcPr>
            <w:tcW w:w="1120" w:type="dxa"/>
            <w:vAlign w:val="bottom"/>
            <w:gridSpan w:val="8"/>
          </w:tcPr>
          <w:p>
            <w:pPr>
              <w:spacing w:after="0"/>
              <w:rPr>
                <w:sz w:val="17"/>
                <w:szCs w:val="17"/>
                <w:color w:val="auto"/>
              </w:rPr>
            </w:pPr>
          </w:p>
        </w:tc>
      </w:tr>
      <w:tr>
        <w:trPr>
          <w:trHeight w:val="412"/>
        </w:trPr>
        <w:tc>
          <w:tcPr>
            <w:tcW w:w="520" w:type="dxa"/>
            <w:vAlign w:val="bottom"/>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(d)(1)*</w:t>
              </w:r>
            </w:hyperlink>
          </w:p>
        </w:tc>
        <w:tc>
          <w:tcPr>
            <w:tcW w:w="620" w:type="dxa"/>
            <w:vAlign w:val="bottom"/>
            <w:gridSpan w:val="4"/>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Agreement and Plan of Merger among Checkmate Pharmaceuticals, Inc., Regeneron Pharmaceuticals, Inc., and Scandinavian Acquisition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Sub, Inc., dated April 18, 2022 (incorporated by reference to Exhibit 2.1 to the Form 8-K filed by Checkmate Pharmaceuticals, Inc. with the</w:t>
              </w:r>
            </w:hyperlink>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U.S. Securities and Exchange Commission on April 19, 2022).</w:t>
              </w:r>
            </w:hyperlink>
          </w:p>
        </w:tc>
        <w:tc>
          <w:tcPr>
            <w:tcW w:w="5580" w:type="dxa"/>
            <w:vAlign w:val="bottom"/>
            <w:gridSpan w:val="14"/>
          </w:tcPr>
          <w:p>
            <w:pPr>
              <w:spacing w:after="0"/>
              <w:rPr>
                <w:sz w:val="17"/>
                <w:szCs w:val="17"/>
                <w:color w:val="auto"/>
              </w:rPr>
            </w:pPr>
          </w:p>
        </w:tc>
      </w:tr>
      <w:tr>
        <w:trPr>
          <w:trHeight w:val="412"/>
        </w:trPr>
        <w:tc>
          <w:tcPr>
            <w:tcW w:w="520" w:type="dxa"/>
            <w:vAlign w:val="bottom"/>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(d)(2)*</w:t>
              </w:r>
            </w:hyperlink>
          </w:p>
        </w:tc>
        <w:tc>
          <w:tcPr>
            <w:tcW w:w="620" w:type="dxa"/>
            <w:vAlign w:val="bottom"/>
            <w:gridSpan w:val="4"/>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6"/>
              </w:rPr>
            </w:pPr>
            <w:hyperlink r:id="rId29">
              <w:r>
                <w:rPr>
                  <w:rFonts w:ascii="Arial" w:cs="Arial" w:eastAsia="Arial" w:hAnsi="Arial"/>
                  <w:sz w:val="18"/>
                  <w:szCs w:val="18"/>
                  <w:color w:val="0000EE"/>
                  <w:w w:val="96"/>
                </w:rPr>
                <w:t>Confidentiality Agreement dated March 22, 2022, between Checkmate Pharmaceuticals, Inc. and Regeneron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600" w:type="dxa"/>
            <w:vAlign w:val="bottom"/>
            <w:gridSpan w:val="8"/>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(d)(3)*</w:t>
              </w:r>
            </w:hyperlink>
          </w:p>
        </w:tc>
        <w:tc>
          <w:tcPr>
            <w:tcW w:w="620" w:type="dxa"/>
            <w:vAlign w:val="bottom"/>
            <w:gridSpan w:val="4"/>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Tender and Support Agreement, dated as of April 18, 2022, by and among Regeneron Pharmaceuticals, Inc., Scandinavian Acquisition Sub,</w:t>
              </w:r>
            </w:hyperlink>
          </w:p>
        </w:tc>
      </w:tr>
      <w:tr>
        <w:trPr>
          <w:trHeight w:val="196"/>
        </w:trPr>
        <w:tc>
          <w:tcPr>
            <w:tcW w:w="5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Inc. and certain Stockholders of Checkmate Pharmaceuticals, Inc.(incorporated by reference to Exhibit 99.1 to the Form 8-K filed by</w:t>
              </w:r>
            </w:hyperlink>
          </w:p>
        </w:tc>
        <w:tc>
          <w:tcPr>
            <w:tcW w:w="4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Checkmate Pharmaceuticals, Inc. with the U.S. Securities and Exchange Commission on April 19, 2022).</w:t>
              </w:r>
            </w:hyperlink>
          </w:p>
        </w:tc>
        <w:tc>
          <w:tcPr>
            <w:tcW w:w="2500" w:type="dxa"/>
            <w:vAlign w:val="bottom"/>
            <w:gridSpan w:val="10"/>
          </w:tcPr>
          <w:p>
            <w:pPr>
              <w:spacing w:after="0"/>
              <w:rPr>
                <w:sz w:val="17"/>
                <w:szCs w:val="17"/>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7"/>
              </w:rPr>
            </w:pPr>
            <w:hyperlink r:id="rId31">
              <w:r>
                <w:rPr>
                  <w:rFonts w:ascii="Arial" w:cs="Arial" w:eastAsia="Arial" w:hAnsi="Arial"/>
                  <w:sz w:val="18"/>
                  <w:szCs w:val="18"/>
                  <w:color w:val="0000EE"/>
                  <w:w w:val="97"/>
                </w:rPr>
                <w:t>(d)(4)*</w:t>
              </w:r>
            </w:hyperlink>
          </w:p>
        </w:tc>
        <w:tc>
          <w:tcPr>
            <w:tcW w:w="620" w:type="dxa"/>
            <w:vAlign w:val="bottom"/>
            <w:gridSpan w:val="4"/>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Exclusivity Agreement, dated March 22, 2022, by and between Regeneron Pharmaceuticals, Inc. and Checkmate Pharmaceuticals, Inc.</w:t>
              </w:r>
            </w:hyperlink>
          </w:p>
        </w:tc>
        <w:tc>
          <w:tcPr>
            <w:tcW w:w="380" w:type="dxa"/>
            <w:vAlign w:val="bottom"/>
            <w:gridSpan w:val="4"/>
          </w:tcPr>
          <w:p>
            <w:pPr>
              <w:spacing w:after="0"/>
              <w:rPr>
                <w:sz w:val="24"/>
                <w:szCs w:val="24"/>
                <w:color w:val="auto"/>
              </w:rPr>
            </w:pPr>
          </w:p>
        </w:tc>
      </w:tr>
    </w:tbl>
    <w:p>
      <w:pPr>
        <w:spacing w:after="0" w:line="229" w:lineRule="exact"/>
        <w:rPr>
          <w:sz w:val="20"/>
          <w:szCs w:val="20"/>
          <w:color w:val="auto"/>
        </w:rPr>
      </w:pPr>
    </w:p>
    <w:p>
      <w:pPr>
        <w:ind w:left="1140" w:hanging="113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1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32">
        <w:r>
          <w:rPr>
            <w:rFonts w:ascii="Arial" w:cs="Arial" w:eastAsia="Arial" w:hAnsi="Arial"/>
            <w:sz w:val="18"/>
            <w:szCs w:val="18"/>
            <w:u w:val="single" w:color="auto"/>
            <w:color w:val="0000EE"/>
          </w:rPr>
          <w:t>Filing fee table</w:t>
        </w:r>
      </w:hyperlink>
    </w:p>
    <w:p>
      <w:pPr>
        <w:spacing w:after="0" w:line="22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Information Required by Schedule 13E-3.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After due inquiry and to the best of their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SCANDINAVIAN ACQUISITION SUB,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lvl w:ilvl="2">
      <w:lvlJc w:val="left"/>
      <w:lvlText w:val="(%3)"/>
      <w:numFmt w:val="decimal"/>
      <w:start w:val="212"/>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3"/>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4"/>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lowerLetter"/>
      <w:start w:val="7"/>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21" Type="http://schemas.openxmlformats.org/officeDocument/2006/relationships/hyperlink" Target="https://www.sec.gov/Archives/edgar/data/872589/000110465922054147/tm2213969d1_ex99-a1a.htm" TargetMode="External"/><Relationship Id="rId22" Type="http://schemas.openxmlformats.org/officeDocument/2006/relationships/hyperlink" Target="https://www.sec.gov/Archives/edgar/data/872589/000110465922054147/tm2213969d1_ex99-a1b.htm" TargetMode="External"/><Relationship Id="rId23" Type="http://schemas.openxmlformats.org/officeDocument/2006/relationships/hyperlink" Target="https://www.sec.gov/Archives/edgar/data/872589/000110465922054147/tm2213969d1_ex99-a1c.htm" TargetMode="External"/><Relationship Id="rId24" Type="http://schemas.openxmlformats.org/officeDocument/2006/relationships/hyperlink" Target="https://www.sec.gov/Archives/edgar/data/872589/000110465922054147/tm2213969d1_ex99-a1d.htm" TargetMode="External"/><Relationship Id="rId25" Type="http://schemas.openxmlformats.org/officeDocument/2006/relationships/hyperlink" Target="https://www.sec.gov/Archives/edgar/data/872589/000110465922054147/tm2213969d2_ex99-a1e.htm" TargetMode="External"/><Relationship Id="rId26" Type="http://schemas.openxmlformats.org/officeDocument/2006/relationships/hyperlink" Target="https://www.sec.gov/Archives/edgar/data/872589/000110465922047376/tm2213041d1_ex99-1.htm" TargetMode="External"/><Relationship Id="rId27" Type="http://schemas.openxmlformats.org/officeDocument/2006/relationships/hyperlink" Target="https://www.sec.gov/Archives/edgar/data/872589/000110465922047376/tm2213041d1_ex99-2.htm" TargetMode="External"/><Relationship Id="rId28" Type="http://schemas.openxmlformats.org/officeDocument/2006/relationships/hyperlink" Target="https://www.sec.gov/Archives/edgar/data/0001651431/000119312522109610/d345620dex21.htm" TargetMode="External"/><Relationship Id="rId29" Type="http://schemas.openxmlformats.org/officeDocument/2006/relationships/hyperlink" Target="https://www.sec.gov/Archives/edgar/data/872589/000110465922054147/tm2213969d2_ex99-d2.htm" TargetMode="External"/><Relationship Id="rId30" Type="http://schemas.openxmlformats.org/officeDocument/2006/relationships/hyperlink" Target="https://www.sec.gov/Archives/edgar/data/0001651431/000119312522109610/d345620dex991.htm" TargetMode="External"/><Relationship Id="rId31" Type="http://schemas.openxmlformats.org/officeDocument/2006/relationships/hyperlink" Target="https://www.sec.gov/Archives/edgar/data/872589/000110465922054147/tm2213969d2_ex99-d4.htm" TargetMode="External"/><Relationship Id="rId32" Type="http://schemas.openxmlformats.org/officeDocument/2006/relationships/hyperlink" Target="https://www.sec.gov/Archives/edgar/data/872589/000110465922054147/tm2213969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2022-05-20T15:42:02Z</dcterms:created>
  <dcterms:modified xsi:type="dcterms:W3CDTF">2022-05-20T15:42:02Z</dcterms:modified>
</cp:coreProperties>
</file>