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208915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227330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247015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December 22, 2014 (December 19, 2014)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234315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REGENERON PHARMACEUTICALS,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236220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(State or other jurisdiction of incorporation)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tbl>
      <w:tblPr>
        <w:tblLayout w:type="fixed"/>
        <w:tblInd w:w="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5620" w:type="dxa"/>
            <w:vAlign w:val="bottom"/>
          </w:tcPr>
          <w:p>
            <w:pPr>
              <w:jc w:val="center"/>
              <w:ind w:right="1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000-19034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1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13-3444607</w:t>
            </w:r>
          </w:p>
        </w:tc>
      </w:tr>
      <w:tr>
        <w:trPr>
          <w:trHeight w:val="149"/>
        </w:trPr>
        <w:tc>
          <w:tcPr>
            <w:tcW w:w="5620" w:type="dxa"/>
            <w:vAlign w:val="bottom"/>
          </w:tcPr>
          <w:p>
            <w:pPr>
              <w:jc w:val="center"/>
              <w:ind w:right="152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2"/>
              </w:rPr>
              <w:t>(Commission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152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(I.R.S. Employer</w:t>
            </w:r>
          </w:p>
        </w:tc>
      </w:tr>
      <w:tr>
        <w:trPr>
          <w:trHeight w:val="186"/>
        </w:trPr>
        <w:tc>
          <w:tcPr>
            <w:tcW w:w="5620" w:type="dxa"/>
            <w:vAlign w:val="bottom"/>
          </w:tcPr>
          <w:p>
            <w:pPr>
              <w:jc w:val="center"/>
              <w:ind w:right="1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File Number)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1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Identification No.)</w:t>
            </w:r>
          </w:p>
        </w:tc>
      </w:tr>
      <w:tr>
        <w:trPr>
          <w:trHeight w:val="408"/>
        </w:trPr>
        <w:tc>
          <w:tcPr>
            <w:tcW w:w="5620" w:type="dxa"/>
            <w:vAlign w:val="bottom"/>
          </w:tcPr>
          <w:p>
            <w:pPr>
              <w:jc w:val="center"/>
              <w:ind w:right="1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777 Old Saw Mill River Road, Tarrytown, New York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1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10591-6707</w:t>
            </w:r>
          </w:p>
        </w:tc>
      </w:tr>
      <w:tr>
        <w:trPr>
          <w:trHeight w:val="186"/>
        </w:trPr>
        <w:tc>
          <w:tcPr>
            <w:tcW w:w="5620" w:type="dxa"/>
            <w:vAlign w:val="bottom"/>
          </w:tcPr>
          <w:p>
            <w:pPr>
              <w:jc w:val="center"/>
              <w:ind w:right="1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(Address of principal executive offices)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1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(Zip Code)</w:t>
            </w:r>
          </w:p>
        </w:tc>
      </w:tr>
    </w:tbl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(914) 847-7000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240665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Instructions A.2. below):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203835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368" w:right="359" w:bottom="1440" w:gutter="0" w:footer="0" w:header="0"/>
        </w:sectPr>
      </w:pPr>
    </w:p>
    <w:bookmarkStart w:id="1" w:name="page2"/>
    <w:bookmarkEnd w:id="1"/>
    <w:p>
      <w:pPr>
        <w:ind w:left="1040" w:right="220" w:hanging="1025"/>
        <w:spacing w:after="0" w:line="282" w:lineRule="auto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5.02.</w:t>
        <w:tab/>
        <w:t>Departure of Directors or Certain Officers; Election of Directors; Appointment of Certain Officers; Compensatory Arrangements of Certain Officers.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firstLine="456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December 19, 2014, Regeneron Pharmaceuticals, Inc. (“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Regeneron</w:t>
      </w:r>
      <w:r>
        <w:rPr>
          <w:rFonts w:ascii="Arial" w:cs="Arial" w:eastAsia="Arial" w:hAnsi="Arial"/>
          <w:sz w:val="17"/>
          <w:szCs w:val="17"/>
          <w:color w:val="auto"/>
        </w:rPr>
        <w:t>” or 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7"/>
          <w:szCs w:val="17"/>
          <w:color w:val="auto"/>
        </w:rPr>
        <w:t>”) and Murray A. Goldberg, Senior Vice President, Administration and Assistant Secretary, agreed that Mr. Goldberg would resign as an officer of the Company effective March 31, 2015 and transition to a part-time employment with the Company effective April 1, 2015. Mr. Goldberg previously served as Regeneron’s Chief Financial Officer from March 1995 to October 2013. As a part-time employee, Mr. Goldberg will receive cash compensation based on the number of hours worked.</w:t>
      </w:r>
    </w:p>
    <w:p>
      <w:pPr>
        <w:sectPr>
          <w:pgSz w:w="11900" w:h="16838" w:orient="portrait"/>
          <w:cols w:equalWidth="0" w:num="1">
            <w:col w:w="11420"/>
          </w:cols>
          <w:pgMar w:left="240" w:top="270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80" w:firstLine="45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REGENERON PHARMACEUTICALS, INC.</w:t>
            </w:r>
          </w:p>
        </w:tc>
      </w:tr>
      <w:tr>
        <w:trPr>
          <w:trHeight w:val="43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Joseph J. LaRosa</w:t>
            </w:r>
          </w:p>
        </w:tc>
      </w:tr>
      <w:tr>
        <w:trPr>
          <w:trHeight w:val="19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Joseph J. LaRosa</w:t>
            </w:r>
          </w:p>
        </w:tc>
      </w:tr>
      <w:tr>
        <w:trPr>
          <w:trHeight w:val="2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December 22, 2014</w:t>
            </w:r>
          </w:p>
        </w:tc>
        <w:tc>
          <w:tcPr>
            <w:tcW w:w="5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President, General Counsel and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27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2019-12-06T03:58:25Z</dcterms:created>
  <dcterms:modified xsi:type="dcterms:W3CDTF">2019-12-06T03:58:25Z</dcterms:modified>
</cp:coreProperties>
</file>