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16, 2005  (December 12, 2005)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305435</wp:posOffset>
            </wp:positionV>
            <wp:extent cx="4725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4560" w:type="dxa"/>
            <w:vAlign w:val="bottom"/>
            <w:gridSpan w:val="6"/>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20" w:type="dxa"/>
            <w:vAlign w:val="bottom"/>
          </w:tcPr>
          <w:p>
            <w:pPr>
              <w:spacing w:after="0"/>
              <w:rPr>
                <w:sz w:val="20"/>
                <w:szCs w:val="20"/>
                <w:color w:val="auto"/>
              </w:rPr>
            </w:pPr>
          </w:p>
        </w:tc>
      </w:tr>
      <w:tr>
        <w:trPr>
          <w:trHeight w:val="439"/>
        </w:trPr>
        <w:tc>
          <w:tcPr>
            <w:tcW w:w="498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92"/>
              </w:rPr>
              <w:t>New York</w:t>
            </w:r>
          </w:p>
        </w:tc>
        <w:tc>
          <w:tcPr>
            <w:tcW w:w="24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0-19034</w:t>
            </w: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No. 13-3444607</w:t>
            </w:r>
          </w:p>
        </w:tc>
      </w:tr>
      <w:tr>
        <w:trPr>
          <w:trHeight w:val="215"/>
        </w:trPr>
        <w:tc>
          <w:tcPr>
            <w:tcW w:w="344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960" w:type="dxa"/>
            <w:vAlign w:val="bottom"/>
            <w:tcBorders>
              <w:top w:val="single" w:sz="8" w:color="808080"/>
            </w:tcBorders>
          </w:tcPr>
          <w:p>
            <w:pPr>
              <w:spacing w:after="0"/>
              <w:rPr>
                <w:sz w:val="18"/>
                <w:szCs w:val="18"/>
                <w:color w:val="auto"/>
              </w:rPr>
            </w:pPr>
          </w:p>
        </w:tc>
        <w:tc>
          <w:tcPr>
            <w:tcW w:w="2460" w:type="dxa"/>
            <w:vAlign w:val="bottom"/>
            <w:tcBorders>
              <w:top w:val="single" w:sz="8" w:color="808080"/>
            </w:tcBorders>
            <w:gridSpan w:val="3"/>
          </w:tcPr>
          <w:p>
            <w:pPr>
              <w:jc w:val="center"/>
              <w:ind w:right="960"/>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980" w:type="dxa"/>
            <w:vAlign w:val="bottom"/>
            <w:gridSpan w:val="3"/>
          </w:tcPr>
          <w:p>
            <w:pPr>
              <w:jc w:val="center"/>
              <w:ind w:right="1540"/>
              <w:spacing w:after="0"/>
              <w:rPr>
                <w:sz w:val="20"/>
                <w:szCs w:val="20"/>
                <w:color w:val="auto"/>
              </w:rPr>
            </w:pPr>
            <w:r>
              <w:rPr>
                <w:rFonts w:ascii="Arial" w:cs="Arial" w:eastAsia="Arial" w:hAnsi="Arial"/>
                <w:sz w:val="18"/>
                <w:szCs w:val="18"/>
                <w:color w:val="auto"/>
                <w:w w:val="94"/>
              </w:rPr>
              <w:t>incorporation)</w:t>
            </w:r>
          </w:p>
        </w:tc>
        <w:tc>
          <w:tcPr>
            <w:tcW w:w="3020" w:type="dxa"/>
            <w:vAlign w:val="bottom"/>
            <w:gridSpan w:val="4"/>
          </w:tcPr>
          <w:p>
            <w:pPr>
              <w:jc w:val="center"/>
              <w:ind w:right="1520"/>
              <w:spacing w:after="0"/>
              <w:rPr>
                <w:sz w:val="20"/>
                <w:szCs w:val="20"/>
                <w:color w:val="auto"/>
              </w:rPr>
            </w:pPr>
            <w:r>
              <w:rPr>
                <w:rFonts w:ascii="Arial" w:cs="Arial" w:eastAsia="Arial" w:hAnsi="Arial"/>
                <w:sz w:val="18"/>
                <w:szCs w:val="18"/>
                <w:color w:val="auto"/>
                <w:w w:val="94"/>
              </w:rPr>
              <w:t>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4980" w:type="dxa"/>
            <w:vAlign w:val="bottom"/>
            <w:tcBorders>
              <w:bottom w:val="single" w:sz="8" w:color="808080"/>
            </w:tcBorders>
            <w:gridSpan w:val="3"/>
          </w:tcPr>
          <w:p>
            <w:pPr>
              <w:jc w:val="center"/>
              <w:ind w:left="37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440" w:type="dxa"/>
            <w:vAlign w:val="bottom"/>
            <w:tcBorders>
              <w:bottom w:val="single" w:sz="8" w:color="808080"/>
            </w:tcBorders>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jc w:val="right"/>
              <w:ind w:right="2190"/>
              <w:spacing w:after="0"/>
              <w:rPr>
                <w:sz w:val="20"/>
                <w:szCs w:val="20"/>
                <w:color w:val="auto"/>
              </w:rPr>
            </w:pPr>
            <w:r>
              <w:rPr>
                <w:rFonts w:ascii="Arial" w:cs="Arial" w:eastAsia="Arial" w:hAnsi="Arial"/>
                <w:sz w:val="18"/>
                <w:szCs w:val="18"/>
                <w:b w:val="1"/>
                <w:bCs w:val="1"/>
                <w:color w:val="auto"/>
              </w:rPr>
              <w:t>10591-6707</w:t>
            </w:r>
          </w:p>
        </w:tc>
      </w:tr>
      <w:tr>
        <w:trPr>
          <w:trHeight w:val="230"/>
        </w:trPr>
        <w:tc>
          <w:tcPr>
            <w:tcW w:w="498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(914) 347-7000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126365</wp:posOffset>
            </wp:positionV>
            <wp:extent cx="8147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1.01 Entry into a Material Definitive Agreement</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EX-10.01: FORM OF OPTION AGREEMENT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EX-10.02: FORM OF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left="560" w:right="60"/>
        <w:spacing w:after="0" w:line="264" w:lineRule="auto"/>
        <w:rPr>
          <w:sz w:val="20"/>
          <w:szCs w:val="20"/>
          <w:color w:val="auto"/>
        </w:rPr>
      </w:pPr>
      <w:r>
        <w:rPr>
          <w:rFonts w:ascii="Arial" w:cs="Arial" w:eastAsia="Arial" w:hAnsi="Arial"/>
          <w:sz w:val="18"/>
          <w:szCs w:val="18"/>
          <w:color w:val="auto"/>
        </w:rPr>
        <w:t>On December 12, 2005, the Compensation Committee of the Registrant’s Board of Directors (the “Committee”) approved new option agreements to be used for the grant of non-qualified stock option awards to purchase shares of the Registrant’s common, stock, par value $0.001 per share, under the Registrant’s 2000 Long-Term Incentive Plan.</w:t>
      </w:r>
    </w:p>
    <w:p>
      <w:pPr>
        <w:spacing w:after="0" w:line="181" w:lineRule="exact"/>
        <w:rPr>
          <w:sz w:val="20"/>
          <w:szCs w:val="20"/>
          <w:color w:val="auto"/>
        </w:rPr>
      </w:pPr>
    </w:p>
    <w:p>
      <w:pPr>
        <w:ind w:left="560" w:right="20"/>
        <w:spacing w:after="0" w:line="297" w:lineRule="auto"/>
        <w:rPr>
          <w:sz w:val="20"/>
          <w:szCs w:val="20"/>
          <w:color w:val="auto"/>
        </w:rPr>
      </w:pPr>
      <w:r>
        <w:rPr>
          <w:rFonts w:ascii="Arial" w:cs="Arial" w:eastAsia="Arial" w:hAnsi="Arial"/>
          <w:sz w:val="16"/>
          <w:szCs w:val="16"/>
          <w:color w:val="auto"/>
        </w:rPr>
        <w:t>The form of option agreement and related notice of grant approved by the Committee for use in connection with the grant of non-qualified stock options to the Registrant’s “named executive officers” (as such term is defined in Item 402(a)(3) of Regulation S-K under the Securities and Exchange Act of 1933, as amended), chairman, and non-employee directors is attached hereto as Exhibit 10.01 and incorporated herein by reference. The form of option agreement and related notice of grant approved by the Committee for use in connection with the grant of non-qualified stock options to the Registrant’s executive officers, other than the named executive officers, is attached hereto as Exhibit 10.02 and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ind w:left="920" w:hanging="237"/>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580" w:type="dxa"/>
            <w:vAlign w:val="bottom"/>
          </w:tcPr>
          <w:p>
            <w:pPr>
              <w:spacing w:after="0"/>
              <w:rPr>
                <w:sz w:val="16"/>
                <w:szCs w:val="16"/>
                <w:color w:val="auto"/>
              </w:rPr>
            </w:pPr>
          </w:p>
        </w:tc>
        <w:tc>
          <w:tcPr>
            <w:tcW w:w="9120" w:type="dxa"/>
            <w:vAlign w:val="bottom"/>
          </w:tcPr>
          <w:p>
            <w:pPr>
              <w:ind w:left="420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17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120" w:type="dxa"/>
            <w:vAlign w:val="bottom"/>
            <w:tcBorders>
              <w:bottom w:val="single" w:sz="8" w:color="808080"/>
            </w:tcBorders>
          </w:tcPr>
          <w:p>
            <w:pPr>
              <w:spacing w:after="0"/>
              <w:rPr>
                <w:sz w:val="4"/>
                <w:szCs w:val="4"/>
                <w:color w:val="auto"/>
              </w:rPr>
            </w:pPr>
          </w:p>
        </w:tc>
      </w:tr>
      <w:tr>
        <w:trPr>
          <w:trHeight w:val="276"/>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10.01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1"/>
              </w:rPr>
              <w:t>Form of option agreement and related notice of grant for use in connection with the grant of non-qualified stock options to the</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Registrant’s non-employee directors and named executive officers.</w:t>
            </w:r>
          </w:p>
        </w:tc>
      </w:tr>
      <w:tr>
        <w:trPr>
          <w:trHeight w:val="418"/>
        </w:trPr>
        <w:tc>
          <w:tcPr>
            <w:tcW w:w="1720" w:type="dxa"/>
            <w:vAlign w:val="bottom"/>
          </w:tcPr>
          <w:p>
            <w:pPr>
              <w:jc w:val="center"/>
              <w:spacing w:after="0"/>
              <w:rPr>
                <w:sz w:val="20"/>
                <w:szCs w:val="20"/>
                <w:color w:val="auto"/>
              </w:rPr>
            </w:pPr>
            <w:r>
              <w:rPr>
                <w:rFonts w:ascii="Arial" w:cs="Arial" w:eastAsia="Arial" w:hAnsi="Arial"/>
                <w:sz w:val="18"/>
                <w:szCs w:val="18"/>
                <w:color w:val="auto"/>
                <w:w w:val="88"/>
              </w:rPr>
              <w:t>10.02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1"/>
              </w:rPr>
              <w:t>Form of option agreement and related notice of grant for use in connection with the grant of non-qualified stock options to the</w:t>
            </w:r>
          </w:p>
        </w:tc>
      </w:tr>
      <w:tr>
        <w:trPr>
          <w:trHeight w:val="230"/>
        </w:trPr>
        <w:tc>
          <w:tcPr>
            <w:tcW w:w="1720" w:type="dxa"/>
            <w:vAlign w:val="bottom"/>
          </w:tcPr>
          <w:p>
            <w:pPr>
              <w:spacing w:after="0"/>
              <w:rPr>
                <w:sz w:val="20"/>
                <w:szCs w:val="20"/>
                <w:color w:val="auto"/>
              </w:rPr>
            </w:pP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Registrant’s executive officers other than the named executive officers.</w:t>
            </w:r>
          </w:p>
        </w:tc>
      </w:tr>
      <w:tr>
        <w:trPr>
          <w:trHeight w:val="392"/>
        </w:trPr>
        <w:tc>
          <w:tcPr>
            <w:tcW w:w="1720" w:type="dxa"/>
            <w:vAlign w:val="bottom"/>
          </w:tcPr>
          <w:p>
            <w:pPr>
              <w:spacing w:after="0"/>
              <w:rPr>
                <w:sz w:val="24"/>
                <w:szCs w:val="24"/>
                <w:color w:val="auto"/>
              </w:rPr>
            </w:pPr>
          </w:p>
        </w:tc>
        <w:tc>
          <w:tcPr>
            <w:tcW w:w="9700" w:type="dxa"/>
            <w:vAlign w:val="bottom"/>
            <w:gridSpan w:val="2"/>
          </w:tcPr>
          <w:p>
            <w:pPr>
              <w:ind w:left="3940"/>
              <w:spacing w:after="0"/>
              <w:rPr>
                <w:sz w:val="20"/>
                <w:szCs w:val="20"/>
                <w:color w:val="auto"/>
              </w:rPr>
            </w:pPr>
            <w:r>
              <w:rPr>
                <w:rFonts w:ascii="Arial" w:cs="Arial" w:eastAsia="Arial" w:hAnsi="Arial"/>
                <w:sz w:val="18"/>
                <w:szCs w:val="18"/>
                <w:color w:val="auto"/>
              </w:rPr>
              <w:t>2</w:t>
            </w:r>
          </w:p>
        </w:tc>
      </w:tr>
      <w:tr>
        <w:trPr>
          <w:trHeight w:val="226"/>
        </w:trPr>
        <w:tc>
          <w:tcPr>
            <w:tcW w:w="17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220" w:val="left"/>
          <w:tab w:leader="none" w:pos="5700" w:val="left"/>
        </w:tabs>
        <w:rPr>
          <w:sz w:val="20"/>
          <w:szCs w:val="20"/>
          <w:color w:val="auto"/>
        </w:rPr>
      </w:pPr>
      <w:r>
        <w:rPr>
          <w:rFonts w:ascii="Arial" w:cs="Arial" w:eastAsia="Arial" w:hAnsi="Arial"/>
          <w:sz w:val="18"/>
          <w:szCs w:val="18"/>
          <w:color w:val="auto"/>
        </w:rPr>
        <w:t>Dated: December 16,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05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Stuart Kolinski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&amp; General Counsel</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569"/>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24"/>
                <w:szCs w:val="24"/>
                <w:color w:val="auto"/>
              </w:rPr>
            </w:pP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9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920" w:type="dxa"/>
            <w:vAlign w:val="bottom"/>
            <w:tcBorders>
              <w:bottom w:val="single" w:sz="8" w:color="808080"/>
            </w:tcBorders>
          </w:tcPr>
          <w:p>
            <w:pPr>
              <w:spacing w:after="0"/>
              <w:rPr>
                <w:sz w:val="4"/>
                <w:szCs w:val="4"/>
                <w:color w:val="auto"/>
              </w:rPr>
            </w:pPr>
          </w:p>
        </w:tc>
      </w:tr>
      <w:tr>
        <w:trPr>
          <w:trHeight w:val="27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10.01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9"/>
              </w:rPr>
              <w:t>Form of option agreement and related notice of grant for use in connection with the grant of non-qualified stock options to the</w:t>
            </w: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Registrant’s non-employee directors and named executive officers.</w:t>
            </w: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10.02</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w w:val="99"/>
              </w:rPr>
              <w:t>Form of option agreement and related notice of grant for use in connection with the grant of non-qualified stock options to the</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Registrant’s executive officers other than the named executive officers.</w:t>
            </w:r>
          </w:p>
        </w:tc>
      </w:tr>
      <w:tr>
        <w:trPr>
          <w:trHeight w:val="392"/>
        </w:trPr>
        <w:tc>
          <w:tcPr>
            <w:tcW w:w="920" w:type="dxa"/>
            <w:vAlign w:val="bottom"/>
          </w:tcPr>
          <w:p>
            <w:pPr>
              <w:spacing w:after="0"/>
              <w:rPr>
                <w:sz w:val="24"/>
                <w:szCs w:val="24"/>
                <w:color w:val="auto"/>
              </w:rPr>
            </w:pPr>
          </w:p>
        </w:tc>
        <w:tc>
          <w:tcPr>
            <w:tcW w:w="10500" w:type="dxa"/>
            <w:vAlign w:val="bottom"/>
            <w:gridSpan w:val="2"/>
          </w:tcPr>
          <w:p>
            <w:pPr>
              <w:ind w:left="474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10.01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Option Agreement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Options for Directors and Named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Regeneron Pharmaceuticals, Inc.</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3320" w:type="dxa"/>
            <w:vAlign w:val="bottom"/>
            <w:gridSpan w:val="4"/>
          </w:tcPr>
          <w:p>
            <w:pPr>
              <w:ind w:left="780"/>
              <w:spacing w:after="0"/>
              <w:rPr>
                <w:sz w:val="20"/>
                <w:szCs w:val="20"/>
                <w:color w:val="auto"/>
              </w:rPr>
            </w:pPr>
            <w:r>
              <w:rPr>
                <w:rFonts w:ascii="Arial" w:cs="Arial" w:eastAsia="Arial" w:hAnsi="Arial"/>
                <w:sz w:val="18"/>
                <w:szCs w:val="18"/>
                <w:b w:val="1"/>
                <w:bCs w:val="1"/>
                <w:color w:val="auto"/>
                <w:w w:val="88"/>
              </w:rPr>
              <w:t>Regeneron Pharmaceuticals, Inc.</w:t>
            </w:r>
          </w:p>
        </w:tc>
      </w:tr>
      <w:tr>
        <w:trPr>
          <w:trHeight w:val="216"/>
        </w:trPr>
        <w:tc>
          <w:tcPr>
            <w:tcW w:w="3340" w:type="dxa"/>
            <w:vAlign w:val="bottom"/>
          </w:tcPr>
          <w:p>
            <w:pPr>
              <w:spacing w:after="0"/>
              <w:rPr>
                <w:sz w:val="18"/>
                <w:szCs w:val="18"/>
                <w:color w:val="auto"/>
              </w:rPr>
            </w:pPr>
          </w:p>
        </w:tc>
        <w:tc>
          <w:tcPr>
            <w:tcW w:w="1400" w:type="dxa"/>
            <w:vAlign w:val="bottom"/>
          </w:tcPr>
          <w:p>
            <w:pPr>
              <w:ind w:left="78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3320" w:type="dxa"/>
            <w:vAlign w:val="bottom"/>
            <w:gridSpan w:val="4"/>
          </w:tcPr>
          <w:p>
            <w:pPr>
              <w:ind w:left="780"/>
              <w:spacing w:after="0"/>
              <w:rPr>
                <w:sz w:val="20"/>
                <w:szCs w:val="20"/>
                <w:color w:val="auto"/>
              </w:rPr>
            </w:pPr>
            <w:r>
              <w:rPr>
                <w:rFonts w:ascii="Arial" w:cs="Arial" w:eastAsia="Arial" w:hAnsi="Arial"/>
                <w:sz w:val="18"/>
                <w:szCs w:val="18"/>
                <w:b w:val="1"/>
                <w:bCs w:val="1"/>
                <w:color w:val="auto"/>
              </w:rPr>
              <w:t>777 Old Saw Mill River Road</w:t>
            </w: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Option Agreement for</w:t>
            </w:r>
          </w:p>
        </w:tc>
        <w:tc>
          <w:tcPr>
            <w:tcW w:w="3320" w:type="dxa"/>
            <w:vAlign w:val="bottom"/>
            <w:gridSpan w:val="4"/>
          </w:tcPr>
          <w:p>
            <w:pPr>
              <w:ind w:left="780"/>
              <w:spacing w:after="0"/>
              <w:rPr>
                <w:sz w:val="20"/>
                <w:szCs w:val="20"/>
                <w:color w:val="auto"/>
              </w:rPr>
            </w:pPr>
            <w:r>
              <w:rPr>
                <w:rFonts w:ascii="Arial" w:cs="Arial" w:eastAsia="Arial" w:hAnsi="Arial"/>
                <w:sz w:val="18"/>
                <w:szCs w:val="18"/>
                <w:b w:val="1"/>
                <w:bCs w:val="1"/>
                <w:color w:val="auto"/>
              </w:rPr>
              <w:t>Tarrytown, New York 10591</w:t>
            </w:r>
          </w:p>
        </w:tc>
      </w:t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1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14"/>
        </w:trPr>
        <w:tc>
          <w:tcPr>
            <w:tcW w:w="334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2280" w:type="dxa"/>
            <w:vAlign w:val="bottom"/>
            <w:gridSpan w:val="2"/>
          </w:tcPr>
          <w:p>
            <w:pPr>
              <w:ind w:left="780"/>
              <w:spacing w:after="0"/>
              <w:rPr>
                <w:sz w:val="20"/>
                <w:szCs w:val="20"/>
                <w:color w:val="auto"/>
              </w:rPr>
            </w:pPr>
            <w:r>
              <w:rPr>
                <w:rFonts w:ascii="Arial" w:cs="Arial" w:eastAsia="Arial" w:hAnsi="Arial"/>
                <w:sz w:val="18"/>
                <w:szCs w:val="18"/>
                <w:b w:val="1"/>
                <w:bCs w:val="1"/>
                <w:color w:val="auto"/>
                <w:w w:val="99"/>
              </w:rPr>
              <w:t>Option Number: [</w:t>
            </w: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4"/>
                <w:szCs w:val="24"/>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[OPTIONEE ADDRESS]</w:t>
            </w:r>
          </w:p>
        </w:tc>
        <w:tc>
          <w:tcPr>
            <w:tcW w:w="1400" w:type="dxa"/>
            <w:vAlign w:val="bottom"/>
          </w:tcPr>
          <w:p>
            <w:pPr>
              <w:ind w:left="780"/>
              <w:spacing w:after="0"/>
              <w:rPr>
                <w:sz w:val="20"/>
                <w:szCs w:val="20"/>
                <w:color w:val="auto"/>
              </w:rPr>
            </w:pPr>
            <w:r>
              <w:rPr>
                <w:rFonts w:ascii="Arial" w:cs="Arial" w:eastAsia="Arial" w:hAnsi="Arial"/>
                <w:sz w:val="18"/>
                <w:szCs w:val="18"/>
                <w:b w:val="1"/>
                <w:bCs w:val="1"/>
                <w:color w:val="auto"/>
              </w:rPr>
              <w:t>Plan:</w:t>
            </w:r>
          </w:p>
        </w:tc>
        <w:tc>
          <w:tcPr>
            <w:tcW w:w="880" w:type="dxa"/>
            <w:vAlign w:val="bottom"/>
          </w:tcPr>
          <w:p>
            <w:pPr>
              <w:spacing w:after="0"/>
              <w:rPr>
                <w:sz w:val="18"/>
                <w:szCs w:val="18"/>
                <w:color w:val="auto"/>
              </w:rPr>
            </w:pPr>
          </w:p>
        </w:tc>
        <w:tc>
          <w:tcPr>
            <w:tcW w:w="520" w:type="dxa"/>
            <w:vAlign w:val="bottom"/>
          </w:tcPr>
          <w:p>
            <w:pPr>
              <w:ind w:left="80"/>
              <w:spacing w:after="0"/>
              <w:rPr>
                <w:sz w:val="20"/>
                <w:szCs w:val="20"/>
                <w:color w:val="auto"/>
              </w:rPr>
            </w:pPr>
            <w:r>
              <w:rPr>
                <w:rFonts w:ascii="Arial" w:cs="Arial" w:eastAsia="Arial" w:hAnsi="Arial"/>
                <w:sz w:val="18"/>
                <w:szCs w:val="18"/>
                <w:b w:val="1"/>
                <w:bCs w:val="1"/>
                <w:color w:val="auto"/>
              </w:rPr>
              <w:t>2005</w:t>
            </w:r>
          </w:p>
        </w:tc>
        <w:tc>
          <w:tcPr>
            <w:tcW w:w="52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400" w:type="dxa"/>
            <w:vAlign w:val="bottom"/>
          </w:tcPr>
          <w:p>
            <w:pPr>
              <w:ind w:left="780"/>
              <w:spacing w:after="0"/>
              <w:rPr>
                <w:sz w:val="20"/>
                <w:szCs w:val="20"/>
                <w:color w:val="auto"/>
              </w:rPr>
            </w:pPr>
            <w:r>
              <w:rPr>
                <w:rFonts w:ascii="Arial" w:cs="Arial" w:eastAsia="Arial" w:hAnsi="Arial"/>
                <w:sz w:val="18"/>
                <w:szCs w:val="18"/>
                <w:b w:val="1"/>
                <w:bCs w:val="1"/>
                <w:color w:val="auto"/>
              </w:rPr>
              <w:t>ID</w:t>
            </w:r>
          </w:p>
        </w:tc>
        <w:tc>
          <w:tcPr>
            <w:tcW w:w="880" w:type="dxa"/>
            <w:vAlign w:val="bottom"/>
          </w:tcPr>
          <w:p>
            <w:pPr>
              <w:spacing w:after="0"/>
              <w:rPr>
                <w:sz w:val="20"/>
                <w:szCs w:val="20"/>
                <w:color w:val="auto"/>
              </w:rPr>
            </w:pPr>
          </w:p>
        </w:tc>
        <w:tc>
          <w:tcPr>
            <w:tcW w:w="52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r>
    </w:tbl>
    <w:p>
      <w:pPr>
        <w:spacing w:after="0" w:line="16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Effective &lt;date&gt; (the Grant Date) you have been granted a Non-Qualified Stock Option to buy [ ] shares of Regeneron Pharmaceuticals, Inc. (the Company) stock at [$ ] per share.</w:t>
      </w:r>
    </w:p>
    <w:p>
      <w:pPr>
        <w:spacing w:after="0" w:line="143" w:lineRule="exact"/>
        <w:rPr>
          <w:sz w:val="20"/>
          <w:szCs w:val="20"/>
          <w:color w:val="auto"/>
        </w:rPr>
      </w:pPr>
    </w:p>
    <w:p>
      <w:pPr>
        <w:spacing w:after="0"/>
        <w:tabs>
          <w:tab w:leader="none" w:pos="3660" w:val="left"/>
        </w:tabs>
        <w:rPr>
          <w:sz w:val="20"/>
          <w:szCs w:val="20"/>
          <w:color w:val="auto"/>
        </w:rPr>
      </w:pPr>
      <w:r>
        <w:rPr>
          <w:rFonts w:ascii="Arial" w:cs="Arial" w:eastAsia="Arial" w:hAnsi="Arial"/>
          <w:sz w:val="17"/>
          <w:szCs w:val="17"/>
          <w:color w:val="auto"/>
        </w:rPr>
        <w:t>The total option price of the shares granted is [$</w:t>
      </w:r>
      <w:r>
        <w:rPr>
          <w:sz w:val="20"/>
          <w:szCs w:val="20"/>
          <w:color w:val="auto"/>
        </w:rPr>
        <w:tab/>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6"/>
                <w:szCs w:val="16"/>
                <w:color w:val="auto"/>
              </w:rPr>
            </w:pPr>
          </w:p>
        </w:tc>
        <w:tc>
          <w:tcPr>
            <w:tcW w:w="1820" w:type="dxa"/>
            <w:vAlign w:val="bottom"/>
          </w:tcPr>
          <w:p>
            <w:pPr>
              <w:ind w:left="600"/>
              <w:spacing w:after="0"/>
              <w:rPr>
                <w:sz w:val="20"/>
                <w:szCs w:val="20"/>
                <w:color w:val="auto"/>
              </w:rPr>
            </w:pPr>
            <w:r>
              <w:rPr>
                <w:rFonts w:ascii="Arial" w:cs="Arial" w:eastAsia="Arial" w:hAnsi="Arial"/>
                <w:sz w:val="14"/>
                <w:szCs w:val="14"/>
                <w:b w:val="1"/>
                <w:bCs w:val="1"/>
                <w:color w:val="auto"/>
              </w:rPr>
              <w:t>Vest Type</w:t>
            </w:r>
          </w:p>
        </w:tc>
        <w:tc>
          <w:tcPr>
            <w:tcW w:w="560" w:type="dxa"/>
            <w:vAlign w:val="bottom"/>
          </w:tcPr>
          <w:p>
            <w:pPr>
              <w:spacing w:after="0"/>
              <w:rPr>
                <w:sz w:val="16"/>
                <w:szCs w:val="16"/>
                <w:color w:val="auto"/>
              </w:rPr>
            </w:pPr>
          </w:p>
        </w:tc>
        <w:tc>
          <w:tcPr>
            <w:tcW w:w="1600" w:type="dxa"/>
            <w:vAlign w:val="bottom"/>
          </w:tcPr>
          <w:p>
            <w:pPr>
              <w:jc w:val="right"/>
              <w:ind w:right="448"/>
              <w:spacing w:after="0"/>
              <w:rPr>
                <w:sz w:val="20"/>
                <w:szCs w:val="20"/>
                <w:color w:val="auto"/>
              </w:rPr>
            </w:pPr>
            <w:r>
              <w:rPr>
                <w:rFonts w:ascii="Arial" w:cs="Arial" w:eastAsia="Arial" w:hAnsi="Arial"/>
                <w:sz w:val="14"/>
                <w:szCs w:val="14"/>
                <w:b w:val="1"/>
                <w:bCs w:val="1"/>
                <w:color w:val="auto"/>
              </w:rPr>
              <w:t>Full Vest</w:t>
            </w:r>
          </w:p>
        </w:tc>
        <w:tc>
          <w:tcPr>
            <w:tcW w:w="560" w:type="dxa"/>
            <w:vAlign w:val="bottom"/>
          </w:tcPr>
          <w:p>
            <w:pPr>
              <w:spacing w:after="0"/>
              <w:rPr>
                <w:sz w:val="16"/>
                <w:szCs w:val="16"/>
                <w:color w:val="auto"/>
              </w:rPr>
            </w:pPr>
          </w:p>
        </w:tc>
        <w:tc>
          <w:tcPr>
            <w:tcW w:w="3420" w:type="dxa"/>
            <w:vAlign w:val="bottom"/>
          </w:tcPr>
          <w:p>
            <w:pPr>
              <w:ind w:left="1220"/>
              <w:spacing w:after="0"/>
              <w:rPr>
                <w:sz w:val="20"/>
                <w:szCs w:val="20"/>
                <w:color w:val="auto"/>
              </w:rPr>
            </w:pPr>
            <w:r>
              <w:rPr>
                <w:rFonts w:ascii="Arial" w:cs="Arial" w:eastAsia="Arial" w:hAnsi="Arial"/>
                <w:sz w:val="14"/>
                <w:szCs w:val="14"/>
                <w:b w:val="1"/>
                <w:bCs w:val="1"/>
                <w:color w:val="auto"/>
              </w:rPr>
              <w:t>Expiration Date</w:t>
            </w:r>
          </w:p>
        </w:tc>
      </w:tr>
      <w:tr>
        <w:trPr>
          <w:trHeight w:val="66"/>
        </w:trPr>
        <w:tc>
          <w:tcPr>
            <w:tcW w:w="288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3420" w:type="dxa"/>
            <w:vAlign w:val="bottom"/>
            <w:tcBorders>
              <w:bottom w:val="single" w:sz="8" w:color="808080"/>
            </w:tcBorders>
          </w:tcPr>
          <w:p>
            <w:pPr>
              <w:spacing w:after="0"/>
              <w:rPr>
                <w:sz w:val="5"/>
                <w:szCs w:val="5"/>
                <w:color w:val="auto"/>
              </w:rPr>
            </w:pPr>
          </w:p>
        </w:tc>
      </w:tr>
      <w:tr>
        <w:trPr>
          <w:trHeight w:val="263"/>
        </w:trPr>
        <w:tc>
          <w:tcPr>
            <w:tcW w:w="288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580"/>
              <w:spacing w:after="0"/>
              <w:rPr>
                <w:sz w:val="20"/>
                <w:szCs w:val="20"/>
                <w:color w:val="auto"/>
              </w:rPr>
            </w:pPr>
            <w:r>
              <w:rPr>
                <w:rFonts w:ascii="Arial" w:cs="Arial" w:eastAsia="Arial" w:hAnsi="Arial"/>
                <w:sz w:val="18"/>
                <w:szCs w:val="18"/>
                <w:color w:val="auto"/>
              </w:rPr>
              <w:t>On Vest Date</w:t>
            </w:r>
          </w:p>
        </w:tc>
        <w:tc>
          <w:tcPr>
            <w:tcW w:w="2160" w:type="dxa"/>
            <w:vAlign w:val="bottom"/>
            <w:gridSpan w:val="2"/>
          </w:tcPr>
          <w:p>
            <w:pPr>
              <w:jc w:val="right"/>
              <w:ind w:right="848"/>
              <w:spacing w:after="0"/>
              <w:rPr>
                <w:sz w:val="20"/>
                <w:szCs w:val="20"/>
                <w:color w:val="auto"/>
              </w:rPr>
            </w:pPr>
            <w:r>
              <w:rPr>
                <w:rFonts w:ascii="Arial" w:cs="Arial" w:eastAsia="Arial" w:hAnsi="Arial"/>
                <w:sz w:val="18"/>
                <w:szCs w:val="18"/>
                <w:color w:val="auto"/>
              </w:rPr>
              <w:t>[_/_/_]**</w:t>
            </w:r>
          </w:p>
        </w:tc>
        <w:tc>
          <w:tcPr>
            <w:tcW w:w="560" w:type="dxa"/>
            <w:vAlign w:val="bottom"/>
          </w:tcPr>
          <w:p>
            <w:pPr>
              <w:spacing w:after="0"/>
              <w:rPr>
                <w:sz w:val="22"/>
                <w:szCs w:val="22"/>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[10 years from Grant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Date]</w:t>
            </w: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580"/>
              <w:spacing w:after="0"/>
              <w:rPr>
                <w:sz w:val="20"/>
                <w:szCs w:val="20"/>
                <w:color w:val="auto"/>
              </w:rPr>
            </w:pPr>
            <w:r>
              <w:rPr>
                <w:rFonts w:ascii="Arial" w:cs="Arial" w:eastAsia="Arial" w:hAnsi="Arial"/>
                <w:sz w:val="18"/>
                <w:szCs w:val="18"/>
                <w:color w:val="auto"/>
              </w:rPr>
              <w:t>On Vest Date</w:t>
            </w:r>
          </w:p>
        </w:tc>
        <w:tc>
          <w:tcPr>
            <w:tcW w:w="2160" w:type="dxa"/>
            <w:vAlign w:val="bottom"/>
            <w:gridSpan w:val="2"/>
          </w:tcPr>
          <w:p>
            <w:pPr>
              <w:jc w:val="right"/>
              <w:ind w:right="848"/>
              <w:spacing w:after="0"/>
              <w:rPr>
                <w:sz w:val="20"/>
                <w:szCs w:val="20"/>
                <w:color w:val="auto"/>
              </w:rPr>
            </w:pPr>
            <w:r>
              <w:rPr>
                <w:rFonts w:ascii="Arial" w:cs="Arial" w:eastAsia="Arial" w:hAnsi="Arial"/>
                <w:sz w:val="18"/>
                <w:szCs w:val="18"/>
                <w:color w:val="auto"/>
              </w:rPr>
              <w:t>[_/_/_]**</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[10 years from Grant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Date]</w:t>
            </w: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580"/>
              <w:spacing w:after="0"/>
              <w:rPr>
                <w:sz w:val="20"/>
                <w:szCs w:val="20"/>
                <w:color w:val="auto"/>
              </w:rPr>
            </w:pPr>
            <w:r>
              <w:rPr>
                <w:rFonts w:ascii="Arial" w:cs="Arial" w:eastAsia="Arial" w:hAnsi="Arial"/>
                <w:sz w:val="18"/>
                <w:szCs w:val="18"/>
                <w:color w:val="auto"/>
              </w:rPr>
              <w:t>On Vest Date</w:t>
            </w:r>
          </w:p>
        </w:tc>
        <w:tc>
          <w:tcPr>
            <w:tcW w:w="2160" w:type="dxa"/>
            <w:vAlign w:val="bottom"/>
            <w:gridSpan w:val="2"/>
          </w:tcPr>
          <w:p>
            <w:pPr>
              <w:jc w:val="right"/>
              <w:ind w:right="848"/>
              <w:spacing w:after="0"/>
              <w:rPr>
                <w:sz w:val="20"/>
                <w:szCs w:val="20"/>
                <w:color w:val="auto"/>
              </w:rPr>
            </w:pPr>
            <w:r>
              <w:rPr>
                <w:rFonts w:ascii="Arial" w:cs="Arial" w:eastAsia="Arial" w:hAnsi="Arial"/>
                <w:sz w:val="18"/>
                <w:szCs w:val="18"/>
                <w:color w:val="auto"/>
              </w:rPr>
              <w:t>[_/_/_]**</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[10 years from Grant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Date]</w:t>
            </w:r>
          </w:p>
        </w:tc>
        <w:tc>
          <w:tcPr>
            <w:tcW w:w="2400" w:type="dxa"/>
            <w:vAlign w:val="bottom"/>
            <w:gridSpan w:val="2"/>
          </w:tcPr>
          <w:p>
            <w:pPr>
              <w:ind w:left="580"/>
              <w:spacing w:after="0"/>
              <w:rPr>
                <w:sz w:val="20"/>
                <w:szCs w:val="20"/>
                <w:color w:val="auto"/>
              </w:rPr>
            </w:pPr>
            <w:r>
              <w:rPr>
                <w:rFonts w:ascii="Arial" w:cs="Arial" w:eastAsia="Arial" w:hAnsi="Arial"/>
                <w:sz w:val="18"/>
                <w:szCs w:val="18"/>
                <w:color w:val="auto"/>
              </w:rPr>
              <w:t>On Vest Date</w:t>
            </w:r>
          </w:p>
        </w:tc>
        <w:tc>
          <w:tcPr>
            <w:tcW w:w="2160" w:type="dxa"/>
            <w:vAlign w:val="bottom"/>
            <w:gridSpan w:val="2"/>
          </w:tcPr>
          <w:p>
            <w:pPr>
              <w:jc w:val="right"/>
              <w:ind w:right="848"/>
              <w:spacing w:after="0"/>
              <w:rPr>
                <w:sz w:val="20"/>
                <w:szCs w:val="20"/>
                <w:color w:val="auto"/>
              </w:rPr>
            </w:pPr>
            <w:r>
              <w:rPr>
                <w:rFonts w:ascii="Arial" w:cs="Arial" w:eastAsia="Arial" w:hAnsi="Arial"/>
                <w:sz w:val="18"/>
                <w:szCs w:val="18"/>
                <w:color w:val="auto"/>
              </w:rPr>
              <w:t>[_/_/_]**</w:t>
            </w:r>
          </w:p>
        </w:tc>
        <w:tc>
          <w:tcPr>
            <w:tcW w:w="5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[10 years from Grant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Date] ]</w:t>
            </w:r>
          </w:p>
        </w:tc>
        <w:tc>
          <w:tcPr>
            <w:tcW w:w="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05"/>
        </w:trPr>
        <w:tc>
          <w:tcPr>
            <w:tcW w:w="2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6"/>
        </w:trPr>
        <w:tc>
          <w:tcPr>
            <w:tcW w:w="2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spacing w:after="0"/>
        <w:tabs>
          <w:tab w:leader="none" w:pos="3700" w:val="left"/>
        </w:tabs>
        <w:rPr>
          <w:sz w:val="20"/>
          <w:szCs w:val="20"/>
          <w:color w:val="auto"/>
        </w:rPr>
      </w:pPr>
      <w:r>
        <w:rPr>
          <w:rFonts w:ascii="Arial" w:cs="Arial" w:eastAsia="Arial" w:hAnsi="Arial"/>
          <w:sz w:val="18"/>
          <w:szCs w:val="18"/>
          <w:color w:val="auto"/>
        </w:rPr>
        <w:t>The Non-Qualified Stock Option expires on [</w:t>
      </w:r>
      <w:r>
        <w:rPr>
          <w:sz w:val="20"/>
          <w:szCs w:val="20"/>
          <w:color w:val="auto"/>
        </w:rPr>
        <w:tab/>
      </w:r>
      <w:r>
        <w:rPr>
          <w:rFonts w:ascii="Arial" w:cs="Arial" w:eastAsia="Arial" w:hAnsi="Arial"/>
          <w:sz w:val="17"/>
          <w:szCs w:val="17"/>
          <w:color w:val="auto"/>
        </w:rPr>
        <w:t>]*** (the “Expiration Date”).</w:t>
      </w:r>
    </w:p>
    <w:p>
      <w:pPr>
        <w:spacing w:after="0" w:line="225" w:lineRule="exact"/>
        <w:rPr>
          <w:sz w:val="20"/>
          <w:szCs w:val="20"/>
          <w:color w:val="auto"/>
        </w:rPr>
      </w:pPr>
    </w:p>
    <w:p>
      <w:pPr>
        <w:ind w:left="560" w:right="500"/>
        <w:spacing w:after="0" w:line="342" w:lineRule="auto"/>
        <w:rPr>
          <w:sz w:val="20"/>
          <w:szCs w:val="20"/>
          <w:color w:val="auto"/>
        </w:rPr>
      </w:pPr>
      <w:r>
        <w:rPr>
          <w:rFonts w:ascii="Arial" w:cs="Arial" w:eastAsia="Arial" w:hAnsi="Arial"/>
          <w:sz w:val="16"/>
          <w:szCs w:val="16"/>
          <w:color w:val="auto"/>
        </w:rPr>
        <w:t>You and the Company agree that these options are granted under and governed by the terms and conditions of the Company’s 2000 Long-Term Incentive Plan as amended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46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25" w:lineRule="exact"/>
        <w:rPr>
          <w:sz w:val="20"/>
          <w:szCs w:val="20"/>
          <w:color w:val="auto"/>
        </w:rPr>
      </w:pPr>
    </w:p>
    <w:p>
      <w:pPr>
        <w:ind w:firstLine="8"/>
        <w:spacing w:after="0" w:line="264" w:lineRule="auto"/>
        <w:tabs>
          <w:tab w:leader="none" w:pos="225" w:val="left"/>
        </w:tabs>
        <w:numPr>
          <w:ilvl w:val="0"/>
          <w:numId w:val="2"/>
        </w:numPr>
        <w:rPr>
          <w:rFonts w:ascii="Arial" w:cs="Arial" w:eastAsia="Arial" w:hAnsi="Arial"/>
          <w:sz w:val="18"/>
          <w:szCs w:val="18"/>
          <w:color w:val="auto"/>
        </w:rPr>
      </w:pPr>
      <w:r>
        <w:rPr>
          <w:rFonts w:ascii="Arial" w:cs="Arial" w:eastAsia="Arial" w:hAnsi="Arial"/>
          <w:sz w:val="18"/>
          <w:szCs w:val="18"/>
          <w:color w:val="auto"/>
        </w:rPr>
        <w:t>Options for executive officers will vest in approximately equal annual 25% installments. Full Vest Dates will occur on the first, second, third and fourth anniversaries of the Grant Date. Options for non-employee directors will vest in approximately equal annual 33-1/3% installments. Full Vest Dates will occur on the first, second, and third anniversaries of the Grant Date.</w:t>
      </w:r>
    </w:p>
    <w:p>
      <w:pPr>
        <w:spacing w:after="0" w:line="18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to be 10 years from the Grant Date.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2000 LONG-TERM INCENTIVE PLAN</w:t>
      </w:r>
    </w:p>
    <w:p>
      <w:pPr>
        <w:spacing w:after="0" w:line="170" w:lineRule="exact"/>
        <w:rPr>
          <w:sz w:val="20"/>
          <w:szCs w:val="20"/>
          <w:color w:val="auto"/>
        </w:rPr>
      </w:pPr>
    </w:p>
    <w:p>
      <w:pPr>
        <w:ind w:right="400" w:firstLine="447"/>
        <w:spacing w:after="0" w:line="277" w:lineRule="auto"/>
        <w:rPr>
          <w:sz w:val="20"/>
          <w:szCs w:val="20"/>
          <w:color w:val="auto"/>
        </w:rPr>
      </w:pPr>
      <w:r>
        <w:rPr>
          <w:rFonts w:ascii="Arial" w:cs="Arial" w:eastAsia="Arial" w:hAnsi="Arial"/>
          <w:sz w:val="18"/>
          <w:szCs w:val="18"/>
          <w:color w:val="auto"/>
        </w:rPr>
        <w:t xml:space="preserve">THIS AGREEMENT, made as of the date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by and between Regeneron Pharmaceuticals, Inc., a New York corporation (the “Company”), and the employee named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(the “Grantee”);</w:t>
      </w:r>
    </w:p>
    <w:p>
      <w:pPr>
        <w:spacing w:after="0" w:line="130" w:lineRule="exact"/>
        <w:rPr>
          <w:sz w:val="20"/>
          <w:szCs w:val="20"/>
          <w:color w:val="auto"/>
        </w:rPr>
      </w:pPr>
    </w:p>
    <w:p>
      <w:pPr>
        <w:ind w:right="440" w:firstLine="447"/>
        <w:spacing w:after="0" w:line="308" w:lineRule="auto"/>
        <w:rPr>
          <w:sz w:val="20"/>
          <w:szCs w:val="20"/>
          <w:color w:val="auto"/>
        </w:rPr>
      </w:pPr>
      <w:r>
        <w:rPr>
          <w:rFonts w:ascii="Arial" w:cs="Arial" w:eastAsia="Arial" w:hAnsi="Arial"/>
          <w:sz w:val="17"/>
          <w:szCs w:val="17"/>
          <w:color w:val="auto"/>
        </w:rPr>
        <w:t>WHEREAS, the Grantee is an employee of the Company and the Company desires to afford the Grantee the opportunity to acquire or enlarge the Grantee’s stock ownership in the Company so that the Grantee may have a direct proprietary interest in the Company’s success; and</w:t>
      </w:r>
    </w:p>
    <w:p>
      <w:pPr>
        <w:spacing w:after="0" w:line="120" w:lineRule="exact"/>
        <w:rPr>
          <w:sz w:val="20"/>
          <w:szCs w:val="20"/>
          <w:color w:val="auto"/>
        </w:rPr>
      </w:pPr>
    </w:p>
    <w:p>
      <w:pPr>
        <w:ind w:right="220" w:firstLine="447"/>
        <w:spacing w:after="0" w:line="264" w:lineRule="auto"/>
        <w:rPr>
          <w:sz w:val="20"/>
          <w:szCs w:val="20"/>
          <w:color w:val="auto"/>
        </w:rPr>
      </w:pPr>
      <w:r>
        <w:rPr>
          <w:rFonts w:ascii="Arial" w:cs="Arial" w:eastAsia="Arial" w:hAnsi="Arial"/>
          <w:sz w:val="18"/>
          <w:szCs w:val="18"/>
          <w:color w:val="auto"/>
        </w:rPr>
        <w:t xml:space="preserve">WHEREAS, the Committee administering the 2000 Long-Term Incentive Plan (as amended from time to time, the “Plan”)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to the Grantee a Stock Option to purchase the number of shares of the Company’s Common Stock ($.001 par value) (the “Common Stock”) as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81" w:lineRule="exact"/>
        <w:rPr>
          <w:sz w:val="20"/>
          <w:szCs w:val="20"/>
          <w:color w:val="auto"/>
        </w:rPr>
      </w:pPr>
    </w:p>
    <w:p>
      <w:pPr>
        <w:ind w:right="80" w:firstLine="233"/>
        <w:spacing w:after="0" w:line="281" w:lineRule="auto"/>
        <w:tabs>
          <w:tab w:leader="none" w:pos="405" w:val="left"/>
        </w:tabs>
        <w:numPr>
          <w:ilvl w:val="1"/>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further to the terms and conditions set forth here, the option to purchase from the Company all or any part of an aggregate of shares of Common Stock at the purchase price per share (the “Option”)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“Code”).</w:t>
      </w:r>
    </w:p>
    <w:p>
      <w:pPr>
        <w:spacing w:after="0" w:line="137" w:lineRule="exact"/>
        <w:rPr>
          <w:rFonts w:ascii="Arial" w:cs="Arial" w:eastAsia="Arial" w:hAnsi="Arial"/>
          <w:sz w:val="17"/>
          <w:szCs w:val="17"/>
          <w:b w:val="1"/>
          <w:bCs w:val="1"/>
          <w:color w:val="auto"/>
        </w:rPr>
      </w:pPr>
    </w:p>
    <w:p>
      <w:pPr>
        <w:ind w:firstLine="233"/>
        <w:spacing w:after="0" w:line="293" w:lineRule="auto"/>
        <w:tabs>
          <w:tab w:leader="none" w:pos="402"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is exercisable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 the Option has become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exercisable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 7(c)</w:t>
      </w:r>
    </w:p>
    <w:p>
      <w:pPr>
        <w:spacing w:after="0" w:line="1" w:lineRule="exact"/>
        <w:rPr>
          <w:rFonts w:ascii="Arial" w:cs="Arial" w:eastAsia="Arial" w:hAnsi="Arial"/>
          <w:sz w:val="16"/>
          <w:szCs w:val="16"/>
          <w:b w:val="1"/>
          <w:bCs w:val="1"/>
          <w:color w:val="auto"/>
        </w:rPr>
      </w:pPr>
    </w:p>
    <w:p>
      <w:pPr>
        <w:ind w:right="100" w:firstLine="8"/>
        <w:spacing w:after="0" w:line="25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&amp; (2),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9" w:name="page10"/>
    <w:bookmarkEnd w:id="9"/>
    <w:p>
      <w:pPr>
        <w:ind w:right="180"/>
        <w:spacing w:after="0" w:line="297" w:lineRule="auto"/>
        <w:rPr>
          <w:sz w:val="20"/>
          <w:szCs w:val="20"/>
          <w:color w:val="auto"/>
        </w:rPr>
      </w:pPr>
      <w:r>
        <w:rPr>
          <w:rFonts w:ascii="Arial" w:cs="Arial" w:eastAsia="Arial" w:hAnsi="Arial"/>
          <w:sz w:val="16"/>
          <w:szCs w:val="16"/>
          <w:color w:val="auto"/>
        </w:rPr>
        <w:t>promulgated by the Committee,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 Fair Market Value (as measured on the date of exercise) equal to the Option exercise price. The Company shall have the right to require the Grantee in connection with the exercise of the Option to remit to the Company in cash an amount sufficient to satisfy any federal, state and local withholding tax requirements related thereto.</w:t>
      </w:r>
    </w:p>
    <w:p>
      <w:pPr>
        <w:spacing w:after="0" w:line="131" w:lineRule="exact"/>
        <w:rPr>
          <w:sz w:val="20"/>
          <w:szCs w:val="20"/>
          <w:color w:val="auto"/>
        </w:rPr>
      </w:pPr>
    </w:p>
    <w:p>
      <w:pPr>
        <w:ind w:right="40" w:firstLine="233"/>
        <w:spacing w:after="0" w:line="271" w:lineRule="auto"/>
        <w:tabs>
          <w:tab w:leader="none" w:pos="477"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describes the date (the “Full Vest Date”) upon which the Grantee shall be entitled to exercise the Option provided that the Grantee has not incurred a termination of employment or service with the Company and all Subsidiaries (collectively, the Company and all Subsidiaries shall be referred to herein as the “Employer” and no termination of employment or service shall be deemed to take place unless the Grantee is no longer employed by or providing service to the Employer) prior to such date. There shall be no proportionate or partial vesting prior to the Full Vest Date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the Full Vest Date. Except as otherwise provided in any employment agreement, consulting agreement, change in control agreement or similar agreement in effect between the Employer and the Grantee on the date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vesting shall occur after such date as the Grantee ceases to be employed by the Employer (or serve as a member of the Board of Directors, as the case may be) and all unvested Options shall be forfeited at such time.</w:t>
      </w:r>
    </w:p>
    <w:p>
      <w:pPr>
        <w:spacing w:after="0" w:line="138" w:lineRule="exact"/>
        <w:rPr>
          <w:rFonts w:ascii="Arial" w:cs="Arial" w:eastAsia="Arial" w:hAnsi="Arial"/>
          <w:sz w:val="17"/>
          <w:szCs w:val="17"/>
          <w:color w:val="auto"/>
        </w:rPr>
      </w:pPr>
    </w:p>
    <w:p>
      <w:pPr>
        <w:ind w:firstLine="233"/>
        <w:spacing w:after="0" w:line="291" w:lineRule="auto"/>
        <w:tabs>
          <w:tab w:leader="none" w:pos="47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Grantee makes payment upon exercise of the Option by delivering shares of Common Stock owned by the Grantee for at least six months prior to the date of exercise, the Grantee shall be granted a new option (a “Reload Option”) on the date of exercise for a number of shares equal to the number of shares surrendered by the Grantee upon exercise, subject to the availability of shares of Common Stock under the Plan at the time of such exercise. Such Reload Option shall be granted at an exercise price equal to the Fair Market Value (as defined in the Plan) of a share of Common Stock on the date of grant, shall expire on the date on which the original Option would have expired, and shall be fully vested; provided, however, that the Reload Option may not be exercised until the date that is six months after the date of grant. The Reload Option shall otherwise be subject to the same terms and conditions as the original Option; provided, however, that the exercise of the Reload Option shall not entitle the Grantee to any further Reload grant.</w:t>
      </w:r>
    </w:p>
    <w:p>
      <w:pPr>
        <w:spacing w:after="0" w:line="126" w:lineRule="exact"/>
        <w:rPr>
          <w:rFonts w:ascii="Arial" w:cs="Arial" w:eastAsia="Arial" w:hAnsi="Arial"/>
          <w:sz w:val="16"/>
          <w:szCs w:val="16"/>
          <w:color w:val="auto"/>
        </w:rPr>
      </w:pPr>
    </w:p>
    <w:p>
      <w:pPr>
        <w:ind w:right="20" w:firstLine="233"/>
        <w:spacing w:after="0" w:line="286"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if the Grantee’s employment with the Employer (or serve as a member of the Board of Directors, as the case may be) is terminated on or within two years after the occurrence of a Change in Control by the Employer (other than for Cause) or by the Grantee for Good Reason. Except as otherwise provided in any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(collectively, the “Company Payments”) would result in the Grantee being subject to excise tax payable under Internal Revenue Code Section 4999 (the Excise Tax”), the amount of any Company Payments shall be automatically reduced to an amount one dollar less than an amount that would subject the Grantee to the Excise Tax; provided, however,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Grantee, (4) any benefits valued as parachute payments, and (5) acceleration of vesting of any equity not covered by (1) above.</w:t>
      </w:r>
    </w:p>
    <w:p>
      <w:pPr>
        <w:spacing w:after="0" w:line="194" w:lineRule="exact"/>
        <w:rPr>
          <w:sz w:val="20"/>
          <w:szCs w:val="20"/>
          <w:color w:val="auto"/>
        </w:rPr>
      </w:pPr>
    </w:p>
    <w:p>
      <w:pPr>
        <w:ind w:firstLine="233"/>
        <w:spacing w:after="0" w:line="290" w:lineRule="auto"/>
        <w:tabs>
          <w:tab w:leader="none" w:pos="40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Expiration Date shown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of Grant of Stock Options</w:t>
      </w:r>
      <w:r>
        <w:rPr>
          <w:rFonts w:ascii="Arial" w:cs="Arial" w:eastAsia="Arial" w:hAnsi="Arial"/>
          <w:sz w:val="16"/>
          <w:szCs w:val="16"/>
          <w:color w:val="auto"/>
        </w:rPr>
        <w:t>. In the event of termination of employment or service with the Employer (including, by way of example, termination of service as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member of the Board of Directors), except as set forth in any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w:t>
      </w:r>
      <w:r>
        <w:rPr>
          <w:rFonts w:ascii="Arial" w:cs="Arial" w:eastAsia="Arial" w:hAnsi="Arial"/>
          <w:sz w:val="16"/>
          <w:szCs w:val="16"/>
          <w:color w:val="auto"/>
        </w:rPr>
        <w:t>, the vested portion of the Option shall expire on the earlier of (i) the Expiration Date, or (ii)(A) subject to (E) below, three months after such termination if such termination is for any reason other than death, retirement, or long-term disability, (B) two years after such termination if such termination is due to the Grantee’s retirement, (C) one year after the termination if such termination is due to the Grantee’s death or long-term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123" w:lineRule="exact"/>
        <w:rPr>
          <w:sz w:val="20"/>
          <w:szCs w:val="20"/>
          <w:color w:val="auto"/>
        </w:rPr>
      </w:pPr>
    </w:p>
    <w:p>
      <w:pPr>
        <w:ind w:right="20" w:firstLine="233"/>
        <w:spacing w:after="0" w:line="268"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For purposes of this Agreement, “Cause” shall mean (i) in the case where there is no employment agreement, consulting agreement, change in control agreement or similar agreement in effect between the Company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where there is such an agreement but it does not define “cause” (or words of like import)) (A) the willful and continued failure by the Grantee substantially to perform his or her duties and obligations to the Employer, including without limitation, repeated refusal to follow the reasonable directions of the Employer,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Grant of Stock Options </w:t>
      </w:r>
      <w:r>
        <w:rPr>
          <w:rFonts w:ascii="Arial" w:cs="Arial" w:eastAsia="Arial" w:hAnsi="Arial"/>
          <w:sz w:val="17"/>
          <w:szCs w:val="17"/>
          <w:color w:val="auto"/>
        </w:rPr>
        <w:t>that defines “cause” (or words of like import), as defined under such agreement. For purposes of this Section 3(b), no act, or failure to</w:t>
      </w:r>
      <w:r>
        <w:rPr>
          <w:rFonts w:ascii="Arial" w:cs="Arial" w:eastAsia="Arial" w:hAnsi="Arial"/>
          <w:sz w:val="17"/>
          <w:szCs w:val="17"/>
          <w:i w:val="1"/>
          <w:iCs w:val="1"/>
          <w:color w:val="auto"/>
        </w:rPr>
        <w:t xml:space="preserve"> </w:t>
      </w:r>
      <w:r>
        <w:rPr>
          <w:rFonts w:ascii="Arial" w:cs="Arial" w:eastAsia="Arial" w:hAnsi="Arial"/>
          <w:sz w:val="17"/>
          <w:szCs w:val="17"/>
          <w:color w:val="auto"/>
        </w:rPr>
        <w:t>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147" w:lineRule="exact"/>
        <w:rPr>
          <w:rFonts w:ascii="Arial" w:cs="Arial" w:eastAsia="Arial" w:hAnsi="Arial"/>
          <w:sz w:val="17"/>
          <w:szCs w:val="17"/>
          <w:color w:val="auto"/>
        </w:rPr>
      </w:pPr>
    </w:p>
    <w:p>
      <w:pPr>
        <w:ind w:right="40" w:firstLine="233"/>
        <w:spacing w:after="0" w:line="286" w:lineRule="auto"/>
        <w:tabs>
          <w:tab w:leader="none" w:pos="47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For purposes of this Agreement, “Good Reason” shall mean (i) in the case where there is no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but it does not define “good reason” (or words of like import)) a termination of employment or services by the Grantee within one hundred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that which exists immediately prior to a Change in Control (except in each case in connection with the termination of the Grantee’s employment or services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exists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ind w:right="60"/>
        <w:spacing w:after="0" w:line="342" w:lineRule="auto"/>
        <w:rPr>
          <w:sz w:val="20"/>
          <w:szCs w:val="20"/>
          <w:color w:val="auto"/>
        </w:rPr>
      </w:pPr>
      <w:r>
        <w:rPr>
          <w:rFonts w:ascii="Arial" w:cs="Arial" w:eastAsia="Arial" w:hAnsi="Arial"/>
          <w:sz w:val="16"/>
          <w:szCs w:val="16"/>
          <w:color w:val="auto"/>
        </w:rPr>
        <w:t xml:space="preserve">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“good reason” (or words of like import), as defined under such agreement.</w:t>
      </w:r>
    </w:p>
    <w:p>
      <w:pPr>
        <w:spacing w:after="0" w:line="93" w:lineRule="exact"/>
        <w:rPr>
          <w:sz w:val="20"/>
          <w:szCs w:val="20"/>
          <w:color w:val="auto"/>
        </w:rPr>
      </w:pPr>
    </w:p>
    <w:p>
      <w:pPr>
        <w:ind w:right="80" w:firstLine="233"/>
        <w:spacing w:after="0" w:line="290" w:lineRule="auto"/>
        <w:tabs>
          <w:tab w:leader="none" w:pos="40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of Option. </w:t>
      </w:r>
      <w:r>
        <w:rPr>
          <w:rFonts w:ascii="Arial" w:cs="Arial" w:eastAsia="Arial" w:hAnsi="Arial"/>
          <w:sz w:val="16"/>
          <w:szCs w:val="16"/>
          <w:color w:val="auto"/>
        </w:rPr>
        <w:t>The Option granted hereby shall not be transferable other than by will or by the laws of descent and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provided, however, that no such transfer may be made in exchange for consideration.</w:t>
      </w:r>
    </w:p>
    <w:p>
      <w:pPr>
        <w:spacing w:after="0" w:line="119" w:lineRule="exact"/>
        <w:rPr>
          <w:rFonts w:ascii="Arial" w:cs="Arial" w:eastAsia="Arial" w:hAnsi="Arial"/>
          <w:sz w:val="16"/>
          <w:szCs w:val="16"/>
          <w:b w:val="1"/>
          <w:bCs w:val="1"/>
          <w:color w:val="auto"/>
        </w:rPr>
      </w:pPr>
    </w:p>
    <w:p>
      <w:pPr>
        <w:ind w:right="100" w:firstLine="233"/>
        <w:spacing w:after="0" w:line="261" w:lineRule="auto"/>
        <w:tabs>
          <w:tab w:leader="none" w:pos="40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a Stockholder. </w:t>
      </w:r>
      <w:r>
        <w:rPr>
          <w:rFonts w:ascii="Arial" w:cs="Arial" w:eastAsia="Arial" w:hAnsi="Arial"/>
          <w:sz w:val="18"/>
          <w:szCs w:val="18"/>
          <w:color w:val="auto"/>
        </w:rPr>
        <w:t>The Grantee shall have no rights as a stockholder with respect to any shares of Common Stock subject to this Option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issuance to the Grantee of a certificate or certificates for such shares. No adjustment shall be made for dividends in cash or other property, distributions, or other rights with respect to such shares for which the record date is prior to the date upon which the Grantee shall become the holder of record therefor.</w:t>
      </w:r>
    </w:p>
    <w:p>
      <w:pPr>
        <w:spacing w:after="0" w:line="139" w:lineRule="exact"/>
        <w:rPr>
          <w:rFonts w:ascii="Arial" w:cs="Arial" w:eastAsia="Arial" w:hAnsi="Arial"/>
          <w:sz w:val="18"/>
          <w:szCs w:val="18"/>
          <w:b w:val="1"/>
          <w:bCs w:val="1"/>
          <w:color w:val="auto"/>
        </w:rPr>
      </w:pPr>
    </w:p>
    <w:p>
      <w:pPr>
        <w:ind w:firstLine="233"/>
        <w:spacing w:after="0" w:line="289" w:lineRule="auto"/>
        <w:tabs>
          <w:tab w:leader="none" w:pos="40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award and any obligation of the Company hereunder shall be subject to all applicable federal,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evidencing shares of Common Stock pursuant to this Agreement unless and until the Company is advised by its counsel that the issuance and delivery of such certificates is in compliance with all applicable laws, regulations of governmental authority and the requirements of any securities exchange on which shares of Common Stock are traded. The Committee may require, as a condition of the issuance and delivery of certificates evidencing shares of Common Stock pursuant to the terms hereof, that the recipient of such shares make such agreements and representations, and that such certificates bear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134" w:lineRule="exact"/>
        <w:rPr>
          <w:rFonts w:ascii="Arial" w:cs="Arial" w:eastAsia="Arial" w:hAnsi="Arial"/>
          <w:sz w:val="16"/>
          <w:szCs w:val="16"/>
          <w:b w:val="1"/>
          <w:bCs w:val="1"/>
          <w:color w:val="auto"/>
        </w:rPr>
      </w:pPr>
    </w:p>
    <w:p>
      <w:pPr>
        <w:jc w:val="both"/>
        <w:ind w:right="140" w:firstLine="233"/>
        <w:spacing w:after="0" w:line="261" w:lineRule="auto"/>
        <w:tabs>
          <w:tab w:leader="none" w:pos="40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 thereof.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incorporated herein by reference, and any capitalized term used but not defined herein shall have the same meaning as in the Plan. To the extent that this Agreement is silent with respect to, or in any way inconsistent with, the terms of the Plan, the provisions of the Plan shall govern and this Agreement shall be deemed to be modified accordingly.</w:t>
      </w:r>
    </w:p>
    <w:p>
      <w:pPr>
        <w:spacing w:after="0" w:line="139" w:lineRule="exact"/>
        <w:rPr>
          <w:rFonts w:ascii="Arial" w:cs="Arial" w:eastAsia="Arial" w:hAnsi="Arial"/>
          <w:sz w:val="18"/>
          <w:szCs w:val="18"/>
          <w:b w:val="1"/>
          <w:bCs w:val="1"/>
          <w:color w:val="auto"/>
        </w:rPr>
      </w:pPr>
    </w:p>
    <w:p>
      <w:pPr>
        <w:ind w:right="20" w:firstLine="233"/>
        <w:spacing w:after="0" w:line="258" w:lineRule="auto"/>
        <w:tabs>
          <w:tab w:leader="none" w:pos="40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143" w:lineRule="exact"/>
        <w:rPr>
          <w:rFonts w:ascii="Arial" w:cs="Arial" w:eastAsia="Arial" w:hAnsi="Arial"/>
          <w:sz w:val="18"/>
          <w:szCs w:val="18"/>
          <w:b w:val="1"/>
          <w:bCs w:val="1"/>
          <w:color w:val="auto"/>
        </w:rPr>
      </w:pPr>
    </w:p>
    <w:p>
      <w:pPr>
        <w:ind w:right="500" w:firstLine="233"/>
        <w:spacing w:after="0" w:line="282" w:lineRule="auto"/>
        <w:tabs>
          <w:tab w:leader="none" w:pos="40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 time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nor does it modify in any respect the Grantee’s employment or compensation.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935" w:right="27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Option Agreement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Options for Executive Officers (other than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executive officers”) of Regeneron Pharmaceuticals, Inc.</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80" w:type="dxa"/>
            <w:vAlign w:val="bottom"/>
            <w:gridSpan w:val="4"/>
          </w:tcPr>
          <w:p>
            <w:pPr>
              <w:ind w:left="680"/>
              <w:spacing w:after="0"/>
              <w:rPr>
                <w:sz w:val="20"/>
                <w:szCs w:val="20"/>
                <w:color w:val="auto"/>
              </w:rPr>
            </w:pPr>
            <w:r>
              <w:rPr>
                <w:rFonts w:ascii="Arial" w:cs="Arial" w:eastAsia="Arial" w:hAnsi="Arial"/>
                <w:sz w:val="18"/>
                <w:szCs w:val="18"/>
                <w:b w:val="1"/>
                <w:bCs w:val="1"/>
                <w:color w:val="auto"/>
              </w:rPr>
              <w:t>Regeneron Pharmaceuticals, Inc.</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1080" w:type="dxa"/>
            <w:vAlign w:val="bottom"/>
          </w:tcPr>
          <w:p>
            <w:pPr>
              <w:ind w:left="68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11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80" w:type="dxa"/>
            <w:vAlign w:val="bottom"/>
            <w:gridSpan w:val="2"/>
            <w:vMerge w:val="continue"/>
          </w:tcPr>
          <w:p>
            <w:pPr>
              <w:spacing w:after="0"/>
              <w:rPr>
                <w:sz w:val="18"/>
                <w:szCs w:val="18"/>
                <w:color w:val="auto"/>
              </w:rPr>
            </w:pPr>
          </w:p>
        </w:tc>
        <w:tc>
          <w:tcPr>
            <w:tcW w:w="2920" w:type="dxa"/>
            <w:vAlign w:val="bottom"/>
            <w:gridSpan w:val="3"/>
          </w:tcPr>
          <w:p>
            <w:pPr>
              <w:ind w:left="680"/>
              <w:spacing w:after="0"/>
              <w:rPr>
                <w:sz w:val="20"/>
                <w:szCs w:val="20"/>
                <w:color w:val="auto"/>
              </w:rPr>
            </w:pPr>
            <w:r>
              <w:rPr>
                <w:rFonts w:ascii="Arial" w:cs="Arial" w:eastAsia="Arial" w:hAnsi="Arial"/>
                <w:sz w:val="18"/>
                <w:szCs w:val="18"/>
                <w:color w:val="auto"/>
                <w:w w:val="96"/>
              </w:rPr>
              <w:t>777 Old Saw Mill River Road</w:t>
            </w:r>
          </w:p>
        </w:tc>
        <w:tc>
          <w:tcPr>
            <w:tcW w:w="7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and Option Agreement for</w:t>
            </w:r>
          </w:p>
        </w:tc>
        <w:tc>
          <w:tcPr>
            <w:tcW w:w="2920" w:type="dxa"/>
            <w:vAlign w:val="bottom"/>
            <w:gridSpan w:val="3"/>
          </w:tcPr>
          <w:p>
            <w:pPr>
              <w:ind w:left="680"/>
              <w:spacing w:after="0"/>
              <w:rPr>
                <w:sz w:val="20"/>
                <w:szCs w:val="20"/>
                <w:color w:val="auto"/>
              </w:rPr>
            </w:pPr>
            <w:r>
              <w:rPr>
                <w:rFonts w:ascii="Arial" w:cs="Arial" w:eastAsia="Arial" w:hAnsi="Arial"/>
                <w:sz w:val="18"/>
                <w:szCs w:val="18"/>
                <w:color w:val="auto"/>
                <w:w w:val="99"/>
              </w:rPr>
              <w:t>Tarrytown, New York 10591</w:t>
            </w:r>
          </w:p>
        </w:tc>
        <w:tc>
          <w:tcPr>
            <w:tcW w:w="7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1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98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1700" w:type="dxa"/>
            <w:vAlign w:val="bottom"/>
          </w:tcPr>
          <w:p>
            <w:pPr>
              <w:spacing w:after="0"/>
              <w:rPr>
                <w:sz w:val="24"/>
                <w:szCs w:val="24"/>
                <w:color w:val="auto"/>
              </w:rPr>
            </w:pPr>
          </w:p>
        </w:tc>
        <w:tc>
          <w:tcPr>
            <w:tcW w:w="2260" w:type="dxa"/>
            <w:vAlign w:val="bottom"/>
            <w:gridSpan w:val="2"/>
          </w:tcPr>
          <w:p>
            <w:pPr>
              <w:ind w:left="680"/>
              <w:spacing w:after="0"/>
              <w:rPr>
                <w:sz w:val="20"/>
                <w:szCs w:val="20"/>
                <w:color w:val="auto"/>
              </w:rPr>
            </w:pPr>
            <w:r>
              <w:rPr>
                <w:rFonts w:ascii="Arial" w:cs="Arial" w:eastAsia="Arial" w:hAnsi="Arial"/>
                <w:sz w:val="18"/>
                <w:szCs w:val="18"/>
                <w:b w:val="1"/>
                <w:bCs w:val="1"/>
                <w:color w:val="auto"/>
              </w:rPr>
              <w:t>Option Number: [</w:t>
            </w:r>
          </w:p>
        </w:tc>
        <w:tc>
          <w:tcPr>
            <w:tcW w:w="6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b w:val="1"/>
                <w:bCs w:val="1"/>
                <w:color w:val="auto"/>
                <w:w w:val="98"/>
              </w:rPr>
              <w:t>[OPTIONEE ADDRESS]</w:t>
            </w: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Plan:</w:t>
            </w: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2005</w:t>
            </w:r>
          </w:p>
        </w:tc>
        <w:tc>
          <w:tcPr>
            <w:tcW w:w="7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ID</w:t>
            </w:r>
          </w:p>
        </w:tc>
        <w:tc>
          <w:tcPr>
            <w:tcW w:w="66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7360" w:type="dxa"/>
            <w:vAlign w:val="bottom"/>
            <w:gridSpan w:val="6"/>
          </w:tcPr>
          <w:p>
            <w:pPr>
              <w:spacing w:after="0"/>
              <w:rPr>
                <w:sz w:val="20"/>
                <w:szCs w:val="20"/>
                <w:color w:val="auto"/>
              </w:rPr>
            </w:pPr>
            <w:r>
              <w:rPr>
                <w:rFonts w:ascii="Arial" w:cs="Arial" w:eastAsia="Arial" w:hAnsi="Arial"/>
                <w:sz w:val="18"/>
                <w:szCs w:val="18"/>
                <w:color w:val="auto"/>
                <w:w w:val="95"/>
              </w:rPr>
              <w:t>Effective &lt;date&gt; (the “Grant Date”) you have been granted a Non-Qualified Stock Option to buy [</w:t>
            </w:r>
          </w:p>
        </w:tc>
        <w:tc>
          <w:tcPr>
            <w:tcW w:w="3720" w:type="dxa"/>
            <w:vAlign w:val="bottom"/>
          </w:tcPr>
          <w:p>
            <w:pPr>
              <w:ind w:left="220"/>
              <w:spacing w:after="0"/>
              <w:rPr>
                <w:sz w:val="20"/>
                <w:szCs w:val="20"/>
                <w:color w:val="auto"/>
              </w:rPr>
            </w:pPr>
            <w:r>
              <w:rPr>
                <w:rFonts w:ascii="Arial" w:cs="Arial" w:eastAsia="Arial" w:hAnsi="Arial"/>
                <w:sz w:val="18"/>
                <w:szCs w:val="18"/>
                <w:color w:val="auto"/>
                <w:w w:val="88"/>
              </w:rPr>
              <w:t>] shares of Regeneron Pharmaceuticals, Inc. (the</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Company) stock at [$</w:t>
            </w:r>
          </w:p>
        </w:tc>
        <w:tc>
          <w:tcPr>
            <w:tcW w:w="1700" w:type="dxa"/>
            <w:vAlign w:val="bottom"/>
          </w:tcPr>
          <w:p>
            <w:pPr>
              <w:ind w:left="40"/>
              <w:spacing w:after="0"/>
              <w:rPr>
                <w:sz w:val="20"/>
                <w:szCs w:val="20"/>
                <w:color w:val="auto"/>
              </w:rPr>
            </w:pPr>
            <w:r>
              <w:rPr>
                <w:rFonts w:ascii="Arial" w:cs="Arial" w:eastAsia="Arial" w:hAnsi="Arial"/>
                <w:sz w:val="18"/>
                <w:szCs w:val="18"/>
                <w:color w:val="auto"/>
              </w:rPr>
              <w:t>] per share.</w:t>
            </w: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680" w:type="dxa"/>
            <w:vAlign w:val="bottom"/>
            <w:gridSpan w:val="2"/>
          </w:tcPr>
          <w:p>
            <w:pPr>
              <w:spacing w:after="0"/>
              <w:rPr>
                <w:sz w:val="20"/>
                <w:szCs w:val="20"/>
                <w:color w:val="auto"/>
              </w:rPr>
            </w:pPr>
            <w:r>
              <w:rPr>
                <w:rFonts w:ascii="Arial" w:cs="Arial" w:eastAsia="Arial" w:hAnsi="Arial"/>
                <w:sz w:val="18"/>
                <w:szCs w:val="18"/>
                <w:color w:val="auto"/>
                <w:w w:val="95"/>
              </w:rPr>
              <w:t>The total option price of the shares granted is [$</w:t>
            </w:r>
          </w:p>
        </w:tc>
        <w:tc>
          <w:tcPr>
            <w:tcW w:w="1080" w:type="dxa"/>
            <w:vAlign w:val="bottom"/>
          </w:tcPr>
          <w:p>
            <w:pPr>
              <w:ind w:left="2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6"/>
                <w:szCs w:val="16"/>
                <w:color w:val="auto"/>
              </w:rPr>
            </w:pPr>
          </w:p>
        </w:tc>
        <w:tc>
          <w:tcPr>
            <w:tcW w:w="4240" w:type="dxa"/>
            <w:vAlign w:val="bottom"/>
          </w:tcPr>
          <w:p>
            <w:pPr>
              <w:ind w:left="1820"/>
              <w:spacing w:after="0"/>
              <w:rPr>
                <w:sz w:val="20"/>
                <w:szCs w:val="20"/>
                <w:color w:val="auto"/>
              </w:rPr>
            </w:pPr>
            <w:r>
              <w:rPr>
                <w:rFonts w:ascii="Arial" w:cs="Arial" w:eastAsia="Arial" w:hAnsi="Arial"/>
                <w:sz w:val="14"/>
                <w:szCs w:val="14"/>
                <w:b w:val="1"/>
                <w:bCs w:val="1"/>
                <w:color w:val="auto"/>
              </w:rPr>
              <w:t>Vest Type</w:t>
            </w:r>
          </w:p>
        </w:tc>
        <w:tc>
          <w:tcPr>
            <w:tcW w:w="560" w:type="dxa"/>
            <w:vAlign w:val="bottom"/>
          </w:tcPr>
          <w:p>
            <w:pPr>
              <w:spacing w:after="0"/>
              <w:rPr>
                <w:sz w:val="16"/>
                <w:szCs w:val="16"/>
                <w:color w:val="auto"/>
              </w:rPr>
            </w:pPr>
          </w:p>
        </w:tc>
        <w:tc>
          <w:tcPr>
            <w:tcW w:w="3600" w:type="dxa"/>
            <w:vAlign w:val="bottom"/>
          </w:tcPr>
          <w:p>
            <w:pPr>
              <w:jc w:val="right"/>
              <w:ind w:right="1468"/>
              <w:spacing w:after="0"/>
              <w:rPr>
                <w:sz w:val="20"/>
                <w:szCs w:val="20"/>
                <w:color w:val="auto"/>
              </w:rPr>
            </w:pPr>
            <w:r>
              <w:rPr>
                <w:rFonts w:ascii="Arial" w:cs="Arial" w:eastAsia="Arial" w:hAnsi="Arial"/>
                <w:sz w:val="14"/>
                <w:szCs w:val="14"/>
                <w:b w:val="1"/>
                <w:bCs w:val="1"/>
                <w:color w:val="auto"/>
              </w:rPr>
              <w:t>Full Vest</w:t>
            </w:r>
          </w:p>
        </w:tc>
        <w:tc>
          <w:tcPr>
            <w:tcW w:w="56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auto"/>
                <w:w w:val="95"/>
              </w:rPr>
              <w:t>Expiration Date</w:t>
            </w:r>
          </w:p>
        </w:tc>
      </w:tr>
      <w:tr>
        <w:trPr>
          <w:trHeight w:val="66"/>
        </w:trPr>
        <w:tc>
          <w:tcPr>
            <w:tcW w:w="90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424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360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r>
      <w:tr>
        <w:trPr>
          <w:trHeight w:val="263"/>
        </w:trPr>
        <w:tc>
          <w:tcPr>
            <w:tcW w:w="9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On Vest Date</w:t>
            </w:r>
          </w:p>
        </w:tc>
        <w:tc>
          <w:tcPr>
            <w:tcW w:w="4160" w:type="dxa"/>
            <w:vAlign w:val="bottom"/>
            <w:gridSpan w:val="2"/>
          </w:tcPr>
          <w:p>
            <w:pPr>
              <w:jc w:val="right"/>
              <w:ind w:right="2848"/>
              <w:spacing w:after="0"/>
              <w:rPr>
                <w:sz w:val="20"/>
                <w:szCs w:val="20"/>
                <w:color w:val="auto"/>
              </w:rPr>
            </w:pPr>
            <w:r>
              <w:rPr>
                <w:rFonts w:ascii="Arial" w:cs="Arial" w:eastAsia="Arial" w:hAnsi="Arial"/>
                <w:sz w:val="18"/>
                <w:szCs w:val="18"/>
                <w:color w:val="auto"/>
              </w:rPr>
              <w:t>[_/_/_]**</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On Vest Date</w:t>
            </w:r>
          </w:p>
        </w:tc>
        <w:tc>
          <w:tcPr>
            <w:tcW w:w="4160" w:type="dxa"/>
            <w:vAlign w:val="bottom"/>
            <w:gridSpan w:val="2"/>
          </w:tcPr>
          <w:p>
            <w:pPr>
              <w:jc w:val="right"/>
              <w:ind w:right="2848"/>
              <w:spacing w:after="0"/>
              <w:rPr>
                <w:sz w:val="20"/>
                <w:szCs w:val="20"/>
                <w:color w:val="auto"/>
              </w:rPr>
            </w:pPr>
            <w:r>
              <w:rPr>
                <w:rFonts w:ascii="Arial" w:cs="Arial" w:eastAsia="Arial" w:hAnsi="Arial"/>
                <w:sz w:val="18"/>
                <w:szCs w:val="18"/>
                <w:color w:val="auto"/>
              </w:rPr>
              <w:t>[_/_/_]**</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On Vest Date</w:t>
            </w:r>
          </w:p>
        </w:tc>
        <w:tc>
          <w:tcPr>
            <w:tcW w:w="4160" w:type="dxa"/>
            <w:vAlign w:val="bottom"/>
            <w:gridSpan w:val="2"/>
          </w:tcPr>
          <w:p>
            <w:pPr>
              <w:jc w:val="right"/>
              <w:ind w:right="2848"/>
              <w:spacing w:after="0"/>
              <w:rPr>
                <w:sz w:val="20"/>
                <w:szCs w:val="20"/>
                <w:color w:val="auto"/>
              </w:rPr>
            </w:pPr>
            <w:r>
              <w:rPr>
                <w:rFonts w:ascii="Arial" w:cs="Arial" w:eastAsia="Arial" w:hAnsi="Arial"/>
                <w:sz w:val="18"/>
                <w:szCs w:val="18"/>
                <w:color w:val="auto"/>
              </w:rPr>
              <w:t>[_/_/_]**</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On Vest Date</w:t>
            </w:r>
          </w:p>
        </w:tc>
        <w:tc>
          <w:tcPr>
            <w:tcW w:w="4160" w:type="dxa"/>
            <w:vAlign w:val="bottom"/>
            <w:gridSpan w:val="2"/>
          </w:tcPr>
          <w:p>
            <w:pPr>
              <w:jc w:val="right"/>
              <w:ind w:right="2848"/>
              <w:spacing w:after="0"/>
              <w:rPr>
                <w:sz w:val="20"/>
                <w:szCs w:val="20"/>
                <w:color w:val="auto"/>
              </w:rPr>
            </w:pPr>
            <w:r>
              <w:rPr>
                <w:rFonts w:ascii="Arial" w:cs="Arial" w:eastAsia="Arial" w:hAnsi="Arial"/>
                <w:sz w:val="18"/>
                <w:szCs w:val="18"/>
                <w:color w:val="auto"/>
              </w:rPr>
              <w:t>[_/_/_]**</w:t>
            </w:r>
          </w:p>
        </w:tc>
        <w:tc>
          <w:tcPr>
            <w:tcW w:w="1560" w:type="dxa"/>
            <w:vAlign w:val="bottom"/>
            <w:gridSpan w:val="2"/>
          </w:tcPr>
          <w:p>
            <w:pPr>
              <w:ind w:left="56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You and the Company agree that these options are granted under and governed by the terms and conditions of the Company’s 2000 Long-Term Incentive Plan as amended and the enclosed Option Agreement, both of which are attached and made a part of this document.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ind w:left="-8" w:firstLine="8"/>
        <w:spacing w:after="0" w:line="277" w:lineRule="auto"/>
        <w:tabs>
          <w:tab w:leader="none" w:pos="2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Option vests in approximately equal annual 25% installments. Full Vest Dates will occur on the first, second, third and fourth anniversaries of the Grant Date.</w:t>
      </w:r>
    </w:p>
    <w:p>
      <w:pPr>
        <w:spacing w:after="0" w:line="143" w:lineRule="exact"/>
        <w:rPr>
          <w:rFonts w:ascii="Arial" w:cs="Arial" w:eastAsia="Arial" w:hAnsi="Arial"/>
          <w:sz w:val="18"/>
          <w:szCs w:val="18"/>
          <w:color w:val="auto"/>
        </w:rPr>
      </w:pPr>
    </w:p>
    <w:p>
      <w:pPr>
        <w:ind w:left="312" w:hanging="312"/>
        <w:spacing w:after="0"/>
        <w:tabs>
          <w:tab w:leader="none" w:pos="3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Option expires 10 years from the Grant Date.</w:t>
      </w:r>
    </w:p>
    <w:p>
      <w:pPr>
        <w:spacing w:after="0" w:line="185"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52"/>
          </w:cols>
          <w:pgMar w:left="248" w:top="935" w:right="499" w:bottom="1440" w:gutter="0" w:footer="0" w:header="0"/>
        </w:sectPr>
      </w:pPr>
    </w:p>
    <w:bookmarkStart w:id="14" w:name="page15"/>
    <w:bookmarkEnd w:id="14"/>
    <w:p>
      <w:pPr>
        <w:jc w:val="center"/>
        <w:ind w:right="-99"/>
        <w:spacing w:after="0"/>
        <w:rPr>
          <w:sz w:val="20"/>
          <w:szCs w:val="20"/>
          <w:color w:val="auto"/>
        </w:rPr>
      </w:pPr>
      <w:r>
        <w:rPr>
          <w:rFonts w:ascii="Arial" w:cs="Arial" w:eastAsia="Arial" w:hAnsi="Arial"/>
          <w:sz w:val="18"/>
          <w:szCs w:val="18"/>
          <w:b w:val="1"/>
          <w:bCs w:val="1"/>
          <w:color w:val="auto"/>
        </w:rPr>
        <w:t>REGENERON PHARMACEUTICALS, INC.</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OPTION AGREEMENT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THE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2000 LONG-TERM INCENTIVE PLAN</w:t>
      </w:r>
    </w:p>
    <w:p>
      <w:pPr>
        <w:spacing w:after="0" w:line="170" w:lineRule="exact"/>
        <w:rPr>
          <w:sz w:val="20"/>
          <w:szCs w:val="20"/>
          <w:color w:val="auto"/>
        </w:rPr>
      </w:pPr>
    </w:p>
    <w:p>
      <w:pPr>
        <w:ind w:right="380" w:firstLine="447"/>
        <w:spacing w:after="0" w:line="277" w:lineRule="auto"/>
        <w:rPr>
          <w:sz w:val="20"/>
          <w:szCs w:val="20"/>
          <w:color w:val="auto"/>
        </w:rPr>
      </w:pPr>
      <w:r>
        <w:rPr>
          <w:rFonts w:ascii="Arial" w:cs="Arial" w:eastAsia="Arial" w:hAnsi="Arial"/>
          <w:sz w:val="18"/>
          <w:szCs w:val="18"/>
          <w:color w:val="auto"/>
        </w:rPr>
        <w:t xml:space="preserve">THIS AGREEMENT, made as of the date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by and between Regeneron Pharmaceuticals, Inc., a New York corporation (the “Company”), and the employee named on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(the “Grantee”);</w:t>
      </w:r>
    </w:p>
    <w:p>
      <w:pPr>
        <w:spacing w:after="0" w:line="130" w:lineRule="exact"/>
        <w:rPr>
          <w:sz w:val="20"/>
          <w:szCs w:val="20"/>
          <w:color w:val="auto"/>
        </w:rPr>
      </w:pPr>
    </w:p>
    <w:p>
      <w:pPr>
        <w:ind w:right="420" w:firstLine="447"/>
        <w:spacing w:after="0" w:line="308" w:lineRule="auto"/>
        <w:rPr>
          <w:sz w:val="20"/>
          <w:szCs w:val="20"/>
          <w:color w:val="auto"/>
        </w:rPr>
      </w:pPr>
      <w:r>
        <w:rPr>
          <w:rFonts w:ascii="Arial" w:cs="Arial" w:eastAsia="Arial" w:hAnsi="Arial"/>
          <w:sz w:val="17"/>
          <w:szCs w:val="17"/>
          <w:color w:val="auto"/>
        </w:rPr>
        <w:t>WHEREAS, the Grantee is an employee of the Company and the Company desires to afford the Grantee the opportunity to acquire or enlarge the Grantee’s stock ownership in the Company so that the Grantee may have a direct proprietary interest in the Company’s success; and</w:t>
      </w:r>
    </w:p>
    <w:p>
      <w:pPr>
        <w:spacing w:after="0" w:line="120" w:lineRule="exact"/>
        <w:rPr>
          <w:sz w:val="20"/>
          <w:szCs w:val="20"/>
          <w:color w:val="auto"/>
        </w:rPr>
      </w:pPr>
    </w:p>
    <w:p>
      <w:pPr>
        <w:ind w:right="200" w:firstLine="447"/>
        <w:spacing w:after="0" w:line="264" w:lineRule="auto"/>
        <w:rPr>
          <w:sz w:val="20"/>
          <w:szCs w:val="20"/>
          <w:color w:val="auto"/>
        </w:rPr>
      </w:pPr>
      <w:r>
        <w:rPr>
          <w:rFonts w:ascii="Arial" w:cs="Arial" w:eastAsia="Arial" w:hAnsi="Arial"/>
          <w:sz w:val="18"/>
          <w:szCs w:val="18"/>
          <w:color w:val="auto"/>
        </w:rPr>
        <w:t xml:space="preserve">WHEREAS, the Committee administering the 2000 Long-Term Incentive Plan (as amended from time to time, the “Plan”)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to the Grantee a Stock Option to purchase the number of shares of the Company’s Common Stock ($.001 par value) (the “Common Stock”) as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81" w:lineRule="exact"/>
        <w:rPr>
          <w:sz w:val="20"/>
          <w:szCs w:val="20"/>
          <w:color w:val="auto"/>
        </w:rPr>
      </w:pPr>
    </w:p>
    <w:p>
      <w:pPr>
        <w:ind w:right="60" w:firstLine="233"/>
        <w:spacing w:after="0" w:line="281" w:lineRule="auto"/>
        <w:tabs>
          <w:tab w:leader="none" w:pos="405"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further to the terms and conditions set forth here, the option to purchase from the Company all or any part of an aggregate of shares of Common Stock at the purchase price per share (the “Option”)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“Code”).</w:t>
      </w:r>
    </w:p>
    <w:p>
      <w:pPr>
        <w:spacing w:after="0" w:line="137" w:lineRule="exact"/>
        <w:rPr>
          <w:rFonts w:ascii="Arial" w:cs="Arial" w:eastAsia="Arial" w:hAnsi="Arial"/>
          <w:sz w:val="17"/>
          <w:szCs w:val="17"/>
          <w:b w:val="1"/>
          <w:bCs w:val="1"/>
          <w:color w:val="auto"/>
        </w:rPr>
      </w:pPr>
    </w:p>
    <w:p>
      <w:pPr>
        <w:ind w:firstLine="233"/>
        <w:spacing w:after="0" w:line="271" w:lineRule="auto"/>
        <w:tabs>
          <w:tab w:leader="none" w:pos="402"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Exercise. </w:t>
      </w:r>
      <w:r>
        <w:rPr>
          <w:rFonts w:ascii="Arial" w:cs="Arial" w:eastAsia="Arial" w:hAnsi="Arial"/>
          <w:sz w:val="17"/>
          <w:szCs w:val="17"/>
          <w:color w:val="auto"/>
        </w:rPr>
        <w:t>(a) The Option is exercisable in installments as provided on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To the extent that the Option has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become exercisable with respect to the number of shares of Common Stock as provided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subject to the terms and conditions of the Plan, including without limitation, Section 7(c)(1) &amp; (2),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promulgated by the Committee,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 Fair Market Value (as measured on the date of exercise) equal to the Option exercise price. The Company shall have the right to require the Grantee</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15" w:name="page16"/>
    <w:bookmarkEnd w:id="15"/>
    <w:p>
      <w:pPr>
        <w:ind w:right="440"/>
        <w:spacing w:after="0" w:line="277" w:lineRule="auto"/>
        <w:rPr>
          <w:sz w:val="20"/>
          <w:szCs w:val="20"/>
          <w:color w:val="auto"/>
        </w:rPr>
      </w:pPr>
      <w:r>
        <w:rPr>
          <w:rFonts w:ascii="Arial" w:cs="Arial" w:eastAsia="Arial" w:hAnsi="Arial"/>
          <w:sz w:val="18"/>
          <w:szCs w:val="18"/>
          <w:color w:val="auto"/>
        </w:rPr>
        <w:t>in connection with the exercise of the Option to remit to the Company in cash an amount sufficient to satisfy any federal, state and local withholding tax requirements related thereto.</w:t>
      </w:r>
    </w:p>
    <w:p>
      <w:pPr>
        <w:spacing w:after="0" w:line="143" w:lineRule="exact"/>
        <w:rPr>
          <w:sz w:val="20"/>
          <w:szCs w:val="20"/>
          <w:color w:val="auto"/>
        </w:rPr>
      </w:pPr>
    </w:p>
    <w:p>
      <w:pPr>
        <w:ind w:firstLine="233"/>
        <w:spacing w:after="0" w:line="271" w:lineRule="auto"/>
        <w:tabs>
          <w:tab w:leader="none" w:pos="467"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 entitled to exercise the Option with respect to the additional number of shares of Common Stock granted as indicated provided that the Grantee has not incurred a termination of employment or service with the Company and all Subsidiaries (collectively, the Company and all Subsidiaries shall be referred to herein as the “Employer”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the Full Vest Dates. Except as otherwise provided in any employment agreement, consulting agreement, change in control agreement or similar agreement in effect between the Employer and the Grantee on the date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vesting shall occur after such date as the Grantee ceases to be employed by the Employer and all unvested Options shall be forfeited at such time.</w:t>
      </w:r>
    </w:p>
    <w:p>
      <w:pPr>
        <w:spacing w:after="0" w:line="138" w:lineRule="exact"/>
        <w:rPr>
          <w:sz w:val="20"/>
          <w:szCs w:val="20"/>
          <w:color w:val="auto"/>
        </w:rPr>
      </w:pPr>
    </w:p>
    <w:p>
      <w:pPr>
        <w:ind w:right="40" w:firstLine="233"/>
        <w:spacing w:after="0" w:line="268" w:lineRule="auto"/>
        <w:tabs>
          <w:tab w:leader="none" w:pos="470"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Notwithstanding anything herein (except the following sentence) or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to the contrary, the Option shall be fully vested if the Grantee’s employment with the Employer is terminated on or within two years after the occurrence of a Change in Control by the Employer (other than for Cause) or by the Grantee for Good Reason. Except as otherwise provided in any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if the application of the provision in the foregoing sentence, similar provisions in other stock option or restricted stock grants, and other payments and benefits payable to the Grantee upon termination of employment (collectively, the “Company Payments”) would result in the Grantee being subject to the excise tax payable under Internal Revenue Code Section 4999 (the “Excise Tax”), the amount of any Company Payments shall be automatically reduced to an amount one dollar less than an amount that would subject the Grantee to the Excise Tax; provided, however,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136" w:lineRule="exact"/>
        <w:rPr>
          <w:sz w:val="20"/>
          <w:szCs w:val="20"/>
          <w:color w:val="auto"/>
        </w:rPr>
      </w:pPr>
    </w:p>
    <w:p>
      <w:pPr>
        <w:ind w:right="40" w:firstLine="233"/>
        <w:spacing w:after="0" w:line="285" w:lineRule="auto"/>
        <w:tabs>
          <w:tab w:leader="none" w:pos="405" w:val="left"/>
        </w:tabs>
        <w:numPr>
          <w:ilvl w:val="1"/>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Expiration Date shown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of Grant of Stock Options</w:t>
      </w:r>
      <w:r>
        <w:rPr>
          <w:rFonts w:ascii="Arial" w:cs="Arial" w:eastAsia="Arial" w:hAnsi="Arial"/>
          <w:sz w:val="16"/>
          <w:szCs w:val="16"/>
          <w:color w:val="auto"/>
        </w:rPr>
        <w:t>. In the event of termination of employment or service with the Employer, except as set forth in any employment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the vested portion of the Option shall expire on the earlier of (i) the Expiration Date, or (ii) (A) subject to (E) below,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after such termination if such termination is for any reason other than death, retirement, or long-term disability, (B) two years after such termination if such termination is due to the Grantee’s retirement, (C) one year after the termination if such termination is due to the Grantee’s death or long-term disability,</w:t>
      </w:r>
    </w:p>
    <w:p>
      <w:pPr>
        <w:spacing w:after="0" w:line="3" w:lineRule="exact"/>
        <w:rPr>
          <w:rFonts w:ascii="Arial" w:cs="Arial" w:eastAsia="Arial" w:hAnsi="Arial"/>
          <w:sz w:val="16"/>
          <w:szCs w:val="16"/>
          <w:b w:val="1"/>
          <w:bCs w:val="1"/>
          <w:color w:val="auto"/>
        </w:rPr>
      </w:pPr>
    </w:p>
    <w:p>
      <w:pPr>
        <w:ind w:right="40" w:firstLine="8"/>
        <w:spacing w:after="0" w:line="255" w:lineRule="auto"/>
        <w:tabs>
          <w:tab w:leader="none" w:pos="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w:t>
      </w:r>
    </w:p>
    <w:p>
      <w:pPr>
        <w:spacing w:after="0" w:line="163" w:lineRule="exact"/>
        <w:rPr>
          <w:sz w:val="20"/>
          <w:szCs w:val="20"/>
          <w:color w:val="auto"/>
        </w:rPr>
      </w:pPr>
    </w:p>
    <w:p>
      <w:pPr>
        <w:ind w:right="140" w:firstLine="233"/>
        <w:spacing w:after="0" w:line="308"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For purposes of this Agreement, “Cause” shall mean (i) in the case where there is no employment agreement, consulting agreement, change in control agreement or similar agreement in effect between the Company and the Grantee on the date of grant specified in the </w:t>
      </w:r>
      <w:r>
        <w:rPr>
          <w:rFonts w:ascii="Arial" w:cs="Arial" w:eastAsia="Arial" w:hAnsi="Arial"/>
          <w:sz w:val="17"/>
          <w:szCs w:val="17"/>
          <w:i w:val="1"/>
          <w:iCs w:val="1"/>
          <w:color w:val="auto"/>
        </w:rPr>
        <w:t>Notice of Grant of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right="80"/>
        <w:spacing w:after="0" w:line="269"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(or where there is such an agreement but it does not define “cause” (or words of like import)) (A) the willful and continued failure by the Grantee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substantially to perform his or her duties and obligations to the Employer, including without limitation, repeated refusal to follow the reasonable directions of the Employer,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similar agreement in effect between the Employer and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that defines “cause” (or words of like import), as defined under such agreement.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156" w:lineRule="exact"/>
        <w:rPr>
          <w:sz w:val="20"/>
          <w:szCs w:val="20"/>
          <w:color w:val="auto"/>
        </w:rPr>
      </w:pPr>
    </w:p>
    <w:p>
      <w:pPr>
        <w:ind w:firstLine="233"/>
        <w:spacing w:after="0" w:line="286" w:lineRule="auto"/>
        <w:tabs>
          <w:tab w:leader="none" w:pos="47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For purposes of this Agreement, “Good Reason” shall mean (i) in the case where there is no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but it does not define “good reason” (or words of like import)) a termination of employment by the Grantee within one hundred twenty (120) days after the occurrence of one of the 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 below: (A) (1) any material diminution in the Grantee’s duties and responsibilities from that which exists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 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exists immediately prior to a Change in Control; or (D) if the Grantee is based at the Employer’s principal executive office, any relocation therefrom or, in any event, a relocation of the Grantee’s primary office of more than fifty (50) miles from the location immediately prior to a Change in Control; or (ii) in the case where there is an employment agreement, consulting agreement, change in control agreement or similar agreement in effect between the Employer and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“good reason” (or words of like import), as defined under such agreement.</w:t>
      </w:r>
    </w:p>
    <w:p>
      <w:pPr>
        <w:spacing w:after="0" w:line="124" w:lineRule="exact"/>
        <w:rPr>
          <w:sz w:val="20"/>
          <w:szCs w:val="20"/>
          <w:color w:val="auto"/>
        </w:rPr>
      </w:pPr>
    </w:p>
    <w:p>
      <w:pPr>
        <w:ind w:right="120" w:firstLine="233"/>
        <w:spacing w:after="0" w:line="290" w:lineRule="auto"/>
        <w:tabs>
          <w:tab w:leader="none" w:pos="405"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of Option. </w:t>
      </w:r>
      <w:r>
        <w:rPr>
          <w:rFonts w:ascii="Arial" w:cs="Arial" w:eastAsia="Arial" w:hAnsi="Arial"/>
          <w:sz w:val="16"/>
          <w:szCs w:val="16"/>
          <w:color w:val="auto"/>
        </w:rPr>
        <w:t>The Option granted hereby shall not be transferable other than by will or by the laws of descent and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provided, however, that no such transfer may be made in exchange for consideration.</w:t>
      </w:r>
    </w:p>
    <w:p>
      <w:pPr>
        <w:spacing w:after="0" w:line="119" w:lineRule="exact"/>
        <w:rPr>
          <w:rFonts w:ascii="Arial" w:cs="Arial" w:eastAsia="Arial" w:hAnsi="Arial"/>
          <w:sz w:val="16"/>
          <w:szCs w:val="16"/>
          <w:b w:val="1"/>
          <w:bCs w:val="1"/>
          <w:color w:val="auto"/>
        </w:rPr>
      </w:pPr>
    </w:p>
    <w:p>
      <w:pPr>
        <w:ind w:right="140" w:firstLine="233"/>
        <w:spacing w:after="0" w:line="282" w:lineRule="auto"/>
        <w:tabs>
          <w:tab w:leader="none" w:pos="40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a Stockholder. </w:t>
      </w:r>
      <w:r>
        <w:rPr>
          <w:rFonts w:ascii="Arial" w:cs="Arial" w:eastAsia="Arial" w:hAnsi="Arial"/>
          <w:sz w:val="18"/>
          <w:szCs w:val="18"/>
          <w:color w:val="auto"/>
        </w:rPr>
        <w:t>The Grantee shall have no rights as a stockholder with respect to any shares of Common Stock subject to this Option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issuance to the Grantee of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ind w:right="320"/>
        <w:spacing w:after="0" w:line="308" w:lineRule="auto"/>
        <w:rPr>
          <w:sz w:val="20"/>
          <w:szCs w:val="20"/>
          <w:color w:val="auto"/>
        </w:rPr>
      </w:pPr>
      <w:r>
        <w:rPr>
          <w:rFonts w:ascii="Arial" w:cs="Arial" w:eastAsia="Arial" w:hAnsi="Arial"/>
          <w:sz w:val="17"/>
          <w:szCs w:val="17"/>
          <w:color w:val="auto"/>
        </w:rPr>
        <w:t>certificate or certificates for such shares. No adjustment shall be made for dividends in cash or other property, distributions, or other rights with respect to such shares for which the record date is prior to the date upon which the Grantee shall become the holder of record therefor.</w:t>
      </w:r>
    </w:p>
    <w:p>
      <w:pPr>
        <w:spacing w:after="0" w:line="116" w:lineRule="exact"/>
        <w:rPr>
          <w:sz w:val="20"/>
          <w:szCs w:val="20"/>
          <w:color w:val="auto"/>
        </w:rPr>
      </w:pPr>
    </w:p>
    <w:p>
      <w:pPr>
        <w:ind w:firstLine="233"/>
        <w:spacing w:after="0" w:line="289" w:lineRule="auto"/>
        <w:tabs>
          <w:tab w:leader="none" w:pos="405"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award and any obligation of the Company hereunder shall be subject to all applicable federal, state and</w:t>
      </w:r>
      <w:r>
        <w:rPr>
          <w:rFonts w:ascii="Arial" w:cs="Arial" w:eastAsia="Arial" w:hAnsi="Arial"/>
          <w:sz w:val="16"/>
          <w:szCs w:val="16"/>
          <w:b w:val="1"/>
          <w:bCs w:val="1"/>
          <w:color w:val="auto"/>
        </w:rPr>
        <w:t xml:space="preserve"> </w:t>
      </w:r>
      <w:r>
        <w:rPr>
          <w:rFonts w:ascii="Arial" w:cs="Arial" w:eastAsia="Arial" w:hAnsi="Arial"/>
          <w:sz w:val="16"/>
          <w:szCs w:val="16"/>
          <w:color w:val="auto"/>
        </w:rPr>
        <w:t>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evidencing shares of Common Stock pursuant to this Agreement unless and until the Company is advised by its counsel that the issuance and delivery of such certificates is in compliance with all applicable laws, regulations of governmental authority and the requirements of any securities exchange on which shares of Common Stock are traded. The Committee may require, as a condition of the issuance and delivery of certificates evidencing shares of Common Stock pursuant to the terms hereof, that the recipient of such shares make such agreements and representations, and that such certificates bear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120" w:lineRule="exact"/>
        <w:rPr>
          <w:rFonts w:ascii="Arial" w:cs="Arial" w:eastAsia="Arial" w:hAnsi="Arial"/>
          <w:sz w:val="16"/>
          <w:szCs w:val="16"/>
          <w:b w:val="1"/>
          <w:bCs w:val="1"/>
          <w:color w:val="auto"/>
        </w:rPr>
      </w:pPr>
    </w:p>
    <w:p>
      <w:pPr>
        <w:jc w:val="both"/>
        <w:ind w:right="140" w:firstLine="233"/>
        <w:spacing w:after="0" w:line="261" w:lineRule="auto"/>
        <w:tabs>
          <w:tab w:leader="none" w:pos="40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 thereof.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incorporated herein by reference, and any capitalized term used but not defined herein shall have the same meaning as in the Plan. To the extent that this Agreement is silent with respect to, or in any way inconsistent with, the terms of the Plan, the provisions of the Plan shall govern and this Agreement shall be deemed to be modified accordingly.</w:t>
      </w:r>
    </w:p>
    <w:p>
      <w:pPr>
        <w:spacing w:after="0" w:line="139" w:lineRule="exact"/>
        <w:rPr>
          <w:rFonts w:ascii="Arial" w:cs="Arial" w:eastAsia="Arial" w:hAnsi="Arial"/>
          <w:sz w:val="18"/>
          <w:szCs w:val="18"/>
          <w:b w:val="1"/>
          <w:bCs w:val="1"/>
          <w:color w:val="auto"/>
        </w:rPr>
      </w:pPr>
    </w:p>
    <w:p>
      <w:pPr>
        <w:ind w:right="20" w:firstLine="233"/>
        <w:spacing w:after="0" w:line="258" w:lineRule="auto"/>
        <w:tabs>
          <w:tab w:leader="none" w:pos="40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156" w:lineRule="exact"/>
        <w:rPr>
          <w:rFonts w:ascii="Arial" w:cs="Arial" w:eastAsia="Arial" w:hAnsi="Arial"/>
          <w:sz w:val="18"/>
          <w:szCs w:val="18"/>
          <w:b w:val="1"/>
          <w:bCs w:val="1"/>
          <w:color w:val="auto"/>
        </w:rPr>
      </w:pPr>
    </w:p>
    <w:p>
      <w:pPr>
        <w:ind w:right="500" w:firstLine="233"/>
        <w:spacing w:after="0" w:line="282" w:lineRule="auto"/>
        <w:tabs>
          <w:tab w:leader="none" w:pos="40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 time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nor does it modify in any respect the Grantee’s employment or compensation.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sectPr>
      <w:pgSz w:w="11900" w:h="16838" w:orient="portrait"/>
      <w:cols w:equalWidth="0" w:num="1">
        <w:col w:w="11380"/>
      </w:cols>
      <w:pgMar w:left="240"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3"/>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lvl w:ilvl="1">
      <w:lvlJc w:val="left"/>
      <w:lvlText w:val="%2."/>
      <w:numFmt w:val="decimal"/>
      <w:start w:val="1"/>
    </w:lvl>
  </w:abstractNum>
  <w:abstractNum w:abstractNumId="4">
    <w:nsid w:val="140E0F76"/>
    <w:multiLevelType w:val="hybridMultilevel"/>
    <w:lvl w:ilvl="0">
      <w:lvlJc w:val="left"/>
      <w:lvlText w:val="(%1)"/>
      <w:numFmt w:val="decimal"/>
      <w:start w:val="1"/>
    </w:lvl>
    <w:lvl w:ilvl="1">
      <w:lvlJc w:val="left"/>
      <w:lvlText w:val="%2"/>
      <w:numFmt w:val="decimal"/>
      <w:start w:val="1"/>
    </w:lvl>
  </w:abstractNum>
  <w:abstractNum w:abstractNumId="5">
    <w:nsid w:val="3352255A"/>
    <w:multiLevelType w:val="hybridMultilevel"/>
    <w:lvl w:ilvl="0">
      <w:lvlJc w:val="left"/>
      <w:lvlText w:val="(%1)"/>
      <w:numFmt w:val="lowerLetter"/>
      <w:start w:val="2"/>
    </w:lvl>
  </w:abstractNum>
  <w:abstractNum w:abstractNumId="6">
    <w:nsid w:val="109CF92E"/>
    <w:multiLevelType w:val="hybridMultilevel"/>
    <w:lvl w:ilvl="0">
      <w:lvlJc w:val="left"/>
      <w:lvlText w:val="%1."/>
      <w:numFmt w:val="decimal"/>
      <w:start w:val="3"/>
    </w:lvl>
  </w:abstractNum>
  <w:abstractNum w:abstractNumId="7">
    <w:nsid w:val="DED7263"/>
    <w:multiLevelType w:val="hybridMultilevel"/>
    <w:lvl w:ilvl="0">
      <w:lvlJc w:val="left"/>
      <w:lvlText w:val="(%1)"/>
      <w:numFmt w:val="lowerLetter"/>
      <w:start w:val="2"/>
    </w:lvl>
  </w:abstractNum>
  <w:abstractNum w:abstractNumId="8">
    <w:nsid w:val="7FDCC233"/>
    <w:multiLevelType w:val="hybridMultilevel"/>
    <w:lvl w:ilvl="0">
      <w:lvlJc w:val="left"/>
      <w:lvlText w:val="%1."/>
      <w:numFmt w:val="decimal"/>
      <w:start w:val="4"/>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3"/>
    </w:lvl>
  </w:abstractNum>
  <w:abstractNum w:abstractNumId="13">
    <w:nsid w:val="25E45D32"/>
    <w:multiLevelType w:val="hybridMultilevel"/>
    <w:lvl w:ilvl="0">
      <w:lvlJc w:val="left"/>
      <w:lvlText w:val="(%1)"/>
      <w:numFmt w:val="lowerLetter"/>
      <w:start w:val="3"/>
    </w:lvl>
  </w:abstractNum>
  <w:abstractNum w:abstractNumId="14">
    <w:nsid w:val="519B500D"/>
    <w:multiLevelType w:val="hybridMultilevel"/>
    <w:lvl w:ilvl="0">
      <w:lvlJc w:val="left"/>
      <w:lvlText w:val="%1"/>
      <w:numFmt w:val="upperLetter"/>
      <w:start w:val="1"/>
    </w:lvl>
    <w:lvl w:ilvl="1">
      <w:lvlJc w:val="left"/>
      <w:lvlText w:val="%2."/>
      <w:numFmt w:val="decimal"/>
      <w:start w:val="3"/>
    </w:lvl>
  </w:abstractNum>
  <w:abstractNum w:abstractNumId="15">
    <w:nsid w:val="431BD7B7"/>
    <w:multiLevelType w:val="hybridMultilevel"/>
    <w:lvl w:ilvl="0">
      <w:lvlJc w:val="left"/>
      <w:lvlText w:val="(%1)"/>
      <w:numFmt w:val="upperLetter"/>
      <w:start w:val="4"/>
    </w:lvl>
    <w:lvl w:ilvl="1">
      <w:lvlJc w:val="left"/>
      <w:lvlText w:val="%2"/>
      <w:numFmt w:val="decimal"/>
      <w:start w:val="1"/>
    </w:lvl>
  </w:abstractNum>
  <w:abstractNum w:abstractNumId="16">
    <w:nsid w:val="3F2DBA31"/>
    <w:multiLevelType w:val="hybridMultilevel"/>
    <w:lvl w:ilvl="0">
      <w:lvlJc w:val="left"/>
      <w:lvlText w:val="(%1)"/>
      <w:numFmt w:val="lowerLetter"/>
      <w:start w:val="4"/>
    </w:lvl>
  </w:abstractNum>
  <w:abstractNum w:abstractNumId="17">
    <w:nsid w:val="7C83E458"/>
    <w:multiLevelType w:val="hybridMultilevel"/>
    <w:lvl w:ilvl="0">
      <w:lvlJc w:val="left"/>
      <w:lvlText w:val="(%1)"/>
      <w:numFmt w:val="lowerLetter"/>
      <w:start w:val="5"/>
    </w:lvl>
  </w:abstractNum>
  <w:abstractNum w:abstractNumId="18">
    <w:nsid w:val="257130A3"/>
    <w:multiLevelType w:val="hybridMultilevel"/>
    <w:lvl w:ilvl="0">
      <w:lvlJc w:val="left"/>
      <w:lvlText w:val="%1."/>
      <w:numFmt w:val="decimal"/>
      <w:start w:val="4"/>
    </w:lvl>
  </w:abstractNum>
  <w:abstractNum w:abstractNumId="19">
    <w:nsid w:val="62BBD95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2019-12-20T02:40:57Z</dcterms:created>
  <dcterms:modified xsi:type="dcterms:W3CDTF">2019-12-20T02:40:57Z</dcterms:modified>
</cp:coreProperties>
</file>