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REGENERON PHARMACEUTICALS INC</w:t>
      </w: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ind w:left="220" w:hanging="212"/>
        <w:spacing w:after="0" w:line="238" w:lineRule="auto"/>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75886F107</w:t>
      </w:r>
    </w:p>
    <w:p>
      <w:pPr>
        <w:ind w:left="220" w:hanging="212"/>
        <w:spacing w:after="0" w:line="238" w:lineRule="auto"/>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2010</w:t>
      </w:r>
    </w:p>
    <w:p>
      <w:pPr>
        <w:ind w:left="220" w:hanging="212"/>
        <w:spacing w:after="0" w:line="238" w:lineRule="auto"/>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75886F107</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4538401</w:t>
      </w:r>
    </w:p>
    <w:p>
      <w:pPr>
        <w:spacing w:after="0" w:line="11" w:lineRule="exact"/>
        <w:rPr>
          <w:rFonts w:ascii="Courier New" w:cs="Courier New" w:eastAsia="Courier New" w:hAnsi="Courier New"/>
          <w:sz w:val="18"/>
          <w:szCs w:val="18"/>
          <w:color w:val="auto"/>
        </w:rPr>
      </w:pPr>
    </w:p>
    <w:p>
      <w:pPr>
        <w:ind w:left="540" w:right="7779" w:hanging="532"/>
        <w:spacing w:after="0" w:line="470" w:lineRule="auto"/>
        <w:tabs>
          <w:tab w:leader="none" w:pos="43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None</w:t>
      </w:r>
    </w:p>
    <w:p>
      <w:pPr>
        <w:spacing w:after="0" w:line="11" w:lineRule="exact"/>
        <w:rPr>
          <w:rFonts w:ascii="Courier New" w:cs="Courier New" w:eastAsia="Courier New" w:hAnsi="Courier New"/>
          <w:sz w:val="18"/>
          <w:szCs w:val="18"/>
          <w:color w:val="auto"/>
        </w:rPr>
      </w:pPr>
    </w:p>
    <w:p>
      <w:pPr>
        <w:ind w:left="120" w:right="7479" w:hanging="112"/>
        <w:spacing w:after="0" w:line="470" w:lineRule="auto"/>
        <w:tabs>
          <w:tab w:leader="none" w:pos="43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4538401</w:t>
      </w:r>
    </w:p>
    <w:p>
      <w:pPr>
        <w:sectPr>
          <w:pgSz w:w="11900" w:h="16848" w:orient="portrait"/>
          <w:cols w:equalWidth="0" w:num="1">
            <w:col w:w="10219"/>
          </w:cols>
          <w:pgMar w:left="240" w:top="244" w:right="1440" w:bottom="0" w:gutter="0" w:footer="0" w:header="0"/>
        </w:sectPr>
      </w:pPr>
    </w:p>
    <w:bookmarkStart w:id="1" w:name="page2"/>
    <w:bookmarkEnd w:id="1"/>
    <w:p>
      <w:pPr>
        <w:ind w:left="540" w:right="7259" w:hanging="532"/>
        <w:spacing w:after="0" w:line="470" w:lineRule="auto"/>
        <w:tabs>
          <w:tab w:leader="none" w:pos="435"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11"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4538401</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5.67%</w:t>
      </w:r>
    </w:p>
    <w:p>
      <w:pPr>
        <w:spacing w:after="0" w:line="201" w:lineRule="exact"/>
        <w:rPr>
          <w:sz w:val="20"/>
          <w:szCs w:val="20"/>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4"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REGENERON PHARMACEUTICALS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777 Old Saw Mill River Rd</w:t>
      </w:r>
    </w:p>
    <w:p>
      <w:pPr>
        <w:spacing w:after="0" w:line="238" w:lineRule="auto"/>
        <w:rPr>
          <w:sz w:val="20"/>
          <w:szCs w:val="20"/>
          <w:color w:val="auto"/>
        </w:rPr>
      </w:pPr>
      <w:r>
        <w:rPr>
          <w:rFonts w:ascii="Courier New" w:cs="Courier New" w:eastAsia="Courier New" w:hAnsi="Courier New"/>
          <w:sz w:val="18"/>
          <w:szCs w:val="18"/>
          <w:color w:val="auto"/>
        </w:rPr>
        <w:t>Tarrytown NY 10591-6707</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ind w:left="220" w:hanging="212"/>
        <w:spacing w:after="0" w:line="238" w:lineRule="auto"/>
        <w:tabs>
          <w:tab w:leader="none" w:pos="2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4"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BlackRock Inc.</w:t>
      </w:r>
    </w:p>
    <w:p>
      <w:pPr>
        <w:spacing w:after="0" w:line="4" w:lineRule="exact"/>
        <w:rPr>
          <w:rFonts w:ascii="Courier New" w:cs="Courier New" w:eastAsia="Courier New" w:hAnsi="Courier New"/>
          <w:sz w:val="16"/>
          <w:szCs w:val="16"/>
          <w:color w:val="auto"/>
        </w:rPr>
      </w:pPr>
    </w:p>
    <w:p>
      <w:pPr>
        <w:ind w:right="8219"/>
        <w:spacing w:after="0" w:line="29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40 East 52nd Street New York, NY 10022</w:t>
      </w: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ind w:left="220" w:hanging="212"/>
        <w:spacing w:after="0" w:line="238" w:lineRule="auto"/>
        <w:tabs>
          <w:tab w:leader="none" w:pos="2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ind w:left="220" w:hanging="212"/>
        <w:spacing w:after="0" w:line="238" w:lineRule="auto"/>
        <w:tabs>
          <w:tab w:leader="none" w:pos="2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ind w:left="220" w:hanging="212"/>
        <w:spacing w:after="0" w:line="238" w:lineRule="auto"/>
        <w:tabs>
          <w:tab w:leader="none" w:pos="2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w:t>
      </w:r>
    </w:p>
    <w:p>
      <w:pPr>
        <w:sectPr>
          <w:pgSz w:w="11900" w:h="16838" w:orient="portrait"/>
          <w:cols w:equalWidth="0" w:num="1">
            <w:col w:w="10219"/>
          </w:cols>
          <w:pgMar w:left="240" w:top="142" w:right="1440" w:bottom="0" w:gutter="0" w:footer="0" w:header="0"/>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Rule 13d-1(b)(1)(ii)(F);</w:t>
      </w:r>
    </w:p>
    <w:p>
      <w:pPr>
        <w:spacing w:after="0" w:line="4" w:lineRule="exact"/>
        <w:rPr>
          <w:sz w:val="20"/>
          <w:szCs w:val="20"/>
          <w:color w:val="auto"/>
        </w:rPr>
      </w:pPr>
    </w:p>
    <w:p>
      <w:pPr>
        <w:ind w:left="1280" w:right="3359" w:hanging="1272"/>
        <w:spacing w:after="0" w:line="235" w:lineRule="auto"/>
        <w:tabs>
          <w:tab w:leader="none" w:pos="437"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rPr>
          <w:sz w:val="20"/>
          <w:szCs w:val="20"/>
          <w:color w:val="auto"/>
        </w:rPr>
      </w:pPr>
      <w:r>
        <w:rPr>
          <w:rFonts w:ascii="Courier New" w:cs="Courier New" w:eastAsia="Courier New" w:hAnsi="Courier New"/>
          <w:sz w:val="18"/>
          <w:szCs w:val="18"/>
          <w:color w:val="auto"/>
        </w:rPr>
        <w:t>[ ] A non-U.S. institution in accordance with</w:t>
      </w:r>
    </w:p>
    <w:p>
      <w:pPr>
        <w:ind w:left="1280"/>
        <w:spacing w:after="0" w:line="238" w:lineRule="auto"/>
        <w:rPr>
          <w:sz w:val="20"/>
          <w:szCs w:val="20"/>
          <w:color w:val="auto"/>
        </w:rPr>
      </w:pPr>
      <w:r>
        <w:rPr>
          <w:rFonts w:ascii="Courier New" w:cs="Courier New" w:eastAsia="Courier New" w:hAnsi="Courier New"/>
          <w:sz w:val="18"/>
          <w:szCs w:val="18"/>
          <w:color w:val="auto"/>
        </w:rPr>
        <w:t>Rule 240.13d-1(b)(1)(ii)(J);</w:t>
      </w:r>
    </w:p>
    <w:p>
      <w:pPr>
        <w:spacing w:after="0" w:line="5" w:lineRule="exact"/>
        <w:rPr>
          <w:sz w:val="20"/>
          <w:szCs w:val="20"/>
          <w:color w:val="auto"/>
        </w:rPr>
      </w:pPr>
    </w:p>
    <w:p>
      <w:pPr>
        <w:ind w:left="1280" w:right="3039" w:hanging="1272"/>
        <w:spacing w:after="0" w:line="235" w:lineRule="auto"/>
        <w:tabs>
          <w:tab w:leader="none" w:pos="227"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4538401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5.67%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4538401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4538401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right="3479"/>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REGENERON PHARMACEUTICALS INC.</w:t>
      </w:r>
    </w:p>
    <w:p>
      <w:pPr>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pacing w:after="0"/>
        <w:rPr>
          <w:sz w:val="20"/>
          <w:szCs w:val="20"/>
          <w:color w:val="auto"/>
        </w:rPr>
      </w:pPr>
      <w:r>
        <w:rPr>
          <w:rFonts w:ascii="Courier New" w:cs="Courier New" w:eastAsia="Courier New" w:hAnsi="Courier New"/>
          <w:sz w:val="18"/>
          <w:szCs w:val="18"/>
          <w:color w:val="auto"/>
        </w:rPr>
        <w:t>REGENERON PHARMACEUTICALS INC</w:t>
      </w:r>
    </w:p>
    <w:p>
      <w:pPr>
        <w:sectPr>
          <w:pgSz w:w="11900" w:h="16838" w:orient="portrait"/>
          <w:cols w:equalWidth="0" w:num="1">
            <w:col w:w="10219"/>
          </w:cols>
          <w:pgMar w:left="24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January 21, 2011</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Matthew J. Fitzgerald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20" w:hanging="212"/>
        <w:spacing w:after="0"/>
        <w:tabs>
          <w:tab w:leader="none" w:pos="2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335"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Subsidiary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Japan Co. Ltd.</w:t>
      </w:r>
    </w:p>
    <w:p>
      <w:pPr>
        <w:spacing w:after="0" w:line="238" w:lineRule="auto"/>
        <w:rPr>
          <w:sz w:val="20"/>
          <w:szCs w:val="20"/>
          <w:color w:val="auto"/>
        </w:rPr>
      </w:pPr>
      <w:r>
        <w:rPr>
          <w:rFonts w:ascii="Courier New" w:cs="Courier New" w:eastAsia="Courier New" w:hAnsi="Courier New"/>
          <w:sz w:val="18"/>
          <w:szCs w:val="18"/>
          <w:color w:val="auto"/>
        </w:rPr>
        <w:t>BlackRock Advisors (UK) Limited</w:t>
      </w:r>
    </w:p>
    <w:p>
      <w:pPr>
        <w:spacing w:after="0"/>
        <w:rPr>
          <w:sz w:val="20"/>
          <w:szCs w:val="20"/>
          <w:color w:val="auto"/>
        </w:rPr>
      </w:pPr>
      <w:r>
        <w:rPr>
          <w:rFonts w:ascii="Courier New" w:cs="Courier New" w:eastAsia="Courier New" w:hAnsi="Courier New"/>
          <w:sz w:val="18"/>
          <w:szCs w:val="18"/>
          <w:color w:val="auto"/>
        </w:rPr>
        <w:t>BlackRock Institutional Trust Company, N.A.</w:t>
      </w:r>
    </w:p>
    <w:p>
      <w:pPr>
        <w:spacing w:after="0" w:line="237" w:lineRule="auto"/>
        <w:rPr>
          <w:sz w:val="20"/>
          <w:szCs w:val="20"/>
          <w:color w:val="auto"/>
        </w:rPr>
      </w:pPr>
      <w:r>
        <w:rPr>
          <w:rFonts w:ascii="Courier New" w:cs="Courier New" w:eastAsia="Courier New" w:hAnsi="Courier New"/>
          <w:sz w:val="18"/>
          <w:szCs w:val="18"/>
          <w:color w:val="auto"/>
        </w:rPr>
        <w:t>BlackRock Fund Advisors</w:t>
      </w:r>
    </w:p>
    <w:p>
      <w:pPr>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spacing w:after="0"/>
        <w:rPr>
          <w:sz w:val="20"/>
          <w:szCs w:val="20"/>
          <w:color w:val="auto"/>
        </w:rPr>
      </w:pPr>
      <w:r>
        <w:rPr>
          <w:rFonts w:ascii="Courier New" w:cs="Courier New" w:eastAsia="Courier New" w:hAnsi="Courier New"/>
          <w:sz w:val="18"/>
          <w:szCs w:val="18"/>
          <w:color w:val="auto"/>
        </w:rPr>
        <w:t>BlackRock Asset Management Australia Limited</w:t>
      </w:r>
    </w:p>
    <w:p>
      <w:pPr>
        <w:spacing w:after="0" w:line="237" w:lineRule="auto"/>
        <w:rPr>
          <w:sz w:val="20"/>
          <w:szCs w:val="20"/>
          <w:color w:val="auto"/>
        </w:rPr>
      </w:pPr>
      <w:r>
        <w:rPr>
          <w:rFonts w:ascii="Courier New" w:cs="Courier New" w:eastAsia="Courier New" w:hAnsi="Courier New"/>
          <w:sz w:val="18"/>
          <w:szCs w:val="18"/>
          <w:color w:val="auto"/>
        </w:rPr>
        <w:t>BlackRock Advisors, LLC</w:t>
      </w:r>
    </w:p>
    <w:p>
      <w:pPr>
        <w:spacing w:after="0"/>
        <w:rPr>
          <w:sz w:val="20"/>
          <w:szCs w:val="20"/>
          <w:color w:val="auto"/>
        </w:rPr>
      </w:pPr>
      <w:r>
        <w:rPr>
          <w:rFonts w:ascii="Courier New" w:cs="Courier New" w:eastAsia="Courier New" w:hAnsi="Courier New"/>
          <w:sz w:val="18"/>
          <w:szCs w:val="18"/>
          <w:color w:val="auto"/>
        </w:rPr>
        <w:t>BlackRock Capital Management, Inc.</w:t>
      </w:r>
    </w:p>
    <w:p>
      <w:pPr>
        <w:spacing w:after="0" w:line="237" w:lineRule="auto"/>
        <w:rPr>
          <w:sz w:val="20"/>
          <w:szCs w:val="20"/>
          <w:color w:val="auto"/>
        </w:rPr>
      </w:pPr>
      <w:r>
        <w:rPr>
          <w:rFonts w:ascii="Courier New" w:cs="Courier New" w:eastAsia="Courier New" w:hAnsi="Courier New"/>
          <w:sz w:val="18"/>
          <w:szCs w:val="18"/>
          <w:color w:val="auto"/>
        </w:rPr>
        <w:t>BlackRock Investment Management, LLC</w:t>
      </w:r>
    </w:p>
    <w:p>
      <w:pPr>
        <w:spacing w:after="0"/>
        <w:rPr>
          <w:sz w:val="20"/>
          <w:szCs w:val="20"/>
          <w:color w:val="auto"/>
        </w:rPr>
      </w:pPr>
      <w:r>
        <w:rPr>
          <w:rFonts w:ascii="Courier New" w:cs="Courier New" w:eastAsia="Courier New" w:hAnsi="Courier New"/>
          <w:sz w:val="18"/>
          <w:szCs w:val="18"/>
          <w:color w:val="auto"/>
        </w:rPr>
        <w:t>BlackRock Asset Management Ireland Limited</w:t>
      </w:r>
    </w:p>
    <w:p>
      <w:pPr>
        <w:spacing w:after="0" w:line="237" w:lineRule="auto"/>
        <w:rPr>
          <w:sz w:val="20"/>
          <w:szCs w:val="20"/>
          <w:color w:val="auto"/>
        </w:rPr>
      </w:pPr>
      <w:r>
        <w:rPr>
          <w:rFonts w:ascii="Courier New" w:cs="Courier New" w:eastAsia="Courier New" w:hAnsi="Courier New"/>
          <w:sz w:val="18"/>
          <w:szCs w:val="18"/>
          <w:color w:val="auto"/>
        </w:rPr>
        <w:t>BlackRock International Limited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03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Robert Connolly, Howard Surloff, Edward Baer, Bartholomew Battista, Daniel Waltcher, Karen Clark, John Stelley, Denis Molleur, Daniel Ronnen, Brian Kindelan, Nicholas Hall, Con Tzatzakis ,</w:t>
      </w:r>
    </w:p>
    <w:p>
      <w:pPr>
        <w:spacing w:after="0" w:line="234" w:lineRule="auto"/>
        <w:rPr>
          <w:sz w:val="20"/>
          <w:szCs w:val="20"/>
          <w:color w:val="auto"/>
        </w:rPr>
      </w:pPr>
      <w:r>
        <w:rPr>
          <w:rFonts w:ascii="Courier New" w:cs="Courier New" w:eastAsia="Courier New" w:hAnsi="Courier New"/>
          <w:sz w:val="18"/>
          <w:szCs w:val="18"/>
          <w:color w:val="auto"/>
        </w:rPr>
        <w:t>John Blevins, Rick F. Froio and Matthew Fitzgerald acting severally, as</w:t>
      </w:r>
    </w:p>
    <w:p>
      <w:pPr>
        <w:spacing w:after="0" w:line="5"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its true and lawful attorneys-in-fact, for the purpose of, from time to time, executing in its name and on its behalf, whether the Company is acting individually or as representative of others, any and all documents, certificates, instruments, statements, other filings and amendments to</w:t>
      </w:r>
    </w:p>
    <w:p>
      <w:pPr>
        <w:spacing w:after="0" w:line="5" w:lineRule="exact"/>
        <w:rPr>
          <w:sz w:val="20"/>
          <w:szCs w:val="20"/>
          <w:color w:val="auto"/>
        </w:rPr>
      </w:pPr>
    </w:p>
    <w:p>
      <w:pPr>
        <w:ind w:right="3039"/>
        <w:spacing w:after="0" w:line="238" w:lineRule="auto"/>
        <w:rPr>
          <w:sz w:val="20"/>
          <w:szCs w:val="20"/>
          <w:color w:val="auto"/>
        </w:rPr>
      </w:pPr>
      <w:r>
        <w:rPr>
          <w:rFonts w:ascii="Courier New" w:cs="Courier New" w:eastAsia="Courier New" w:hAnsi="Courier New"/>
          <w:sz w:val="18"/>
          <w:szCs w:val="18"/>
          <w:color w:val="auto"/>
        </w:rPr>
        <w:t>the foregoing (collectively, "documents") determined by such person to be necessary or appropriate to comply with ownership or control-person reporting requirements imposed by any United States or non-United States governmental or regulatory authority, including without limitation Forms 3, 4, 5, 13D, 13F and 13G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w:t>
      </w:r>
    </w:p>
    <w:p>
      <w:pPr>
        <w:spacing w:after="0" w:line="5" w:lineRule="exact"/>
        <w:rPr>
          <w:sz w:val="20"/>
          <w:szCs w:val="20"/>
          <w:color w:val="auto"/>
        </w:rPr>
      </w:pPr>
    </w:p>
    <w:p>
      <w:pPr>
        <w:jc w:val="both"/>
        <w:ind w:right="3259"/>
        <w:spacing w:after="0" w:line="279" w:lineRule="auto"/>
        <w:rPr>
          <w:sz w:val="20"/>
          <w:szCs w:val="20"/>
          <w:color w:val="auto"/>
        </w:rPr>
      </w:pPr>
      <w:r>
        <w:rPr>
          <w:rFonts w:ascii="Courier New" w:cs="Courier New" w:eastAsia="Courier New" w:hAnsi="Courier New"/>
          <w:sz w:val="16"/>
          <w:szCs w:val="16"/>
          <w:color w:val="auto"/>
        </w:rPr>
        <w:t>virtue hereof. Any such determination by an attorney-in-fact named herein shall be conclusively evidenced by such person's execution, delivery, furnishing or filing of the applicable document.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This power of attorney shall expressly revoke the power of attorney</w:t>
      </w:r>
    </w:p>
    <w:p>
      <w:pPr>
        <w:spacing w:after="0" w:line="4"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dated January 11, 2008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9" w:lineRule="exact"/>
        <w:rPr>
          <w:sz w:val="20"/>
          <w:szCs w:val="20"/>
          <w:color w:val="auto"/>
        </w:rPr>
      </w:pPr>
    </w:p>
    <w:p>
      <w:pPr>
        <w:ind w:right="367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14th day of December, 2009.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Robert W. Doll, Jr.</w:t>
      </w:r>
    </w:p>
    <w:p>
      <w:pPr>
        <w:spacing w:after="0" w:line="238" w:lineRule="auto"/>
        <w:rPr>
          <w:sz w:val="20"/>
          <w:szCs w:val="20"/>
          <w:color w:val="auto"/>
        </w:rPr>
      </w:pPr>
      <w:r>
        <w:rPr>
          <w:rFonts w:ascii="Courier New" w:cs="Courier New" w:eastAsia="Courier New" w:hAnsi="Courier New"/>
          <w:sz w:val="18"/>
          <w:szCs w:val="18"/>
          <w:color w:val="auto"/>
        </w:rPr>
        <w:t>Name: Robert W. Doll, Jr.</w:t>
      </w:r>
    </w:p>
    <w:p>
      <w:pPr>
        <w:spacing w:after="0"/>
        <w:rPr>
          <w:sz w:val="20"/>
          <w:szCs w:val="20"/>
          <w:color w:val="auto"/>
        </w:rPr>
      </w:pPr>
      <w:r>
        <w:rPr>
          <w:rFonts w:ascii="Courier New" w:cs="Courier New" w:eastAsia="Courier New" w:hAnsi="Courier New"/>
          <w:sz w:val="18"/>
          <w:szCs w:val="18"/>
          <w:color w:val="auto"/>
        </w:rPr>
        <w:t>Title: Vice Chairman</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1]"/>
      <w:numFmt w:val="upperLetter"/>
      <w:start w:val="24"/>
    </w:lvl>
  </w:abstractNum>
  <w:abstractNum w:abstractNumId="5">
    <w:nsid w:val="66EF438D"/>
    <w:multiLevelType w:val="hybridMultilevel"/>
    <w:lvl w:ilvl="0">
      <w:lvlJc w:val="left"/>
      <w:lvlText w:val="(%1)"/>
      <w:numFmt w:val="decimal"/>
      <w:start w:val="2"/>
    </w:lvl>
  </w:abstractNum>
  <w:abstractNum w:abstractNumId="6">
    <w:nsid w:val="140E0F76"/>
    <w:multiLevelType w:val="hybridMultilevel"/>
    <w:lvl w:ilvl="0">
      <w:lvlJc w:val="left"/>
      <w:lvlText w:val="(%1)"/>
      <w:numFmt w:val="decimal"/>
      <w:start w:val="5"/>
    </w:lvl>
  </w:abstractNum>
  <w:abstractNum w:abstractNumId="7">
    <w:nsid w:val="3352255A"/>
    <w:multiLevelType w:val="hybridMultilevel"/>
    <w:lvl w:ilvl="0">
      <w:lvlJc w:val="left"/>
      <w:lvlText w:val="(%1)"/>
      <w:numFmt w:val="decimal"/>
      <w:start w:val="8"/>
    </w:lvl>
  </w:abstractNum>
  <w:abstractNum w:abstractNumId="8">
    <w:nsid w:val="109CF92E"/>
    <w:multiLevelType w:val="hybridMultilevel"/>
    <w:lvl w:ilvl="0">
      <w:lvlJc w:val="left"/>
      <w:lvlText w:val="(%1)"/>
      <w:numFmt w:val="decimal"/>
      <w:start w:val="12"/>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
      <w:numFmt w:val="bullet"/>
      <w:start w:val="1"/>
    </w:lvl>
  </w:abstractNum>
  <w:abstractNum w:abstractNumId="15">
    <w:nsid w:val="25E45D32"/>
    <w:multiLevelType w:val="hybridMultilevel"/>
    <w:lvl w:ilvl="0">
      <w:lvlJc w:val="left"/>
      <w:lvlText w:val="[%1]"/>
      <w:numFmt w:val="upperLetter"/>
      <w:start w:val="24"/>
    </w:lvl>
  </w:abstractNum>
  <w:abstractNum w:abstractNumId="16">
    <w:nsid w:val="519B500D"/>
    <w:multiLevelType w:val="hybridMultilevel"/>
    <w:lvl w:ilvl="0">
      <w:lvlJc w:val="left"/>
      <w:lvlText w:val="["/>
      <w:numFmt w:val="bullet"/>
      <w:start w:val="1"/>
    </w:lvl>
  </w:abstractNum>
  <w:abstractNum w:abstractNumId="17">
    <w:nsid w:val="431BD7B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2019-12-10T10:01:44Z</dcterms:created>
  <dcterms:modified xsi:type="dcterms:W3CDTF">2019-12-10T10:01:44Z</dcterms:modified>
</cp:coreProperties>
</file>