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AS FILED WITH THE SECURITIES AND EXCHANGE COMMISSION ON MAY 17, 2001.</w:t>
      </w:r>
    </w:p>
    <w:p>
      <w:pPr>
        <w:spacing w:after="0" w:line="177" w:lineRule="exact"/>
        <w:rPr>
          <w:sz w:val="24"/>
          <w:szCs w:val="24"/>
          <w:color w:val="auto"/>
        </w:rPr>
      </w:pPr>
    </w:p>
    <w:p>
      <w:pPr>
        <w:ind w:left="4608"/>
        <w:spacing w:after="0"/>
        <w:rPr>
          <w:sz w:val="20"/>
          <w:szCs w:val="20"/>
          <w:color w:val="auto"/>
        </w:rPr>
      </w:pPr>
      <w:r>
        <w:rPr>
          <w:rFonts w:ascii="Courier New" w:cs="Courier New" w:eastAsia="Courier New" w:hAnsi="Courier New"/>
          <w:sz w:val="15"/>
          <w:szCs w:val="15"/>
          <w:color w:val="auto"/>
        </w:rPr>
        <w:t>REGISTRATION NO.</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FORM S-8</w:t>
      </w:r>
    </w:p>
    <w:p>
      <w:pPr>
        <w:spacing w:after="0" w:line="177"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jc w:val="center"/>
        <w:ind w:right="4392"/>
        <w:spacing w:after="0"/>
        <w:rPr>
          <w:sz w:val="20"/>
          <w:szCs w:val="20"/>
          <w:color w:val="auto"/>
        </w:rPr>
      </w:pPr>
      <w:r>
        <w:rPr>
          <w:rFonts w:ascii="Courier New" w:cs="Courier New" w:eastAsia="Courier New" w:hAnsi="Courier New"/>
          <w:sz w:val="15"/>
          <w:szCs w:val="15"/>
          <w:color w:val="auto"/>
        </w:rPr>
        <w:t>UNDER</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THE SECURITIES ACT OF 1933</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4392"/>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01" w:orient="portrait"/>
          <w:cols w:equalWidth="0" w:num="1">
            <w:col w:w="11528"/>
          </w:cols>
          <w:pgMar w:left="232" w:top="233" w:right="139" w:bottom="0" w:gutter="0" w:footer="0" w:header="0"/>
        </w:sectPr>
      </w:pPr>
    </w:p>
    <w:p>
      <w:pPr>
        <w:spacing w:after="0" w:line="200" w:lineRule="exact"/>
        <w:rPr>
          <w:sz w:val="24"/>
          <w:szCs w:val="24"/>
          <w:color w:val="auto"/>
        </w:rPr>
      </w:pPr>
    </w:p>
    <w:p>
      <w:pPr>
        <w:spacing w:after="0" w:line="324"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NEW YORK</w:t>
      </w:r>
    </w:p>
    <w:p>
      <w:pPr>
        <w:spacing w:after="0" w:line="4" w:lineRule="exact"/>
        <w:rPr>
          <w:sz w:val="24"/>
          <w:szCs w:val="24"/>
          <w:color w:val="auto"/>
        </w:rPr>
      </w:pPr>
    </w:p>
    <w:p>
      <w:pPr>
        <w:ind w:left="908"/>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4"/>
          <w:szCs w:val="24"/>
          <w:color w:val="auto"/>
        </w:rPr>
      </w:pPr>
    </w:p>
    <w:p>
      <w:pPr>
        <w:ind w:left="90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13-3444607</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901" w:orient="portrait"/>
          <w:cols w:equalWidth="0" w:num="2">
            <w:col w:w="5408" w:space="720"/>
            <w:col w:w="5400"/>
          </w:cols>
          <w:pgMar w:left="232" w:top="233" w:right="139" w:bottom="0" w:gutter="0" w:footer="0" w:header="0"/>
          <w:type w:val="continuous"/>
        </w:sectPr>
      </w:pPr>
    </w:p>
    <w:p>
      <w:pPr>
        <w:spacing w:after="0" w:line="150"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777 OLD SAW MILL RIVER ROAD</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TARRYTOWN, NEW YORK 10591-6707</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(914) 347-7000</w:t>
      </w:r>
    </w:p>
    <w:p>
      <w:pPr>
        <w:spacing w:after="0" w:line="3"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3"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INCLUDING AREA CODE, OF PRINCIPAL EXECUTIVE OFFICES)</w:t>
      </w:r>
    </w:p>
    <w:p>
      <w:pPr>
        <w:spacing w:after="0" w:line="177"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4392"/>
        <w:spacing w:after="0"/>
        <w:rPr>
          <w:sz w:val="20"/>
          <w:szCs w:val="20"/>
          <w:color w:val="auto"/>
        </w:rPr>
      </w:pPr>
      <w:r>
        <w:rPr>
          <w:rFonts w:ascii="Courier New" w:cs="Courier New" w:eastAsia="Courier New" w:hAnsi="Courier New"/>
          <w:sz w:val="15"/>
          <w:szCs w:val="15"/>
          <w:color w:val="auto"/>
        </w:rPr>
        <w:t>2000 LONG-TERM INCENTIVE PLAN</w:t>
      </w:r>
    </w:p>
    <w:p>
      <w:pPr>
        <w:spacing w:after="0" w:line="3" w:lineRule="exact"/>
        <w:rPr>
          <w:sz w:val="24"/>
          <w:szCs w:val="24"/>
          <w:color w:val="auto"/>
        </w:rPr>
      </w:pPr>
    </w:p>
    <w:p>
      <w:pPr>
        <w:jc w:val="center"/>
        <w:ind w:right="4392"/>
        <w:spacing w:after="0"/>
        <w:rPr>
          <w:sz w:val="20"/>
          <w:szCs w:val="20"/>
          <w:color w:val="auto"/>
        </w:rPr>
      </w:pPr>
      <w:r>
        <w:rPr>
          <w:rFonts w:ascii="Courier New" w:cs="Courier New" w:eastAsia="Courier New" w:hAnsi="Courier New"/>
          <w:sz w:val="15"/>
          <w:szCs w:val="15"/>
          <w:color w:val="auto"/>
        </w:rPr>
        <w:t>(FULL TITLE OF THE PLANS)</w:t>
      </w:r>
    </w:p>
    <w:p>
      <w:pPr>
        <w:spacing w:after="0" w:line="177"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STUART KOLINSKI, ESQ.</w:t>
      </w:r>
    </w:p>
    <w:p>
      <w:pPr>
        <w:spacing w:after="0" w:line="3" w:lineRule="exact"/>
        <w:rPr>
          <w:sz w:val="24"/>
          <w:szCs w:val="24"/>
          <w:color w:val="auto"/>
        </w:rPr>
      </w:pPr>
    </w:p>
    <w:p>
      <w:pPr>
        <w:ind w:left="1528"/>
        <w:spacing w:after="0"/>
        <w:rPr>
          <w:sz w:val="20"/>
          <w:szCs w:val="20"/>
          <w:color w:val="auto"/>
        </w:rPr>
      </w:pPr>
      <w:r>
        <w:rPr>
          <w:rFonts w:ascii="Courier New" w:cs="Courier New" w:eastAsia="Courier New" w:hAnsi="Courier New"/>
          <w:sz w:val="15"/>
          <w:szCs w:val="15"/>
          <w:color w:val="auto"/>
        </w:rPr>
        <w:t>VICE PRESIDENT, GENERAL COUNSEL AND SECRETARY</w:t>
      </w:r>
    </w:p>
    <w:p>
      <w:pPr>
        <w:spacing w:after="0" w:line="3"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777 OLD SAW MILL RIVER ROAD</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TARRYTOWN, NEW YORK 10591-6707</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(914) 347-7000</w:t>
      </w:r>
    </w:p>
    <w:p>
      <w:pPr>
        <w:spacing w:after="0" w:line="3" w:lineRule="exact"/>
        <w:rPr>
          <w:sz w:val="24"/>
          <w:szCs w:val="24"/>
          <w:color w:val="auto"/>
        </w:rPr>
      </w:pPr>
    </w:p>
    <w:p>
      <w:pPr>
        <w:ind w:left="1988"/>
        <w:spacing w:after="0"/>
        <w:rPr>
          <w:sz w:val="20"/>
          <w:szCs w:val="20"/>
          <w:color w:val="auto"/>
        </w:rPr>
      </w:pPr>
      <w:r>
        <w:rPr>
          <w:rFonts w:ascii="Courier New" w:cs="Courier New" w:eastAsia="Courier New" w:hAnsi="Courier New"/>
          <w:sz w:val="15"/>
          <w:szCs w:val="15"/>
          <w:color w:val="auto"/>
        </w:rPr>
        <w:t>(NAME, ADDRESS AND TELEPHONE NUMBER</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OF AGENT FOR SERVICE)</w:t>
      </w:r>
    </w:p>
    <w:p>
      <w:pPr>
        <w:spacing w:after="0" w:line="177"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COPIES TO:</w:t>
      </w:r>
    </w:p>
    <w:p>
      <w:pPr>
        <w:spacing w:after="0" w:line="177"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DAVID GOLDSCHMIDT, ESQ.</w:t>
      </w:r>
    </w:p>
    <w:p>
      <w:pPr>
        <w:spacing w:after="0" w:line="3"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SKADDEN, ARPS, SLATE, MEAGHER &amp; FLOM LLP</w:t>
      </w:r>
    </w:p>
    <w:p>
      <w:pPr>
        <w:spacing w:after="0" w:line="3"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FOUR TIMES SQUARE</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NEW YORK, NEW YORK 10039-6522</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(212) 735-3000</w:t>
      </w:r>
    </w:p>
    <w:p>
      <w:pPr>
        <w:spacing w:after="0" w:line="177"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sz w:val="24"/>
          <w:szCs w:val="24"/>
          <w:color w:val="auto"/>
        </w:rPr>
      </w:pPr>
    </w:p>
    <w:tbl>
      <w:tblPr>
        <w:tblLayout w:type="fixed"/>
        <w:tblInd w:w="268"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PROPOSED MAXIMUM</w:t>
            </w:r>
          </w:p>
        </w:tc>
        <w:tc>
          <w:tcPr>
            <w:tcW w:w="1940" w:type="dxa"/>
            <w:vAlign w:val="bottom"/>
          </w:tcPr>
          <w:p>
            <w:pPr>
              <w:ind w:left="640"/>
              <w:spacing w:after="0"/>
              <w:rPr>
                <w:sz w:val="20"/>
                <w:szCs w:val="20"/>
                <w:color w:val="auto"/>
              </w:rPr>
            </w:pPr>
            <w:r>
              <w:rPr>
                <w:rFonts w:ascii="Courier New" w:cs="Courier New" w:eastAsia="Courier New" w:hAnsi="Courier New"/>
                <w:sz w:val="15"/>
                <w:szCs w:val="15"/>
                <w:color w:val="auto"/>
              </w:rPr>
              <w:t>PROPOSED</w:t>
            </w: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3"/>
        </w:trPr>
        <w:tc>
          <w:tcPr>
            <w:tcW w:w="3560" w:type="dxa"/>
            <w:vAlign w:val="bottom"/>
          </w:tcPr>
          <w:p>
            <w:pPr>
              <w:spacing w:after="0"/>
              <w:rPr>
                <w:sz w:val="15"/>
                <w:szCs w:val="15"/>
                <w:color w:val="auto"/>
              </w:rPr>
            </w:pPr>
          </w:p>
        </w:tc>
        <w:tc>
          <w:tcPr>
            <w:tcW w:w="1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AMOUNT TO BE</w:t>
            </w:r>
          </w:p>
        </w:tc>
        <w:tc>
          <w:tcPr>
            <w:tcW w:w="19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OFFERING PRICE</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MAXIMUM AGGREGATE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AMOUNT OF</w:t>
            </w:r>
          </w:p>
        </w:tc>
        <w:tc>
          <w:tcPr>
            <w:tcW w:w="320" w:type="dxa"/>
            <w:vAlign w:val="bottom"/>
          </w:tcPr>
          <w:p>
            <w:pPr>
              <w:spacing w:after="0"/>
              <w:rPr>
                <w:sz w:val="15"/>
                <w:szCs w:val="15"/>
                <w:color w:val="auto"/>
              </w:rPr>
            </w:pP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TITLE OF SECURITIES TO BE REGISTERED</w:t>
            </w:r>
          </w:p>
        </w:tc>
        <w:tc>
          <w:tcPr>
            <w:tcW w:w="1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REGISTERED(1)</w:t>
            </w:r>
          </w:p>
        </w:tc>
        <w:tc>
          <w:tcPr>
            <w:tcW w:w="1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PER SHARE(2)</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OFFERING PRICE(3)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REGISTRATION</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FEE</w:t>
            </w:r>
          </w:p>
        </w:tc>
      </w:tr>
    </w:tbl>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2000 Long-Term Incentive Plan, Common</w:t>
            </w:r>
          </w:p>
        </w:tc>
        <w:tc>
          <w:tcPr>
            <w:tcW w:w="1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Stock, par value $0.001 per share.........</w:t>
            </w:r>
          </w:p>
        </w:tc>
        <w:tc>
          <w:tcPr>
            <w:tcW w:w="1980" w:type="dxa"/>
            <w:vAlign w:val="bottom"/>
          </w:tcPr>
          <w:p>
            <w:pPr>
              <w:ind w:left="120"/>
              <w:spacing w:after="0"/>
              <w:rPr>
                <w:sz w:val="20"/>
                <w:szCs w:val="20"/>
                <w:color w:val="auto"/>
              </w:rPr>
            </w:pPr>
            <w:r>
              <w:rPr>
                <w:rFonts w:ascii="Courier New" w:cs="Courier New" w:eastAsia="Courier New" w:hAnsi="Courier New"/>
                <w:sz w:val="15"/>
                <w:szCs w:val="15"/>
                <w:color w:val="auto"/>
              </w:rPr>
              <w:t>6,000,000 shares</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$26.390</w:t>
            </w:r>
          </w:p>
        </w:tc>
        <w:tc>
          <w:tcPr>
            <w:tcW w:w="2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$158,340,000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$39,585.00</w:t>
            </w:r>
          </w:p>
        </w:tc>
      </w:tr>
    </w:tbl>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2" w:lineRule="exact"/>
        <w:rPr>
          <w:sz w:val="24"/>
          <w:szCs w:val="24"/>
          <w:color w:val="auto"/>
        </w:rPr>
      </w:pPr>
    </w:p>
    <w:p>
      <w:pPr>
        <w:ind w:left="368" w:right="4320"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416 under the Securities Act of 1933, as amended, this Registration Statement shall also cover, in addition to the number of shares stated above, an indeterminate number of additional shares of Common Stock which may become issuable under the Plan by reason of certain corporate transactions or events, including any stock dividend, stock split, recapitalization or any other similar transaction effected without the receipt of consideration which results in an increase in the number of the Registrant's outstanding shares of Common Stock.</w:t>
      </w:r>
    </w:p>
    <w:p>
      <w:pPr>
        <w:spacing w:after="0" w:line="5" w:lineRule="exact"/>
        <w:rPr>
          <w:rFonts w:ascii="Courier New" w:cs="Courier New" w:eastAsia="Courier New" w:hAnsi="Courier New"/>
          <w:sz w:val="15"/>
          <w:szCs w:val="15"/>
          <w:color w:val="auto"/>
        </w:rPr>
      </w:pPr>
    </w:p>
    <w:p>
      <w:pPr>
        <w:ind w:left="368" w:right="4580"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in accordance with paragraphs (c) and (h) of Rule 457 under the Securities Act solely for the purpose of calculating the registration fee based upon the average of the high and low sales prices for a share of Common Stock as reported on the NASDAQ National Market on May 14, 2001, within five business days prior to filing.</w:t>
      </w:r>
    </w:p>
    <w:p>
      <w:pPr>
        <w:spacing w:after="0" w:line="2"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w:t>
      </w:r>
    </w:p>
    <w:p>
      <w:pPr>
        <w:spacing w:after="0" w:line="3" w:lineRule="exact"/>
        <w:rPr>
          <w:rFonts w:ascii="Courier New" w:cs="Courier New" w:eastAsia="Courier New" w:hAnsi="Courier New"/>
          <w:sz w:val="15"/>
          <w:szCs w:val="15"/>
          <w:color w:val="auto"/>
        </w:rPr>
      </w:pPr>
    </w:p>
    <w:p>
      <w:pPr>
        <w:ind w:left="2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901" w:orient="portrait"/>
          <w:cols w:equalWidth="0" w:num="1">
            <w:col w:w="11528"/>
          </w:cols>
          <w:pgMar w:left="232" w:top="233" w:right="139" w:bottom="0" w:gutter="0" w:footer="0" w:header="0"/>
          <w:type w:val="continuous"/>
        </w:sectPr>
      </w:pPr>
    </w:p>
    <w:bookmarkStart w:id="1" w:name="page2"/>
    <w:bookmarkEnd w:id="1"/>
    <w:p>
      <w:pPr>
        <w:ind w:left="8" w:right="3019" w:firstLine="451"/>
        <w:spacing w:after="0" w:line="243" w:lineRule="auto"/>
        <w:rPr>
          <w:sz w:val="20"/>
          <w:szCs w:val="20"/>
          <w:color w:val="auto"/>
        </w:rPr>
      </w:pPr>
      <w:r>
        <w:rPr>
          <w:rFonts w:ascii="Courier New" w:cs="Courier New" w:eastAsia="Courier New" w:hAnsi="Courier New"/>
          <w:sz w:val="15"/>
          <w:szCs w:val="15"/>
          <w:color w:val="auto"/>
        </w:rPr>
        <w:t>The Registration Statement shall become effective upon filing in accordance with Rule 462(a) under the Securities Act.</w:t>
      </w:r>
    </w:p>
    <w:p>
      <w:pPr>
        <w:spacing w:after="0" w:line="3"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INFORMATION REQUIRED IN THE SECTION 10(a) PROSPECTUS</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PLAN INFORMATION.*</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REGISTRANT INFORMATION.*</w:t>
      </w:r>
    </w:p>
    <w:p>
      <w:pPr>
        <w:spacing w:after="0" w:line="178" w:lineRule="exact"/>
        <w:rPr>
          <w:sz w:val="20"/>
          <w:szCs w:val="20"/>
          <w:color w:val="auto"/>
        </w:rPr>
      </w:pPr>
    </w:p>
    <w:p>
      <w:pPr>
        <w:ind w:right="3099" w:firstLine="443"/>
        <w:spacing w:after="0" w:line="244" w:lineRule="auto"/>
        <w:tabs>
          <w:tab w:leader="none" w:pos="63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called for by Part I of this registration statement on Form S-8 is included in the description of the 2000 Long-Term Incentive Plan (the "Plan") which will be delivered to persons eligible to participate in the Plan. Pursuant to the Note in the Instructions to Part I of the Form S-8, this information is not being filed with or included in this registration statement.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tab/>
        <w:t>INCORPORATION OF DOCUMENTS BY REFERENCE.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Regeneron Pharmaceuticals, Inc. (the "Company" or the "Registrant") hereby incorporates by reference into this Registration Statement the following documents:</w:t>
      </w:r>
    </w:p>
    <w:p>
      <w:pPr>
        <w:spacing w:after="0" w:line="175" w:lineRule="exact"/>
        <w:rPr>
          <w:sz w:val="20"/>
          <w:szCs w:val="20"/>
          <w:color w:val="auto"/>
        </w:rPr>
      </w:pPr>
    </w:p>
    <w:p>
      <w:pPr>
        <w:ind w:left="440" w:right="3099" w:firstLine="454"/>
        <w:spacing w:after="0" w:line="243" w:lineRule="auto"/>
        <w:tabs>
          <w:tab w:leader="none" w:pos="125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Annual Report on Form 10-K for the fiscal year ended December 31, 2000, filed with the Commission on March 2, 2001.</w:t>
      </w:r>
    </w:p>
    <w:p>
      <w:pPr>
        <w:spacing w:after="0" w:line="176" w:lineRule="exact"/>
        <w:rPr>
          <w:rFonts w:ascii="Courier New" w:cs="Courier New" w:eastAsia="Courier New" w:hAnsi="Courier New"/>
          <w:sz w:val="15"/>
          <w:szCs w:val="15"/>
          <w:color w:val="auto"/>
        </w:rPr>
      </w:pPr>
    </w:p>
    <w:p>
      <w:pPr>
        <w:ind w:left="440" w:right="3379" w:firstLine="454"/>
        <w:spacing w:after="0" w:line="243" w:lineRule="auto"/>
        <w:tabs>
          <w:tab w:leader="none" w:pos="125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Quarterly Report on Form 10-Q for the quarterly period ended March 31, 2001, filed with the Commission on May 11, 2001.</w:t>
      </w:r>
    </w:p>
    <w:p>
      <w:pPr>
        <w:spacing w:after="0" w:line="176" w:lineRule="exact"/>
        <w:rPr>
          <w:rFonts w:ascii="Courier New" w:cs="Courier New" w:eastAsia="Courier New" w:hAnsi="Courier New"/>
          <w:sz w:val="15"/>
          <w:szCs w:val="15"/>
          <w:color w:val="auto"/>
        </w:rPr>
      </w:pPr>
    </w:p>
    <w:p>
      <w:pPr>
        <w:ind w:left="440" w:right="3279" w:firstLine="454"/>
        <w:spacing w:after="0" w:line="243" w:lineRule="auto"/>
        <w:tabs>
          <w:tab w:leader="none" w:pos="125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Current Reports on Form 8-K dated January 25, 2001 (as amended by a Form 8-K/A dated January 25, 2001).</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Registrant's Common Stock contained in Item 1 of the Registrant's Registration Statement on Form 8-A filed with the Commission under Section 12 of the Securities Exchange Act of 1934, as amended (the "Exchange Act") on February 20, 1991, including any amendment or report filed for the purpose of updating such description.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Statements contained in this Registration Statement or in a document incorporated by reference may be modified or superseded by later statements in this Registration Statement or by statements in subsequent documents incorporated by reference, in which case you should refer to the later statement.</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tab/>
        <w:t>DESCRIPTION OF THE SECURITIES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INTERESTS OF NAMED EXPERTS AND COUNSEL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tab/>
        <w:t>INDEMNIFICATION OF DIRECTORS AND OFFICERS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Article Seven of the Company's Restated Certificate of Incorporation requires indemnification of the Company's officers and directs that such indemnification be made to the fullest extent permitted by the New York Business Corporation Law.</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722 of the New York Business Corporation Law permits a corporation to provide for the indemnification of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163" w:lineRule="exact"/>
        <w:rPr>
          <w:sz w:val="20"/>
          <w:szCs w:val="20"/>
          <w:color w:val="auto"/>
        </w:rPr>
      </w:pPr>
    </w:p>
    <w:p>
      <w:pPr>
        <w:ind w:right="3199" w:firstLine="451"/>
        <w:spacing w:after="0" w:line="266" w:lineRule="auto"/>
        <w:rPr>
          <w:sz w:val="20"/>
          <w:szCs w:val="20"/>
          <w:color w:val="auto"/>
        </w:rPr>
      </w:pPr>
      <w:r>
        <w:rPr>
          <w:rFonts w:ascii="Courier New" w:cs="Courier New" w:eastAsia="Courier New" w:hAnsi="Courier New"/>
          <w:sz w:val="14"/>
          <w:szCs w:val="14"/>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1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tab/>
        <w:t>EXEMPTION FROM REGISTRATION CLAIMED</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tab/>
        <w:t>EXHIBITS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Index to Exhibits.</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9.</w:t>
        <w:tab/>
        <w:t>UNDERTAKINGS</w:t>
      </w:r>
    </w:p>
    <w:p>
      <w:pPr>
        <w:spacing w:after="0" w:line="177" w:lineRule="exact"/>
        <w:rPr>
          <w:sz w:val="20"/>
          <w:szCs w:val="20"/>
          <w:color w:val="auto"/>
        </w:rPr>
      </w:pPr>
    </w:p>
    <w:p>
      <w:pPr>
        <w:ind w:left="720" w:hanging="277"/>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7" w:lineRule="exact"/>
        <w:rPr>
          <w:rFonts w:ascii="Courier New" w:cs="Courier New" w:eastAsia="Courier New" w:hAnsi="Courier New"/>
          <w:sz w:val="15"/>
          <w:szCs w:val="15"/>
          <w:color w:val="auto"/>
        </w:rPr>
      </w:pPr>
    </w:p>
    <w:p>
      <w:pPr>
        <w:ind w:left="440" w:right="3459" w:firstLine="454"/>
        <w:spacing w:after="0" w:line="243" w:lineRule="auto"/>
        <w:tabs>
          <w:tab w:leader="none" w:pos="1251"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720" w:right="3199" w:firstLine="445"/>
        <w:spacing w:after="0" w:line="243" w:lineRule="auto"/>
        <w:tabs>
          <w:tab w:leader="none" w:pos="1531"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6" w:lineRule="exact"/>
        <w:rPr>
          <w:rFonts w:ascii="Courier New" w:cs="Courier New" w:eastAsia="Courier New" w:hAnsi="Courier New"/>
          <w:sz w:val="15"/>
          <w:szCs w:val="15"/>
          <w:color w:val="auto"/>
        </w:rPr>
      </w:pPr>
    </w:p>
    <w:p>
      <w:pPr>
        <w:ind w:left="720" w:right="3019" w:firstLine="445"/>
        <w:spacing w:after="0" w:line="244" w:lineRule="auto"/>
        <w:tabs>
          <w:tab w:leader="none" w:pos="1622"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6" w:lineRule="exact"/>
        <w:rPr>
          <w:rFonts w:ascii="Courier New" w:cs="Courier New" w:eastAsia="Courier New" w:hAnsi="Courier New"/>
          <w:sz w:val="15"/>
          <w:szCs w:val="15"/>
          <w:color w:val="auto"/>
        </w:rPr>
      </w:pPr>
    </w:p>
    <w:p>
      <w:pPr>
        <w:ind w:left="720" w:right="3099" w:firstLine="445"/>
        <w:spacing w:after="0" w:line="244" w:lineRule="auto"/>
        <w:tabs>
          <w:tab w:leader="none" w:pos="1712"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left="440" w:right="3019" w:firstLine="451"/>
        <w:spacing w:after="0" w:line="244" w:lineRule="auto"/>
        <w:rPr>
          <w:sz w:val="20"/>
          <w:szCs w:val="20"/>
          <w:color w:val="auto"/>
        </w:rPr>
      </w:pPr>
      <w:r>
        <w:rPr>
          <w:rFonts w:ascii="Courier New" w:cs="Courier New" w:eastAsia="Courier New" w:hAnsi="Courier New"/>
          <w:sz w:val="15"/>
          <w:szCs w:val="15"/>
          <w:color w:val="auto"/>
        </w:rPr>
        <w:t>Provided, however, that paragraphs (a)(i) and (a)(ii)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77" w:lineRule="exact"/>
        <w:rPr>
          <w:sz w:val="20"/>
          <w:szCs w:val="20"/>
          <w:color w:val="auto"/>
        </w:rPr>
      </w:pPr>
    </w:p>
    <w:p>
      <w:pPr>
        <w:ind w:left="440" w:right="3099" w:firstLine="454"/>
        <w:spacing w:after="0" w:line="244" w:lineRule="auto"/>
        <w:tabs>
          <w:tab w:leader="none" w:pos="1251"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72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1"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900"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Tarrytown, State of New York, on the 17th day of May, 2001</w:t>
      </w:r>
    </w:p>
    <w:p>
      <w:pPr>
        <w:spacing w:after="0" w:line="176"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REGENERON PHARMACEUTICALS, INC.</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Leonard S. Schleifer, M.D., Ph.D.</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President and Chief Executive</w:t>
      </w:r>
    </w:p>
    <w:p>
      <w:pPr>
        <w:spacing w:after="0" w:line="3"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Officer</w:t>
      </w:r>
    </w:p>
    <w:p>
      <w:pPr>
        <w:spacing w:after="0" w:line="178" w:lineRule="exact"/>
        <w:rPr>
          <w:sz w:val="20"/>
          <w:szCs w:val="20"/>
          <w:color w:val="auto"/>
        </w:rPr>
      </w:pPr>
    </w:p>
    <w:p>
      <w:pPr>
        <w:ind w:left="8" w:right="900" w:firstLine="451"/>
        <w:spacing w:after="0" w:line="244" w:lineRule="auto"/>
        <w:rPr>
          <w:sz w:val="20"/>
          <w:szCs w:val="20"/>
          <w:color w:val="auto"/>
        </w:rPr>
      </w:pPr>
      <w:r>
        <w:rPr>
          <w:rFonts w:ascii="Courier New" w:cs="Courier New" w:eastAsia="Courier New" w:hAnsi="Courier New"/>
          <w:sz w:val="15"/>
          <w:szCs w:val="15"/>
          <w:color w:val="auto"/>
        </w:rPr>
        <w:t>Each person whose signature appears below hereby constitutes and appoints Leonard S. Schelifer and Murray A. Goldberg, and each of them, his true and lawful attorneys-in-fact and agents with full power of substitution and resubstitution, for him and in his name, place, and stead, in any and all capacities, to sign any and all amendments (including post-effective amendments) and additions to this Registration Statement, and to file the same, with all exhibits thereto, and other documents in connection therewith, with the Securities and Exchange Commission, and hereby grants to such attorneys-in-fact and agents full power and authority to do and perform each and every act and thing requisite and necessary to be done, as fully to all intents and purposes as he or she might or could do in person, hereby ratifying and confirming all that said attorneys-in-fact and agents or his substitute or substitutes may lawfully do or cause to be done by virtue hereof.</w:t>
      </w:r>
    </w:p>
    <w:p>
      <w:pPr>
        <w:spacing w:after="0" w:line="182" w:lineRule="exact"/>
        <w:rPr>
          <w:sz w:val="20"/>
          <w:szCs w:val="20"/>
          <w:color w:val="auto"/>
        </w:rPr>
      </w:pPr>
    </w:p>
    <w:p>
      <w:pPr>
        <w:jc w:val="both"/>
        <w:ind w:left="8" w:right="1800"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21" w:lineRule="exact"/>
        <w:rPr>
          <w:sz w:val="20"/>
          <w:szCs w:val="20"/>
          <w:color w:val="auto"/>
        </w:rPr>
      </w:pPr>
    </w:p>
    <w:p>
      <w:pPr>
        <w:ind w:left="2068"/>
        <w:spacing w:after="0"/>
        <w:tabs>
          <w:tab w:leader="none" w:pos="6207"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TITLE</w:t>
      </w:r>
    </w:p>
    <w:p>
      <w:pPr>
        <w:spacing w:after="0" w:line="3" w:lineRule="exact"/>
        <w:rPr>
          <w:sz w:val="20"/>
          <w:szCs w:val="20"/>
          <w:color w:val="auto"/>
        </w:rPr>
      </w:pPr>
    </w:p>
    <w:p>
      <w:pPr>
        <w:ind w:left="2068"/>
        <w:spacing w:after="0"/>
        <w:tabs>
          <w:tab w:leader="none" w:pos="620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0"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3"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 Roy Vagelos, M.D.</w:t>
      </w:r>
    </w:p>
    <w:p>
      <w:pPr>
        <w:spacing w:after="0" w:line="177" w:lineRule="exact"/>
        <w:rPr>
          <w:sz w:val="20"/>
          <w:szCs w:val="20"/>
          <w:color w:val="auto"/>
        </w:rPr>
      </w:pPr>
    </w:p>
    <w:p>
      <w:pPr>
        <w:jc w:val="right"/>
        <w:ind w:right="540"/>
        <w:spacing w:after="0"/>
        <w:rPr>
          <w:sz w:val="20"/>
          <w:szCs w:val="20"/>
          <w:color w:val="auto"/>
        </w:rPr>
      </w:pPr>
      <w:r>
        <w:rPr>
          <w:rFonts w:ascii="Courier New" w:cs="Courier New" w:eastAsia="Courier New" w:hAnsi="Courier New"/>
          <w:sz w:val="15"/>
          <w:szCs w:val="15"/>
          <w:color w:val="auto"/>
        </w:rPr>
        <w:t>President and Chief Executive</w:t>
      </w:r>
    </w:p>
    <w:p>
      <w:pPr>
        <w:spacing w:after="0" w:line="3" w:lineRule="exact"/>
        <w:rPr>
          <w:sz w:val="20"/>
          <w:szCs w:val="20"/>
          <w:color w:val="auto"/>
        </w:rPr>
      </w:pPr>
    </w:p>
    <w:p>
      <w:pPr>
        <w:ind w:left="8"/>
        <w:spacing w:after="0"/>
        <w:tabs>
          <w:tab w:leader="none" w:pos="530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Officer and Director (Principal</w:t>
      </w:r>
    </w:p>
    <w:p>
      <w:pPr>
        <w:spacing w:after="0" w:line="3" w:lineRule="exact"/>
        <w:rPr>
          <w:sz w:val="20"/>
          <w:szCs w:val="20"/>
          <w:color w:val="auto"/>
        </w:rPr>
      </w:pPr>
    </w:p>
    <w:p>
      <w:pPr>
        <w:ind w:left="808"/>
        <w:spacing w:after="0"/>
        <w:tabs>
          <w:tab w:leader="none" w:pos="5127" w:val="left"/>
        </w:tabs>
        <w:rPr>
          <w:sz w:val="20"/>
          <w:szCs w:val="20"/>
          <w:color w:val="auto"/>
        </w:rPr>
      </w:pPr>
      <w:r>
        <w:rPr>
          <w:rFonts w:ascii="Courier New" w:cs="Courier New" w:eastAsia="Courier New" w:hAnsi="Courier New"/>
          <w:sz w:val="15"/>
          <w:szCs w:val="15"/>
          <w:color w:val="auto"/>
        </w:rPr>
        <w:t>Leonard S. Schleifer, M.D., Ph.D.</w:t>
      </w:r>
      <w:r>
        <w:rPr>
          <w:sz w:val="20"/>
          <w:szCs w:val="20"/>
          <w:color w:val="auto"/>
        </w:rPr>
        <w:tab/>
      </w:r>
      <w:r>
        <w:rPr>
          <w:rFonts w:ascii="Courier New" w:cs="Courier New" w:eastAsia="Courier New" w:hAnsi="Courier New"/>
          <w:sz w:val="14"/>
          <w:szCs w:val="14"/>
          <w:color w:val="auto"/>
        </w:rPr>
        <w:t>Executive Officer)</w:t>
      </w:r>
    </w:p>
    <w:p>
      <w:pPr>
        <w:spacing w:after="0" w:line="177"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Senior Vice President, Finance &amp;</w:t>
      </w:r>
    </w:p>
    <w:p>
      <w:pPr>
        <w:spacing w:after="0" w:line="3" w:lineRule="exact"/>
        <w:rPr>
          <w:sz w:val="20"/>
          <w:szCs w:val="20"/>
          <w:color w:val="auto"/>
        </w:rPr>
      </w:pPr>
    </w:p>
    <w:p>
      <w:pPr>
        <w:ind w:left="8"/>
        <w:spacing w:after="0"/>
        <w:tabs>
          <w:tab w:leader="none" w:pos="530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Administration, Chief Financial</w:t>
      </w:r>
    </w:p>
    <w:p>
      <w:pPr>
        <w:spacing w:after="0" w:line="3" w:lineRule="exact"/>
        <w:rPr>
          <w:sz w:val="20"/>
          <w:szCs w:val="20"/>
          <w:color w:val="auto"/>
        </w:rPr>
      </w:pPr>
    </w:p>
    <w:p>
      <w:pPr>
        <w:jc w:val="right"/>
        <w:ind w:right="80"/>
        <w:spacing w:after="0"/>
        <w:tabs>
          <w:tab w:leader="none" w:pos="2940" w:val="left"/>
        </w:tabs>
        <w:rPr>
          <w:sz w:val="20"/>
          <w:szCs w:val="20"/>
          <w:color w:val="auto"/>
        </w:rPr>
      </w:pPr>
      <w:r>
        <w:rPr>
          <w:rFonts w:ascii="Courier New" w:cs="Courier New" w:eastAsia="Courier New" w:hAnsi="Courier New"/>
          <w:sz w:val="15"/>
          <w:szCs w:val="15"/>
          <w:color w:val="auto"/>
        </w:rPr>
        <w:t>Murray A. Goldberg</w:t>
      </w:r>
      <w:r>
        <w:rPr>
          <w:sz w:val="20"/>
          <w:szCs w:val="20"/>
          <w:color w:val="auto"/>
        </w:rPr>
        <w:tab/>
      </w:r>
      <w:r>
        <w:rPr>
          <w:rFonts w:ascii="Courier New" w:cs="Courier New" w:eastAsia="Courier New" w:hAnsi="Courier New"/>
          <w:sz w:val="14"/>
          <w:szCs w:val="14"/>
          <w:color w:val="auto"/>
        </w:rPr>
        <w:t>Officer, Treasurer and Assistant</w:t>
      </w:r>
    </w:p>
    <w:p>
      <w:pPr>
        <w:spacing w:after="0" w:line="3" w:lineRule="exact"/>
        <w:rPr>
          <w:sz w:val="20"/>
          <w:szCs w:val="20"/>
          <w:color w:val="auto"/>
        </w:rPr>
      </w:pPr>
    </w:p>
    <w:p>
      <w:pPr>
        <w:ind w:left="5148"/>
        <w:spacing w:after="0"/>
        <w:rPr>
          <w:sz w:val="20"/>
          <w:szCs w:val="20"/>
          <w:color w:val="auto"/>
        </w:rPr>
      </w:pPr>
      <w:r>
        <w:rPr>
          <w:rFonts w:ascii="Courier New" w:cs="Courier New" w:eastAsia="Courier New" w:hAnsi="Courier New"/>
          <w:sz w:val="15"/>
          <w:szCs w:val="15"/>
          <w:color w:val="auto"/>
        </w:rPr>
        <w:t>Secretary (Principal Financial</w:t>
      </w:r>
    </w:p>
    <w:p>
      <w:pPr>
        <w:spacing w:after="0" w:line="3" w:lineRule="exact"/>
        <w:rPr>
          <w:sz w:val="20"/>
          <w:szCs w:val="20"/>
          <w:color w:val="auto"/>
        </w:rPr>
      </w:pPr>
    </w:p>
    <w:p>
      <w:pPr>
        <w:ind w:left="5148"/>
        <w:spacing w:after="0"/>
        <w:rPr>
          <w:sz w:val="20"/>
          <w:szCs w:val="20"/>
          <w:color w:val="auto"/>
        </w:rPr>
      </w:pPr>
      <w:r>
        <w:rPr>
          <w:rFonts w:ascii="Courier New" w:cs="Courier New" w:eastAsia="Courier New" w:hAnsi="Courier New"/>
          <w:sz w:val="15"/>
          <w:szCs w:val="15"/>
          <w:color w:val="auto"/>
        </w:rPr>
        <w:t>Officer)</w:t>
      </w:r>
    </w:p>
    <w:p>
      <w:pPr>
        <w:spacing w:after="0" w:line="177" w:lineRule="exact"/>
        <w:rPr>
          <w:sz w:val="20"/>
          <w:szCs w:val="20"/>
          <w:color w:val="auto"/>
        </w:rPr>
      </w:pPr>
    </w:p>
    <w:p>
      <w:pPr>
        <w:ind w:left="4968"/>
        <w:spacing w:after="0"/>
        <w:rPr>
          <w:sz w:val="20"/>
          <w:szCs w:val="20"/>
          <w:color w:val="auto"/>
        </w:rPr>
      </w:pPr>
      <w:r>
        <w:rPr>
          <w:rFonts w:ascii="Courier New" w:cs="Courier New" w:eastAsia="Courier New" w:hAnsi="Courier New"/>
          <w:sz w:val="15"/>
          <w:szCs w:val="15"/>
          <w:color w:val="auto"/>
        </w:rPr>
        <w:t>Controller and Assistant Treasurer</w:t>
      </w:r>
    </w:p>
    <w:p>
      <w:pPr>
        <w:spacing w:after="0" w:line="3" w:lineRule="exact"/>
        <w:rPr>
          <w:sz w:val="20"/>
          <w:szCs w:val="20"/>
          <w:color w:val="auto"/>
        </w:rPr>
      </w:pPr>
    </w:p>
    <w:p>
      <w:pPr>
        <w:ind w:left="8"/>
        <w:spacing w:after="0"/>
        <w:tabs>
          <w:tab w:leader="none" w:pos="530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(Principal Accounting Officer)</w:t>
      </w:r>
    </w:p>
    <w:p>
      <w:pPr>
        <w:spacing w:after="0" w:line="3"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Douglas S. McCorkle</w:t>
      </w:r>
    </w:p>
    <w:p>
      <w:pPr>
        <w:spacing w:after="0" w:line="177" w:lineRule="exact"/>
        <w:rPr>
          <w:sz w:val="20"/>
          <w:szCs w:val="20"/>
          <w:color w:val="auto"/>
        </w:rPr>
      </w:pPr>
    </w:p>
    <w:p>
      <w:pPr>
        <w:ind w:left="4968"/>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A. Baker</w:t>
      </w:r>
    </w:p>
    <w:p>
      <w:pPr>
        <w:spacing w:after="0" w:line="177" w:lineRule="exact"/>
        <w:rPr>
          <w:sz w:val="20"/>
          <w:szCs w:val="20"/>
          <w:color w:val="auto"/>
        </w:rPr>
      </w:pPr>
    </w:p>
    <w:p>
      <w:pPr>
        <w:ind w:left="4968"/>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S. Brown, M.D.</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II-3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DATE</w:t>
            </w:r>
          </w:p>
        </w:tc>
      </w:tr>
      <w:tr>
        <w:trPr>
          <w:trHeight w:val="173"/>
        </w:trPr>
        <w:tc>
          <w:tcPr>
            <w:tcW w:w="26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w:t>
            </w:r>
          </w:p>
        </w:tc>
      </w:tr>
      <w:tr>
        <w:trPr>
          <w:trHeight w:val="520"/>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May 17, 2001</w:t>
            </w:r>
          </w:p>
        </w:tc>
      </w:tr>
      <w:tr>
        <w:trPr>
          <w:trHeight w:val="694"/>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May</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17, 2001</w:t>
            </w:r>
          </w:p>
        </w:tc>
      </w:tr>
      <w:tr>
        <w:trPr>
          <w:trHeight w:val="694"/>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May</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17, 2001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17, 2001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17, 2001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17, 2001</w:t>
      </w:r>
    </w:p>
    <w:p>
      <w:pPr>
        <w:sectPr>
          <w:pgSz w:w="11900" w:h="16838" w:orient="portrait"/>
          <w:cols w:equalWidth="0" w:num="2">
            <w:col w:w="8108" w:space="460"/>
            <w:col w:w="1659"/>
          </w:cols>
          <w:pgMar w:left="232" w:top="29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4860" w:type="dxa"/>
            <w:vAlign w:val="bottom"/>
          </w:tcPr>
          <w:p>
            <w:pPr>
              <w:jc w:val="right"/>
              <w:ind w:right="4425"/>
              <w:spacing w:after="0"/>
              <w:rPr>
                <w:sz w:val="20"/>
                <w:szCs w:val="20"/>
                <w:color w:val="auto"/>
              </w:rPr>
            </w:pPr>
            <w:r>
              <w:rPr>
                <w:rFonts w:ascii="Courier New" w:cs="Courier New" w:eastAsia="Courier New" w:hAnsi="Courier New"/>
                <w:sz w:val="15"/>
                <w:szCs w:val="15"/>
                <w:color w:val="auto"/>
              </w:rPr>
              <w:t>6</w:t>
            </w:r>
          </w:p>
        </w:tc>
        <w:tc>
          <w:tcPr>
            <w:tcW w:w="27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694"/>
        </w:trPr>
        <w:tc>
          <w:tcPr>
            <w:tcW w:w="48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NAME</w:t>
            </w:r>
          </w:p>
        </w:tc>
        <w:tc>
          <w:tcPr>
            <w:tcW w:w="2760" w:type="dxa"/>
            <w:vAlign w:val="bottom"/>
          </w:tcPr>
          <w:p>
            <w:pPr>
              <w:ind w:left="1360"/>
              <w:spacing w:after="0"/>
              <w:rPr>
                <w:sz w:val="20"/>
                <w:szCs w:val="20"/>
                <w:color w:val="auto"/>
              </w:rPr>
            </w:pPr>
            <w:r>
              <w:rPr>
                <w:rFonts w:ascii="Courier New" w:cs="Courier New" w:eastAsia="Courier New" w:hAnsi="Courier New"/>
                <w:sz w:val="15"/>
                <w:szCs w:val="15"/>
                <w:color w:val="auto"/>
              </w:rPr>
              <w:t>TITLE</w:t>
            </w:r>
          </w:p>
        </w:tc>
        <w:tc>
          <w:tcPr>
            <w:tcW w:w="2020" w:type="dxa"/>
            <w:vAlign w:val="bottom"/>
          </w:tcPr>
          <w:p>
            <w:pPr>
              <w:ind w:left="1200"/>
              <w:spacing w:after="0"/>
              <w:rPr>
                <w:sz w:val="20"/>
                <w:szCs w:val="20"/>
                <w:color w:val="auto"/>
              </w:rPr>
            </w:pPr>
            <w:r>
              <w:rPr>
                <w:rFonts w:ascii="Courier New" w:cs="Courier New" w:eastAsia="Courier New" w:hAnsi="Courier New"/>
                <w:sz w:val="15"/>
                <w:szCs w:val="15"/>
                <w:color w:val="auto"/>
              </w:rPr>
              <w:t>DATE</w:t>
            </w:r>
          </w:p>
        </w:tc>
      </w:tr>
      <w:tr>
        <w:trPr>
          <w:trHeight w:val="173"/>
        </w:trPr>
        <w:tc>
          <w:tcPr>
            <w:tcW w:w="48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276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r>
      <w:tr>
        <w:trPr>
          <w:trHeight w:val="347"/>
        </w:trPr>
        <w:tc>
          <w:tcPr>
            <w:tcW w:w="4860" w:type="dxa"/>
            <w:vAlign w:val="bottom"/>
          </w:tcPr>
          <w:p>
            <w:pPr>
              <w:spacing w:after="0"/>
              <w:rPr>
                <w:sz w:val="24"/>
                <w:szCs w:val="24"/>
                <w:color w:val="auto"/>
              </w:rPr>
            </w:pP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w w:val="98"/>
              </w:rPr>
              <w:t>May 17, 2001</w:t>
            </w:r>
          </w:p>
        </w:tc>
      </w:tr>
      <w:tr>
        <w:trPr>
          <w:trHeight w:val="173"/>
        </w:trPr>
        <w:tc>
          <w:tcPr>
            <w:tcW w:w="48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 ---------------------------------------------------</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86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Alfred G. Gilman, M.D., Ph.D.</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47"/>
        </w:trPr>
        <w:tc>
          <w:tcPr>
            <w:tcW w:w="4860" w:type="dxa"/>
            <w:vAlign w:val="bottom"/>
          </w:tcPr>
          <w:p>
            <w:pPr>
              <w:spacing w:after="0"/>
              <w:rPr>
                <w:sz w:val="24"/>
                <w:szCs w:val="24"/>
                <w:color w:val="auto"/>
              </w:rPr>
            </w:pP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w w:val="98"/>
              </w:rPr>
              <w:t>May 17, 2001</w:t>
            </w:r>
          </w:p>
        </w:tc>
      </w:tr>
      <w:tr>
        <w:trPr>
          <w:trHeight w:val="173"/>
        </w:trPr>
        <w:tc>
          <w:tcPr>
            <w:tcW w:w="48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 ---------------------------------------------------</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86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Joseph L. Goldstein, M.D.</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47"/>
        </w:trPr>
        <w:tc>
          <w:tcPr>
            <w:tcW w:w="4860" w:type="dxa"/>
            <w:vAlign w:val="bottom"/>
          </w:tcPr>
          <w:p>
            <w:pPr>
              <w:spacing w:after="0"/>
              <w:rPr>
                <w:sz w:val="24"/>
                <w:szCs w:val="24"/>
                <w:color w:val="auto"/>
              </w:rPr>
            </w:pP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w w:val="98"/>
              </w:rPr>
              <w:t>May 17, 2001</w:t>
            </w:r>
          </w:p>
        </w:tc>
      </w:tr>
      <w:tr>
        <w:trPr>
          <w:trHeight w:val="173"/>
        </w:trPr>
        <w:tc>
          <w:tcPr>
            <w:tcW w:w="48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 ---------------------------------------------------</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86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Fred A. Middleton</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47"/>
        </w:trPr>
        <w:tc>
          <w:tcPr>
            <w:tcW w:w="4860" w:type="dxa"/>
            <w:vAlign w:val="bottom"/>
          </w:tcPr>
          <w:p>
            <w:pPr>
              <w:spacing w:after="0"/>
              <w:rPr>
                <w:sz w:val="24"/>
                <w:szCs w:val="24"/>
                <w:color w:val="auto"/>
              </w:rPr>
            </w:pP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w w:val="98"/>
              </w:rPr>
              <w:t>May 17, 2001</w:t>
            </w:r>
          </w:p>
        </w:tc>
      </w:tr>
      <w:tr>
        <w:trPr>
          <w:trHeight w:val="173"/>
        </w:trPr>
        <w:tc>
          <w:tcPr>
            <w:tcW w:w="48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 ---------------------------------------------------</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8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Eric M. Shooter, Ph.D.</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47"/>
        </w:trPr>
        <w:tc>
          <w:tcPr>
            <w:tcW w:w="4860" w:type="dxa"/>
            <w:vAlign w:val="bottom"/>
          </w:tcPr>
          <w:p>
            <w:pPr>
              <w:spacing w:after="0"/>
              <w:rPr>
                <w:sz w:val="24"/>
                <w:szCs w:val="24"/>
                <w:color w:val="auto"/>
              </w:rPr>
            </w:pP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w w:val="98"/>
              </w:rPr>
              <w:t>May 17, 2001</w:t>
            </w:r>
          </w:p>
        </w:tc>
      </w:tr>
      <w:tr>
        <w:trPr>
          <w:trHeight w:val="173"/>
        </w:trPr>
        <w:tc>
          <w:tcPr>
            <w:tcW w:w="48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 ---------------------------------------------------</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8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George Sing</w:t>
            </w:r>
          </w:p>
        </w:tc>
        <w:tc>
          <w:tcPr>
            <w:tcW w:w="2760" w:type="dxa"/>
            <w:vAlign w:val="bottom"/>
          </w:tcPr>
          <w:p>
            <w:pPr>
              <w:spacing w:after="0"/>
              <w:rPr>
                <w:sz w:val="15"/>
                <w:szCs w:val="15"/>
                <w:color w:val="auto"/>
              </w:rPr>
            </w:pPr>
          </w:p>
        </w:tc>
        <w:tc>
          <w:tcPr>
            <w:tcW w:w="2020" w:type="dxa"/>
            <w:vAlign w:val="bottom"/>
          </w:tcPr>
          <w:p>
            <w:pPr>
              <w:spacing w:after="0"/>
              <w:rPr>
                <w:sz w:val="15"/>
                <w:szCs w:val="15"/>
                <w:color w:val="auto"/>
              </w:rPr>
            </w:pP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91" w:right="1440" w:bottom="1440" w:gutter="0" w:footer="0" w:header="0"/>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380" w:type="dxa"/>
            <w:vAlign w:val="bottom"/>
          </w:tcPr>
          <w:p>
            <w:pPr>
              <w:ind w:left="2120"/>
              <w:spacing w:after="0"/>
              <w:rPr>
                <w:sz w:val="20"/>
                <w:szCs w:val="20"/>
                <w:color w:val="auto"/>
              </w:rPr>
            </w:pPr>
            <w:r>
              <w:rPr>
                <w:rFonts w:ascii="Courier New" w:cs="Courier New" w:eastAsia="Courier New" w:hAnsi="Courier New"/>
                <w:sz w:val="15"/>
                <w:szCs w:val="15"/>
                <w:color w:val="auto"/>
              </w:rPr>
              <w:t>EXHIBIT INDEX</w:t>
            </w:r>
          </w:p>
        </w:tc>
      </w:tr>
      <w:tr>
        <w:trPr>
          <w:trHeight w:val="694"/>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380" w:type="dxa"/>
            <w:vAlign w:val="bottom"/>
          </w:tcPr>
          <w:p>
            <w:pPr>
              <w:spacing w:after="0"/>
              <w:rPr>
                <w:sz w:val="24"/>
                <w:szCs w:val="24"/>
                <w:color w:val="auto"/>
              </w:rPr>
            </w:pP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380" w:type="dxa"/>
            <w:vAlign w:val="bottom"/>
          </w:tcPr>
          <w:p>
            <w:pPr>
              <w:spacing w:after="0"/>
              <w:rPr>
                <w:sz w:val="15"/>
                <w:szCs w:val="15"/>
                <w:color w:val="auto"/>
              </w:rPr>
            </w:pP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80" w:type="dxa"/>
            <w:vAlign w:val="bottom"/>
          </w:tcPr>
          <w:p>
            <w:pPr>
              <w:spacing w:after="0"/>
              <w:rPr>
                <w:sz w:val="15"/>
                <w:szCs w:val="15"/>
                <w:color w:val="auto"/>
              </w:rPr>
            </w:pPr>
          </w:p>
        </w:tc>
      </w:tr>
      <w:tr>
        <w:trPr>
          <w:trHeight w:val="347"/>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4.1(1)</w:t>
            </w: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w w:val="99"/>
              </w:rPr>
              <w:t>Restated Certificate of Incorporation, as of June 21, 1991.</w:t>
            </w:r>
          </w:p>
        </w:tc>
      </w:tr>
      <w:tr>
        <w:trPr>
          <w:trHeight w:val="173"/>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w:t>
            </w: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rPr>
              <w:t>By-Laws of the Company, currently in effect (amended as of</w:t>
            </w:r>
          </w:p>
        </w:tc>
      </w:tr>
      <w:tr>
        <w:trPr>
          <w:trHeight w:val="173"/>
        </w:trPr>
        <w:tc>
          <w:tcPr>
            <w:tcW w:w="840" w:type="dxa"/>
            <w:vAlign w:val="bottom"/>
          </w:tcPr>
          <w:p>
            <w:pPr>
              <w:spacing w:after="0"/>
              <w:rPr>
                <w:sz w:val="15"/>
                <w:szCs w:val="15"/>
                <w:color w:val="auto"/>
              </w:rPr>
            </w:pP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rPr>
              <w:t>January 22, 1995).</w:t>
            </w:r>
          </w:p>
        </w:tc>
      </w:tr>
      <w:tr>
        <w:trPr>
          <w:trHeight w:val="173"/>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4.3(3)</w:t>
            </w: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173"/>
        </w:trPr>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5.1</w:t>
            </w: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rPr>
              <w:t>Opinion of Skadden, Arps, Slate, Meagher &amp; Flom LLP.</w:t>
            </w:r>
          </w:p>
        </w:tc>
      </w:tr>
      <w:tr>
        <w:trPr>
          <w:trHeight w:val="173"/>
        </w:trPr>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23.1</w:t>
            </w: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rPr>
              <w:t>Consent of PricewaterhouseCoopers LLP.</w:t>
            </w:r>
          </w:p>
        </w:tc>
      </w:tr>
      <w:tr>
        <w:trPr>
          <w:trHeight w:val="173"/>
        </w:trPr>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23.2</w:t>
            </w: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173"/>
        </w:trPr>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23.3</w:t>
            </w: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rPr>
              <w:t>Consent of Skadden, Arps, Slate, Meagher &amp; Flom LLP</w:t>
            </w:r>
          </w:p>
        </w:tc>
      </w:tr>
      <w:tr>
        <w:trPr>
          <w:trHeight w:val="173"/>
        </w:trPr>
        <w:tc>
          <w:tcPr>
            <w:tcW w:w="840" w:type="dxa"/>
            <w:vAlign w:val="bottom"/>
          </w:tcPr>
          <w:p>
            <w:pPr>
              <w:spacing w:after="0"/>
              <w:rPr>
                <w:sz w:val="15"/>
                <w:szCs w:val="15"/>
                <w:color w:val="auto"/>
              </w:rPr>
            </w:pP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rPr>
              <w:t>(included in Exhibit 5.1).</w:t>
            </w:r>
          </w:p>
        </w:tc>
      </w:tr>
      <w:tr>
        <w:trPr>
          <w:trHeight w:val="173"/>
        </w:trPr>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24.1</w:t>
            </w:r>
          </w:p>
        </w:tc>
        <w:tc>
          <w:tcPr>
            <w:tcW w:w="5380" w:type="dxa"/>
            <w:vAlign w:val="bottom"/>
          </w:tcPr>
          <w:p>
            <w:pPr>
              <w:ind w:left="60"/>
              <w:spacing w:after="0"/>
              <w:rPr>
                <w:sz w:val="20"/>
                <w:szCs w:val="20"/>
                <w:color w:val="auto"/>
              </w:rPr>
            </w:pPr>
            <w:r>
              <w:rPr>
                <w:rFonts w:ascii="Courier New" w:cs="Courier New" w:eastAsia="Courier New" w:hAnsi="Courier New"/>
                <w:sz w:val="15"/>
                <w:szCs w:val="15"/>
                <w:color w:val="auto"/>
              </w:rPr>
              <w:t>Power of Attorney (included on signature page).</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199" w:hanging="368"/>
        <w:spacing w:after="0" w:line="243" w:lineRule="auto"/>
        <w:tabs>
          <w:tab w:leader="none" w:pos="3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Company's Form 10-Q for the quarter ended June 30, 1991, filed with the Commission on August 13, 1991.</w:t>
      </w:r>
    </w:p>
    <w:p>
      <w:pPr>
        <w:spacing w:after="0" w:line="176" w:lineRule="exact"/>
        <w:rPr>
          <w:rFonts w:ascii="Courier New" w:cs="Courier New" w:eastAsia="Courier New" w:hAnsi="Courier New"/>
          <w:sz w:val="15"/>
          <w:szCs w:val="15"/>
          <w:color w:val="auto"/>
        </w:rPr>
      </w:pPr>
    </w:p>
    <w:p>
      <w:pPr>
        <w:ind w:left="368" w:right="3379" w:hanging="368"/>
        <w:spacing w:after="0" w:line="278" w:lineRule="auto"/>
        <w:tabs>
          <w:tab w:leader="none" w:pos="36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Company's Form 10-K for the fiscal year ended December 31 1999, filed with the Commission on March 6, 2000.</w:t>
      </w:r>
    </w:p>
    <w:p>
      <w:pPr>
        <w:spacing w:after="0" w:line="152" w:lineRule="exact"/>
        <w:rPr>
          <w:rFonts w:ascii="Courier New" w:cs="Courier New" w:eastAsia="Courier New" w:hAnsi="Courier New"/>
          <w:sz w:val="14"/>
          <w:szCs w:val="14"/>
          <w:color w:val="auto"/>
        </w:rPr>
      </w:pPr>
    </w:p>
    <w:p>
      <w:pPr>
        <w:ind w:left="368" w:right="3279" w:hanging="368"/>
        <w:spacing w:after="0" w:line="243" w:lineRule="auto"/>
        <w:tabs>
          <w:tab w:leader="none" w:pos="3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(a) to the Company's Form 8-A, filed with the Commission on February 20, 1991.</w:t>
      </w:r>
    </w:p>
    <w:p>
      <w:pPr>
        <w:sectPr>
          <w:pgSz w:w="11900" w:h="16838" w:orient="portrait"/>
          <w:cols w:equalWidth="0" w:num="1">
            <w:col w:w="10227"/>
          </w:cols>
          <w:pgMar w:left="232" w:top="291" w:right="1440" w:bottom="1440" w:gutter="0" w:footer="0" w:header="0"/>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5.1</w:t>
      </w:r>
    </w:p>
    <w:p>
      <w:pPr>
        <w:spacing w:after="0" w:line="177"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[SKADDEN, ARPS, SLATE, MEAGHER &amp; FLOM LLP LETTERHEAD]</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May 17, 2001</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777 Old Saw Mill River Road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Tarrytown, New York 10591-6707</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Re: Regeneron Pharmaceuticals, Inc. Registration Statement on Form S-8</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We have acted as special counsel to Regeneron Pharmaceuticals, Inc., a New York corporation (the "Company"), in connection with the registration of 6,000,000 shares (the "Shares") of the Company's common stock, par value $0.001 per share (the "Common Stock"), issuable pursuant to the Company's 2000 Long-Term Incentive Plan (the "Plan").</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This opinion is being furnished in accordance with the requirements of Item 601(b)(5) of Regulation S-K under the Securities Act of 1933, as amended (the "Act").</w:t>
      </w:r>
    </w:p>
    <w:p>
      <w:pPr>
        <w:spacing w:after="0" w:line="175"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In connection with this opinion, we have examined originals or copies, certified or otherwise identified to our satisfaction, of (i) the Company's Registration Statement on Form S-8 to be filed with the Securities and Exchange Commission (the "Commission") on the date hereof (the "Registration Statement");</w:t>
      </w:r>
    </w:p>
    <w:p>
      <w:pPr>
        <w:spacing w:after="0" w:line="1" w:lineRule="exact"/>
        <w:rPr>
          <w:sz w:val="20"/>
          <w:szCs w:val="20"/>
          <w:color w:val="auto"/>
        </w:rPr>
      </w:pPr>
    </w:p>
    <w:p>
      <w:pPr>
        <w:ind w:left="8" w:right="3099" w:hanging="8"/>
        <w:spacing w:after="0" w:line="244" w:lineRule="auto"/>
        <w:tabs>
          <w:tab w:leader="none" w:pos="45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specimen certificate evidencing the Common Stock; (iii) the Restated Certificate of Incorporation of the Company, as presently in effect; (iv) the Bylaws of the Company, as presently in effect; (v) the Plan; and (vi) certain resolutions of the Board of Directors of the Company (the "Board") relating to the Plan and the filing of the Registration Statement.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opinions set forth herein.</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conformed or photostatic copies and the authenticity of the originals of such latter documents. In making our examination of documents executed or to be executed by parties other than the Company, we have assumed that such parties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thereof. As to any facts material to the opinions expressed herein which we have not independently established or verified, we have relied upon statements and representations of officers and other representatives of the Company and others. In rendering the opinion set forth below, we have assumed that the certificates representing the Shares will be manually signed by one of the authorized officers of the transfer agent and registrar for the Common Stock and registered by such transfer agent and registrar and will conform to the specimen thereof examined by us.</w:t>
      </w:r>
    </w:p>
    <w:p>
      <w:pPr>
        <w:spacing w:after="0" w:line="18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We have also assumed that each award agreement setting forth the terms of each grant of options or other awards under the Plan will be consistent with the Plan and will be duly authorized and validly executed and delivered by the parties thereto, that the grant of the awards and the price of such awards has been approved by the Compensation Committee of the Board and that the consideration received by the Company for the Shares delivered pursuant to the Plan will be in an amount at least equal to the par value of such Shares.</w:t>
      </w:r>
    </w:p>
    <w:p>
      <w:pPr>
        <w:spacing w:after="0" w:line="178" w:lineRule="exact"/>
        <w:rPr>
          <w:sz w:val="20"/>
          <w:szCs w:val="20"/>
          <w:color w:val="auto"/>
        </w:rPr>
      </w:pPr>
    </w:p>
    <w:p>
      <w:pPr>
        <w:ind w:left="8" w:right="3019" w:firstLine="451"/>
        <w:spacing w:after="0" w:line="278" w:lineRule="auto"/>
        <w:rPr>
          <w:sz w:val="20"/>
          <w:szCs w:val="20"/>
          <w:color w:val="auto"/>
        </w:rPr>
      </w:pPr>
      <w:r>
        <w:rPr>
          <w:rFonts w:ascii="Courier New" w:cs="Courier New" w:eastAsia="Courier New" w:hAnsi="Courier New"/>
          <w:sz w:val="14"/>
          <w:szCs w:val="14"/>
          <w:color w:val="auto"/>
        </w:rPr>
        <w:t>Members of our firm are admitted to the bar in the State of New York, and we do not express any opinion with respect to the law of any other jurisdiction.</w:t>
      </w:r>
    </w:p>
    <w:p>
      <w:pPr>
        <w:sectPr>
          <w:pgSz w:w="11900" w:h="16838" w:orient="portrait"/>
          <w:cols w:equalWidth="0" w:num="1">
            <w:col w:w="10227"/>
          </w:cols>
          <w:pgMar w:left="232" w:top="14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Based upon and subject to the foregoing, we are of the opinion that the Shares have been duly authorized for issuance by the Company and, when issued and paid for in accordance with the terms and conditions of the Plan, the Shares will be validly issued, fully paid and nonassessable.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rendering the opinion set forth above, we draw your attention to Section 630 of the New York Business Corporation Law (the "NYBCL"), which may impose certain liabilities on certain shareholders of New York corporations that have no shares listed on a national securities exchange or regularly quoted in an over-the-counter market. Section 630 of the NYBCL does not presently apply to the Company, and we have assumed that such section will continue to be inapplicable to the Company.</w:t>
      </w:r>
    </w:p>
    <w:p>
      <w:pPr>
        <w:spacing w:after="0" w:line="178"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Act or the rules and regulations of the Commission.</w:t>
      </w:r>
    </w:p>
    <w:p>
      <w:pPr>
        <w:spacing w:after="0" w:line="16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Skadden, Arps, Slate, Meagher &amp;</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Flom LLP</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CONSENT OF PRICEWATERHOUSECOOPERS LLP</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S-8 of our report, which is based in part on the report of other auditors, dated February 7, 2001 relating to the financial statements of Regeneron Pharmaceuticals, Inc. (the "Company") which appears in the Company's Annual Report on Form 10-K for the year ended December 31, 2000.</w:t>
      </w:r>
    </w:p>
    <w:p>
      <w:pPr>
        <w:spacing w:after="0" w:line="17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17, 2001</w:t>
      </w:r>
    </w:p>
    <w:p>
      <w:pPr>
        <w:sectPr>
          <w:pgSz w:w="11900" w:h="16838" w:orient="portrait"/>
          <w:cols w:equalWidth="0" w:num="1">
            <w:col w:w="10219"/>
          </w:cols>
          <w:pgMar w:left="240" w:top="14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CONSENT OF ERNST &amp; YOUNG LLP</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pertaining to the Regeneron Pharmaceuticals, Inc. 2000 Long-Term Incentive Plan of our report dated February 2, 2001, with respect to the financial statements of Amgen-Regeneron Partners included in Regeneron Pharmaceuticals, Inc.'s Annual Report (Form 10-K) for the year ended December 31, 2000, filed with the Securities and Exchange Commission.</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16, 2001</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1F16E9E8"/>
    <w:multiLevelType w:val="hybridMultilevel"/>
    <w:lvl w:ilvl="0">
      <w:lvlJc w:val="left"/>
      <w:lvlText w:val="%1"/>
      <w:numFmt w:val="decimal"/>
      <w:start w:val="1"/>
    </w:lvl>
    <w:lvl w:ilvl="1">
      <w:lvlJc w:val="left"/>
      <w:lvlText w:val="(%2)"/>
      <w:numFmt w:val="lowerLetter"/>
      <w:start w:val="2"/>
    </w:lvl>
  </w:abstractNum>
  <w:abstractNum w:abstractNumId="8">
    <w:nsid w:val="1190CDE7"/>
    <w:multiLevelType w:val="hybridMultilevel"/>
    <w:lvl w:ilvl="0">
      <w:lvlJc w:val="left"/>
      <w:lvlText w:val="%1."/>
      <w:numFmt w:val="decimal"/>
      <w:start w:val="2"/>
    </w:lvl>
    <w:lvl w:ilvl="1">
      <w:lvlJc w:val="left"/>
      <w:lvlText w:val="%2"/>
      <w:numFmt w:val="lowerLetter"/>
      <w:start w:val="1"/>
    </w:lvl>
  </w:abstractNum>
  <w:abstractNum w:abstractNumId="9">
    <w:nsid w:val="66EF438D"/>
    <w:multiLevelType w:val="hybridMultilevel"/>
    <w:lvl w:ilvl="0">
      <w:lvlJc w:val="left"/>
      <w:lvlText w:val="-"/>
      <w:numFmt w:val="bullet"/>
      <w:start w:val="1"/>
    </w:lvl>
    <w:lvl w:ilvl="1">
      <w:lvlJc w:val="left"/>
      <w:lvlText w:val="%2"/>
      <w:numFmt w:val="upperLetter"/>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2019-12-11T20:55:10Z</dcterms:created>
  <dcterms:modified xsi:type="dcterms:W3CDTF">2019-12-11T20:55:10Z</dcterms:modified>
</cp:coreProperties>
</file>