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5"/>
                </w:rPr>
                <w:t>Landry Robert 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Finance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23,973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-3364865</wp:posOffset>
            </wp:positionV>
            <wp:extent cx="7031355" cy="34099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Disposition/acquisition made pursuant to a plan intended to comply with Rule 10b5-1(c).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07/14/2020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5160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2020-07-14T15:18:47Z</dcterms:created>
  <dcterms:modified xsi:type="dcterms:W3CDTF">2020-07-14T15:18:47Z</dcterms:modified>
</cp:coreProperties>
</file>