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SCHEDULE 14A</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Proxy Statement Pursuant to Section 14(a) of</w:t>
      </w:r>
    </w:p>
    <w:p>
      <w:pPr>
        <w:spacing w:after="0" w:line="22" w:lineRule="exact"/>
        <w:rPr>
          <w:sz w:val="24"/>
          <w:szCs w:val="24"/>
          <w:color w:val="auto"/>
        </w:rPr>
      </w:pPr>
    </w:p>
    <w:p>
      <w:pPr>
        <w:jc w:val="center"/>
        <w:ind w:right="-39"/>
        <w:spacing w:after="0"/>
        <w:tabs>
          <w:tab w:leader="none" w:pos="160" w:val="left"/>
        </w:tabs>
        <w:rPr>
          <w:sz w:val="20"/>
          <w:szCs w:val="20"/>
          <w:color w:val="auto"/>
        </w:rPr>
      </w:pPr>
      <w:r>
        <w:rPr>
          <w:rFonts w:ascii="Arial" w:cs="Arial" w:eastAsia="Arial" w:hAnsi="Arial"/>
          <w:sz w:val="14"/>
          <w:szCs w:val="14"/>
          <w:b w:val="1"/>
          <w:bCs w:val="1"/>
          <w:color w:val="auto"/>
        </w:rPr>
        <w:t>the Securities Exchange Act of 1934 (Amendment No.</w:t>
      </w:r>
      <w:r>
        <w:rPr>
          <w:sz w:val="20"/>
          <w:szCs w:val="20"/>
          <w:color w:val="auto"/>
        </w:rPr>
        <w:tab/>
      </w:r>
      <w:r>
        <w:rPr>
          <w:rFonts w:ascii="Arial" w:cs="Arial" w:eastAsia="Arial" w:hAnsi="Arial"/>
          <w:sz w:val="15"/>
          <w:szCs w:val="15"/>
          <w:b w:val="1"/>
          <w:bCs w:val="1"/>
          <w:color w:val="auto"/>
        </w:rPr>
        <w:t>)</w:t>
      </w:r>
    </w:p>
    <w:p>
      <w:pPr>
        <w:spacing w:after="0" w:line="181" w:lineRule="exact"/>
        <w:rPr>
          <w:sz w:val="24"/>
          <w:szCs w:val="24"/>
          <w:color w:val="auto"/>
        </w:rPr>
      </w:pPr>
    </w:p>
    <w:p>
      <w:pPr>
        <w:spacing w:after="0"/>
        <w:rPr>
          <w:sz w:val="20"/>
          <w:szCs w:val="20"/>
          <w:color w:val="auto"/>
        </w:rPr>
      </w:pPr>
      <w:r>
        <w:rPr>
          <w:rFonts w:ascii="Arial" w:cs="Arial" w:eastAsia="Arial" w:hAnsi="Arial"/>
          <w:sz w:val="15"/>
          <w:szCs w:val="15"/>
          <w:color w:val="auto"/>
        </w:rPr>
        <w:t>Filed by the Registrant x</w:t>
      </w:r>
    </w:p>
    <w:p>
      <w:pPr>
        <w:spacing w:after="0" w:line="190"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o</w:t>
      </w:r>
    </w:p>
    <w:p>
      <w:pPr>
        <w:spacing w:after="0" w:line="19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pacing w:after="0" w:line="18" w:lineRule="exact"/>
        <w:rPr>
          <w:sz w:val="24"/>
          <w:szCs w:val="24"/>
          <w:color w:val="auto"/>
        </w:rPr>
      </w:pPr>
    </w:p>
    <w:p>
      <w:pPr>
        <w:ind w:left="580" w:hanging="579"/>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Preliminary Proxy Statement</w:t>
      </w:r>
    </w:p>
    <w:p>
      <w:pPr>
        <w:spacing w:after="0" w:line="8" w:lineRule="exact"/>
        <w:rPr>
          <w:rFonts w:ascii="Arial" w:cs="Arial" w:eastAsia="Arial" w:hAnsi="Arial"/>
          <w:sz w:val="15"/>
          <w:szCs w:val="15"/>
          <w:color w:val="auto"/>
        </w:rPr>
      </w:pPr>
    </w:p>
    <w:p>
      <w:pPr>
        <w:ind w:left="580" w:hanging="579"/>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8" w:lineRule="exact"/>
        <w:rPr>
          <w:rFonts w:ascii="Arial" w:cs="Arial" w:eastAsia="Arial" w:hAnsi="Arial"/>
          <w:sz w:val="15"/>
          <w:szCs w:val="15"/>
          <w:color w:val="auto"/>
        </w:rPr>
      </w:pPr>
    </w:p>
    <w:p>
      <w:pPr>
        <w:ind w:left="580" w:hanging="579"/>
        <w:spacing w:after="0"/>
        <w:tabs>
          <w:tab w:leader="none" w:pos="580" w:val="left"/>
        </w:tabs>
        <w:numPr>
          <w:ilvl w:val="0"/>
          <w:numId w:val="1"/>
        </w:numPr>
        <w:rPr>
          <w:rFonts w:ascii="Arial" w:cs="Arial" w:eastAsia="Arial" w:hAnsi="Arial"/>
          <w:sz w:val="15"/>
          <w:szCs w:val="15"/>
          <w:color w:val="auto"/>
        </w:rPr>
      </w:pPr>
      <w:r>
        <w:rPr>
          <w:rFonts w:ascii="Arial" w:cs="Arial" w:eastAsia="Arial" w:hAnsi="Arial"/>
          <w:sz w:val="15"/>
          <w:szCs w:val="15"/>
          <w:color w:val="auto"/>
        </w:rPr>
        <w:t>Definitive Proxy Statement</w:t>
      </w:r>
    </w:p>
    <w:p>
      <w:pPr>
        <w:spacing w:after="0" w:line="9" w:lineRule="exact"/>
        <w:rPr>
          <w:sz w:val="24"/>
          <w:szCs w:val="24"/>
          <w:color w:val="auto"/>
        </w:rPr>
      </w:pPr>
    </w:p>
    <w:p>
      <w:pPr>
        <w:ind w:left="580" w:hanging="579"/>
        <w:spacing w:after="0"/>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Definitive Additional Materials</w:t>
      </w:r>
    </w:p>
    <w:p>
      <w:pPr>
        <w:spacing w:after="0" w:line="9" w:lineRule="exact"/>
        <w:rPr>
          <w:sz w:val="24"/>
          <w:szCs w:val="24"/>
          <w:color w:val="auto"/>
        </w:rPr>
      </w:pPr>
    </w:p>
    <w:p>
      <w:pPr>
        <w:ind w:left="580" w:hanging="579"/>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Soliciting Material under §240.14a-12</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6884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6884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845" cy="6985"/>
                    </a:xfrm>
                    <a:prstGeom prst="rect">
                      <a:avLst/>
                    </a:prstGeom>
                    <a:noFill/>
                  </pic:spPr>
                </pic:pic>
              </a:graphicData>
            </a:graphic>
          </wp:anchor>
        </w:drawing>
      </w: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90"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the appropriate box):</w:t>
      </w:r>
    </w:p>
    <w:p>
      <w:pPr>
        <w:spacing w:after="0" w:line="18" w:lineRule="exact"/>
        <w:rPr>
          <w:sz w:val="24"/>
          <w:szCs w:val="24"/>
          <w:color w:val="auto"/>
        </w:rPr>
      </w:pPr>
    </w:p>
    <w:p>
      <w:pPr>
        <w:ind w:left="580" w:hanging="579"/>
        <w:spacing w:after="0"/>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No fee required.</w:t>
      </w:r>
    </w:p>
    <w:p>
      <w:pPr>
        <w:spacing w:after="0" w:line="9" w:lineRule="exact"/>
        <w:rPr>
          <w:sz w:val="24"/>
          <w:szCs w:val="24"/>
          <w:color w:val="auto"/>
        </w:rPr>
      </w:pPr>
    </w:p>
    <w:p>
      <w:pPr>
        <w:ind w:left="580" w:hanging="579"/>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computed on table below per Exchange Act Rules 14a-6(i)(1) and 0-11.</w:t>
      </w:r>
    </w:p>
    <w:p>
      <w:pPr>
        <w:spacing w:after="0" w:line="8" w:lineRule="exact"/>
        <w:rPr>
          <w:rFonts w:ascii="Arial" w:cs="Arial" w:eastAsia="Arial" w:hAnsi="Arial"/>
          <w:sz w:val="15"/>
          <w:szCs w:val="15"/>
          <w:color w:val="auto"/>
        </w:rPr>
      </w:pPr>
    </w:p>
    <w:p>
      <w:pPr>
        <w:ind w:left="1120" w:hanging="541"/>
        <w:spacing w:after="0"/>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192" w:lineRule="exact"/>
        <w:rPr>
          <w:rFonts w:ascii="Arial" w:cs="Arial" w:eastAsia="Arial" w:hAnsi="Arial"/>
          <w:sz w:val="15"/>
          <w:szCs w:val="15"/>
          <w:color w:val="auto"/>
        </w:rPr>
      </w:pPr>
    </w:p>
    <w:p>
      <w:pPr>
        <w:ind w:left="1120" w:hanging="541"/>
        <w:spacing w:after="0"/>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01" w:lineRule="exact"/>
        <w:rPr>
          <w:rFonts w:ascii="Arial" w:cs="Arial" w:eastAsia="Arial" w:hAnsi="Arial"/>
          <w:sz w:val="15"/>
          <w:szCs w:val="15"/>
          <w:color w:val="auto"/>
        </w:rPr>
      </w:pPr>
    </w:p>
    <w:p>
      <w:pPr>
        <w:ind w:left="1120" w:right="100" w:hanging="541"/>
        <w:spacing w:after="0" w:line="277" w:lineRule="auto"/>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157" w:lineRule="exact"/>
        <w:rPr>
          <w:rFonts w:ascii="Arial" w:cs="Arial" w:eastAsia="Arial" w:hAnsi="Arial"/>
          <w:sz w:val="15"/>
          <w:szCs w:val="15"/>
          <w:color w:val="auto"/>
        </w:rPr>
      </w:pPr>
    </w:p>
    <w:p>
      <w:pPr>
        <w:ind w:left="1120" w:hanging="541"/>
        <w:spacing w:after="0"/>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01" w:lineRule="exact"/>
        <w:rPr>
          <w:rFonts w:ascii="Arial" w:cs="Arial" w:eastAsia="Arial" w:hAnsi="Arial"/>
          <w:sz w:val="15"/>
          <w:szCs w:val="15"/>
          <w:color w:val="auto"/>
        </w:rPr>
      </w:pPr>
    </w:p>
    <w:p>
      <w:pPr>
        <w:ind w:left="1120" w:hanging="541"/>
        <w:spacing w:after="0"/>
        <w:tabs>
          <w:tab w:leader="none" w:pos="1120" w:val="left"/>
        </w:tabs>
        <w:numPr>
          <w:ilvl w:val="1"/>
          <w:numId w:val="5"/>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190" w:lineRule="exact"/>
        <w:rPr>
          <w:rFonts w:ascii="Arial" w:cs="Arial" w:eastAsia="Arial" w:hAnsi="Arial"/>
          <w:sz w:val="15"/>
          <w:szCs w:val="15"/>
          <w:color w:val="auto"/>
        </w:rPr>
      </w:pPr>
    </w:p>
    <w:p>
      <w:pPr>
        <w:ind w:left="580" w:hanging="579"/>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Fee paid previously with preliminary materials.</w:t>
      </w:r>
    </w:p>
    <w:p>
      <w:pPr>
        <w:spacing w:after="0" w:line="18" w:lineRule="exact"/>
        <w:rPr>
          <w:rFonts w:ascii="Arial" w:cs="Arial" w:eastAsia="Arial" w:hAnsi="Arial"/>
          <w:sz w:val="15"/>
          <w:szCs w:val="15"/>
          <w:color w:val="auto"/>
        </w:rPr>
      </w:pPr>
    </w:p>
    <w:p>
      <w:pPr>
        <w:ind w:left="580" w:hanging="579"/>
        <w:spacing w:after="0" w:line="252"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hanging="501"/>
        <w:spacing w:after="0"/>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192" w:lineRule="exact"/>
        <w:rPr>
          <w:rFonts w:ascii="Arial" w:cs="Arial" w:eastAsia="Arial" w:hAnsi="Arial"/>
          <w:sz w:val="15"/>
          <w:szCs w:val="15"/>
          <w:color w:val="auto"/>
        </w:rPr>
      </w:pPr>
    </w:p>
    <w:p>
      <w:pPr>
        <w:ind w:left="1080" w:hanging="501"/>
        <w:spacing w:after="0"/>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01" w:lineRule="exact"/>
        <w:rPr>
          <w:rFonts w:ascii="Arial" w:cs="Arial" w:eastAsia="Arial" w:hAnsi="Arial"/>
          <w:sz w:val="15"/>
          <w:szCs w:val="15"/>
          <w:color w:val="auto"/>
        </w:rPr>
      </w:pPr>
    </w:p>
    <w:p>
      <w:pPr>
        <w:ind w:left="1080" w:hanging="501"/>
        <w:spacing w:after="0"/>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01" w:lineRule="exact"/>
        <w:rPr>
          <w:rFonts w:ascii="Arial" w:cs="Arial" w:eastAsia="Arial" w:hAnsi="Arial"/>
          <w:sz w:val="15"/>
          <w:szCs w:val="15"/>
          <w:color w:val="auto"/>
        </w:rPr>
      </w:pPr>
    </w:p>
    <w:p>
      <w:pPr>
        <w:ind w:left="1080" w:hanging="501"/>
        <w:spacing w:after="0"/>
        <w:tabs>
          <w:tab w:leader="none" w:pos="1080" w:val="left"/>
        </w:tabs>
        <w:numPr>
          <w:ilvl w:val="1"/>
          <w:numId w:val="5"/>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677545</wp:posOffset>
            </wp:positionH>
            <wp:positionV relativeFrom="paragraph">
              <wp:posOffset>127635</wp:posOffset>
            </wp:positionV>
            <wp:extent cx="65849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84950" cy="698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-109220</wp:posOffset>
            </wp:positionV>
            <wp:extent cx="65849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4950" cy="698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-346710</wp:posOffset>
            </wp:positionV>
            <wp:extent cx="65849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4950" cy="6985"/>
                    </a:xfrm>
                    <a:prstGeom prst="rect">
                      <a:avLst/>
                    </a:prstGeom>
                    <a:noFill/>
                  </pic:spPr>
                </pic:pic>
              </a:graphicData>
            </a:graphic>
          </wp:anchor>
        </w:drawing>
        <w:drawing>
          <wp:anchor simplePos="0" relativeHeight="251657728" behindDoc="1" locked="0" layoutInCell="0" allowOverlap="1">
            <wp:simplePos x="0" y="0"/>
            <wp:positionH relativeFrom="column">
              <wp:posOffset>677545</wp:posOffset>
            </wp:positionH>
            <wp:positionV relativeFrom="paragraph">
              <wp:posOffset>-584200</wp:posOffset>
            </wp:positionV>
            <wp:extent cx="65849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84950" cy="698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-1160145</wp:posOffset>
            </wp:positionV>
            <wp:extent cx="656336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3360" cy="698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-1397635</wp:posOffset>
            </wp:positionV>
            <wp:extent cx="656336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63360" cy="698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-1635125</wp:posOffset>
            </wp:positionV>
            <wp:extent cx="656336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63360" cy="698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-1987550</wp:posOffset>
            </wp:positionV>
            <wp:extent cx="656336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63360" cy="698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-2225040</wp:posOffset>
            </wp:positionV>
            <wp:extent cx="656336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6336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304800</wp:posOffset>
            </wp:positionV>
            <wp:extent cx="7288530" cy="27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8530" cy="27305"/>
                    </a:xfrm>
                    <a:prstGeom prst="rect">
                      <a:avLst/>
                    </a:prstGeom>
                    <a:noFill/>
                  </pic:spPr>
                </pic:pic>
              </a:graphicData>
            </a:graphic>
          </wp:anchor>
        </w:drawing>
      </w:r>
    </w:p>
    <w:p>
      <w:pPr>
        <w:sectPr>
          <w:pgSz w:w="11900" w:h="16838" w:orient="portrait"/>
          <w:cols w:equalWidth="0" w:num="1">
            <w:col w:w="11400"/>
          </w:cols>
          <w:pgMar w:left="240" w:top="392" w:right="25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20915" cy="9406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0915" cy="9406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12025" cy="93916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2025" cy="9391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12025" cy="93916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2025" cy="9391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20915" cy="9398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0915" cy="9398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12025" cy="93916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2025" cy="9391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12025" cy="93916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2025" cy="9391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12025" cy="93916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2025" cy="9391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12025" cy="93916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2025" cy="9391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20915" cy="9398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0915" cy="9398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19010" cy="93986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9010" cy="9398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12025" cy="93916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2025" cy="9391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12025" cy="93916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2025" cy="9391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20915" cy="9406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0915" cy="9406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12025" cy="93916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2025" cy="9391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146685</wp:posOffset>
            </wp:positionH>
            <wp:positionV relativeFrom="page">
              <wp:posOffset>88900</wp:posOffset>
            </wp:positionV>
            <wp:extent cx="7312025" cy="45700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312025" cy="45700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2019-12-05T21:38:30Z</dcterms:created>
  <dcterms:modified xsi:type="dcterms:W3CDTF">2019-12-05T21:38:30Z</dcterms:modified>
</cp:coreProperties>
</file>