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TO BE INCLUDED IN STATEMENTS FILED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RULES 13d-1(b), (c) AND (d) AND AMENDMENTS THERETO FILED</w:t>
      </w:r>
    </w:p>
    <w:p>
      <w:pPr>
        <w:jc w:val="center"/>
        <w:ind w:right="1659"/>
        <w:spacing w:after="0"/>
        <w:rPr>
          <w:sz w:val="20"/>
          <w:szCs w:val="20"/>
          <w:color w:val="auto"/>
        </w:rPr>
      </w:pPr>
      <w:r>
        <w:rPr>
          <w:rFonts w:ascii="Courier New" w:cs="Courier New" w:eastAsia="Courier New" w:hAnsi="Courier New"/>
          <w:sz w:val="18"/>
          <w:szCs w:val="18"/>
          <w:color w:val="auto"/>
        </w:rPr>
        <w:t>PURSUANT TO RULE 13d-2(b)</w:t>
      </w:r>
    </w:p>
    <w:p>
      <w:pPr>
        <w:jc w:val="center"/>
        <w:ind w:right="1659"/>
        <w:spacing w:after="0" w:line="237" w:lineRule="auto"/>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REGENERON PHARMACEUTICALS, INC</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$0.001 par value</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75886F 10 7</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2005</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2860" w:hanging="1167"/>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Rule 13d-1(c)</w:t>
      </w:r>
    </w:p>
    <w:p>
      <w:pPr>
        <w:spacing w:after="0" w:line="201" w:lineRule="exact"/>
        <w:rPr>
          <w:rFonts w:ascii="Courier New" w:cs="Courier New" w:eastAsia="Courier New" w:hAnsi="Courier New"/>
          <w:sz w:val="18"/>
          <w:szCs w:val="18"/>
          <w:color w:val="auto"/>
        </w:rPr>
      </w:pPr>
    </w:p>
    <w:p>
      <w:pPr>
        <w:ind w:left="2860" w:hanging="1167"/>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1 of 5</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694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6"/>
          <w:szCs w:val="16"/>
          <w:color w:val="auto"/>
        </w:rPr>
        <w:t>13G/A</w:t>
      </w:r>
    </w:p>
    <w:p>
      <w:pPr>
        <w:ind w:left="860" w:hanging="536"/>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6220" w:type="dxa"/>
            <w:vAlign w:val="bottom"/>
          </w:tcPr>
          <w:p>
            <w:pPr>
              <w:ind w:left="220"/>
              <w:spacing w:after="0"/>
              <w:rPr>
                <w:sz w:val="20"/>
                <w:szCs w:val="20"/>
                <w:color w:val="auto"/>
              </w:rPr>
            </w:pPr>
            <w:r>
              <w:rPr>
                <w:rFonts w:ascii="Courier New" w:cs="Courier New" w:eastAsia="Courier New" w:hAnsi="Courier New"/>
                <w:sz w:val="18"/>
                <w:szCs w:val="18"/>
                <w:color w:val="auto"/>
              </w:rPr>
              <w:t>Leonard S. Schleifer, M.D., Ph.D.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2</w:t>
            </w:r>
          </w:p>
        </w:tc>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13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o</w:t>
            </w:r>
          </w:p>
        </w:tc>
      </w:tr>
      <w:tr>
        <w:trPr>
          <w:trHeight w:val="203"/>
        </w:trPr>
        <w:tc>
          <w:tcPr>
            <w:tcW w:w="3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3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o</w:t>
            </w:r>
          </w:p>
        </w:tc>
      </w:tr>
    </w:tbl>
    <w:p>
      <w:pPr>
        <w:ind w:left="860" w:hanging="536"/>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hanging="536"/>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780" w:type="dxa"/>
            <w:vAlign w:val="bottom"/>
          </w:tcPr>
          <w:p>
            <w:pPr>
              <w:spacing w:after="0"/>
              <w:rPr>
                <w:sz w:val="20"/>
                <w:szCs w:val="20"/>
                <w:color w:val="auto"/>
              </w:rPr>
            </w:pPr>
            <w:r>
              <w:rPr>
                <w:rFonts w:ascii="Courier New" w:cs="Courier New" w:eastAsia="Courier New" w:hAnsi="Courier New"/>
                <w:sz w:val="18"/>
                <w:szCs w:val="18"/>
                <w:color w:val="auto"/>
              </w:rPr>
              <w:t>United States of America</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w:t>
            </w:r>
          </w:p>
        </w:tc>
        <w:tc>
          <w:tcPr>
            <w:tcW w:w="3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278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60" w:type="dxa"/>
            <w:vAlign w:val="bottom"/>
          </w:tcPr>
          <w:p>
            <w:pPr>
              <w:spacing w:after="0"/>
              <w:rPr>
                <w:sz w:val="17"/>
                <w:szCs w:val="17"/>
                <w:color w:val="auto"/>
              </w:rPr>
            </w:pPr>
          </w:p>
        </w:tc>
        <w:tc>
          <w:tcPr>
            <w:tcW w:w="3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3,065,531 (See Item 4)</w:t>
            </w:r>
          </w:p>
        </w:tc>
      </w:tr>
      <w:tr>
        <w:trPr>
          <w:trHeight w:val="203"/>
        </w:trPr>
        <w:tc>
          <w:tcPr>
            <w:tcW w:w="278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EACH</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spacing w:after="0"/>
              <w:rPr>
                <w:sz w:val="17"/>
                <w:szCs w:val="17"/>
                <w:color w:val="auto"/>
              </w:rPr>
            </w:pPr>
          </w:p>
        </w:tc>
        <w:tc>
          <w:tcPr>
            <w:tcW w:w="1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w:t>
            </w:r>
          </w:p>
        </w:tc>
        <w:tc>
          <w:tcPr>
            <w:tcW w:w="3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2,500 (See Item 4)</w:t>
      </w:r>
    </w:p>
    <w:p>
      <w:pPr>
        <w:ind w:left="5380" w:hanging="1474"/>
        <w:spacing w:after="0" w:line="238" w:lineRule="auto"/>
        <w:tabs>
          <w:tab w:leader="none" w:pos="5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3,065,531 (See Item 4)</w:t>
      </w:r>
    </w:p>
    <w:p>
      <w:pPr>
        <w:spacing w:after="0" w:line="207" w:lineRule="exact"/>
        <w:rPr>
          <w:sz w:val="20"/>
          <w:szCs w:val="20"/>
          <w:color w:val="auto"/>
        </w:rPr>
      </w:pPr>
    </w:p>
    <w:p>
      <w:pPr>
        <w:ind w:left="5380" w:right="2319" w:hanging="1474"/>
        <w:spacing w:after="0" w:line="290" w:lineRule="auto"/>
        <w:tabs>
          <w:tab w:leader="none" w:pos="5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2,500 (See Item 4)</w:t>
      </w:r>
    </w:p>
    <w:p>
      <w:pPr>
        <w:spacing w:after="0" w:line="164" w:lineRule="exact"/>
        <w:rPr>
          <w:sz w:val="20"/>
          <w:szCs w:val="20"/>
          <w:color w:val="auto"/>
        </w:rPr>
      </w:pPr>
    </w:p>
    <w:p>
      <w:pPr>
        <w:ind w:left="860" w:hanging="536"/>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3,068,031</w:t>
            </w:r>
          </w:p>
        </w:tc>
        <w:tc>
          <w:tcPr>
            <w:tcW w:w="540" w:type="dxa"/>
            <w:vAlign w:val="bottom"/>
          </w:tcPr>
          <w:p>
            <w:pPr>
              <w:spacing w:after="0"/>
              <w:rPr>
                <w:sz w:val="17"/>
                <w:szCs w:val="17"/>
                <w:color w:val="auto"/>
              </w:rPr>
            </w:pP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w:t>
            </w:r>
          </w:p>
        </w:tc>
        <w:tc>
          <w:tcPr>
            <w:tcW w:w="6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CHECK BOX IF THE AGGREGATE AMOUNT IN ROW (9) EXCLUDES CERTAIN</w:t>
            </w:r>
          </w:p>
        </w:tc>
        <w:tc>
          <w:tcPr>
            <w:tcW w:w="5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6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[X]</w:t>
            </w: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11</w:t>
            </w: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5.4%</w:t>
            </w:r>
          </w:p>
        </w:tc>
        <w:tc>
          <w:tcPr>
            <w:tcW w:w="540" w:type="dxa"/>
            <w:vAlign w:val="bottom"/>
          </w:tcPr>
          <w:p>
            <w:pPr>
              <w:spacing w:after="0"/>
              <w:rPr>
                <w:sz w:val="24"/>
                <w:szCs w:val="24"/>
                <w:color w:val="auto"/>
              </w:rPr>
            </w:pP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w:t>
            </w:r>
          </w:p>
        </w:tc>
        <w:tc>
          <w:tcPr>
            <w:tcW w:w="6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TYPE OF REPORTING PERSON*</w:t>
            </w:r>
          </w:p>
        </w:tc>
        <w:tc>
          <w:tcPr>
            <w:tcW w:w="54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IN</w:t>
            </w:r>
          </w:p>
        </w:tc>
        <w:tc>
          <w:tcPr>
            <w:tcW w:w="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*SEE INSTRUCTIONS BEFORE FILLING OUT</w:t>
            </w:r>
          </w:p>
        </w:tc>
        <w:tc>
          <w:tcPr>
            <w:tcW w:w="54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6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7"/>
              </w:rPr>
              <w:t>SCHEDULE 13G/A</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60" w:type="dxa"/>
            <w:vAlign w:val="bottom"/>
          </w:tcPr>
          <w:p>
            <w:pPr>
              <w:jc w:val="center"/>
              <w:ind w:right="10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rPr>
              <w:t>CUSIP No. 75886F 10 7</w:t>
            </w:r>
          </w:p>
        </w:tc>
        <w:tc>
          <w:tcPr>
            <w:tcW w:w="41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Name of</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Regeneron Pharmaceuticals, Inc.</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Address</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w w:val="97"/>
              </w:rPr>
              <w:t>of Issuer's Principal Executive Offices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777 Old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Saw Mill River Road</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Tarrytown, New York 10591</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Name of</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Person Filing</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Leonard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S. Schleifer, M.D., Ph.D.</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6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8"/>
              </w:rPr>
              <w:t>2 of 5</w:t>
            </w:r>
          </w:p>
        </w:tc>
      </w:tr>
    </w:tbl>
    <w:p>
      <w:pPr>
        <w:sectPr>
          <w:pgSz w:w="11900" w:h="16838" w:orient="portrait"/>
          <w:cols w:equalWidth="0" w:num="1">
            <w:col w:w="10219"/>
          </w:cols>
          <w:pgMar w:left="240" w:top="1122"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777 Old Saw Mill River Road</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Tarrytown, New York 10591</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(c)</w:t>
            </w: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United States of America</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(d)</w:t>
            </w: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Common Stock, par value $.001 per share</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(e)</w:t>
            </w: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75886F</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5220" w:type="dxa"/>
            <w:vAlign w:val="bottom"/>
          </w:tcPr>
          <w:p>
            <w:pPr>
              <w:jc w:val="right"/>
              <w:ind w:right="4972"/>
              <w:spacing w:after="0"/>
              <w:rPr>
                <w:sz w:val="20"/>
                <w:szCs w:val="20"/>
                <w:color w:val="auto"/>
              </w:rPr>
            </w:pPr>
            <w:r>
              <w:rPr>
                <w:rFonts w:ascii="Courier New" w:cs="Courier New" w:eastAsia="Courier New" w:hAnsi="Courier New"/>
                <w:sz w:val="18"/>
                <w:szCs w:val="18"/>
                <w:color w:val="auto"/>
              </w:rPr>
              <w:t>7</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20" w:type="dxa"/>
            <w:vAlign w:val="bottom"/>
          </w:tcPr>
          <w:p>
            <w:pPr>
              <w:spacing w:after="0"/>
              <w:rPr>
                <w:sz w:val="24"/>
                <w:szCs w:val="24"/>
                <w:color w:val="auto"/>
              </w:rPr>
            </w:pP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720" w:type="dxa"/>
            <w:vAlign w:val="bottom"/>
          </w:tcPr>
          <w:p>
            <w:pPr>
              <w:spacing w:after="0"/>
              <w:rPr>
                <w:sz w:val="24"/>
                <w:szCs w:val="24"/>
                <w:color w:val="auto"/>
              </w:rPr>
            </w:pP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Ownership</w:t>
            </w:r>
          </w:p>
        </w:tc>
        <w:tc>
          <w:tcPr>
            <w:tcW w:w="522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Amount Beneficially Owned</w:t>
            </w:r>
          </w:p>
        </w:tc>
      </w:tr>
    </w:tbl>
    <w:p>
      <w:pPr>
        <w:spacing w:after="0" w:line="207" w:lineRule="exact"/>
        <w:rPr>
          <w:sz w:val="20"/>
          <w:szCs w:val="20"/>
          <w:color w:val="auto"/>
        </w:rPr>
      </w:pPr>
    </w:p>
    <w:p>
      <w:pPr>
        <w:ind w:left="1900" w:right="1779" w:firstLine="632"/>
        <w:spacing w:after="0" w:line="268" w:lineRule="auto"/>
        <w:rPr>
          <w:sz w:val="20"/>
          <w:szCs w:val="20"/>
          <w:color w:val="auto"/>
        </w:rPr>
      </w:pPr>
      <w:r>
        <w:rPr>
          <w:rFonts w:ascii="Courier New" w:cs="Courier New" w:eastAsia="Courier New" w:hAnsi="Courier New"/>
          <w:sz w:val="16"/>
          <w:szCs w:val="16"/>
          <w:color w:val="auto"/>
        </w:rPr>
        <w:t>3,068,031 shares, including 2,500 shares of Common Stock held by the Schleifer Family Foundation, a charitable foundation, of which the Reporting Person is a trustee. The Reporting Person disclaims beneficial ownership of the shares held by this Foundation. Excludes the following shares which the Reporting Person disclaims beneficial ownership: (i)</w:t>
      </w:r>
    </w:p>
    <w:p>
      <w:pPr>
        <w:spacing w:after="0" w:line="1"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29,275 shares of Class A Stock and 900 shares of Common Stock of which Adam Schleifer, a son of the Reporting Person, is the record owner; and (ii) 29,275 shares of Class A Stock and 900 shares of Common Stock held in a trust for the benefit of David Schleifer, a son of the Reporting Person, of which Harriet Schleifer, the wife of the Reporting Person, is the record owner.</w:t>
      </w:r>
    </w:p>
    <w:p>
      <w:pPr>
        <w:spacing w:after="0" w:line="211" w:lineRule="exact"/>
        <w:rPr>
          <w:sz w:val="20"/>
          <w:szCs w:val="20"/>
          <w:color w:val="auto"/>
        </w:rPr>
      </w:pPr>
    </w:p>
    <w:p>
      <w:pPr>
        <w:ind w:left="1900" w:right="1779" w:firstLine="948"/>
        <w:spacing w:after="0" w:line="269" w:lineRule="auto"/>
        <w:rPr>
          <w:sz w:val="20"/>
          <w:szCs w:val="20"/>
          <w:color w:val="auto"/>
        </w:rPr>
      </w:pPr>
      <w:r>
        <w:rPr>
          <w:rFonts w:ascii="Courier New" w:cs="Courier New" w:eastAsia="Courier New" w:hAnsi="Courier New"/>
          <w:sz w:val="16"/>
          <w:szCs w:val="16"/>
          <w:color w:val="auto"/>
        </w:rPr>
        <w:t>Regeneron Pharmaceuticals, Inc. (the "Issuer") has two classes of outstanding capital stock, Common Stock, par value $.001 per share (the "Common Stock"), holders of which are entitled to one vote per share, and Class A Stock, par value $.001 per share ("Class A Stock"), holders of which are entitled to ten votes per share. The Class A Stock is not registered pursuant to Section 12 of the Securities Exchange Act of 1934. Each share of Class A Stock may be converted at the option of the holder at any time into one fully paid and non-assessable share of Common Stock. In addition, pursuant to the terms of the Issuer's Certificate of Incorporation, each share of Class A Stock will be automatically converted into one fully paid and non-assessable share of Common Stock upon the transfer of Class A Stock whether by sale, exchange, gift, operation of law, pledge, or otherwise, or upon any transfer of the power to vote such shares by proxy, to a person who is not a "Permitted Transferee" (as such term is defined in the Issuer's Certificate of Incorporation).</w:t>
      </w:r>
    </w:p>
    <w:p>
      <w:pPr>
        <w:sectPr>
          <w:pgSz w:w="11900" w:h="16838" w:orient="portrait"/>
          <w:cols w:equalWidth="0" w:num="1">
            <w:col w:w="10219"/>
          </w:cols>
          <w:pgMar w:left="240" w:top="919" w:right="1440" w:bottom="1440" w:gutter="0" w:footer="0" w:header="0"/>
        </w:sectPr>
      </w:pPr>
    </w:p>
    <w:bookmarkStart w:id="3" w:name="page4"/>
    <w:bookmarkEnd w:id="3"/>
    <w:p>
      <w:pPr>
        <w:ind w:left="1900" w:hanging="944"/>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7" w:lineRule="exact"/>
        <w:rPr>
          <w:sz w:val="20"/>
          <w:szCs w:val="20"/>
          <w:color w:val="auto"/>
        </w:rPr>
      </w:pPr>
    </w:p>
    <w:p>
      <w:pPr>
        <w:ind w:left="1900" w:right="1999" w:firstLine="632"/>
        <w:spacing w:after="0" w:line="237" w:lineRule="auto"/>
        <w:rPr>
          <w:sz w:val="20"/>
          <w:szCs w:val="20"/>
          <w:color w:val="auto"/>
        </w:rPr>
      </w:pPr>
      <w:r>
        <w:rPr>
          <w:rFonts w:ascii="Courier New" w:cs="Courier New" w:eastAsia="Courier New" w:hAnsi="Courier New"/>
          <w:sz w:val="18"/>
          <w:szCs w:val="18"/>
          <w:color w:val="auto"/>
        </w:rPr>
        <w:t>5.4% based on shares outstanding as of December 31, 2005, as reported by the Issuer, 1,710,790 shares of Class A Stock held by the Reporting Person, and 1,232,734 shares underlying options held by the Reporting Person which were exercisable as of December 31, 2005 or became exercisable within 60 days thereafter.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900" w:hanging="944"/>
        <w:spacing w:after="0"/>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person has</w:t>
      </w:r>
    </w:p>
    <w:p>
      <w:pPr>
        <w:spacing w:after="0" w:line="201"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Sole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c>
          <w:tcPr>
            <w:tcW w:w="4320" w:type="dxa"/>
            <w:vAlign w:val="bottom"/>
          </w:tcPr>
          <w:p>
            <w:pPr>
              <w:ind w:left="60"/>
              <w:spacing w:after="0"/>
              <w:rPr>
                <w:sz w:val="20"/>
                <w:szCs w:val="20"/>
                <w:color w:val="auto"/>
              </w:rPr>
            </w:pPr>
            <w:r>
              <w:rPr>
                <w:rFonts w:ascii="Courier New" w:cs="Courier New" w:eastAsia="Courier New" w:hAnsi="Courier New"/>
                <w:sz w:val="18"/>
                <w:szCs w:val="18"/>
                <w:color w:val="auto"/>
              </w:rPr>
              <w:t>to vote or to direct the vote</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w w:val="94"/>
              </w:rPr>
              <w:t>3,065,531</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(ii)</w:t>
            </w:r>
          </w:p>
        </w:tc>
        <w:tc>
          <w:tcPr>
            <w:tcW w:w="56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2,500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(iii)</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4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dispose or to direct the disposition</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3,065,531</w:t>
            </w:r>
          </w:p>
        </w:tc>
      </w:tr>
    </w:tbl>
    <w:p>
      <w:pPr>
        <w:ind w:left="2860" w:hanging="956"/>
        <w:spacing w:after="0" w:line="238" w:lineRule="auto"/>
        <w:tabs>
          <w:tab w:leader="none" w:pos="2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2,500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 of 5</w:t>
      </w:r>
    </w:p>
    <w:p>
      <w:pPr>
        <w:spacing w:after="0" w:line="207" w:lineRule="exact"/>
        <w:rPr>
          <w:sz w:val="20"/>
          <w:szCs w:val="20"/>
          <w:color w:val="auto"/>
        </w:rPr>
      </w:pPr>
    </w:p>
    <w:p>
      <w:pPr>
        <w:ind w:left="1900" w:right="3679" w:hanging="1895"/>
        <w:spacing w:after="0" w:line="470" w:lineRule="auto"/>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 Not Applicable.</w:t>
      </w:r>
    </w:p>
    <w:p>
      <w:pPr>
        <w:spacing w:after="0" w:line="12"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900" w:right="231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w w:val="99"/>
              </w:rPr>
              <w:t>Not Applicable.</w:t>
            </w:r>
          </w:p>
        </w:tc>
        <w:tc>
          <w:tcPr>
            <w:tcW w:w="84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0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1380" w:type="dxa"/>
            <w:vAlign w:val="bottom"/>
          </w:tcPr>
          <w:p>
            <w:pPr>
              <w:spacing w:after="0"/>
              <w:rPr>
                <w:sz w:val="24"/>
                <w:szCs w:val="24"/>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w w:val="99"/>
              </w:rPr>
              <w:t>Not Applicable.</w:t>
            </w:r>
          </w:p>
        </w:tc>
        <w:tc>
          <w:tcPr>
            <w:tcW w:w="8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0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Notice and Dissolution of Group.</w:t>
            </w:r>
          </w:p>
        </w:tc>
      </w:tr>
      <w:tr>
        <w:trPr>
          <w:trHeight w:val="405"/>
        </w:trPr>
        <w:tc>
          <w:tcPr>
            <w:tcW w:w="1380" w:type="dxa"/>
            <w:vAlign w:val="bottom"/>
          </w:tcPr>
          <w:p>
            <w:pPr>
              <w:spacing w:after="0"/>
              <w:rPr>
                <w:sz w:val="24"/>
                <w:szCs w:val="24"/>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w w:val="99"/>
              </w:rPr>
              <w:t>Not Applicable.</w:t>
            </w:r>
          </w:p>
        </w:tc>
        <w:tc>
          <w:tcPr>
            <w:tcW w:w="8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rPr>
              <w:t>Certification.</w:t>
            </w:r>
          </w:p>
        </w:tc>
        <w:tc>
          <w:tcPr>
            <w:tcW w:w="8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70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By signing below I certify that, to the best of my knowledge</w:t>
            </w:r>
          </w:p>
        </w:tc>
      </w:tr>
      <w:tr>
        <w:trPr>
          <w:trHeight w:val="203"/>
        </w:trPr>
        <w:tc>
          <w:tcPr>
            <w:tcW w:w="1380" w:type="dxa"/>
            <w:vAlign w:val="bottom"/>
          </w:tcPr>
          <w:p>
            <w:pPr>
              <w:spacing w:after="0"/>
              <w:rPr>
                <w:sz w:val="17"/>
                <w:szCs w:val="17"/>
                <w:color w:val="auto"/>
              </w:rPr>
            </w:pPr>
          </w:p>
        </w:tc>
        <w:tc>
          <w:tcPr>
            <w:tcW w:w="2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and belief, the</w:t>
            </w:r>
          </w:p>
        </w:tc>
        <w:tc>
          <w:tcPr>
            <w:tcW w:w="4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securities referred to above were not acquired</w:t>
            </w:r>
          </w:p>
        </w:tc>
      </w:tr>
      <w:tr>
        <w:trPr>
          <w:trHeight w:val="203"/>
        </w:trPr>
        <w:tc>
          <w:tcPr>
            <w:tcW w:w="1380" w:type="dxa"/>
            <w:vAlign w:val="bottom"/>
          </w:tcPr>
          <w:p>
            <w:pPr>
              <w:spacing w:after="0"/>
              <w:rPr>
                <w:sz w:val="17"/>
                <w:szCs w:val="17"/>
                <w:color w:val="auto"/>
              </w:rPr>
            </w:pPr>
          </w:p>
        </w:tc>
        <w:tc>
          <w:tcPr>
            <w:tcW w:w="70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and are not held for the purpose of or with the effect of</w:t>
            </w:r>
          </w:p>
        </w:tc>
      </w:tr>
      <w:tr>
        <w:trPr>
          <w:trHeight w:val="203"/>
        </w:trPr>
        <w:tc>
          <w:tcPr>
            <w:tcW w:w="1380" w:type="dxa"/>
            <w:vAlign w:val="bottom"/>
          </w:tcPr>
          <w:p>
            <w:pPr>
              <w:spacing w:after="0"/>
              <w:rPr>
                <w:sz w:val="17"/>
                <w:szCs w:val="17"/>
                <w:color w:val="auto"/>
              </w:rPr>
            </w:pPr>
          </w:p>
        </w:tc>
        <w:tc>
          <w:tcPr>
            <w:tcW w:w="30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changing or influencing</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control of the issuer of the</w:t>
            </w:r>
          </w:p>
        </w:tc>
      </w:tr>
      <w:tr>
        <w:trPr>
          <w:trHeight w:val="203"/>
        </w:trPr>
        <w:tc>
          <w:tcPr>
            <w:tcW w:w="1380" w:type="dxa"/>
            <w:vAlign w:val="bottom"/>
          </w:tcPr>
          <w:p>
            <w:pPr>
              <w:spacing w:after="0"/>
              <w:rPr>
                <w:sz w:val="17"/>
                <w:szCs w:val="17"/>
                <w:color w:val="auto"/>
              </w:rPr>
            </w:pPr>
          </w:p>
        </w:tc>
        <w:tc>
          <w:tcPr>
            <w:tcW w:w="30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securities and were not</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acquired and are not held in</w:t>
            </w:r>
          </w:p>
        </w:tc>
      </w:tr>
      <w:tr>
        <w:trPr>
          <w:trHeight w:val="203"/>
        </w:trPr>
        <w:tc>
          <w:tcPr>
            <w:tcW w:w="1380" w:type="dxa"/>
            <w:vAlign w:val="bottom"/>
          </w:tcPr>
          <w:p>
            <w:pPr>
              <w:spacing w:after="0"/>
              <w:rPr>
                <w:sz w:val="17"/>
                <w:szCs w:val="17"/>
                <w:color w:val="auto"/>
              </w:rPr>
            </w:pPr>
          </w:p>
        </w:tc>
        <w:tc>
          <w:tcPr>
            <w:tcW w:w="2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connection with</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as a</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participant in any transaction having</w:t>
            </w:r>
          </w:p>
        </w:tc>
      </w:tr>
      <w:tr>
        <w:trPr>
          <w:trHeight w:val="203"/>
        </w:trPr>
        <w:tc>
          <w:tcPr>
            <w:tcW w:w="1380" w:type="dxa"/>
            <w:vAlign w:val="bottom"/>
          </w:tcPr>
          <w:p>
            <w:pPr>
              <w:spacing w:after="0"/>
              <w:rPr>
                <w:sz w:val="17"/>
                <w:szCs w:val="17"/>
                <w:color w:val="auto"/>
              </w:rPr>
            </w:pPr>
          </w:p>
        </w:tc>
        <w:tc>
          <w:tcPr>
            <w:tcW w:w="2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that purpose or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effect.</w:t>
            </w:r>
          </w:p>
        </w:tc>
        <w:tc>
          <w:tcPr>
            <w:tcW w:w="406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 of</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5</w:t>
            </w:r>
          </w:p>
        </w:tc>
      </w:tr>
    </w:tbl>
    <w:p>
      <w:pPr>
        <w:sectPr>
          <w:pgSz w:w="11900" w:h="16838" w:orient="portrait"/>
          <w:cols w:equalWidth="0" w:num="1">
            <w:col w:w="10219"/>
          </w:cols>
          <w:pgMar w:left="240" w:top="514"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ind w:left="2220"/>
        <w:spacing w:after="0" w:line="238" w:lineRule="auto"/>
        <w:rPr>
          <w:sz w:val="20"/>
          <w:szCs w:val="20"/>
          <w:color w:val="auto"/>
        </w:rPr>
      </w:pPr>
      <w:r>
        <w:rPr>
          <w:rFonts w:ascii="Courier New" w:cs="Courier New" w:eastAsia="Courier New" w:hAnsi="Courier New"/>
          <w:sz w:val="18"/>
          <w:szCs w:val="18"/>
          <w:color w:val="auto"/>
        </w:rPr>
        <w:t>/s/ Leonard Schleifer</w:t>
      </w:r>
    </w:p>
    <w:p>
      <w:pPr>
        <w:ind w:left="2220"/>
        <w:spacing w:after="0"/>
        <w:rPr>
          <w:sz w:val="20"/>
          <w:szCs w:val="20"/>
          <w:color w:val="auto"/>
        </w:rPr>
      </w:pPr>
      <w:r>
        <w:rPr>
          <w:rFonts w:ascii="Courier New" w:cs="Courier New" w:eastAsia="Courier New" w:hAnsi="Courier New"/>
          <w:sz w:val="18"/>
          <w:szCs w:val="18"/>
          <w:color w:val="auto"/>
        </w:rPr>
        <w:t>----------------------</w:t>
      </w:r>
    </w:p>
    <w:p>
      <w:pPr>
        <w:ind w:left="2220"/>
        <w:spacing w:after="0" w:line="237" w:lineRule="auto"/>
        <w:rPr>
          <w:sz w:val="20"/>
          <w:szCs w:val="20"/>
          <w:color w:val="auto"/>
        </w:rPr>
      </w:pPr>
      <w:r>
        <w:rPr>
          <w:rFonts w:ascii="Courier New" w:cs="Courier New" w:eastAsia="Courier New" w:hAnsi="Courier New"/>
          <w:sz w:val="18"/>
          <w:szCs w:val="18"/>
          <w:color w:val="auto"/>
        </w:rPr>
        <w:t>Leonard S. Schleifer, M.D., Ph.D.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 of 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End of Filing</w:t>
      </w: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7"/>
      <w:numFmt w:val="bullet"/>
      <w:start w:val="1"/>
    </w:lvl>
  </w:abstractNum>
  <w:abstractNum w:abstractNumId="5">
    <w:nsid w:val="7545E146"/>
    <w:multiLevelType w:val="hybridMultilevel"/>
    <w:lvl w:ilvl="0">
      <w:lvlJc w:val="left"/>
      <w:lvlText w:val="8"/>
      <w:numFmt w:val="bullet"/>
      <w:start w:val="1"/>
    </w:lvl>
  </w:abstractNum>
  <w:abstractNum w:abstractNumId="6">
    <w:nsid w:val="515F007C"/>
    <w:multiLevelType w:val="hybridMultilevel"/>
    <w:lvl w:ilvl="0">
      <w:lvlJc w:val="left"/>
      <w:lvlText w:val="9"/>
      <w:numFmt w:val="bullet"/>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2019-12-20T02:05:10Z</dcterms:created>
  <dcterms:modified xsi:type="dcterms:W3CDTF">2019-12-20T02:05:10Z</dcterms:modified>
</cp:coreProperties>
</file>