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5,375,081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5,391,870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5,391,870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Regeneron Pharmaceuticals, Inc.</w:t>
      </w:r>
    </w:p>
    <w:p>
      <w:pPr>
        <w:spacing w:after="0" w:line="101" w:lineRule="exact"/>
        <w:rPr>
          <w:rFonts w:ascii="Arial" w:cs="Arial" w:eastAsia="Arial" w:hAnsi="Arial"/>
          <w:sz w:val="22"/>
          <w:szCs w:val="22"/>
          <w:b w:val="1"/>
          <w:bCs w:val="1"/>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777 Old Saw Mill River Road, Tarrytown, NY 10591-6707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jc w:val="both"/>
        <w:ind w:left="1620" w:right="73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World Investors</w:t>
      </w:r>
    </w:p>
    <w:p>
      <w:pPr>
        <w:spacing w:after="0" w:line="12" w:lineRule="exact"/>
        <w:rPr>
          <w:rFonts w:ascii="Arial" w:cs="Arial" w:eastAsia="Arial" w:hAnsi="Arial"/>
          <w:sz w:val="19"/>
          <w:szCs w:val="19"/>
          <w:b w:val="1"/>
          <w:bCs w:val="1"/>
          <w:color w:val="auto"/>
        </w:rPr>
      </w:pPr>
    </w:p>
    <w:p>
      <w:pPr>
        <w:ind w:left="1620" w:hanging="707"/>
        <w:spacing w:after="0"/>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333 SOUTH HOPE STREET, 55TH FLOOR, LOS ANGELES, CALIFORNIA 90071</w:t>
      </w:r>
    </w:p>
    <w:p>
      <w:pPr>
        <w:spacing w:after="0" w:line="101" w:lineRule="exact"/>
        <w:rPr>
          <w:rFonts w:ascii="Arial" w:cs="Arial" w:eastAsia="Arial" w:hAnsi="Arial"/>
          <w:sz w:val="22"/>
          <w:szCs w:val="22"/>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75886F107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5,391,870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5.1%</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5,375,081</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5,391,870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right="100"/>
        <w:spacing w:after="0" w:line="287" w:lineRule="auto"/>
        <w:rPr>
          <w:sz w:val="20"/>
          <w:szCs w:val="20"/>
          <w:color w:val="auto"/>
        </w:rPr>
      </w:pPr>
      <w:r>
        <w:rPr>
          <w:rFonts w:ascii="Arial" w:cs="Arial" w:eastAsia="Arial" w:hAnsi="Arial"/>
          <w:sz w:val="19"/>
          <w:szCs w:val="19"/>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CWI's divisions of each of the investment management entities</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440"/>
        <w:spacing w:after="0" w:line="274" w:lineRule="auto"/>
        <w:rPr>
          <w:sz w:val="20"/>
          <w:szCs w:val="20"/>
          <w:color w:val="auto"/>
        </w:rPr>
      </w:pPr>
      <w:r>
        <w:rPr>
          <w:rFonts w:ascii="Arial" w:cs="Arial" w:eastAsia="Arial" w:hAnsi="Arial"/>
          <w:sz w:val="21"/>
          <w:szCs w:val="21"/>
          <w:color w:val="auto"/>
        </w:rPr>
        <w:t>collectively provide investment management services under the name "Capital World Investors." CWI is deemed to be the beneficial owner of 5,391,870 shares or 5.1% of the 105,719,735 shares believed to be outstanding.</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Erik A. Vayntrub</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2022-02-12T02:28:16Z</dcterms:created>
  <dcterms:modified xsi:type="dcterms:W3CDTF">2022-02-12T02:28:16Z</dcterms:modified>
</cp:coreProperties>
</file>