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00" w:lineRule="exact"/>
        <w:rPr>
          <w:sz w:val="20"/>
          <w:szCs w:val="20"/>
          <w:color w:val="auto"/>
        </w:rPr>
      </w:pPr>
    </w:p>
    <w:p>
      <w:pPr>
        <w:spacing w:after="0" w:line="231" w:lineRule="exact"/>
        <w:rPr>
          <w:sz w:val="20"/>
          <w:szCs w:val="20"/>
          <w:color w:val="auto"/>
        </w:rPr>
      </w:pPr>
    </w:p>
    <w:p>
      <w:pPr>
        <w:spacing w:after="0"/>
        <w:tabs>
          <w:tab w:leader="none" w:pos="842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February 23, 2005 (February 18, 2005)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305435</wp:posOffset>
            </wp:positionV>
            <wp:extent cx="6251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420" w:type="dxa"/>
            <w:vAlign w:val="bottom"/>
          </w:tcPr>
          <w:p>
            <w:pPr>
              <w:spacing w:after="0"/>
              <w:rPr>
                <w:sz w:val="20"/>
                <w:szCs w:val="20"/>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000-19034</w:t>
            </w:r>
          </w:p>
        </w:tc>
        <w:tc>
          <w:tcPr>
            <w:tcW w:w="560" w:type="dxa"/>
            <w:vAlign w:val="bottom"/>
          </w:tcPr>
          <w:p>
            <w:pPr>
              <w:spacing w:after="0"/>
              <w:rPr>
                <w:sz w:val="24"/>
                <w:szCs w:val="24"/>
                <w:color w:val="auto"/>
              </w:rPr>
            </w:pPr>
          </w:p>
        </w:tc>
        <w:tc>
          <w:tcPr>
            <w:tcW w:w="3420" w:type="dxa"/>
            <w:vAlign w:val="bottom"/>
          </w:tcPr>
          <w:p>
            <w:pPr>
              <w:jc w:val="right"/>
              <w:ind w:right="1210"/>
              <w:spacing w:after="0"/>
              <w:rPr>
                <w:sz w:val="20"/>
                <w:szCs w:val="20"/>
                <w:color w:val="auto"/>
              </w:rPr>
            </w:pPr>
            <w:r>
              <w:rPr>
                <w:rFonts w:ascii="Arial" w:cs="Arial" w:eastAsia="Arial" w:hAnsi="Arial"/>
                <w:sz w:val="18"/>
                <w:szCs w:val="18"/>
                <w:b w:val="1"/>
                <w:bCs w:val="1"/>
                <w:color w:val="auto"/>
              </w:rPr>
              <w:t>133444607</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color w:val="auto"/>
                <w:w w:val="94"/>
              </w:rPr>
              <w:t>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800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42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800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387"/>
        </w:trPr>
        <w:tc>
          <w:tcPr>
            <w:tcW w:w="3440" w:type="dxa"/>
            <w:vAlign w:val="bottom"/>
          </w:tcPr>
          <w:p>
            <w:pPr>
              <w:spacing w:after="0"/>
              <w:rPr>
                <w:sz w:val="24"/>
                <w:szCs w:val="24"/>
                <w:color w:val="auto"/>
              </w:rPr>
            </w:pPr>
          </w:p>
        </w:tc>
        <w:tc>
          <w:tcPr>
            <w:tcW w:w="400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(914) 347-7000</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120015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170" w:lineRule="exact"/>
        <w:rPr>
          <w:sz w:val="20"/>
          <w:szCs w:val="20"/>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45" w:lineRule="exact"/>
        <w:rPr>
          <w:sz w:val="20"/>
          <w:szCs w:val="20"/>
          <w:color w:val="auto"/>
        </w:rPr>
      </w:pPr>
    </w:p>
    <w:p>
      <w:pPr>
        <w:ind w:left="320" w:right="3979"/>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2.02 Results of Operations and Financial Condition</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9.01 Financial Statements and Exhibits</w:t>
        </w:r>
      </w:hyperlink>
    </w:p>
    <w:p>
      <w:pPr>
        <w:spacing w:after="0" w:line="232"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EX-99.A: PRESS RELEASE</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220" w:lineRule="exact"/>
        <w:rPr>
          <w:sz w:val="20"/>
          <w:szCs w:val="20"/>
          <w:color w:val="auto"/>
        </w:rPr>
      </w:pPr>
    </w:p>
    <w:p>
      <w:pPr>
        <w:ind w:left="1160"/>
        <w:spacing w:after="0" w:line="237" w:lineRule="auto"/>
        <w:rPr>
          <w:sz w:val="20"/>
          <w:szCs w:val="20"/>
          <w:color w:val="auto"/>
        </w:rPr>
      </w:pPr>
      <w:r>
        <w:rPr>
          <w:rFonts w:ascii="Arial" w:cs="Arial" w:eastAsia="Arial" w:hAnsi="Arial"/>
          <w:sz w:val="18"/>
          <w:szCs w:val="18"/>
          <w:color w:val="auto"/>
        </w:rPr>
        <w:t>On February 18, 2005, the Company and Merck &amp; Co., Inc. entered into Amendment No. 5 (the “Fifth Amendment”) to their Manufacturing Agreement dated as of September 18, 1995 (the “Manufacturing Agreement”). The Fifth Amendment was made effective as of January 1, 2005. Pursuant to the Manufacturing Agreement, the Company produces an intermediate for a Merck pediatric vaccine at the Company’s Rensselaer, New York facility. The parties extended the Manufacturing Agreement through October 31, 2006 and provided Merck an opportunity, upon twelve-months’ prior notice, to extend the Manufacturing Agreement for an additional year through October 31, 2007. The parties also agreed to other technical amendments and modifications to the Manufacturing Agreement.</w:t>
      </w:r>
    </w:p>
    <w:p>
      <w:pPr>
        <w:spacing w:after="0" w:line="1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20" w:lineRule="exact"/>
        <w:rPr>
          <w:sz w:val="20"/>
          <w:szCs w:val="20"/>
          <w:color w:val="auto"/>
        </w:rPr>
      </w:pPr>
    </w:p>
    <w:p>
      <w:pPr>
        <w:ind w:left="1160" w:right="180"/>
        <w:spacing w:after="0" w:line="246" w:lineRule="auto"/>
        <w:rPr>
          <w:sz w:val="20"/>
          <w:szCs w:val="20"/>
          <w:color w:val="auto"/>
        </w:rPr>
      </w:pPr>
      <w:r>
        <w:rPr>
          <w:rFonts w:ascii="Arial" w:cs="Arial" w:eastAsia="Arial" w:hAnsi="Arial"/>
          <w:sz w:val="18"/>
          <w:szCs w:val="18"/>
          <w:color w:val="auto"/>
        </w:rPr>
        <w:t>On February 22, 2005, Regeneron Pharmaceuticals, Inc. announced its financial and operating results for the quarter and year ended December 31, 2004. A copy of the press release is attached hereto as Exhibit 99(a).</w:t>
      </w:r>
    </w:p>
    <w:p>
      <w:pPr>
        <w:spacing w:after="0" w:line="183" w:lineRule="exact"/>
        <w:rPr>
          <w:sz w:val="20"/>
          <w:szCs w:val="20"/>
          <w:color w:val="auto"/>
        </w:rPr>
      </w:pPr>
    </w:p>
    <w:p>
      <w:pPr>
        <w:ind w:left="1160" w:right="80"/>
        <w:spacing w:after="0"/>
        <w:rPr>
          <w:sz w:val="20"/>
          <w:szCs w:val="20"/>
          <w:color w:val="auto"/>
        </w:rPr>
      </w:pPr>
      <w:r>
        <w:rPr>
          <w:rFonts w:ascii="Arial" w:cs="Arial" w:eastAsia="Arial" w:hAnsi="Arial"/>
          <w:sz w:val="18"/>
          <w:szCs w:val="18"/>
          <w:color w:val="auto"/>
        </w:rPr>
        <w:t>The information contained in the press release shall not be deemed “filed” for purposes of, nor shall it be deemed incorporated by reference in, any filing under the Securities Act of 1933 or the Securities Exchange Act of 1934, except as expressly set forth by specific reference in such a filing.</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0" w:lineRule="exact"/>
        <w:rPr>
          <w:sz w:val="20"/>
          <w:szCs w:val="20"/>
          <w:color w:val="auto"/>
        </w:rPr>
      </w:pPr>
    </w:p>
    <w:p>
      <w:pPr>
        <w:ind w:left="1420" w:hanging="264"/>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99(a) Press Release of Regeneron Pharmaceuticals, Inc. dated February 22, 2005.</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8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REGENERON PHARMACEUTICALS, INC.</w:t>
      </w:r>
    </w:p>
    <w:p>
      <w:pPr>
        <w:spacing w:after="0" w:line="198"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Dated: February 23, 2005</w:t>
      </w:r>
      <w:r>
        <w:rPr>
          <w:sz w:val="20"/>
          <w:szCs w:val="20"/>
          <w:color w:val="auto"/>
        </w:rPr>
        <w:tab/>
      </w: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2564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Stuart Kolinski</w:t>
      </w:r>
    </w:p>
    <w:p>
      <w:pPr>
        <w:ind w:left="5720"/>
        <w:spacing w:after="0"/>
        <w:rPr>
          <w:sz w:val="20"/>
          <w:szCs w:val="20"/>
          <w:color w:val="auto"/>
        </w:rPr>
      </w:pPr>
      <w:r>
        <w:rPr>
          <w:rFonts w:ascii="Arial" w:cs="Arial" w:eastAsia="Arial" w:hAnsi="Arial"/>
          <w:sz w:val="18"/>
          <w:szCs w:val="18"/>
          <w:color w:val="auto"/>
        </w:rPr>
        <w:t>Vice President and General Counsel</w:t>
      </w:r>
    </w:p>
    <w:p>
      <w:pPr>
        <w:spacing w:after="0" w:line="38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19" w:right="7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Index</w:t>
      </w:r>
    </w:p>
    <w:p>
      <w:pPr>
        <w:spacing w:after="0" w:line="397"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99(a)</w:t>
      </w:r>
      <w:r>
        <w:rPr>
          <w:sz w:val="20"/>
          <w:szCs w:val="20"/>
          <w:color w:val="auto"/>
        </w:rPr>
        <w:tab/>
      </w:r>
      <w:r>
        <w:rPr>
          <w:rFonts w:ascii="Arial" w:cs="Arial" w:eastAsia="Arial" w:hAnsi="Arial"/>
          <w:sz w:val="17"/>
          <w:szCs w:val="17"/>
          <w:color w:val="auto"/>
        </w:rPr>
        <w:t>Press Release of Regeneron Pharmaceuticals, Inc. dated February 22, 2005.</w:t>
      </w:r>
    </w:p>
    <w:p>
      <w:pPr>
        <w:spacing w:after="0" w:line="18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 IMMEDIATE RELEASE</w:t>
      </w:r>
    </w:p>
    <w:p>
      <w:pPr>
        <w:spacing w:after="0" w:line="16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REGENERON REPORTS FOURTH QUARTER AND FULL YEAR 2004 FINANCIAL AND OPERATING RESULTS</w:t>
      </w:r>
    </w:p>
    <w:p>
      <w:pPr>
        <w:spacing w:after="0" w:line="17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 xml:space="preserve">Tarrytown, New York (February 22, 2005)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 for the fourth quarter and year ended December 31, 2004.</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Regeneron reported net income of $2.8 million, or $0.05 per share (basic and diluted), for the fourth quarter of 2004 compared with a net loss of $19.4 million, or $0.35 per share (basic and diluted), for the fourth quarter of 2003. The Company reported net income of $ 41.7 million, or $0.75 per basic share and $0.74 per diluted share, for the full year 2004 compared with a net loss of $107.5 million, or $2.13 per share (basic and diluted), in 2003. The increase in net income for 2004 was due primarily to the Company’s collaboration agreements with the sanofi-aventis Group and Novartis Pharma AG. In connection with the sanofi-aventis collaboration for the joint development and commercialization of the VEGF Trap, Regeneron recognized both higher contract research and development revenue and a $25.0 million research progress payment related to a clinical development milestone that was earned in the fourth quarter of 2004 and received in January 2005. In connection with the Novartis collaboration, in the first quarter of 2004 the Company recognized a $17.8 million research progress payment based on Regeneron’s achieving a pre-defined development milestone and $42.75 million of non-recurring income following Novartis’ decision to forego certain development rights.</w:t>
      </w:r>
    </w:p>
    <w:p>
      <w:pPr>
        <w:spacing w:after="0" w:line="166"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At December 31, 2004, cash and marketable securities totaled $348.9 million compared with $366.6 million at December 31, 2003. The Company’s $200.0</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million of convertible notes, which bear interest at 5.5% per annum, mature in October 2008.</w:t>
      </w:r>
    </w:p>
    <w:p>
      <w:pPr>
        <w:spacing w:after="0" w:line="185"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Regeneron’s total revenue increased to $47.1 million in the fourth quarter of 2004 from $21.3 million in the same period of 2003. The Company’s total revenue for the full year 2004 increased to $174.0 million from $57.5 million in 2003. Contract research and development revenue was $18.8 million in the fourth quarter of 2004 and $ 19.1 million in the comparable quarter of 2003 as higher revenue earned from sanofi-aventis in the fourth quarter of 2004 replaced revenue earned from Novartis in the same quarter of 2003. Contract research and development revenue increased to $113.2 million for the full year 2004 from $47.4 million for the same period of 2003, due principally to revenues earned from sanofi-aventis.</w:t>
      </w:r>
    </w:p>
    <w:p>
      <w:pPr>
        <w:spacing w:after="0" w:line="16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Regeneron recognized contract research and development revenue of $16.3 million in the fourth quarter of 2004 and $78.3 million for the full year 2004 related to the Company’s collaboration with sanofi-aventis, compared with $11.7 million and $14.3 million, respectively, for the same periods of 2003. Contract research and development revenue from the sanofi-aventis collaboration for the full year 2004 consisted of</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$67.8 million for reimbursement of VEGF Trap development expenses and $10.5 million related to a September 2003 up-front, non-refundable payment. The Company recognizes revenue in connection with collaborations in accordance with Staff Accounting Bulletin No. 104,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As a result, $65.8 million of the original $80.0 million sanofi-aventis up-front payment has been deferred as of December 31, 2004</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be recognized as revenue in future periods.</w:t>
      </w:r>
    </w:p>
    <w:p>
      <w:pPr>
        <w:spacing w:after="0" w:line="161"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Contract research and development revenue related to the Novartis collaboration was $22.1 million for the full year 2004, representing the remaining deferred amount of the March 2003 up-front, non-refundable payment of $27.0 million from Novartis. This compares with $21.4 million of contract research and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8" w:name="page9"/>
    <w:bookmarkEnd w:id="8"/>
    <w:p>
      <w:pPr>
        <w:ind w:right="180"/>
        <w:spacing w:after="0" w:line="239" w:lineRule="auto"/>
        <w:rPr>
          <w:sz w:val="20"/>
          <w:szCs w:val="20"/>
          <w:color w:val="auto"/>
        </w:rPr>
      </w:pPr>
      <w:r>
        <w:rPr>
          <w:rFonts w:ascii="Arial" w:cs="Arial" w:eastAsia="Arial" w:hAnsi="Arial"/>
          <w:sz w:val="18"/>
          <w:szCs w:val="18"/>
          <w:color w:val="auto"/>
        </w:rPr>
        <w:t>development revenue under the Novartis collaboration for the full year 2003. Regeneron does not expect to recognize any future contract research and development revenue from Novartis. In the first quarter of 2004, Novartis also forgave all of its outstanding loans to Regeneron, totaling $17.8 million, based on Regeneron’s achieving a pre-defined development milestone, which was recognized as a research progress payment.</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Contract manufacturing revenue relates to Regeneron’s long-term manufacturing agreement with Merck &amp; Co., Inc. Contract manufacturing revenue increased to $3.3 million in the fourth quarter of 2004 from $2.2 million for the same period of 2003 and to $18.1 million for the full year 2004 from $10.1 million in 2003. The increase in contract manufacturing revenue principally resulted from an increase in product shipments to Merck in 2004 compared with the same periods of 2003. The Company recognizes revenue and the related manufacturing expense as product is shipped to Merck.</w:t>
      </w:r>
    </w:p>
    <w:p>
      <w:pPr>
        <w:spacing w:after="0" w:line="16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Total operating expenses for the fourth quarter of 2004 were $43.1 million, 12% higher than the same quarter in 2003 and $168.4 million for the full year 2004, 7% higher than in 2003. Research and development (R&amp;D) expenses increased 5% to $ 34.8 million in the fourth quarter of 2004 and less than 1% to $136.1 million for the full year of 2004 compared with the same periods of 2003. In 2004, the Company incurred higher development expenses for the VEGF Trap (which are fully reimbursed by sanofi-aventis) and the IL-4/13 Trap. These were partially offset by a decline in expenses for the Company’s AXOKINE</w:t>
      </w:r>
      <w:r>
        <w:rPr>
          <w:rFonts w:ascii="Arial" w:cs="Arial" w:eastAsia="Arial" w:hAnsi="Arial"/>
          <w:sz w:val="15"/>
          <w:szCs w:val="15"/>
          <w:color w:val="auto"/>
        </w:rPr>
        <w:t>®</w:t>
      </w:r>
      <w:r>
        <w:rPr>
          <w:rFonts w:ascii="Arial" w:cs="Arial" w:eastAsia="Arial" w:hAnsi="Arial"/>
          <w:sz w:val="18"/>
          <w:szCs w:val="18"/>
          <w:color w:val="auto"/>
        </w:rPr>
        <w:t xml:space="preserve"> and IL-1 Trap clinical development programs, compared with 2003.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expense, which relates to the Merck agreement, increased to $ 3.5 million in the fourth quarter of 2004 from $ 0.9 million in the same quarter of 2003, and to $15.2 million for the full year 2004 from $6.7 million in 2003, primarily because more product was shipped to Merck and the Company incurred unfavorable manufacturing costs in the fourth quarter and for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9" w:name="page10"/>
    <w:bookmarkEnd w:id="9"/>
    <w:p>
      <w:pPr>
        <w:spacing w:after="0" w:line="239" w:lineRule="auto"/>
        <w:rPr>
          <w:sz w:val="20"/>
          <w:szCs w:val="20"/>
          <w:color w:val="auto"/>
        </w:rPr>
      </w:pPr>
      <w:r>
        <w:rPr>
          <w:rFonts w:ascii="Arial" w:cs="Arial" w:eastAsia="Arial" w:hAnsi="Arial"/>
          <w:sz w:val="18"/>
          <w:szCs w:val="18"/>
          <w:color w:val="auto"/>
        </w:rPr>
        <w:t>the full year 2004 compared with the same periods of 2003. General and administrative expenses increased 15% to $4.9 million in the fourth quarter of 2004 and 15% to $17.1 million for the full year 2004 compared with the same periods in 2003. In 2004, the Company incurred higher accounting and other professional fees, primarily related to its efforts to comply with the requirements of Section 404 of the Sarbanes-Oxley Act of 2002 and incurred costs associated with higher administrative headcount needed to support the Company’s operations.</w:t>
      </w:r>
    </w:p>
    <w:p>
      <w:pPr>
        <w:spacing w:after="0" w:line="17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the first quarter of 2004, in connection with its decision to forego its rights to jointly develop the IL-1 Trap, Novartis agreed to pay Regeneron $42.75 million to satisfy certain funding obligations under their collaboration agreement, which was recognized as other contract income. Investment income increased in the fourth quarter and for the full year 2004 compared with prior year periods due primarily to higher effective interest rates on investment securities. Interest expense was essentially unchanged for the fourth quarter and full year of 2004 compared with the same periods in 2003. Interest expense is attributable primarily to the Company’s convertible notes.</w:t>
      </w:r>
    </w:p>
    <w:p>
      <w:pPr>
        <w:spacing w:after="0" w:line="162" w:lineRule="exact"/>
        <w:rPr>
          <w:sz w:val="20"/>
          <w:szCs w:val="20"/>
          <w:color w:val="auto"/>
        </w:rPr>
      </w:pPr>
    </w:p>
    <w:p>
      <w:pPr>
        <w:jc w:val="both"/>
        <w:ind w:right="280"/>
        <w:spacing w:after="0" w:line="239" w:lineRule="auto"/>
        <w:rPr>
          <w:sz w:val="20"/>
          <w:szCs w:val="20"/>
          <w:color w:val="auto"/>
        </w:rPr>
      </w:pPr>
      <w:r>
        <w:rPr>
          <w:rFonts w:ascii="Arial" w:cs="Arial" w:eastAsia="Arial" w:hAnsi="Arial"/>
          <w:sz w:val="18"/>
          <w:szCs w:val="18"/>
          <w:color w:val="auto"/>
        </w:rPr>
        <w:t>Per share amounts are based on the weighted average number of shares of the Company’s Common Stock and Class A Stock outstanding. For the full year 2004, the weighted average number of shares outstanding increased to 55.4 million shares (basic) and 56.2 million shares (diluted) compared with 50.5 million shares (basic and diluted) last year, due primarily to the sale of 7.5 million and 2.8 million shares of the Company’s Common Stock to Novartis and sanofi-aventis, respectively, in 2003.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207"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Regeneron has built a broad-based clinical development program that is evaluating several product candidates in different stages of clinical development. The Company’s two lead candidates are the VEGF Trap and the IL-1 Trap.</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0" w:name="page11"/>
    <w:bookmarkEnd w:id="10"/>
    <w:p>
      <w:pPr>
        <w:ind w:right="240"/>
        <w:spacing w:after="0" w:line="238" w:lineRule="auto"/>
        <w:rPr>
          <w:sz w:val="20"/>
          <w:szCs w:val="20"/>
          <w:color w:val="auto"/>
        </w:rPr>
      </w:pPr>
      <w:r>
        <w:rPr>
          <w:rFonts w:ascii="Arial" w:cs="Arial" w:eastAsia="Arial" w:hAnsi="Arial"/>
          <w:sz w:val="18"/>
          <w:szCs w:val="18"/>
          <w:color w:val="auto"/>
        </w:rPr>
        <w:t>In January 2005, sanofi-aventis reaffirmed their commitment to develop the VEGF Trap in oncology in collaboration with Regeneron. In addition, the companies agreed that the exclusive right to develop and commercialize the VEGF Trap for eye diseases through local delivery systems would revert to Regeneron. In connection with this agreement, sanofi-aventis made a $25.0 million payment to Regeneron in January 2005, 50% of which is repayable to sanofi-aventis following commercialization of the VEGF Trap. The collaboration will not currently pursue systemic delivery of the VEGF Trap for eye disease.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Regeneron and sanofi-aventis plan to evaluate the VEGF Trap in a variety of cancer types, both in single-agent studies and in combination with chemotherapy. The VEGF Trap has been granted Fast Track designation by the US Food and Drug Administration (FDA) for a specific niche cancer indication.</w:t>
      </w:r>
    </w:p>
    <w:p>
      <w:pPr>
        <w:spacing w:after="0" w:line="162"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Regeneron recently announced plans to move the IL-1 Trap development program forward in 2005 with the initiation of pivotal studies in rheumatoid arthritis and in rare genetic auto-inflammatory diseases and exploratory proof-of-concept studies in a wide variety of other diseases. These other diseases may include other rheumatological disorders and diseases associated with inflammation in blood vessels.</w:t>
      </w:r>
    </w:p>
    <w:p>
      <w:pPr>
        <w:spacing w:after="0" w:line="14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 xml:space="preserve">During the last quarter of 2004, Regeneron initiated an exploratory trial of the IL-1 Trap in patients with </w:t>
      </w:r>
      <w:r>
        <w:rPr>
          <w:rFonts w:ascii="Arial" w:cs="Arial" w:eastAsia="Arial" w:hAnsi="Arial"/>
          <w:sz w:val="18"/>
          <w:szCs w:val="18"/>
          <w:i w:val="1"/>
          <w:iCs w:val="1"/>
          <w:color w:val="auto"/>
        </w:rPr>
        <w:t>CIAS</w:t>
      </w:r>
      <w:r>
        <w:rPr>
          <w:rFonts w:ascii="Arial" w:cs="Arial" w:eastAsia="Arial" w:hAnsi="Arial"/>
          <w:sz w:val="18"/>
          <w:szCs w:val="18"/>
          <w:color w:val="auto"/>
        </w:rPr>
        <w:t xml:space="preserve">1-Associated Periodic Syndrome (CAPS), a spectrum of rare diseases associated with mutations in the </w:t>
      </w:r>
      <w:r>
        <w:rPr>
          <w:rFonts w:ascii="Arial" w:cs="Arial" w:eastAsia="Arial" w:hAnsi="Arial"/>
          <w:sz w:val="18"/>
          <w:szCs w:val="18"/>
          <w:i w:val="1"/>
          <w:iCs w:val="1"/>
          <w:color w:val="auto"/>
        </w:rPr>
        <w:t>CIAS</w:t>
      </w:r>
      <w:r>
        <w:rPr>
          <w:rFonts w:ascii="Arial" w:cs="Arial" w:eastAsia="Arial" w:hAnsi="Arial"/>
          <w:sz w:val="18"/>
          <w:szCs w:val="18"/>
          <w:color w:val="auto"/>
        </w:rPr>
        <w:t>1 gene. Interleukin -1 (IL-1) appears to play a significant role in these diseases. In January 2005, the Company received Orphan Drug designation for the IL-1 Trap in these diseases. The Company expects the preliminary results from this study to be reported at a scientific meeting later this year.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1" w:name="page12"/>
    <w:bookmarkEnd w:id="11"/>
    <w:p>
      <w:pPr>
        <w:ind w:right="140"/>
        <w:spacing w:after="0" w:line="246" w:lineRule="auto"/>
        <w:rPr>
          <w:sz w:val="20"/>
          <w:szCs w:val="20"/>
          <w:color w:val="auto"/>
        </w:rPr>
      </w:pPr>
      <w:r>
        <w:rPr>
          <w:rFonts w:ascii="Arial" w:cs="Arial" w:eastAsia="Arial" w:hAnsi="Arial"/>
          <w:sz w:val="18"/>
          <w:szCs w:val="18"/>
          <w:color w:val="auto"/>
        </w:rPr>
        <w:t>The Company plans to initiate, in the second quarter of 2005, a phase 1 trial of the VEGF Trap in the neovascular form of age-related macular degeneration (wet AMD) utilizing local delivery to the eye.</w:t>
      </w:r>
    </w:p>
    <w:p>
      <w:pPr>
        <w:spacing w:after="0" w:line="17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 February 2005, the Company and Merck amended their long-term manufacturing agreement for production of an intermediate for a Merck pediatric vaccine at the Company’s Rensselaer, New York facility. The amendment extends the manufacturing agreement for one full year through October 2006 and provides Merck an opportunity, upon twelve-months’ prior notice, to extend the agreement for an additional year through October 2007.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9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rheumatoid arthritis, asthma, and obesity and has preclinical programs in other diseases and disorders.</w:t>
      </w:r>
    </w:p>
    <w:p>
      <w:pPr>
        <w:spacing w:after="0" w:line="15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10-K/A for the year ended December 31, 2003 and the Form 10-Q for the quarter ended September 30, 2004. Regeneron does not undertake any obligation to update publicly any forward-looking statement, whether as a result of new information, future events, or otherwise unless required by law.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2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3580" w:type="dxa"/>
            <w:vAlign w:val="bottom"/>
          </w:tcPr>
          <w:p>
            <w:pPr>
              <w:spacing w:after="0"/>
              <w:rPr>
                <w:sz w:val="18"/>
                <w:szCs w:val="18"/>
                <w:color w:val="auto"/>
              </w:rPr>
            </w:pPr>
          </w:p>
        </w:tc>
      </w:tr>
      <w:tr>
        <w:trPr>
          <w:trHeight w:val="566"/>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Investors:</w:t>
            </w:r>
          </w:p>
        </w:tc>
        <w:tc>
          <w:tcPr>
            <w:tcW w:w="1700" w:type="dxa"/>
            <w:vAlign w:val="bottom"/>
          </w:tcPr>
          <w:p>
            <w:pPr>
              <w:spacing w:after="0"/>
              <w:rPr>
                <w:sz w:val="17"/>
                <w:szCs w:val="17"/>
                <w:color w:val="auto"/>
              </w:rPr>
            </w:pPr>
          </w:p>
        </w:tc>
        <w:tc>
          <w:tcPr>
            <w:tcW w:w="5700" w:type="dxa"/>
            <w:vAlign w:val="bottom"/>
            <w:gridSpan w:val="2"/>
          </w:tcPr>
          <w:p>
            <w:pPr>
              <w:spacing w:after="0" w:line="202" w:lineRule="exact"/>
              <w:rPr>
                <w:sz w:val="20"/>
                <w:szCs w:val="20"/>
                <w:color w:val="auto"/>
              </w:rPr>
            </w:pPr>
            <w:r>
              <w:rPr>
                <w:rFonts w:ascii="Arial" w:cs="Arial" w:eastAsia="Arial" w:hAnsi="Arial"/>
                <w:sz w:val="18"/>
                <w:szCs w:val="18"/>
                <w:color w:val="auto"/>
              </w:rPr>
              <w:t>Media:</w:t>
            </w: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Charles Poole</w:t>
            </w:r>
          </w:p>
        </w:tc>
        <w:tc>
          <w:tcPr>
            <w:tcW w:w="1700" w:type="dxa"/>
            <w:vAlign w:val="bottom"/>
          </w:tcPr>
          <w:p>
            <w:pPr>
              <w:spacing w:after="0"/>
              <w:rPr>
                <w:sz w:val="17"/>
                <w:szCs w:val="17"/>
                <w:color w:val="auto"/>
              </w:rPr>
            </w:pPr>
          </w:p>
        </w:tc>
        <w:tc>
          <w:tcPr>
            <w:tcW w:w="5700" w:type="dxa"/>
            <w:vAlign w:val="bottom"/>
            <w:gridSpan w:val="2"/>
          </w:tcPr>
          <w:p>
            <w:pPr>
              <w:spacing w:after="0" w:line="202" w:lineRule="exact"/>
              <w:rPr>
                <w:sz w:val="20"/>
                <w:szCs w:val="20"/>
                <w:color w:val="auto"/>
              </w:rPr>
            </w:pPr>
            <w:r>
              <w:rPr>
                <w:rFonts w:ascii="Arial" w:cs="Arial" w:eastAsia="Arial" w:hAnsi="Arial"/>
                <w:sz w:val="18"/>
                <w:szCs w:val="18"/>
                <w:color w:val="auto"/>
              </w:rPr>
              <w:t>Lauren Tortorete</w:t>
            </w: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VP, Investor Relations</w:t>
            </w:r>
          </w:p>
        </w:tc>
        <w:tc>
          <w:tcPr>
            <w:tcW w:w="1700" w:type="dxa"/>
            <w:vAlign w:val="bottom"/>
          </w:tcPr>
          <w:p>
            <w:pPr>
              <w:spacing w:after="0"/>
              <w:rPr>
                <w:sz w:val="17"/>
                <w:szCs w:val="17"/>
                <w:color w:val="auto"/>
              </w:rPr>
            </w:pPr>
          </w:p>
        </w:tc>
        <w:tc>
          <w:tcPr>
            <w:tcW w:w="5700" w:type="dxa"/>
            <w:vAlign w:val="bottom"/>
            <w:gridSpan w:val="2"/>
          </w:tcPr>
          <w:p>
            <w:pPr>
              <w:spacing w:after="0" w:line="202" w:lineRule="exact"/>
              <w:rPr>
                <w:sz w:val="20"/>
                <w:szCs w:val="20"/>
                <w:color w:val="auto"/>
              </w:rPr>
            </w:pPr>
            <w:r>
              <w:rPr>
                <w:rFonts w:ascii="Arial" w:cs="Arial" w:eastAsia="Arial" w:hAnsi="Arial"/>
                <w:sz w:val="18"/>
                <w:szCs w:val="18"/>
                <w:color w:val="auto"/>
              </w:rPr>
              <w:t>Biosector2</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914.345.7641</w:t>
            </w:r>
          </w:p>
        </w:tc>
        <w:tc>
          <w:tcPr>
            <w:tcW w:w="1540" w:type="dxa"/>
            <w:vAlign w:val="bottom"/>
          </w:tcPr>
          <w:p>
            <w:pPr>
              <w:spacing w:after="0"/>
              <w:rPr>
                <w:sz w:val="17"/>
                <w:szCs w:val="17"/>
                <w:color w:val="auto"/>
              </w:rPr>
            </w:pPr>
          </w:p>
        </w:tc>
        <w:tc>
          <w:tcPr>
            <w:tcW w:w="3820" w:type="dxa"/>
            <w:vAlign w:val="bottom"/>
            <w:gridSpan w:val="2"/>
          </w:tcPr>
          <w:p>
            <w:pPr>
              <w:ind w:left="1700"/>
              <w:spacing w:after="0" w:line="202" w:lineRule="exact"/>
              <w:rPr>
                <w:sz w:val="20"/>
                <w:szCs w:val="20"/>
                <w:color w:val="auto"/>
              </w:rPr>
            </w:pPr>
            <w:r>
              <w:rPr>
                <w:rFonts w:ascii="Arial" w:cs="Arial" w:eastAsia="Arial" w:hAnsi="Arial"/>
                <w:sz w:val="18"/>
                <w:szCs w:val="18"/>
                <w:color w:val="auto"/>
              </w:rPr>
              <w:t>212.845.5609</w:t>
            </w:r>
          </w:p>
        </w:tc>
        <w:tc>
          <w:tcPr>
            <w:tcW w:w="3580" w:type="dxa"/>
            <w:vAlign w:val="bottom"/>
          </w:tcPr>
          <w:p>
            <w:pPr>
              <w:spacing w:after="0"/>
              <w:rPr>
                <w:sz w:val="17"/>
                <w:szCs w:val="17"/>
                <w:color w:val="auto"/>
              </w:rPr>
            </w:pPr>
          </w:p>
        </w:tc>
      </w:tr>
      <w:tr>
        <w:trPr>
          <w:trHeight w:val="176"/>
        </w:trPr>
        <w:tc>
          <w:tcPr>
            <w:tcW w:w="24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9"/>
              </w:rPr>
              <w:t>charles.poole@regeneron.com</w:t>
            </w:r>
          </w:p>
        </w:tc>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9"/>
              </w:rPr>
              <w:t>ltortorete@biosector2.com</w:t>
            </w:r>
          </w:p>
        </w:tc>
        <w:tc>
          <w:tcPr>
            <w:tcW w:w="3580" w:type="dxa"/>
            <w:vAlign w:val="bottom"/>
          </w:tcPr>
          <w:p>
            <w:pPr>
              <w:spacing w:after="0"/>
              <w:rPr>
                <w:sz w:val="15"/>
                <w:szCs w:val="15"/>
                <w:color w:val="auto"/>
              </w:rPr>
            </w:pPr>
          </w:p>
        </w:tc>
      </w:tr>
      <w:tr>
        <w:trPr>
          <w:trHeight w:val="412"/>
        </w:trPr>
        <w:tc>
          <w:tcPr>
            <w:tcW w:w="2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20" w:type="dxa"/>
            <w:vAlign w:val="bottom"/>
            <w:gridSpan w:val="2"/>
          </w:tcPr>
          <w:p>
            <w:pPr>
              <w:jc w:val="right"/>
              <w:ind w:right="1930"/>
              <w:spacing w:after="0"/>
              <w:rPr>
                <w:sz w:val="20"/>
                <w:szCs w:val="20"/>
                <w:color w:val="auto"/>
              </w:rPr>
            </w:pPr>
            <w:r>
              <w:rPr>
                <w:rFonts w:ascii="Arial" w:cs="Arial" w:eastAsia="Arial" w:hAnsi="Arial"/>
                <w:sz w:val="18"/>
                <w:szCs w:val="18"/>
                <w:color w:val="auto"/>
              </w:rPr>
              <w:t>10</w:t>
            </w:r>
          </w:p>
        </w:tc>
        <w:tc>
          <w:tcPr>
            <w:tcW w:w="3580" w:type="dxa"/>
            <w:vAlign w:val="bottom"/>
          </w:tcPr>
          <w:p>
            <w:pPr>
              <w:spacing w:after="0"/>
              <w:rPr>
                <w:sz w:val="24"/>
                <w:szCs w:val="24"/>
                <w:color w:val="auto"/>
              </w:rPr>
            </w:pPr>
          </w:p>
        </w:tc>
      </w:tr>
      <w:tr>
        <w:trPr>
          <w:trHeight w:val="213"/>
        </w:trPr>
        <w:tc>
          <w:tcPr>
            <w:tcW w:w="248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2120" w:type="dxa"/>
            <w:vAlign w:val="bottom"/>
            <w:tcBorders>
              <w:bottom w:val="single" w:sz="8" w:color="808080"/>
            </w:tcBorders>
          </w:tcPr>
          <w:p>
            <w:pPr>
              <w:spacing w:after="0"/>
              <w:rPr>
                <w:sz w:val="18"/>
                <w:szCs w:val="18"/>
                <w:color w:val="auto"/>
              </w:rPr>
            </w:pPr>
          </w:p>
        </w:tc>
        <w:tc>
          <w:tcPr>
            <w:tcW w:w="35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Cash and marketable securities (including restricted marketable securities in 2003)</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8"/>
              </w:rPr>
              <w:t>348,912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366,566</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43,102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3,229</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9,006</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71,239</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80,723</w:t>
            </w:r>
          </w:p>
        </w:tc>
        <w:tc>
          <w:tcPr>
            <w:tcW w:w="0" w:type="dxa"/>
            <w:vAlign w:val="bottom"/>
          </w:tcPr>
          <w:p>
            <w:pPr>
              <w:spacing w:after="0"/>
              <w:rPr>
                <w:sz w:val="1"/>
                <w:szCs w:val="1"/>
                <w:color w:val="auto"/>
              </w:rPr>
            </w:pPr>
          </w:p>
        </w:tc>
      </w:tr>
      <w:tr>
        <w:trPr>
          <w:trHeight w:val="210"/>
        </w:trPr>
        <w:tc>
          <w:tcPr>
            <w:tcW w:w="79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6,626</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assets</w:t>
            </w: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473,108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479,555</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18,872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18,933</w:t>
            </w:r>
          </w:p>
        </w:tc>
        <w:tc>
          <w:tcPr>
            <w:tcW w:w="0" w:type="dxa"/>
            <w:vAlign w:val="bottom"/>
          </w:tcPr>
          <w:p>
            <w:pPr>
              <w:spacing w:after="0"/>
              <w:rPr>
                <w:sz w:val="1"/>
                <w:szCs w:val="1"/>
                <w:color w:val="auto"/>
              </w:rPr>
            </w:pP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71,693</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109,003</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 payable</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200,000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13,976</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182,543</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137,643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60" w:type="dxa"/>
            <w:vAlign w:val="bottom"/>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473,108</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479,555</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5620"/>
              <w:spacing w:after="0"/>
              <w:rPr>
                <w:sz w:val="20"/>
                <w:szCs w:val="20"/>
                <w:color w:val="auto"/>
              </w:rPr>
            </w:pPr>
            <w:r>
              <w:rPr>
                <w:rFonts w:ascii="Arial" w:cs="Arial" w:eastAsia="Arial" w:hAnsi="Arial"/>
                <w:sz w:val="18"/>
                <w:szCs w:val="18"/>
                <w:color w:val="auto"/>
              </w:rPr>
              <w:t>11</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9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For the three months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For the year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ended 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820" w:type="dxa"/>
            <w:vAlign w:val="bottom"/>
          </w:tcPr>
          <w:p>
            <w:pPr>
              <w:jc w:val="right"/>
              <w:ind w:right="151"/>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Contract research and development</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18,780</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  19,121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8"/>
              </w:rPr>
              <w:t>113,157</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   47,366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progress payments</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25,000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42,770</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Contract manufacturing</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3,310</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18,090</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47,090</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21,272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174,017</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57,497</w:t>
            </w:r>
          </w:p>
        </w:tc>
        <w:tc>
          <w:tcPr>
            <w:tcW w:w="0" w:type="dxa"/>
            <w:vAlign w:val="bottom"/>
          </w:tcPr>
          <w:p>
            <w:pPr>
              <w:spacing w:after="0"/>
              <w:rPr>
                <w:sz w:val="1"/>
                <w:szCs w:val="1"/>
                <w:color w:val="auto"/>
              </w:rPr>
            </w:pPr>
          </w:p>
        </w:tc>
      </w:tr>
      <w:tr>
        <w:trPr>
          <w:trHeight w:val="412"/>
        </w:trPr>
        <w:tc>
          <w:tcPr>
            <w:tcW w:w="43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34,789</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33,267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136,095</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Contract manufacturing</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3,474</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15,214</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4,853</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4,237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17,062</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43,116</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38,411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168,371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157,485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3,974</w:t>
            </w: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(17,139)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5,646</w:t>
            </w:r>
          </w:p>
        </w:tc>
        <w:tc>
          <w:tcPr>
            <w:tcW w:w="12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(99,988)</w:t>
            </w:r>
          </w:p>
        </w:tc>
        <w:tc>
          <w:tcPr>
            <w:tcW w:w="0" w:type="dxa"/>
            <w:vAlign w:val="bottom"/>
          </w:tcPr>
          <w:p>
            <w:pPr>
              <w:spacing w:after="0"/>
              <w:rPr>
                <w:sz w:val="1"/>
                <w:szCs w:val="1"/>
                <w:color w:val="auto"/>
              </w:rPr>
            </w:pPr>
          </w:p>
        </w:tc>
      </w:tr>
      <w:tr>
        <w:trPr>
          <w:trHeight w:val="412"/>
        </w:trPr>
        <w:tc>
          <w:tcPr>
            <w:tcW w:w="43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contract income</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42,750</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1,832</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5,478</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(3,014)</w:t>
            </w: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(3,106)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(12,175)</w:t>
            </w:r>
          </w:p>
        </w:tc>
        <w:tc>
          <w:tcPr>
            <w:tcW w:w="12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(1,182)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36,053</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2,792</w:t>
            </w: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19,377)</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41,699</w:t>
            </w:r>
          </w:p>
        </w:tc>
        <w:tc>
          <w:tcPr>
            <w:tcW w:w="12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107,458)</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2"/>
            <w:vMerge w:val="continue"/>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0.05</w:t>
            </w: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($0.35)</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0.75</w:t>
            </w:r>
          </w:p>
        </w:tc>
        <w:tc>
          <w:tcPr>
            <w:tcW w:w="12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Diluted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0.05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0.74</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55,541</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55,183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55,419</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50,490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55,719</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55,183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56,172</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50,490</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60" w:type="dxa"/>
            <w:vAlign w:val="bottom"/>
          </w:tcPr>
          <w:p>
            <w:pPr>
              <w:jc w:val="right"/>
              <w:ind w:right="9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2019-12-11T22:06:18Z</dcterms:created>
  <dcterms:modified xsi:type="dcterms:W3CDTF">2019-12-11T22:06:18Z</dcterms:modified>
</cp:coreProperties>
</file>