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20, 2008 (November 14,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(Exact Name of Registrant as Specified in Charter)</w:t>
            </w:r>
          </w:p>
        </w:tc>
        <w:tc>
          <w:tcPr>
            <w:tcW w:w="3100" w:type="dxa"/>
            <w:vAlign w:val="bottom"/>
          </w:tcPr>
          <w:p>
            <w:pPr>
              <w:spacing w:after="0"/>
              <w:rPr>
                <w:sz w:val="20"/>
                <w:szCs w:val="20"/>
                <w:color w:val="auto"/>
              </w:rPr>
            </w:pPr>
          </w:p>
        </w:tc>
      </w:tr>
      <w:tr>
        <w:trPr>
          <w:trHeight w:val="416"/>
        </w:trPr>
        <w:tc>
          <w:tcPr>
            <w:tcW w:w="280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New York</w:t>
            </w:r>
          </w:p>
        </w:tc>
        <w:tc>
          <w:tcPr>
            <w:tcW w:w="464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jc w:val="right"/>
              <w:ind w:right="119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28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86"/>
              </w:rPr>
              <w:t>(State or</w:t>
            </w:r>
          </w:p>
        </w:tc>
        <w:tc>
          <w:tcPr>
            <w:tcW w:w="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No.)</w:t>
            </w: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2800" w:type="dxa"/>
            <w:vAlign w:val="bottom"/>
          </w:tcPr>
          <w:p>
            <w:pPr>
              <w:jc w:val="center"/>
              <w:ind w:left="510"/>
              <w:spacing w:after="0"/>
              <w:rPr>
                <w:sz w:val="20"/>
                <w:szCs w:val="20"/>
                <w:color w:val="auto"/>
              </w:rPr>
            </w:pPr>
            <w:r>
              <w:rPr>
                <w:rFonts w:ascii="Arial" w:cs="Arial" w:eastAsia="Arial" w:hAnsi="Arial"/>
                <w:sz w:val="18"/>
                <w:szCs w:val="18"/>
                <w:color w:val="auto"/>
                <w:w w:val="94"/>
              </w:rPr>
              <w:t>other jurisdiction</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0"/>
        </w:trPr>
        <w:tc>
          <w:tcPr>
            <w:tcW w:w="2800" w:type="dxa"/>
            <w:vAlign w:val="bottom"/>
          </w:tcPr>
          <w:p>
            <w:pPr>
              <w:jc w:val="center"/>
              <w:ind w:left="55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547"/>
        </w:trPr>
        <w:tc>
          <w:tcPr>
            <w:tcW w:w="28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3100" w:type="dxa"/>
            <w:vAlign w:val="bottom"/>
            <w:tcBorders>
              <w:bottom w:val="single" w:sz="8" w:color="auto"/>
            </w:tcBorders>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100" w:type="dxa"/>
            <w:vAlign w:val="bottom"/>
          </w:tcPr>
          <w:p>
            <w:pPr>
              <w:spacing w:after="0"/>
              <w:rPr>
                <w:sz w:val="20"/>
                <w:szCs w:val="20"/>
                <w:color w:val="auto"/>
              </w:rPr>
            </w:pP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ind w:left="840" w:right="42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233"/>
        <w:spacing w:after="0" w:line="293" w:lineRule="auto"/>
        <w:tabs>
          <w:tab w:leader="none" w:pos="47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Amendment and Restatement of Change in Control Severance Plan</w:t>
      </w:r>
      <w:r>
        <w:rPr>
          <w:rFonts w:ascii="Arial" w:cs="Arial" w:eastAsia="Arial" w:hAnsi="Arial"/>
          <w:sz w:val="16"/>
          <w:szCs w:val="16"/>
          <w:color w:val="auto"/>
        </w:rPr>
        <w:t>. On November 14, 2008, the Compensation Committee of the Board of Directors of Regeneron Pharmaceuticals, Inc. (the “Company”) approved and adopted an amendment and restatement of the Regeneron Pharmaceuticals, Inc. Change in Control Severance Plan that was originally approved and adopted by the Board of Directors on January 20, 2006. The purpose of the amendment and restatement was to bring the Regeneron Pharmaceuticals, Inc. Change of Control Severance Plan (as amended and restated, the “Plan”) into compliance with Section 409A of the Internal Revenue Code of 1986, as amended, and the regulations and other guidance promulgated thereunder (“Section 409A”), which generally applies to non-qualified deferred compensation arrangements and which can apply to severance benefits.</w:t>
      </w:r>
    </w:p>
    <w:p>
      <w:pPr>
        <w:spacing w:after="0" w:line="5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definition of “Good Reason” as set forth in the Plan was amended to more closely conform to the definition set forth in Section 409A. In addition, the Plan was amended to delete the ability of the Company to pay cash in lieu of a participant’s benefit continuation entitlement. Other technical amendments were made to the Plan in order to bring the Plan into compliance with Section 409A.</w:t>
      </w:r>
    </w:p>
    <w:p>
      <w:pPr>
        <w:spacing w:after="0" w:line="73"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u w:val="single" w:color="auto"/>
          <w:color w:val="auto"/>
        </w:rPr>
        <w:t>Amendment and Restatement of Schleifer Employment Agreement</w:t>
      </w:r>
      <w:r>
        <w:rPr>
          <w:rFonts w:ascii="Arial" w:cs="Arial" w:eastAsia="Arial" w:hAnsi="Arial"/>
          <w:sz w:val="16"/>
          <w:szCs w:val="16"/>
          <w:color w:val="auto"/>
        </w:rPr>
        <w:t>. On November 14, 2008, the Compensation Committee of the Board of Directors of the Company approved and entered into an amended and restated employment agreement with Dr. Leonard Schleifer, the President and Chief Executive Officer of the Company (the “Employment Agreement”), which amended and restated the Company’s December 20, 2002 employment agreement with Dr. Schleifer. The purpose of the amendment and restatement was to bring the Employment Agreement into compliance with Section 409A.</w:t>
      </w:r>
    </w:p>
    <w:p>
      <w:pPr>
        <w:spacing w:after="0" w:line="46"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 Employment Agreement effects technical amendments to Dr. Schleifer’s December 20, 2002 employment agreement to bring the Employment Agreement into compliance with Section 409A. The Employment Agreement now provides that severance payments are always to be made in a lump sum rather than over time. If Section 409A requires it, then any severance payments otherwise payable under the Employment Agreement during the six month period immediately following the termination of Dr. Schleifer’s employment will be delayed and paid in a lump sum as soon as practicable following the expiration of such six month period. The Employment Agreement also now does not permit Dr. Schleifer to carry-over certain unused reimbursement rights from year-to-year. The Company has agreed to indemnify Dr. Schleifer in the event that payments under the Employment Agreement are in violation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November 20, 2008</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sectPr>
      <w:pgSz w:w="11900" w:h="16838" w:orient="portrait"/>
      <w:cols w:equalWidth="0" w:num="1">
        <w:col w:w="10520"/>
      </w:cols>
      <w:pgMar w:left="240" w:top="96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2019-12-20T02:21:22Z</dcterms:created>
  <dcterms:modified xsi:type="dcterms:W3CDTF">2019-12-20T02:21:22Z</dcterms:modified>
</cp:coreProperties>
</file>