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88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33.42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122,915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115,415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0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650.32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04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651.09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33.42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01/03/2021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-4972050</wp:posOffset>
            </wp:positionV>
            <wp:extent cx="7033260" cy="5202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20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July 7, 2020 at prices ranging from $650.00 to $650.83. Upon request by the Commission staff, the Company, or a security holder of the Company, the reporting person will provide full information regarding the number of shares sold by the reporting person on July 7, 2020 at each separate price.</w:t>
      </w:r>
    </w:p>
    <w:p>
      <w:pPr>
        <w:ind w:left="40" w:right="4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July 7, 2020 at prices ranging from $651.02 to $651.10. Upon request by the Commission staff, the Company, or a security holder of the Company, the reporting person will provide full information regarding the number of shares sold by the reporting person on July 7,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07/07/2020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88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2020-07-08T15:21:41Z</dcterms:created>
  <dcterms:modified xsi:type="dcterms:W3CDTF">2020-07-08T15:21:41Z</dcterms:modified>
</cp:coreProperties>
</file>