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64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4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1,861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318,669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37,747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gridSpan w:val="2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644.54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21,198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21,198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an acquisition of time-based vesting restricted stock units each representing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12/09/2021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2021-12-10T16:37:46Z</dcterms:created>
  <dcterms:modified xsi:type="dcterms:W3CDTF">2021-12-10T16:37:46Z</dcterms:modified>
</cp:coreProperties>
</file>