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6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February 24, 2004 (February 23,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74930</wp:posOffset>
            </wp:positionV>
            <wp:extent cx="4202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78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80" w:type="dxa"/>
            <w:vAlign w:val="bottom"/>
            <w:gridSpan w:val="3"/>
          </w:tcPr>
          <w:p>
            <w:pPr>
              <w:jc w:val="right"/>
              <w:ind w:right="400"/>
              <w:spacing w:after="0"/>
              <w:rPr>
                <w:sz w:val="20"/>
                <w:szCs w:val="20"/>
                <w:color w:val="auto"/>
              </w:rPr>
            </w:pPr>
            <w:r>
              <w:rPr>
                <w:rFonts w:ascii="Arial" w:cs="Arial" w:eastAsia="Arial" w:hAnsi="Arial"/>
                <w:sz w:val="18"/>
                <w:szCs w:val="18"/>
                <w:color w:val="auto"/>
              </w:rPr>
              <w:t>(Exact name of registrant as specified in its charter)</w:t>
            </w:r>
          </w:p>
        </w:tc>
        <w:tc>
          <w:tcPr>
            <w:tcW w:w="3540" w:type="dxa"/>
            <w:vAlign w:val="bottom"/>
          </w:tcPr>
          <w:p>
            <w:pPr>
              <w:spacing w:after="0"/>
              <w:rPr>
                <w:sz w:val="19"/>
                <w:szCs w:val="19"/>
                <w:color w:val="auto"/>
              </w:rPr>
            </w:pPr>
          </w:p>
        </w:tc>
      </w:tr>
      <w:tr>
        <w:trPr>
          <w:trHeight w:val="459"/>
        </w:trPr>
        <w:tc>
          <w:tcPr>
            <w:tcW w:w="5040" w:type="dxa"/>
            <w:vAlign w:val="bottom"/>
          </w:tcPr>
          <w:p>
            <w:pPr>
              <w:jc w:val="center"/>
              <w:ind w:right="1492"/>
              <w:spacing w:after="0"/>
              <w:rPr>
                <w:sz w:val="20"/>
                <w:szCs w:val="20"/>
                <w:color w:val="auto"/>
              </w:rPr>
            </w:pPr>
            <w:r>
              <w:rPr>
                <w:rFonts w:ascii="Arial" w:cs="Arial" w:eastAsia="Arial" w:hAnsi="Arial"/>
                <w:sz w:val="18"/>
                <w:szCs w:val="18"/>
                <w:color w:val="auto"/>
                <w:w w:val="95"/>
              </w:rPr>
              <w:t>NEW YORK</w:t>
            </w:r>
          </w:p>
        </w:tc>
        <w:tc>
          <w:tcPr>
            <w:tcW w:w="2840" w:type="dxa"/>
            <w:vAlign w:val="bottom"/>
            <w:gridSpan w:val="2"/>
          </w:tcPr>
          <w:p>
            <w:pPr>
              <w:jc w:val="center"/>
              <w:ind w:right="1460"/>
              <w:spacing w:after="0"/>
              <w:rPr>
                <w:sz w:val="20"/>
                <w:szCs w:val="20"/>
                <w:color w:val="auto"/>
              </w:rPr>
            </w:pPr>
            <w:r>
              <w:rPr>
                <w:rFonts w:ascii="Arial" w:cs="Arial" w:eastAsia="Arial" w:hAnsi="Arial"/>
                <w:sz w:val="18"/>
                <w:szCs w:val="18"/>
                <w:color w:val="auto"/>
                <w:w w:val="87"/>
              </w:rPr>
              <w:t>0-19034</w:t>
            </w:r>
          </w:p>
        </w:tc>
        <w:tc>
          <w:tcPr>
            <w:tcW w:w="3540" w:type="dxa"/>
            <w:vAlign w:val="bottom"/>
          </w:tcPr>
          <w:p>
            <w:pPr>
              <w:jc w:val="center"/>
              <w:ind w:left="32"/>
              <w:spacing w:after="0"/>
              <w:rPr>
                <w:sz w:val="20"/>
                <w:szCs w:val="20"/>
                <w:color w:val="auto"/>
              </w:rPr>
            </w:pPr>
            <w:r>
              <w:rPr>
                <w:rFonts w:ascii="Arial" w:cs="Arial" w:eastAsia="Arial" w:hAnsi="Arial"/>
                <w:sz w:val="18"/>
                <w:szCs w:val="18"/>
                <w:color w:val="auto"/>
                <w:w w:val="88"/>
              </w:rPr>
              <w:t>No. 13-3444607</w:t>
            </w:r>
          </w:p>
        </w:tc>
      </w:tr>
      <w:tr>
        <w:trPr>
          <w:trHeight w:val="110"/>
        </w:trPr>
        <w:tc>
          <w:tcPr>
            <w:tcW w:w="50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r>
      <w:tr>
        <w:trPr>
          <w:trHeight w:val="309"/>
        </w:trPr>
        <w:tc>
          <w:tcPr>
            <w:tcW w:w="5040" w:type="dxa"/>
            <w:vAlign w:val="bottom"/>
          </w:tcPr>
          <w:p>
            <w:pPr>
              <w:jc w:val="center"/>
              <w:ind w:right="1512"/>
              <w:spacing w:after="0"/>
              <w:rPr>
                <w:sz w:val="20"/>
                <w:szCs w:val="20"/>
                <w:color w:val="auto"/>
              </w:rPr>
            </w:pPr>
            <w:r>
              <w:rPr>
                <w:rFonts w:ascii="Arial" w:cs="Arial" w:eastAsia="Arial" w:hAnsi="Arial"/>
                <w:sz w:val="18"/>
                <w:szCs w:val="18"/>
                <w:color w:val="auto"/>
                <w:w w:val="89"/>
              </w:rPr>
              <w:t>(State or other jurisdiction</w:t>
            </w:r>
          </w:p>
        </w:tc>
        <w:tc>
          <w:tcPr>
            <w:tcW w:w="2840" w:type="dxa"/>
            <w:vAlign w:val="bottom"/>
            <w:gridSpan w:val="2"/>
          </w:tcPr>
          <w:p>
            <w:pPr>
              <w:jc w:val="center"/>
              <w:ind w:right="1460"/>
              <w:spacing w:after="0"/>
              <w:rPr>
                <w:sz w:val="20"/>
                <w:szCs w:val="20"/>
                <w:color w:val="auto"/>
              </w:rPr>
            </w:pPr>
            <w:r>
              <w:rPr>
                <w:rFonts w:ascii="Arial" w:cs="Arial" w:eastAsia="Arial" w:hAnsi="Arial"/>
                <w:sz w:val="18"/>
                <w:szCs w:val="18"/>
                <w:color w:val="auto"/>
                <w:w w:val="89"/>
              </w:rPr>
              <w:t>(Commission</w:t>
            </w:r>
          </w:p>
        </w:tc>
        <w:tc>
          <w:tcPr>
            <w:tcW w:w="3540" w:type="dxa"/>
            <w:vAlign w:val="bottom"/>
          </w:tcPr>
          <w:p>
            <w:pPr>
              <w:jc w:val="center"/>
              <w:ind w:left="32"/>
              <w:spacing w:after="0"/>
              <w:rPr>
                <w:sz w:val="20"/>
                <w:szCs w:val="20"/>
                <w:color w:val="auto"/>
              </w:rPr>
            </w:pPr>
            <w:r>
              <w:rPr>
                <w:rFonts w:ascii="Arial" w:cs="Arial" w:eastAsia="Arial" w:hAnsi="Arial"/>
                <w:sz w:val="18"/>
                <w:szCs w:val="18"/>
                <w:color w:val="auto"/>
                <w:w w:val="90"/>
              </w:rPr>
              <w:t>(IRS Employer</w:t>
            </w:r>
          </w:p>
        </w:tc>
      </w:tr>
      <w:tr>
        <w:trPr>
          <w:trHeight w:val="222"/>
        </w:trPr>
        <w:tc>
          <w:tcPr>
            <w:tcW w:w="5040" w:type="dxa"/>
            <w:vAlign w:val="bottom"/>
          </w:tcPr>
          <w:p>
            <w:pPr>
              <w:jc w:val="center"/>
              <w:ind w:right="1512"/>
              <w:spacing w:after="0"/>
              <w:rPr>
                <w:sz w:val="20"/>
                <w:szCs w:val="20"/>
                <w:color w:val="auto"/>
              </w:rPr>
            </w:pPr>
            <w:r>
              <w:rPr>
                <w:rFonts w:ascii="Arial" w:cs="Arial" w:eastAsia="Arial" w:hAnsi="Arial"/>
                <w:sz w:val="18"/>
                <w:szCs w:val="18"/>
                <w:color w:val="auto"/>
                <w:w w:val="92"/>
              </w:rPr>
              <w:t>of incorporation)</w:t>
            </w:r>
          </w:p>
        </w:tc>
        <w:tc>
          <w:tcPr>
            <w:tcW w:w="2840" w:type="dxa"/>
            <w:vAlign w:val="bottom"/>
            <w:gridSpan w:val="2"/>
          </w:tcPr>
          <w:p>
            <w:pPr>
              <w:jc w:val="center"/>
              <w:ind w:right="1460"/>
              <w:spacing w:after="0"/>
              <w:rPr>
                <w:sz w:val="20"/>
                <w:szCs w:val="20"/>
                <w:color w:val="auto"/>
              </w:rPr>
            </w:pPr>
            <w:r>
              <w:rPr>
                <w:rFonts w:ascii="Arial" w:cs="Arial" w:eastAsia="Arial" w:hAnsi="Arial"/>
                <w:sz w:val="18"/>
                <w:szCs w:val="18"/>
                <w:color w:val="auto"/>
                <w:w w:val="90"/>
              </w:rPr>
              <w:t>File Number)</w:t>
            </w:r>
          </w:p>
        </w:tc>
        <w:tc>
          <w:tcPr>
            <w:tcW w:w="3540" w:type="dxa"/>
            <w:vAlign w:val="bottom"/>
          </w:tcPr>
          <w:p>
            <w:pPr>
              <w:jc w:val="center"/>
              <w:ind w:left="3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5040" w:type="dxa"/>
            <w:vAlign w:val="bottom"/>
          </w:tcPr>
          <w:p>
            <w:pPr>
              <w:jc w:val="center"/>
              <w:ind w:left="312"/>
              <w:spacing w:after="0"/>
              <w:rPr>
                <w:sz w:val="20"/>
                <w:szCs w:val="20"/>
                <w:color w:val="auto"/>
              </w:rPr>
            </w:pPr>
            <w:r>
              <w:rPr>
                <w:rFonts w:ascii="Arial" w:cs="Arial" w:eastAsia="Arial" w:hAnsi="Arial"/>
                <w:sz w:val="18"/>
                <w:szCs w:val="18"/>
                <w:color w:val="auto"/>
                <w:w w:val="95"/>
              </w:rPr>
              <w:t>777 OLD SAW MILL RIVER ROAD, TARRYTOWN, NY</w:t>
            </w: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10591-6707</w:t>
            </w:r>
          </w:p>
        </w:tc>
      </w:tr>
      <w:tr>
        <w:trPr>
          <w:trHeight w:val="110"/>
        </w:trPr>
        <w:tc>
          <w:tcPr>
            <w:tcW w:w="50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r>
      <w:tr>
        <w:trPr>
          <w:trHeight w:val="316"/>
        </w:trPr>
        <w:tc>
          <w:tcPr>
            <w:tcW w:w="5040" w:type="dxa"/>
            <w:vAlign w:val="bottom"/>
          </w:tcPr>
          <w:p>
            <w:pPr>
              <w:jc w:val="center"/>
              <w:ind w:left="292"/>
              <w:spacing w:after="0"/>
              <w:rPr>
                <w:sz w:val="20"/>
                <w:szCs w:val="20"/>
                <w:color w:val="auto"/>
              </w:rPr>
            </w:pPr>
            <w:r>
              <w:rPr>
                <w:rFonts w:ascii="Arial" w:cs="Arial" w:eastAsia="Arial" w:hAnsi="Arial"/>
                <w:sz w:val="18"/>
                <w:szCs w:val="18"/>
                <w:color w:val="auto"/>
                <w:w w:val="90"/>
              </w:rPr>
              <w:t>(Address of principal executive offices)</w:t>
            </w: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(Zip Code)</w:t>
            </w:r>
          </w:p>
        </w:tc>
      </w:tr>
      <w:tr>
        <w:trPr>
          <w:trHeight w:val="459"/>
        </w:trPr>
        <w:tc>
          <w:tcPr>
            <w:tcW w:w="5040" w:type="dxa"/>
            <w:vAlign w:val="bottom"/>
          </w:tcPr>
          <w:p>
            <w:pPr>
              <w:ind w:left="1160"/>
              <w:spacing w:after="0"/>
              <w:rPr>
                <w:sz w:val="20"/>
                <w:szCs w:val="20"/>
                <w:color w:val="auto"/>
              </w:rPr>
            </w:pPr>
            <w:r>
              <w:rPr>
                <w:rFonts w:ascii="Arial" w:cs="Arial" w:eastAsia="Arial" w:hAnsi="Arial"/>
                <w:sz w:val="18"/>
                <w:szCs w:val="18"/>
                <w:color w:val="auto"/>
                <w:w w:val="93"/>
              </w:rPr>
              <w:t>Registrant’s telephone number, including area code</w:t>
            </w:r>
          </w:p>
        </w:tc>
        <w:tc>
          <w:tcPr>
            <w:tcW w:w="2840" w:type="dxa"/>
            <w:vAlign w:val="bottom"/>
            <w:gridSpan w:val="2"/>
          </w:tcPr>
          <w:p>
            <w:pPr>
              <w:jc w:val="right"/>
              <w:ind w:right="840"/>
              <w:spacing w:after="0"/>
              <w:rPr>
                <w:sz w:val="20"/>
                <w:szCs w:val="20"/>
                <w:color w:val="auto"/>
              </w:rPr>
            </w:pPr>
            <w:r>
              <w:rPr>
                <w:rFonts w:ascii="Arial" w:cs="Arial" w:eastAsia="Arial" w:hAnsi="Arial"/>
                <w:sz w:val="18"/>
                <w:szCs w:val="18"/>
                <w:color w:val="auto"/>
              </w:rPr>
              <w:t>(914) 347-7000</w:t>
            </w:r>
          </w:p>
        </w:tc>
        <w:tc>
          <w:tcPr>
            <w:tcW w:w="3540" w:type="dxa"/>
            <w:vAlign w:val="bottom"/>
          </w:tcPr>
          <w:p>
            <w:pPr>
              <w:spacing w:after="0"/>
              <w:rPr>
                <w:sz w:val="24"/>
                <w:szCs w:val="24"/>
                <w:color w:val="auto"/>
              </w:rPr>
            </w:pPr>
          </w:p>
        </w:tc>
      </w:tr>
      <w:tr>
        <w:trPr>
          <w:trHeight w:val="110"/>
        </w:trPr>
        <w:tc>
          <w:tcPr>
            <w:tcW w:w="5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9, Regulation FD Disclosure and Item 12, Disclosure of Operations and Financial Condition.</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99(a) Press Release dated February 23,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 and Item 12, Disclosure of Operations and Financial Condition.</w:t>
      </w:r>
    </w:p>
    <w:p>
      <w:pPr>
        <w:spacing w:after="0" w:line="231"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The following information is furnished pursuant to “Item 9. Regulation FD Disclosure” and “Item 12. Disclosure of Results of Operations and Financial Condition.” On Monday, February 23, 2004, Regeneron Pharmaceuticals, Inc. issued a press release to report the company’s financial results for the fiscal quarter and year ended December 31, 2003. A copy of the press release is attached hereto as Exhibit 99(a).</w:t>
      </w:r>
    </w:p>
    <w:p>
      <w:pPr>
        <w:spacing w:after="0" w:line="194" w:lineRule="exact"/>
        <w:rPr>
          <w:sz w:val="20"/>
          <w:szCs w:val="20"/>
          <w:color w:val="auto"/>
        </w:rPr>
      </w:pPr>
    </w:p>
    <w:p>
      <w:pPr>
        <w:ind w:right="20" w:firstLine="436"/>
        <w:spacing w:after="0" w:line="332" w:lineRule="auto"/>
        <w:rPr>
          <w:sz w:val="20"/>
          <w:szCs w:val="20"/>
          <w:color w:val="auto"/>
        </w:rPr>
      </w:pPr>
      <w:r>
        <w:rPr>
          <w:rFonts w:ascii="Arial" w:cs="Arial" w:eastAsia="Arial" w:hAnsi="Arial"/>
          <w:sz w:val="16"/>
          <w:szCs w:val="16"/>
          <w:color w:val="auto"/>
        </w:rPr>
        <w:t>The information included in this Current Report on Form 8-K shall not be deemed “filed” for purposes of, nor shall it be deemed incorporated by reference in, any filing under the Securities Act of 1933 or the Securities Exchange Act of 1934, except as expressly set forth by specific reference in such a filing.</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Stuart Kolinski</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&amp;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2004</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19"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FOURTH QUARTER AND FULL YEAR 2003 FINANCIAL AND OPERATING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w:t>
      </w:r>
    </w:p>
    <w:p>
      <w:pPr>
        <w:spacing w:after="0" w:line="21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 xml:space="preserve">Tarrytown, New York (February 23, 2004)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fourth quarter and year ended December 31, 2003.</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Regeneron reported a net loss of $19.4 million, or $0.35 per share, for the fourth quarter of 2003 compared with a net loss of $35.7 million, or $0.81 per share, for the fourth quarter of 2002. The Company reported a net loss of $107.5 million, or $2.13 per share, for the full year 2003 compared with a net loss of $124.4 million, or $2.83 per share, in 2002.</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At December 31, 2003, cash, marketable securities, and restricted marketable securities totaled $366.6 million compared with $295.2 million at December 31, 2002.</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Regeneron’s total revenue increased to $21.3 million in the fourth quarter of 2003 from $4.9 million in the same period of 2002. The Company’s total revenue for the full year 2003 increased to $57.5 million from $22.0 million in 2002. The increase in revenue is attributable to higher contract research and development revenue resulting from the recognition of $16.0 million of revenue for the fourth quarter of 2003 and $35.7 million for the full year 2003 related to both our collaboration with Aventis Pharmaceuticals Inc. on the VEGF Trap, which began in the third quarter of 2003, and our collaboration with Novartis Pharma AG on the IL-1 Trap, which began in the first quarter of 2003. The Company recognizes revenue in connection with these collaborations in accordance with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As a result, $98.5 million of non-refundable payments received as of December 31, 2003 in connection with the Aventis and Novartis collaborations has been deferred and will be recognized as revenue in future periods.</w:t>
      </w:r>
    </w:p>
    <w:p>
      <w:pPr>
        <w:spacing w:after="0" w:line="17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Contract manufacturing revenue relates to Regeneron’s long-term manufacturing agreement with Merck &amp; Co., Inc. The Company recognizes revenue and the related manufacturing expense as product is shipped to Merck. Contract manufacturing revenue was $2.2 million in both the fourth quarter of 2003 and 2002. Contract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20"/>
        <w:spacing w:after="0" w:line="268" w:lineRule="auto"/>
        <w:rPr>
          <w:sz w:val="20"/>
          <w:szCs w:val="20"/>
          <w:color w:val="auto"/>
        </w:rPr>
      </w:pPr>
      <w:r>
        <w:rPr>
          <w:rFonts w:ascii="Arial" w:cs="Arial" w:eastAsia="Arial" w:hAnsi="Arial"/>
          <w:sz w:val="18"/>
          <w:szCs w:val="18"/>
          <w:color w:val="auto"/>
        </w:rPr>
        <w:t>revenue decreased to $10.1 million for the full year 2003 from $11.1 million in 2002, due primarily to receipt of a non-recurring $1.0 million payment from Merck in the third quarter of 2002.</w:t>
      </w:r>
    </w:p>
    <w:p>
      <w:pPr>
        <w:spacing w:after="0" w:line="18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Total operating expenses for the fourth quarter of 2003 were $38.4 million, 3 percent lower than the same period in 2002. For the full year 2003, total operating expenses rose 9 percent from the prior year to $157.5 million. Research and development (R&amp;D) expenses decreased to $33.3 million in the fourth quarter of 2003 from $34.5 million in the comparable quarter of 2002, primarily due to a decline in development expenses for the Company’s AXOKINE® program, partially offset by increased development expenses for the VEGF Trap. For the full year 2003, R&amp;D expenses increased 9 percent to $136.0 million compared with 2002, primarily due to higher expenses for the VEGF Trap and IL-1 Trap development programs.</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Contract manufacturing expense, which relates to the Merck agreement, decreased to $0.9 million in the fourth quarter of 2003 from $1.7 million in the comparable quarter of 2002, primarily because of reduced product inventory reserves. Contract manufacturing expense for the full year 2003 increased slightly to $6.7 million from $6.5 million in 2002. General and administrative expenses increased to $4.2 million in the fourth quarter of 2003 from $3.4 million in the comparable quarter of 2002, and $14.8 million for the full year 2003 from $12.5 million in 2002, primarily due to increased administrative costs required to support the Company’s expanding development pipeline, higher insurance costs, and expenses for external service providers.</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Investment income declined in the fourth quarter and for the full year 2003 compared with prior year periods due to lower effective interest rates on investment securities and lower levels of interest-bearing investments in the first three quarters of 2003. Interest expense increased slightly in the fourth quarter and full year 2003 compared with the same periods in 2002. Interest expense is attributable primarily to $200.0 million of convertible notes issued in October 2001, which mature in 2008 and bear interest at 5.5% per annum.</w:t>
      </w:r>
    </w:p>
    <w:p>
      <w:pPr>
        <w:spacing w:after="0" w:line="197"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Per share amounts are based on the weighted average number of shares of the Company’s Common Stock and Class A Stock outstanding. For the year ended December 31, 2003, the weighted average number of shares outstanding increased to 50.5 million shares compared with 43.9 million shares in the same period last year, due primarily to the sale of 7.5 million and 2.8 million shares of the Company’s common stock to Novartis and Aventis, respectively, in 2003.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7" w:name="page8"/>
    <w:bookmarkEnd w:id="7"/>
    <w:p>
      <w:pPr>
        <w:ind w:right="400"/>
        <w:spacing w:after="0" w:line="268" w:lineRule="auto"/>
        <w:rPr>
          <w:sz w:val="20"/>
          <w:szCs w:val="20"/>
          <w:color w:val="auto"/>
        </w:rPr>
      </w:pPr>
      <w:r>
        <w:rPr>
          <w:rFonts w:ascii="Arial" w:cs="Arial" w:eastAsia="Arial" w:hAnsi="Arial"/>
          <w:sz w:val="18"/>
          <w:szCs w:val="18"/>
          <w:color w:val="auto"/>
        </w:rPr>
        <w:t>candidates in clinical trials for the potential treatment of cancer, rheumatoid arthritis, obesity, and asthma and has preclinical programs in other diseases and disorders.</w:t>
      </w:r>
    </w:p>
    <w:p>
      <w:pPr>
        <w:spacing w:after="0" w:line="18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and the Form 10-Q for the quarter ended September 30, 2003. Regeneron does not undertake any obligation to update publicly any forward-looking statement, whether as a result of new information, future events, or otherwise unless required by law.</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941" w:right="29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Charles Poole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Investor Relations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charles.poole@regeneron.com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(914) 345-7640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Lauren Tortorete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Biosector2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ltortorete@biosector2.com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845-5609</w:t>
      </w:r>
    </w:p>
    <w:p>
      <w:pPr>
        <w:spacing w:after="0" w:line="200" w:lineRule="exact"/>
        <w:rPr>
          <w:sz w:val="20"/>
          <w:szCs w:val="20"/>
          <w:color w:val="auto"/>
        </w:rPr>
      </w:pPr>
    </w:p>
    <w:p>
      <w:pPr>
        <w:sectPr>
          <w:pgSz w:w="11900" w:h="16838" w:orient="portrait"/>
          <w:cols w:equalWidth="0" w:num="2">
            <w:col w:w="3860" w:space="720"/>
            <w:col w:w="6780"/>
          </w:cols>
          <w:pgMar w:left="240" w:top="941" w:right="29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about Regeneron and recent news releases are available on Regeneron’s Worldwide Web Home Page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marketable securities and restricted marketable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366,566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295,246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15,529</w:t>
            </w: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9,006</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80,723</w:t>
            </w: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76,825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7,731</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 assets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479,555</w:t>
            </w:r>
          </w:p>
        </w:tc>
        <w:tc>
          <w:tcPr>
            <w:tcW w:w="14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391,574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gridSpan w:val="2"/>
            <w:vMerge w:val="continue"/>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8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18,933</w:t>
            </w:r>
          </w:p>
        </w:tc>
        <w:tc>
          <w:tcPr>
            <w:tcW w:w="14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30,309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109,003</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15,134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200,000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13,976</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137,643</w:t>
            </w: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145,981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6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479,555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391,574</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ended December 31,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3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Contract research and development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19,121</w:t>
            </w:r>
          </w:p>
        </w:tc>
        <w:tc>
          <w:tcPr>
            <w:tcW w:w="3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2,709</w:t>
            </w:r>
          </w:p>
        </w:tc>
        <w:tc>
          <w:tcPr>
            <w:tcW w:w="3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   47,366</w:t>
            </w:r>
          </w:p>
        </w:tc>
        <w:tc>
          <w:tcPr>
            <w:tcW w:w="1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   10,924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2,151</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2,203</w:t>
            </w:r>
          </w:p>
        </w:tc>
        <w:tc>
          <w:tcPr>
            <w:tcW w:w="3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shd w:val="clear" w:color="auto" w:fill="EEEEEE"/>
          </w:tcPr>
          <w:p>
            <w:pPr>
              <w:spacing w:after="0"/>
              <w:rPr>
                <w:sz w:val="18"/>
                <w:szCs w:val="18"/>
                <w:color w:val="auto"/>
              </w:rPr>
            </w:pPr>
          </w:p>
        </w:tc>
        <w:tc>
          <w:tcPr>
            <w:tcW w:w="16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11,064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21,272</w:t>
            </w:r>
          </w:p>
        </w:tc>
        <w:tc>
          <w:tcPr>
            <w:tcW w:w="34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4,912</w:t>
            </w:r>
          </w:p>
        </w:tc>
        <w:tc>
          <w:tcPr>
            <w:tcW w:w="34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57,497</w:t>
            </w:r>
          </w:p>
        </w:tc>
        <w:tc>
          <w:tcPr>
            <w:tcW w:w="10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21,988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33,267</w:t>
            </w:r>
          </w:p>
        </w:tc>
        <w:tc>
          <w:tcPr>
            <w:tcW w:w="3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34,480</w:t>
            </w:r>
          </w:p>
        </w:tc>
        <w:tc>
          <w:tcPr>
            <w:tcW w:w="3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136,024</w:t>
            </w:r>
          </w:p>
        </w:tc>
        <w:tc>
          <w:tcPr>
            <w:tcW w:w="1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124,953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907</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1,726</w:t>
            </w:r>
          </w:p>
        </w:tc>
        <w:tc>
          <w:tcPr>
            <w:tcW w:w="3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6,676</w:t>
            </w:r>
          </w:p>
        </w:tc>
        <w:tc>
          <w:tcPr>
            <w:tcW w:w="100" w:type="dxa"/>
            <w:vAlign w:val="bottom"/>
            <w:shd w:val="clear" w:color="auto" w:fill="EEEEEE"/>
          </w:tcPr>
          <w:p>
            <w:pPr>
              <w:spacing w:after="0"/>
              <w:rPr>
                <w:sz w:val="18"/>
                <w:szCs w:val="18"/>
                <w:color w:val="auto"/>
              </w:rPr>
            </w:pPr>
          </w:p>
        </w:tc>
        <w:tc>
          <w:tcPr>
            <w:tcW w:w="16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6,483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4,237</w:t>
            </w: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3,365</w:t>
            </w:r>
          </w:p>
        </w:tc>
        <w:tc>
          <w:tcPr>
            <w:tcW w:w="3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tcPr>
          <w:p>
            <w:pPr>
              <w:spacing w:after="0"/>
              <w:rPr>
                <w:sz w:val="19"/>
                <w:szCs w:val="19"/>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12,532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38,411</w:t>
            </w:r>
          </w:p>
        </w:tc>
        <w:tc>
          <w:tcPr>
            <w:tcW w:w="34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39,571</w:t>
            </w:r>
          </w:p>
        </w:tc>
        <w:tc>
          <w:tcPr>
            <w:tcW w:w="34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157,485</w:t>
            </w:r>
          </w:p>
        </w:tc>
        <w:tc>
          <w:tcPr>
            <w:tcW w:w="100" w:type="dxa"/>
            <w:vAlign w:val="bottom"/>
            <w:shd w:val="clear" w:color="auto" w:fill="EEEEEE"/>
          </w:tcPr>
          <w:p>
            <w:pPr>
              <w:spacing w:after="0"/>
              <w:rPr>
                <w:sz w:val="18"/>
                <w:szCs w:val="18"/>
                <w:color w:val="auto"/>
              </w:rPr>
            </w:pPr>
          </w:p>
        </w:tc>
        <w:tc>
          <w:tcPr>
            <w:tcW w:w="16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143,968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(17,139)</w:t>
            </w: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(34,659)</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(99,988)</w:t>
            </w:r>
          </w:p>
        </w:tc>
        <w:tc>
          <w:tcPr>
            <w:tcW w:w="2000" w:type="dxa"/>
            <w:vAlign w:val="bottom"/>
            <w:gridSpan w:val="5"/>
          </w:tcPr>
          <w:p>
            <w:pPr>
              <w:jc w:val="right"/>
              <w:ind w:right="300"/>
              <w:spacing w:after="0"/>
              <w:rPr>
                <w:sz w:val="20"/>
                <w:szCs w:val="20"/>
                <w:color w:val="auto"/>
              </w:rPr>
            </w:pPr>
            <w:r>
              <w:rPr>
                <w:rFonts w:ascii="Arial" w:cs="Arial" w:eastAsia="Arial" w:hAnsi="Arial"/>
                <w:sz w:val="18"/>
                <w:szCs w:val="18"/>
                <w:color w:val="auto"/>
              </w:rPr>
              <w:t>(121,980)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3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1,759</w:t>
            </w:r>
          </w:p>
        </w:tc>
        <w:tc>
          <w:tcPr>
            <w:tcW w:w="3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9,462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expense</w:t>
            </w:r>
          </w:p>
        </w:tc>
        <w:tc>
          <w:tcPr>
            <w:tcW w:w="12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(3,106)</w:t>
            </w:r>
          </w:p>
        </w:tc>
        <w:tc>
          <w:tcPr>
            <w:tcW w:w="15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(2,793)</w:t>
            </w:r>
          </w:p>
        </w:tc>
        <w:tc>
          <w:tcPr>
            <w:tcW w:w="14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(11,932)</w:t>
            </w:r>
          </w:p>
        </w:tc>
        <w:tc>
          <w:tcPr>
            <w:tcW w:w="200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(2,238)</w:t>
            </w: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(1,034)</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(7,470)</w:t>
            </w:r>
          </w:p>
        </w:tc>
        <w:tc>
          <w:tcPr>
            <w:tcW w:w="2000" w:type="dxa"/>
            <w:vAlign w:val="bottom"/>
            <w:gridSpan w:val="5"/>
          </w:tcPr>
          <w:p>
            <w:pPr>
              <w:jc w:val="right"/>
              <w:ind w:right="3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($19,377)</w:t>
            </w:r>
          </w:p>
        </w:tc>
        <w:tc>
          <w:tcPr>
            <w:tcW w:w="15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($35,693)</w:t>
            </w:r>
          </w:p>
        </w:tc>
        <w:tc>
          <w:tcPr>
            <w:tcW w:w="14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($107,458)</w:t>
            </w:r>
          </w:p>
        </w:tc>
        <w:tc>
          <w:tcPr>
            <w:tcW w:w="200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105"/>
        </w:trPr>
        <w:tc>
          <w:tcPr>
            <w:tcW w:w="51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60" w:type="dxa"/>
            <w:vAlign w:val="bottom"/>
            <w:gridSpan w:val="2"/>
          </w:tcPr>
          <w:p>
            <w:pPr>
              <w:spacing w:after="0"/>
              <w:rPr>
                <w:sz w:val="20"/>
                <w:szCs w:val="20"/>
                <w:color w:val="auto"/>
              </w:rPr>
            </w:pPr>
            <w:r>
              <w:rPr>
                <w:rFonts w:ascii="Arial" w:cs="Arial" w:eastAsia="Arial" w:hAnsi="Arial"/>
                <w:sz w:val="18"/>
                <w:szCs w:val="18"/>
                <w:color w:val="auto"/>
              </w:rPr>
              <w:t>Net loss per share amounts, basic and diluted</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($0.35)</w:t>
            </w: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($0.81)</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($2.13)</w:t>
            </w:r>
          </w:p>
        </w:tc>
        <w:tc>
          <w:tcPr>
            <w:tcW w:w="2000" w:type="dxa"/>
            <w:vAlign w:val="bottom"/>
            <w:gridSpan w:val="5"/>
          </w:tcPr>
          <w:p>
            <w:pPr>
              <w:jc w:val="right"/>
              <w:ind w:right="3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Common and Class A shares</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 basic and diluted</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55,183</w:t>
            </w:r>
          </w:p>
        </w:tc>
        <w:tc>
          <w:tcPr>
            <w:tcW w:w="34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43,984</w:t>
            </w:r>
          </w:p>
        </w:tc>
        <w:tc>
          <w:tcPr>
            <w:tcW w:w="34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50,490</w:t>
            </w:r>
          </w:p>
        </w:tc>
        <w:tc>
          <w:tcPr>
            <w:tcW w:w="100" w:type="dxa"/>
            <w:vAlign w:val="bottom"/>
            <w:shd w:val="clear" w:color="auto" w:fill="EEEEEE"/>
          </w:tcPr>
          <w:p>
            <w:pPr>
              <w:spacing w:after="0"/>
              <w:rPr>
                <w:sz w:val="19"/>
                <w:szCs w:val="19"/>
                <w:color w:val="auto"/>
              </w:rPr>
            </w:pPr>
          </w:p>
        </w:tc>
        <w:tc>
          <w:tcPr>
            <w:tcW w:w="16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43,918</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2019-12-11T21:35:02Z</dcterms:created>
  <dcterms:modified xsi:type="dcterms:W3CDTF">2019-12-11T21:35:02Z</dcterms:modified>
</cp:coreProperties>
</file>