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UNITED STATES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SECURITIES AND EXCHANGE COMMISSION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0"/>
          <w:szCs w:val="20"/>
          <w:color w:val="auto"/>
        </w:rPr>
      </w:pPr>
    </w:p>
    <w:p>
      <w:pPr>
        <w:spacing w:after="0" w:line="28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(Mark One)</w:t>
      </w:r>
    </w:p>
    <w:p>
      <w:pPr>
        <w:spacing w:after="0" w:line="23" w:lineRule="exact"/>
        <w:rPr>
          <w:sz w:val="20"/>
          <w:szCs w:val="20"/>
          <w:color w:val="auto"/>
        </w:rPr>
      </w:pPr>
    </w:p>
    <w:p>
      <w:pPr>
        <w:ind w:left="1040" w:right="440" w:hanging="1032"/>
        <w:spacing w:after="0" w:line="251" w:lineRule="auto"/>
        <w:tabs>
          <w:tab w:leader="none" w:pos="1040" w:val="left"/>
        </w:tabs>
        <w:numPr>
          <w:ilvl w:val="0"/>
          <w:numId w:val="1"/>
        </w:numPr>
        <w:rPr>
          <w:rFonts w:ascii="Arial" w:cs="Arial" w:eastAsia="Arial" w:hAnsi="Arial"/>
          <w:sz w:val="22"/>
          <w:szCs w:val="22"/>
          <w:color w:val="auto"/>
        </w:rPr>
      </w:pPr>
      <w:r>
        <w:rPr>
          <w:rFonts w:ascii="Arial" w:cs="Arial" w:eastAsia="Arial" w:hAnsi="Arial"/>
          <w:sz w:val="22"/>
          <w:szCs w:val="22"/>
          <w:color w:val="auto"/>
        </w:rPr>
        <w:t>QUARTERLY REPORT PURSUANT TO SECTION 13 OR 15(d) OF THE SECURITIES EXCHANGE ACT OF 1934</w:t>
      </w:r>
    </w:p>
    <w:p>
      <w:pPr>
        <w:spacing w:after="0" w:line="21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For the quarterly period ended June 30, 2003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w:t>
      </w:r>
    </w:p>
    <w:p>
      <w:pPr>
        <w:spacing w:after="0" w:line="200" w:lineRule="exact"/>
        <w:rPr>
          <w:sz w:val="20"/>
          <w:szCs w:val="20"/>
          <w:color w:val="auto"/>
        </w:rPr>
      </w:pPr>
    </w:p>
    <w:p>
      <w:pPr>
        <w:spacing w:after="0" w:line="255" w:lineRule="exact"/>
        <w:rPr>
          <w:sz w:val="20"/>
          <w:szCs w:val="20"/>
          <w:color w:val="auto"/>
        </w:rPr>
      </w:pPr>
    </w:p>
    <w:p>
      <w:pPr>
        <w:ind w:left="1040" w:right="360" w:hanging="1032"/>
        <w:spacing w:after="0" w:line="251" w:lineRule="auto"/>
        <w:tabs>
          <w:tab w:leader="none" w:pos="180" w:val="left"/>
        </w:tabs>
        <w:numPr>
          <w:ilvl w:val="0"/>
          <w:numId w:val="2"/>
        </w:numPr>
        <w:rPr>
          <w:rFonts w:ascii="Arial" w:cs="Arial" w:eastAsia="Arial" w:hAnsi="Arial"/>
          <w:sz w:val="22"/>
          <w:szCs w:val="22"/>
          <w:color w:val="auto"/>
        </w:rPr>
      </w:pPr>
      <w:r>
        <w:rPr>
          <w:rFonts w:ascii="Arial" w:cs="Arial" w:eastAsia="Arial" w:hAnsi="Arial"/>
          <w:sz w:val="22"/>
          <w:szCs w:val="22"/>
          <w:color w:val="auto"/>
        </w:rPr>
        <w:t>)TRANSITION REPORT PURSUANT TO SECTION 13 OR 15 (d) OF THE SECURITIES EXCHANGE ACT OF 1934</w:t>
      </w:r>
    </w:p>
    <w:p>
      <w:pPr>
        <w:spacing w:after="0" w:line="186"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For the transition period from______to______</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Commission File Number 0-19034</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43"/>
          <w:szCs w:val="43"/>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160655</wp:posOffset>
            </wp:positionV>
            <wp:extent cx="67494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49415" cy="8890"/>
                    </a:xfrm>
                    <a:prstGeom prst="rect">
                      <a:avLst/>
                    </a:prstGeom>
                    <a:noFill/>
                  </pic:spPr>
                </pic:pic>
              </a:graphicData>
            </a:graphic>
          </wp:anchor>
        </w:drawing>
      </w:r>
    </w:p>
    <w:p>
      <w:pPr>
        <w:spacing w:after="0" w:line="346" w:lineRule="exact"/>
        <w:rPr>
          <w:sz w:val="20"/>
          <w:szCs w:val="20"/>
          <w:color w:val="auto"/>
        </w:rPr>
      </w:pPr>
    </w:p>
    <w:tbl>
      <w:tblPr>
        <w:tblLayout w:type="fixed"/>
        <w:tblInd w:w="1440" w:type="dxa"/>
        <w:tblCellMar>
          <w:top w:w="0" w:type="dxa"/>
          <w:left w:w="0" w:type="dxa"/>
          <w:bottom w:w="0" w:type="dxa"/>
          <w:right w:w="0" w:type="dxa"/>
        </w:tblCellMar>
      </w:tblPr>
      <w:tr>
        <w:trPr>
          <w:trHeight w:val="222"/>
        </w:trPr>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0" w:type="dxa"/>
            <w:vAlign w:val="bottom"/>
            <w:gridSpan w:val="6"/>
          </w:tcPr>
          <w:p>
            <w:pPr>
              <w:jc w:val="center"/>
              <w:ind w:right="2380"/>
              <w:spacing w:after="0"/>
              <w:rPr>
                <w:sz w:val="20"/>
                <w:szCs w:val="20"/>
                <w:color w:val="auto"/>
              </w:rPr>
            </w:pPr>
            <w:r>
              <w:rPr>
                <w:rFonts w:ascii="Arial" w:cs="Arial" w:eastAsia="Arial" w:hAnsi="Arial"/>
                <w:sz w:val="18"/>
                <w:szCs w:val="18"/>
                <w:color w:val="auto"/>
                <w:w w:val="88"/>
              </w:rPr>
              <w:t>(Exact name of registrant as specified in its charter)</w:t>
            </w:r>
          </w:p>
        </w:tc>
        <w:tc>
          <w:tcPr>
            <w:tcW w:w="0" w:type="dxa"/>
            <w:vAlign w:val="bottom"/>
          </w:tcPr>
          <w:p>
            <w:pPr>
              <w:spacing w:after="0"/>
              <w:rPr>
                <w:sz w:val="1"/>
                <w:szCs w:val="1"/>
                <w:color w:val="auto"/>
              </w:rPr>
            </w:pPr>
          </w:p>
        </w:tc>
      </w:tr>
      <w:tr>
        <w:trPr>
          <w:trHeight w:val="459"/>
        </w:trPr>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4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New York</w:t>
            </w:r>
          </w:p>
        </w:tc>
        <w:tc>
          <w:tcPr>
            <w:tcW w:w="5580" w:type="dxa"/>
            <w:vAlign w:val="bottom"/>
            <w:gridSpan w:val="4"/>
          </w:tcPr>
          <w:p>
            <w:pPr>
              <w:ind w:left="4300"/>
              <w:spacing w:after="0"/>
              <w:rPr>
                <w:sz w:val="20"/>
                <w:szCs w:val="20"/>
                <w:color w:val="auto"/>
              </w:rPr>
            </w:pPr>
            <w:r>
              <w:rPr>
                <w:rFonts w:ascii="Arial" w:cs="Arial" w:eastAsia="Arial" w:hAnsi="Arial"/>
                <w:sz w:val="18"/>
                <w:szCs w:val="18"/>
                <w:color w:val="auto"/>
              </w:rPr>
              <w:t>13-3444607</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7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7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00" w:type="dxa"/>
            <w:vAlign w:val="bottom"/>
          </w:tcPr>
          <w:p>
            <w:pPr>
              <w:spacing w:after="0"/>
              <w:rPr>
                <w:sz w:val="24"/>
                <w:szCs w:val="24"/>
                <w:color w:val="auto"/>
              </w:rPr>
            </w:pPr>
          </w:p>
        </w:tc>
        <w:tc>
          <w:tcPr>
            <w:tcW w:w="2360" w:type="dxa"/>
            <w:vAlign w:val="bottom"/>
            <w:gridSpan w:val="3"/>
          </w:tcPr>
          <w:p>
            <w:pPr>
              <w:jc w:val="center"/>
              <w:ind w:left="92"/>
              <w:spacing w:after="0"/>
              <w:rPr>
                <w:sz w:val="20"/>
                <w:szCs w:val="20"/>
                <w:color w:val="auto"/>
              </w:rPr>
            </w:pPr>
            <w:r>
              <w:rPr>
                <w:rFonts w:ascii="Arial" w:cs="Arial" w:eastAsia="Arial" w:hAnsi="Arial"/>
                <w:sz w:val="18"/>
                <w:szCs w:val="18"/>
                <w:color w:val="auto"/>
                <w:w w:val="89"/>
              </w:rPr>
              <w:t>(State or other jurisdiction of</w:t>
            </w:r>
          </w:p>
        </w:tc>
        <w:tc>
          <w:tcPr>
            <w:tcW w:w="220" w:type="dxa"/>
            <w:vAlign w:val="bottom"/>
          </w:tcPr>
          <w:p>
            <w:pPr>
              <w:spacing w:after="0"/>
              <w:rPr>
                <w:sz w:val="24"/>
                <w:szCs w:val="24"/>
                <w:color w:val="auto"/>
              </w:rPr>
            </w:pPr>
          </w:p>
        </w:tc>
        <w:tc>
          <w:tcPr>
            <w:tcW w:w="5780" w:type="dxa"/>
            <w:vAlign w:val="bottom"/>
            <w:gridSpan w:val="5"/>
          </w:tcPr>
          <w:p>
            <w:pPr>
              <w:ind w:left="3220"/>
              <w:spacing w:after="0"/>
              <w:rPr>
                <w:sz w:val="20"/>
                <w:szCs w:val="20"/>
                <w:color w:val="auto"/>
              </w:rPr>
            </w:pPr>
            <w:r>
              <w:rPr>
                <w:rFonts w:ascii="Arial" w:cs="Arial" w:eastAsia="Arial" w:hAnsi="Arial"/>
                <w:sz w:val="18"/>
                <w:szCs w:val="18"/>
                <w:color w:val="auto"/>
                <w:w w:val="91"/>
              </w:rPr>
              <w:t>(I.R.S. Employer Identification No.)</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4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incorporation or</w:t>
            </w:r>
          </w:p>
        </w:tc>
        <w:tc>
          <w:tcPr>
            <w:tcW w:w="2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organization)</w:t>
            </w:r>
          </w:p>
        </w:tc>
        <w:tc>
          <w:tcPr>
            <w:tcW w:w="2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100" w:type="dxa"/>
            <w:vAlign w:val="bottom"/>
          </w:tcPr>
          <w:p>
            <w:pPr>
              <w:spacing w:after="0"/>
              <w:rPr>
                <w:sz w:val="24"/>
                <w:szCs w:val="24"/>
                <w:color w:val="auto"/>
              </w:rPr>
            </w:pPr>
          </w:p>
        </w:tc>
        <w:tc>
          <w:tcPr>
            <w:tcW w:w="2360" w:type="dxa"/>
            <w:vAlign w:val="bottom"/>
            <w:gridSpan w:val="3"/>
          </w:tcPr>
          <w:p>
            <w:pPr>
              <w:jc w:val="center"/>
              <w:ind w:left="132"/>
              <w:spacing w:after="0"/>
              <w:rPr>
                <w:sz w:val="20"/>
                <w:szCs w:val="20"/>
                <w:color w:val="auto"/>
              </w:rPr>
            </w:pPr>
            <w:r>
              <w:rPr>
                <w:rFonts w:ascii="Arial" w:cs="Arial" w:eastAsia="Arial" w:hAnsi="Arial"/>
                <w:sz w:val="18"/>
                <w:szCs w:val="18"/>
                <w:color w:val="auto"/>
                <w:w w:val="91"/>
              </w:rPr>
              <w:t>777 Old Saw Mill River Road</w:t>
            </w:r>
          </w:p>
        </w:tc>
        <w:tc>
          <w:tcPr>
            <w:tcW w:w="5580" w:type="dxa"/>
            <w:vAlign w:val="bottom"/>
            <w:gridSpan w:val="4"/>
          </w:tcPr>
          <w:p>
            <w:pPr>
              <w:jc w:val="right"/>
              <w:ind w:right="372"/>
              <w:spacing w:after="0"/>
              <w:rPr>
                <w:sz w:val="20"/>
                <w:szCs w:val="20"/>
                <w:color w:val="auto"/>
              </w:rPr>
            </w:pPr>
            <w:r>
              <w:rPr>
                <w:rFonts w:ascii="Arial" w:cs="Arial" w:eastAsia="Arial" w:hAnsi="Arial"/>
                <w:sz w:val="18"/>
                <w:szCs w:val="18"/>
                <w:color w:val="auto"/>
              </w:rPr>
              <w:t>10591-6707</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94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1"/>
              </w:rPr>
              <w:t>Tarrytown, New York</w:t>
            </w:r>
          </w:p>
        </w:tc>
        <w:tc>
          <w:tcPr>
            <w:tcW w:w="220" w:type="dxa"/>
            <w:vAlign w:val="bottom"/>
          </w:tcPr>
          <w:p>
            <w:pPr>
              <w:spacing w:after="0"/>
              <w:rPr>
                <w:sz w:val="8"/>
                <w:szCs w:val="8"/>
                <w:color w:val="auto"/>
              </w:rPr>
            </w:pPr>
          </w:p>
        </w:tc>
        <w:tc>
          <w:tcPr>
            <w:tcW w:w="346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7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9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3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120" w:type="dxa"/>
            <w:vAlign w:val="bottom"/>
            <w:gridSpan w:val="3"/>
            <w:vMerge w:val="restart"/>
          </w:tcPr>
          <w:p>
            <w:pPr>
              <w:ind w:left="420"/>
              <w:spacing w:after="0"/>
              <w:rPr>
                <w:sz w:val="20"/>
                <w:szCs w:val="20"/>
                <w:color w:val="auto"/>
              </w:rPr>
            </w:pPr>
            <w:r>
              <w:rPr>
                <w:rFonts w:ascii="Arial" w:cs="Arial" w:eastAsia="Arial" w:hAnsi="Arial"/>
                <w:sz w:val="18"/>
                <w:szCs w:val="18"/>
                <w:color w:val="auto"/>
              </w:rPr>
              <w:t>(Zip Code)</w:t>
            </w:r>
          </w:p>
        </w:tc>
        <w:tc>
          <w:tcPr>
            <w:tcW w:w="0" w:type="dxa"/>
            <w:vAlign w:val="bottom"/>
          </w:tcPr>
          <w:p>
            <w:pPr>
              <w:spacing w:after="0"/>
              <w:rPr>
                <w:sz w:val="1"/>
                <w:szCs w:val="1"/>
                <w:color w:val="auto"/>
              </w:rPr>
            </w:pPr>
          </w:p>
        </w:tc>
      </w:tr>
      <w:tr>
        <w:trPr>
          <w:trHeight w:val="97"/>
        </w:trPr>
        <w:tc>
          <w:tcPr>
            <w:tcW w:w="1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7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1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8460" w:type="dxa"/>
            <w:vAlign w:val="bottom"/>
            <w:gridSpan w:val="10"/>
          </w:tcPr>
          <w:p>
            <w:pPr>
              <w:jc w:val="center"/>
              <w:ind w:right="5680"/>
              <w:spacing w:after="0"/>
              <w:rPr>
                <w:sz w:val="20"/>
                <w:szCs w:val="20"/>
                <w:color w:val="auto"/>
              </w:rPr>
            </w:pPr>
            <w:r>
              <w:rPr>
                <w:rFonts w:ascii="Arial" w:cs="Arial" w:eastAsia="Arial" w:hAnsi="Arial"/>
                <w:sz w:val="18"/>
                <w:szCs w:val="18"/>
                <w:color w:val="auto"/>
                <w:w w:val="90"/>
              </w:rPr>
              <w:t>(Address of principal executive offices)</w:t>
            </w:r>
          </w:p>
        </w:tc>
        <w:tc>
          <w:tcPr>
            <w:tcW w:w="0" w:type="dxa"/>
            <w:vAlign w:val="bottom"/>
          </w:tcPr>
          <w:p>
            <w:pPr>
              <w:spacing w:after="0"/>
              <w:rPr>
                <w:sz w:val="1"/>
                <w:szCs w:val="1"/>
                <w:color w:val="auto"/>
              </w:rPr>
            </w:pPr>
          </w:p>
        </w:tc>
      </w:tr>
      <w:tr>
        <w:trPr>
          <w:trHeight w:val="432"/>
        </w:trPr>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80" w:type="dxa"/>
            <w:vAlign w:val="bottom"/>
            <w:gridSpan w:val="2"/>
          </w:tcPr>
          <w:p>
            <w:pPr>
              <w:jc w:val="right"/>
              <w:ind w:right="1232"/>
              <w:spacing w:after="0"/>
              <w:rPr>
                <w:sz w:val="20"/>
                <w:szCs w:val="20"/>
                <w:color w:val="auto"/>
              </w:rPr>
            </w:pPr>
            <w:r>
              <w:rPr>
                <w:rFonts w:ascii="Arial" w:cs="Arial" w:eastAsia="Arial" w:hAnsi="Arial"/>
                <w:sz w:val="18"/>
                <w:szCs w:val="18"/>
                <w:color w:val="auto"/>
              </w:rPr>
              <w:t>(914) 347-7000</w:t>
            </w: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138430</wp:posOffset>
            </wp:positionV>
            <wp:extent cx="21869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25"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5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rPr>
              <w:t>Yes</w:t>
            </w:r>
          </w:p>
        </w:tc>
        <w:tc>
          <w:tcPr>
            <w:tcW w:w="1160" w:type="dxa"/>
            <w:vAlign w:val="bottom"/>
          </w:tcPr>
          <w:p>
            <w:pPr>
              <w:ind w:left="220"/>
              <w:spacing w:after="0"/>
              <w:rPr>
                <w:sz w:val="20"/>
                <w:szCs w:val="20"/>
                <w:color w:val="auto"/>
              </w:rPr>
            </w:pPr>
            <w:r>
              <w:rPr>
                <w:rFonts w:ascii="Arial" w:cs="Arial" w:eastAsia="Arial" w:hAnsi="Arial"/>
                <w:sz w:val="18"/>
                <w:szCs w:val="18"/>
                <w:color w:val="auto"/>
              </w:rPr>
              <w:t>[X]</w:t>
            </w:r>
          </w:p>
        </w:tc>
        <w:tc>
          <w:tcPr>
            <w:tcW w:w="1160" w:type="dxa"/>
            <w:vAlign w:val="bottom"/>
          </w:tcPr>
          <w:p>
            <w:pPr>
              <w:ind w:left="720"/>
              <w:spacing w:after="0"/>
              <w:rPr>
                <w:sz w:val="20"/>
                <w:szCs w:val="20"/>
                <w:color w:val="auto"/>
              </w:rPr>
            </w:pPr>
            <w:r>
              <w:rPr>
                <w:rFonts w:ascii="Arial" w:cs="Arial" w:eastAsia="Arial" w:hAnsi="Arial"/>
                <w:sz w:val="18"/>
                <w:szCs w:val="18"/>
                <w:color w:val="auto"/>
              </w:rPr>
              <w:t>No</w:t>
            </w:r>
          </w:p>
        </w:tc>
        <w:tc>
          <w:tcPr>
            <w:tcW w:w="500" w:type="dxa"/>
            <w:vAlign w:val="bottom"/>
          </w:tcPr>
          <w:p>
            <w:pPr>
              <w:jc w:val="right"/>
              <w:spacing w:after="0"/>
              <w:rPr>
                <w:sz w:val="20"/>
                <w:szCs w:val="20"/>
                <w:color w:val="auto"/>
              </w:rPr>
            </w:pPr>
            <w:r>
              <w:rPr>
                <w:rFonts w:ascii="Arial" w:cs="Arial" w:eastAsia="Arial" w:hAnsi="Arial"/>
                <w:sz w:val="18"/>
                <w:szCs w:val="18"/>
                <w:color w:val="auto"/>
              </w:rPr>
              <w:t>[ ]</w:t>
            </w:r>
          </w:p>
        </w:tc>
        <w:tc>
          <w:tcPr>
            <w:tcW w:w="228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432"/>
        </w:trPr>
        <w:tc>
          <w:tcPr>
            <w:tcW w:w="9760" w:type="dxa"/>
            <w:vAlign w:val="bottom"/>
            <w:gridSpan w:val="7"/>
          </w:tcPr>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July 31, 2003:</w:t>
            </w:r>
          </w:p>
        </w:tc>
        <w:tc>
          <w:tcPr>
            <w:tcW w:w="1660" w:type="dxa"/>
            <w:vAlign w:val="bottom"/>
          </w:tcPr>
          <w:p>
            <w:pPr>
              <w:spacing w:after="0"/>
              <w:rPr>
                <w:sz w:val="24"/>
                <w:szCs w:val="24"/>
                <w:color w:val="auto"/>
              </w:rPr>
            </w:pPr>
          </w:p>
        </w:tc>
      </w:tr>
      <w:tr>
        <w:trPr>
          <w:trHeight w:val="675"/>
        </w:trPr>
        <w:tc>
          <w:tcPr>
            <w:tcW w:w="1540" w:type="dxa"/>
            <w:vAlign w:val="bottom"/>
          </w:tcPr>
          <w:p>
            <w:pPr>
              <w:spacing w:after="0"/>
              <w:rPr>
                <w:sz w:val="24"/>
                <w:szCs w:val="24"/>
                <w:color w:val="auto"/>
              </w:rPr>
            </w:pPr>
          </w:p>
        </w:tc>
        <w:tc>
          <w:tcPr>
            <w:tcW w:w="3120" w:type="dxa"/>
            <w:vAlign w:val="bottom"/>
            <w:gridSpan w:val="2"/>
          </w:tcPr>
          <w:p>
            <w:pPr>
              <w:jc w:val="center"/>
              <w:ind w:right="492"/>
              <w:spacing w:after="0"/>
              <w:rPr>
                <w:sz w:val="20"/>
                <w:szCs w:val="20"/>
                <w:color w:val="auto"/>
              </w:rPr>
            </w:pPr>
            <w:r>
              <w:rPr>
                <w:rFonts w:ascii="Arial" w:cs="Arial" w:eastAsia="Arial" w:hAnsi="Arial"/>
                <w:sz w:val="18"/>
                <w:szCs w:val="18"/>
                <w:color w:val="auto"/>
                <w:w w:val="88"/>
              </w:rPr>
              <w:t>Class of Common Stock</w:t>
            </w: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80" w:type="dxa"/>
            <w:vAlign w:val="bottom"/>
          </w:tcPr>
          <w:p>
            <w:pPr>
              <w:ind w:left="500"/>
              <w:spacing w:after="0"/>
              <w:rPr>
                <w:sz w:val="20"/>
                <w:szCs w:val="20"/>
                <w:color w:val="auto"/>
              </w:rPr>
            </w:pPr>
            <w:r>
              <w:rPr>
                <w:rFonts w:ascii="Arial" w:cs="Arial" w:eastAsia="Arial" w:hAnsi="Arial"/>
                <w:sz w:val="18"/>
                <w:szCs w:val="18"/>
                <w:color w:val="auto"/>
              </w:rPr>
              <w:t>Number of Shares</w:t>
            </w:r>
          </w:p>
        </w:tc>
        <w:tc>
          <w:tcPr>
            <w:tcW w:w="1660" w:type="dxa"/>
            <w:vAlign w:val="bottom"/>
          </w:tcPr>
          <w:p>
            <w:pPr>
              <w:spacing w:after="0"/>
              <w:rPr>
                <w:sz w:val="24"/>
                <w:szCs w:val="24"/>
                <w:color w:val="auto"/>
              </w:rPr>
            </w:pPr>
          </w:p>
        </w:tc>
      </w:tr>
      <w:tr>
        <w:trPr>
          <w:trHeight w:val="97"/>
        </w:trPr>
        <w:tc>
          <w:tcPr>
            <w:tcW w:w="1540" w:type="dxa"/>
            <w:vAlign w:val="bottom"/>
          </w:tcPr>
          <w:p>
            <w:pPr>
              <w:spacing w:after="0"/>
              <w:rPr>
                <w:sz w:val="8"/>
                <w:szCs w:val="8"/>
                <w:color w:val="auto"/>
              </w:rPr>
            </w:pPr>
          </w:p>
        </w:tc>
        <w:tc>
          <w:tcPr>
            <w:tcW w:w="254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80" w:type="dxa"/>
            <w:vAlign w:val="bottom"/>
            <w:tcBorders>
              <w:bottom w:val="single" w:sz="8" w:color="808080"/>
            </w:tcBorders>
          </w:tcPr>
          <w:p>
            <w:pPr>
              <w:spacing w:after="0"/>
              <w:rPr>
                <w:sz w:val="8"/>
                <w:szCs w:val="8"/>
                <w:color w:val="auto"/>
              </w:rPr>
            </w:pPr>
          </w:p>
        </w:tc>
        <w:tc>
          <w:tcPr>
            <w:tcW w:w="1660" w:type="dxa"/>
            <w:vAlign w:val="bottom"/>
          </w:tcPr>
          <w:p>
            <w:pPr>
              <w:spacing w:after="0"/>
              <w:rPr>
                <w:sz w:val="8"/>
                <w:szCs w:val="8"/>
                <w:color w:val="auto"/>
              </w:rPr>
            </w:pPr>
          </w:p>
        </w:tc>
      </w:tr>
      <w:tr>
        <w:trPr>
          <w:trHeight w:val="282"/>
        </w:trPr>
        <w:tc>
          <w:tcPr>
            <w:tcW w:w="1540" w:type="dxa"/>
            <w:vAlign w:val="bottom"/>
          </w:tcPr>
          <w:p>
            <w:pPr>
              <w:spacing w:after="0"/>
              <w:rPr>
                <w:sz w:val="24"/>
                <w:szCs w:val="24"/>
                <w:color w:val="auto"/>
              </w:rPr>
            </w:pPr>
          </w:p>
        </w:tc>
        <w:tc>
          <w:tcPr>
            <w:tcW w:w="3120" w:type="dxa"/>
            <w:vAlign w:val="bottom"/>
            <w:gridSpan w:val="2"/>
          </w:tcPr>
          <w:p>
            <w:pPr>
              <w:jc w:val="center"/>
              <w:ind w:right="492"/>
              <w:spacing w:after="0"/>
              <w:rPr>
                <w:sz w:val="20"/>
                <w:szCs w:val="20"/>
                <w:color w:val="auto"/>
              </w:rPr>
            </w:pPr>
            <w:r>
              <w:rPr>
                <w:rFonts w:ascii="Arial" w:cs="Arial" w:eastAsia="Arial" w:hAnsi="Arial"/>
                <w:sz w:val="18"/>
                <w:szCs w:val="18"/>
                <w:color w:val="auto"/>
                <w:w w:val="88"/>
              </w:rPr>
              <w:t>Class A Stock, $0.001 par value</w:t>
            </w: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780" w:type="dxa"/>
            <w:vAlign w:val="bottom"/>
            <w:gridSpan w:val="2"/>
          </w:tcPr>
          <w:p>
            <w:pPr>
              <w:jc w:val="right"/>
              <w:ind w:right="692"/>
              <w:spacing w:after="0"/>
              <w:rPr>
                <w:sz w:val="20"/>
                <w:szCs w:val="20"/>
                <w:color w:val="auto"/>
              </w:rPr>
            </w:pPr>
            <w:r>
              <w:rPr>
                <w:rFonts w:ascii="Arial" w:cs="Arial" w:eastAsia="Arial" w:hAnsi="Arial"/>
                <w:sz w:val="18"/>
                <w:szCs w:val="18"/>
                <w:color w:val="auto"/>
              </w:rPr>
              <w:t>2,406,548</w:t>
            </w:r>
          </w:p>
        </w:tc>
        <w:tc>
          <w:tcPr>
            <w:tcW w:w="1660" w:type="dxa"/>
            <w:vAlign w:val="bottom"/>
          </w:tcPr>
          <w:p>
            <w:pPr>
              <w:spacing w:after="0"/>
              <w:rPr>
                <w:sz w:val="24"/>
                <w:szCs w:val="24"/>
                <w:color w:val="auto"/>
              </w:rPr>
            </w:pPr>
          </w:p>
        </w:tc>
      </w:tr>
      <w:tr>
        <w:trPr>
          <w:trHeight w:val="222"/>
        </w:trPr>
        <w:tc>
          <w:tcPr>
            <w:tcW w:w="1540" w:type="dxa"/>
            <w:vAlign w:val="bottom"/>
          </w:tcPr>
          <w:p>
            <w:pPr>
              <w:spacing w:after="0"/>
              <w:rPr>
                <w:sz w:val="19"/>
                <w:szCs w:val="19"/>
                <w:color w:val="auto"/>
              </w:rPr>
            </w:pPr>
          </w:p>
        </w:tc>
        <w:tc>
          <w:tcPr>
            <w:tcW w:w="3120" w:type="dxa"/>
            <w:vAlign w:val="bottom"/>
            <w:gridSpan w:val="2"/>
          </w:tcPr>
          <w:p>
            <w:pPr>
              <w:jc w:val="center"/>
              <w:ind w:right="472"/>
              <w:spacing w:after="0"/>
              <w:rPr>
                <w:sz w:val="20"/>
                <w:szCs w:val="20"/>
                <w:color w:val="auto"/>
              </w:rPr>
            </w:pPr>
            <w:r>
              <w:rPr>
                <w:rFonts w:ascii="Arial" w:cs="Arial" w:eastAsia="Arial" w:hAnsi="Arial"/>
                <w:sz w:val="18"/>
                <w:szCs w:val="18"/>
                <w:color w:val="auto"/>
                <w:w w:val="88"/>
              </w:rPr>
              <w:t>Common Stock, $0.001 par value</w:t>
            </w:r>
          </w:p>
        </w:tc>
        <w:tc>
          <w:tcPr>
            <w:tcW w:w="1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780" w:type="dxa"/>
            <w:vAlign w:val="bottom"/>
            <w:gridSpan w:val="2"/>
          </w:tcPr>
          <w:p>
            <w:pPr>
              <w:jc w:val="right"/>
              <w:ind w:right="652"/>
              <w:spacing w:after="0"/>
              <w:rPr>
                <w:sz w:val="20"/>
                <w:szCs w:val="20"/>
                <w:color w:val="auto"/>
              </w:rPr>
            </w:pPr>
            <w:r>
              <w:rPr>
                <w:rFonts w:ascii="Arial" w:cs="Arial" w:eastAsia="Arial" w:hAnsi="Arial"/>
                <w:sz w:val="18"/>
                <w:szCs w:val="18"/>
                <w:color w:val="auto"/>
              </w:rPr>
              <w:t>49,711,020</w:t>
            </w:r>
          </w:p>
        </w:tc>
        <w:tc>
          <w:tcPr>
            <w:tcW w:w="1660" w:type="dxa"/>
            <w:vAlign w:val="bottom"/>
          </w:tcPr>
          <w:p>
            <w:pPr>
              <w:spacing w:after="0"/>
              <w:rPr>
                <w:sz w:val="19"/>
                <w:szCs w:val="19"/>
                <w:color w:val="auto"/>
              </w:rPr>
            </w:pPr>
          </w:p>
        </w:tc>
      </w:tr>
      <w:tr>
        <w:trPr>
          <w:trHeight w:val="661"/>
        </w:trPr>
        <w:tc>
          <w:tcPr>
            <w:tcW w:w="1540" w:type="dxa"/>
            <w:vAlign w:val="bottom"/>
            <w:tcBorders>
              <w:bottom w:val="single" w:sz="8" w:color="808080"/>
            </w:tcBorders>
          </w:tcPr>
          <w:p>
            <w:pPr>
              <w:spacing w:after="0"/>
              <w:rPr>
                <w:sz w:val="24"/>
                <w:szCs w:val="24"/>
                <w:color w:val="auto"/>
              </w:rPr>
            </w:pPr>
          </w:p>
        </w:tc>
        <w:tc>
          <w:tcPr>
            <w:tcW w:w="254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16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PART I. FINANCIAL INFORMATION</w:t>
        </w:r>
      </w:hyperlink>
    </w:p>
    <w:p>
      <w:pPr>
        <w:ind w:left="320"/>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1. Financial Statements</w:t>
        </w:r>
      </w:hyperlink>
    </w:p>
    <w:p>
      <w:pPr>
        <w:ind w:left="620" w:right="3099"/>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Condensed Balance Sheets at June 30, 2003 and December 31, 2002</w:t>
        </w:r>
      </w:hyperlink>
      <w:r>
        <w:rPr>
          <w:rFonts w:ascii="Arial" w:cs="Arial" w:eastAsia="Arial" w:hAnsi="Arial"/>
          <w:sz w:val="22"/>
          <w:szCs w:val="22"/>
          <w:u w:val="single" w:color="auto"/>
          <w:color w:val="0000EE"/>
        </w:rPr>
        <w:t xml:space="preserve"> </w:t>
      </w:r>
      <w:hyperlink w:anchor="page6">
        <w:r>
          <w:rPr>
            <w:rFonts w:ascii="Arial" w:cs="Arial" w:eastAsia="Arial" w:hAnsi="Arial"/>
            <w:sz w:val="22"/>
            <w:szCs w:val="22"/>
            <w:u w:val="single" w:color="auto"/>
            <w:color w:val="0000EE"/>
          </w:rPr>
          <w:t>Condensed Statements of Operations</w:t>
        </w:r>
      </w:hyperlink>
      <w:r>
        <w:rPr>
          <w:rFonts w:ascii="Arial" w:cs="Arial" w:eastAsia="Arial" w:hAnsi="Arial"/>
          <w:sz w:val="22"/>
          <w:szCs w:val="22"/>
          <w:u w:val="single" w:color="auto"/>
          <w:color w:val="0000EE"/>
        </w:rPr>
        <w:t xml:space="preserve"> </w:t>
      </w:r>
      <w:hyperlink w:anchor="page7">
        <w:r>
          <w:rPr>
            <w:rFonts w:ascii="Arial" w:cs="Arial" w:eastAsia="Arial" w:hAnsi="Arial"/>
            <w:sz w:val="22"/>
            <w:szCs w:val="22"/>
            <w:u w:val="single" w:color="auto"/>
            <w:color w:val="0000EE"/>
          </w:rPr>
          <w:t>Condensed Statement of Stockholders’ Equity</w:t>
        </w:r>
      </w:hyperlink>
    </w:p>
    <w:p>
      <w:pPr>
        <w:ind w:left="620"/>
        <w:spacing w:after="0" w:line="232" w:lineRule="auto"/>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Condensed Statements of Cash Flows</w:t>
        </w:r>
      </w:hyperlink>
    </w:p>
    <w:p>
      <w:pPr>
        <w:ind w:left="620"/>
        <w:spacing w:after="0" w:line="231" w:lineRule="auto"/>
        <w:rPr>
          <w:rFonts w:ascii="Arial" w:cs="Arial" w:eastAsia="Arial" w:hAnsi="Arial"/>
          <w:sz w:val="22"/>
          <w:szCs w:val="22"/>
          <w:u w:val="single" w:color="auto"/>
          <w:color w:val="0000EE"/>
        </w:rPr>
      </w:pPr>
      <w:hyperlink w:anchor="page9">
        <w:r>
          <w:rPr>
            <w:rFonts w:ascii="Arial" w:cs="Arial" w:eastAsia="Arial" w:hAnsi="Arial"/>
            <w:sz w:val="22"/>
            <w:szCs w:val="22"/>
            <w:u w:val="single" w:color="auto"/>
            <w:color w:val="0000EE"/>
          </w:rPr>
          <w:t>Notes to Condensed Financial Statements</w:t>
        </w:r>
      </w:hyperlink>
    </w:p>
    <w:p>
      <w:pPr>
        <w:ind w:left="320" w:right="899"/>
        <w:spacing w:after="0" w:line="230" w:lineRule="auto"/>
        <w:rPr>
          <w:rFonts w:ascii="Arial" w:cs="Arial" w:eastAsia="Arial" w:hAnsi="Arial"/>
          <w:sz w:val="22"/>
          <w:szCs w:val="22"/>
          <w:u w:val="single" w:color="auto"/>
          <w:color w:val="0000EE"/>
        </w:rPr>
      </w:pPr>
      <w:hyperlink w:anchor="page20">
        <w:r>
          <w:rPr>
            <w:rFonts w:ascii="Arial" w:cs="Arial" w:eastAsia="Arial" w:hAnsi="Arial"/>
            <w:sz w:val="22"/>
            <w:szCs w:val="22"/>
            <w:u w:val="single" w:color="auto"/>
            <w:color w:val="0000EE"/>
          </w:rPr>
          <w:t>Item 2. Management’s Discussion and Analysis of Financial Condition and Results of Operations</w:t>
        </w:r>
      </w:hyperlink>
      <w:r>
        <w:rPr>
          <w:rFonts w:ascii="Arial" w:cs="Arial" w:eastAsia="Arial" w:hAnsi="Arial"/>
          <w:sz w:val="22"/>
          <w:szCs w:val="22"/>
          <w:u w:val="single" w:color="auto"/>
          <w:color w:val="0000EE"/>
        </w:rPr>
        <w:t xml:space="preserve"> </w:t>
      </w:r>
      <w:hyperlink w:anchor="page34">
        <w:r>
          <w:rPr>
            <w:rFonts w:ascii="Arial" w:cs="Arial" w:eastAsia="Arial" w:hAnsi="Arial"/>
            <w:sz w:val="22"/>
            <w:szCs w:val="22"/>
            <w:u w:val="single" w:color="auto"/>
            <w:color w:val="0000EE"/>
          </w:rPr>
          <w:t>Item 3. Quantitative and Qualitative Disclosure About Market Risk.</w:t>
        </w:r>
      </w:hyperlink>
      <w:r>
        <w:rPr>
          <w:rFonts w:ascii="Arial" w:cs="Arial" w:eastAsia="Arial" w:hAnsi="Arial"/>
          <w:sz w:val="22"/>
          <w:szCs w:val="22"/>
          <w:u w:val="single" w:color="auto"/>
          <w:color w:val="0000EE"/>
        </w:rPr>
        <w:t xml:space="preserve"> </w:t>
      </w:r>
      <w:hyperlink w:anchor="page34">
        <w:r>
          <w:rPr>
            <w:rFonts w:ascii="Arial" w:cs="Arial" w:eastAsia="Arial" w:hAnsi="Arial"/>
            <w:sz w:val="22"/>
            <w:szCs w:val="22"/>
            <w:u w:val="single" w:color="auto"/>
            <w:color w:val="0000EE"/>
          </w:rPr>
          <w:t>Item 4. Controls and Procedures</w:t>
        </w:r>
      </w:hyperlink>
    </w:p>
    <w:p>
      <w:pPr>
        <w:spacing w:after="0" w:line="232" w:lineRule="auto"/>
        <w:rPr>
          <w:rFonts w:ascii="Arial" w:cs="Arial" w:eastAsia="Arial" w:hAnsi="Arial"/>
          <w:sz w:val="22"/>
          <w:szCs w:val="22"/>
          <w:u w:val="single" w:color="auto"/>
          <w:color w:val="0000EE"/>
        </w:rPr>
      </w:pPr>
      <w:hyperlink w:anchor="page35">
        <w:r>
          <w:rPr>
            <w:rFonts w:ascii="Arial" w:cs="Arial" w:eastAsia="Arial" w:hAnsi="Arial"/>
            <w:sz w:val="22"/>
            <w:szCs w:val="22"/>
            <w:u w:val="single" w:color="auto"/>
            <w:color w:val="0000EE"/>
          </w:rPr>
          <w:t>PART II. OTHER INFORMATION</w:t>
        </w:r>
      </w:hyperlink>
    </w:p>
    <w:p>
      <w:pPr>
        <w:ind w:left="320"/>
        <w:spacing w:after="0" w:line="231" w:lineRule="auto"/>
        <w:rPr>
          <w:rFonts w:ascii="Arial" w:cs="Arial" w:eastAsia="Arial" w:hAnsi="Arial"/>
          <w:sz w:val="22"/>
          <w:szCs w:val="22"/>
          <w:u w:val="single" w:color="auto"/>
          <w:color w:val="0000EE"/>
        </w:rPr>
      </w:pPr>
      <w:hyperlink w:anchor="page35">
        <w:r>
          <w:rPr>
            <w:rFonts w:ascii="Arial" w:cs="Arial" w:eastAsia="Arial" w:hAnsi="Arial"/>
            <w:sz w:val="22"/>
            <w:szCs w:val="22"/>
            <w:u w:val="single" w:color="auto"/>
            <w:color w:val="0000EE"/>
          </w:rPr>
          <w:t>Item 1. Legal Proceedings</w:t>
        </w:r>
      </w:hyperlink>
    </w:p>
    <w:p>
      <w:pPr>
        <w:ind w:left="320" w:right="4139"/>
        <w:spacing w:after="0" w:line="230" w:lineRule="auto"/>
        <w:rPr>
          <w:rFonts w:ascii="Arial" w:cs="Arial" w:eastAsia="Arial" w:hAnsi="Arial"/>
          <w:sz w:val="22"/>
          <w:szCs w:val="22"/>
          <w:u w:val="single" w:color="auto"/>
          <w:color w:val="0000EE"/>
        </w:rPr>
      </w:pPr>
      <w:hyperlink w:anchor="page35">
        <w:r>
          <w:rPr>
            <w:rFonts w:ascii="Arial" w:cs="Arial" w:eastAsia="Arial" w:hAnsi="Arial"/>
            <w:sz w:val="22"/>
            <w:szCs w:val="22"/>
            <w:u w:val="single" w:color="auto"/>
            <w:color w:val="0000EE"/>
          </w:rPr>
          <w:t>Item 4. Submission of Matters to a Vote of Security Holders</w:t>
        </w:r>
      </w:hyperlink>
      <w:r>
        <w:rPr>
          <w:rFonts w:ascii="Arial" w:cs="Arial" w:eastAsia="Arial" w:hAnsi="Arial"/>
          <w:sz w:val="22"/>
          <w:szCs w:val="22"/>
          <w:u w:val="single" w:color="auto"/>
          <w:color w:val="0000EE"/>
        </w:rPr>
        <w:t xml:space="preserve"> </w:t>
      </w:r>
      <w:hyperlink w:anchor="page36">
        <w:r>
          <w:rPr>
            <w:rFonts w:ascii="Arial" w:cs="Arial" w:eastAsia="Arial" w:hAnsi="Arial"/>
            <w:sz w:val="22"/>
            <w:szCs w:val="22"/>
            <w:u w:val="single" w:color="auto"/>
            <w:color w:val="0000EE"/>
          </w:rPr>
          <w:t>Item 6. Exhibits and Reports on Form 8-K</w:t>
        </w:r>
      </w:hyperlink>
    </w:p>
    <w:p>
      <w:pPr>
        <w:spacing w:after="0" w:line="231" w:lineRule="auto"/>
        <w:rPr>
          <w:rFonts w:ascii="Arial" w:cs="Arial" w:eastAsia="Arial" w:hAnsi="Arial"/>
          <w:sz w:val="22"/>
          <w:szCs w:val="22"/>
          <w:u w:val="single" w:color="auto"/>
          <w:color w:val="0000EE"/>
        </w:rPr>
      </w:pPr>
      <w:hyperlink w:anchor="page37">
        <w:r>
          <w:rPr>
            <w:rFonts w:ascii="Arial" w:cs="Arial" w:eastAsia="Arial" w:hAnsi="Arial"/>
            <w:sz w:val="22"/>
            <w:szCs w:val="22"/>
            <w:u w:val="single" w:color="auto"/>
            <w:color w:val="0000EE"/>
          </w:rPr>
          <w:t>SIGNATURE</w:t>
        </w:r>
      </w:hyperlink>
    </w:p>
    <w:p>
      <w:pPr>
        <w:spacing w:after="0" w:line="231" w:lineRule="auto"/>
        <w:rPr>
          <w:sz w:val="20"/>
          <w:szCs w:val="20"/>
          <w:color w:val="auto"/>
        </w:rPr>
      </w:pPr>
      <w:r>
        <w:rPr>
          <w:rFonts w:ascii="Arial" w:cs="Arial" w:eastAsia="Arial" w:hAnsi="Arial"/>
          <w:sz w:val="22"/>
          <w:szCs w:val="22"/>
          <w:u w:val="single" w:color="auto"/>
          <w:color w:val="0000EE"/>
        </w:rPr>
        <w:t>CERTIFICATION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2003</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60" w:type="dxa"/>
            <w:vAlign w:val="bottom"/>
          </w:tcPr>
          <w:p>
            <w:pPr>
              <w:spacing w:after="0"/>
              <w:rPr>
                <w:sz w:val="15"/>
                <w:szCs w:val="15"/>
                <w:color w:val="auto"/>
              </w:rPr>
            </w:pPr>
          </w:p>
        </w:tc>
        <w:tc>
          <w:tcPr>
            <w:tcW w:w="1140" w:type="dxa"/>
            <w:vAlign w:val="bottom"/>
          </w:tcPr>
          <w:p>
            <w:pPr>
              <w:ind w:left="160"/>
              <w:spacing w:after="0"/>
              <w:rPr>
                <w:sz w:val="20"/>
                <w:szCs w:val="20"/>
                <w:color w:val="auto"/>
              </w:rPr>
            </w:pPr>
            <w:r>
              <w:rPr>
                <w:rFonts w:ascii="Arial" w:cs="Arial" w:eastAsia="Arial" w:hAnsi="Arial"/>
                <w:sz w:val="14"/>
                <w:szCs w:val="14"/>
                <w:b w:val="1"/>
                <w:bCs w:val="1"/>
                <w:color w:val="auto"/>
                <w:w w:val="97"/>
              </w:rPr>
              <w:t>Page Numbers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26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00" w:type="dxa"/>
            <w:vAlign w:val="bottom"/>
          </w:tcPr>
          <w:p>
            <w:pPr>
              <w:spacing w:after="0"/>
              <w:rPr>
                <w:sz w:val="8"/>
                <w:szCs w:val="8"/>
                <w:color w:val="auto"/>
              </w:rPr>
            </w:pPr>
          </w:p>
        </w:tc>
        <w:tc>
          <w:tcPr>
            <w:tcW w:w="92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PART I</w:t>
            </w:r>
          </w:p>
        </w:tc>
        <w:tc>
          <w:tcPr>
            <w:tcW w:w="9260" w:type="dxa"/>
            <w:vAlign w:val="bottom"/>
            <w:shd w:val="clear" w:color="auto" w:fill="EEEEEE"/>
          </w:tcPr>
          <w:p>
            <w:pPr>
              <w:ind w:left="360"/>
              <w:spacing w:after="0"/>
              <w:rPr>
                <w:sz w:val="20"/>
                <w:szCs w:val="20"/>
                <w:color w:val="auto"/>
              </w:rPr>
            </w:pPr>
            <w:r>
              <w:rPr>
                <w:rFonts w:ascii="Arial" w:cs="Arial" w:eastAsia="Arial" w:hAnsi="Arial"/>
                <w:sz w:val="18"/>
                <w:szCs w:val="18"/>
                <w:b w:val="1"/>
                <w:bCs w:val="1"/>
                <w:color w:val="auto"/>
              </w:rPr>
              <w:t>FINANCIAL INFORMATION</w:t>
            </w:r>
          </w:p>
        </w:tc>
        <w:tc>
          <w:tcPr>
            <w:tcW w:w="1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9260" w:type="dxa"/>
            <w:vAlign w:val="bottom"/>
          </w:tcPr>
          <w:p>
            <w:pPr>
              <w:ind w:left="360"/>
              <w:spacing w:after="0"/>
              <w:rPr>
                <w:sz w:val="20"/>
                <w:szCs w:val="20"/>
                <w:color w:val="auto"/>
              </w:rPr>
            </w:pPr>
            <w:r>
              <w:rPr>
                <w:rFonts w:ascii="Arial" w:cs="Arial" w:eastAsia="Arial" w:hAnsi="Arial"/>
                <w:sz w:val="18"/>
                <w:szCs w:val="18"/>
                <w:color w:val="auto"/>
              </w:rPr>
              <w:t>Financial Statements</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9260" w:type="dxa"/>
            <w:vAlign w:val="bottom"/>
            <w:shd w:val="clear" w:color="auto" w:fill="EEEEEE"/>
          </w:tcPr>
          <w:p>
            <w:pPr>
              <w:ind w:left="360"/>
              <w:spacing w:after="0"/>
              <w:rPr>
                <w:sz w:val="20"/>
                <w:szCs w:val="20"/>
                <w:color w:val="auto"/>
              </w:rPr>
            </w:pPr>
            <w:r>
              <w:rPr>
                <w:rFonts w:ascii="Arial" w:cs="Arial" w:eastAsia="Arial" w:hAnsi="Arial"/>
                <w:sz w:val="18"/>
                <w:szCs w:val="18"/>
                <w:color w:val="auto"/>
              </w:rPr>
              <w:t>Condensed balance sheets (unaudited) at June 30, 2003 and December 31, 2002</w:t>
            </w:r>
          </w:p>
        </w:tc>
        <w:tc>
          <w:tcPr>
            <w:tcW w:w="1140" w:type="dxa"/>
            <w:vAlign w:val="bottom"/>
            <w:shd w:val="clear" w:color="auto" w:fill="EEEEEE"/>
          </w:tcPr>
          <w:p>
            <w:pPr>
              <w:ind w:left="5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260" w:type="dxa"/>
            <w:vAlign w:val="bottom"/>
          </w:tcPr>
          <w:p>
            <w:pPr>
              <w:ind w:left="360"/>
              <w:spacing w:after="0"/>
              <w:rPr>
                <w:sz w:val="20"/>
                <w:szCs w:val="20"/>
                <w:color w:val="auto"/>
              </w:rPr>
            </w:pPr>
            <w:r>
              <w:rPr>
                <w:rFonts w:ascii="Arial" w:cs="Arial" w:eastAsia="Arial" w:hAnsi="Arial"/>
                <w:sz w:val="18"/>
                <w:szCs w:val="18"/>
                <w:color w:val="auto"/>
              </w:rPr>
              <w:t>Condensed statements of operations (unaudited) for the three and six months ended June 30, 2003 and 2002</w:t>
            </w:r>
          </w:p>
        </w:tc>
        <w:tc>
          <w:tcPr>
            <w:tcW w:w="1140" w:type="dxa"/>
            <w:vAlign w:val="bottom"/>
          </w:tcPr>
          <w:p>
            <w:pPr>
              <w:ind w:left="5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9260" w:type="dxa"/>
            <w:vAlign w:val="bottom"/>
            <w:shd w:val="clear" w:color="auto" w:fill="EEEEEE"/>
          </w:tcPr>
          <w:p>
            <w:pPr>
              <w:ind w:left="360"/>
              <w:spacing w:after="0"/>
              <w:rPr>
                <w:sz w:val="20"/>
                <w:szCs w:val="20"/>
                <w:color w:val="auto"/>
              </w:rPr>
            </w:pPr>
            <w:r>
              <w:rPr>
                <w:rFonts w:ascii="Arial" w:cs="Arial" w:eastAsia="Arial" w:hAnsi="Arial"/>
                <w:sz w:val="18"/>
                <w:szCs w:val="18"/>
                <w:color w:val="auto"/>
              </w:rPr>
              <w:t>Condensed statement of stockholders’ equity (unaudited) for the six months ended June 30, 2003</w:t>
            </w:r>
          </w:p>
        </w:tc>
        <w:tc>
          <w:tcPr>
            <w:tcW w:w="1140" w:type="dxa"/>
            <w:vAlign w:val="bottom"/>
            <w:shd w:val="clear" w:color="auto" w:fill="EEEEEE"/>
          </w:tcPr>
          <w:p>
            <w:pPr>
              <w:ind w:left="5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260" w:type="dxa"/>
            <w:vAlign w:val="bottom"/>
          </w:tcPr>
          <w:p>
            <w:pPr>
              <w:ind w:left="360"/>
              <w:spacing w:after="0"/>
              <w:rPr>
                <w:sz w:val="20"/>
                <w:szCs w:val="20"/>
                <w:color w:val="auto"/>
              </w:rPr>
            </w:pPr>
            <w:r>
              <w:rPr>
                <w:rFonts w:ascii="Arial" w:cs="Arial" w:eastAsia="Arial" w:hAnsi="Arial"/>
                <w:sz w:val="18"/>
                <w:szCs w:val="18"/>
                <w:color w:val="auto"/>
              </w:rPr>
              <w:t>Condensed statements of cash flows (unaudited) for the six months ended June 30, 2003 and 2002</w:t>
            </w:r>
          </w:p>
        </w:tc>
        <w:tc>
          <w:tcPr>
            <w:tcW w:w="1140" w:type="dxa"/>
            <w:vAlign w:val="bottom"/>
          </w:tcPr>
          <w:p>
            <w:pPr>
              <w:ind w:left="58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9260" w:type="dxa"/>
            <w:vAlign w:val="bottom"/>
            <w:shd w:val="clear" w:color="auto" w:fill="EEEEEE"/>
          </w:tcPr>
          <w:p>
            <w:pPr>
              <w:ind w:left="360"/>
              <w:spacing w:after="0"/>
              <w:rPr>
                <w:sz w:val="20"/>
                <w:szCs w:val="20"/>
                <w:color w:val="auto"/>
              </w:rPr>
            </w:pPr>
            <w:r>
              <w:rPr>
                <w:rFonts w:ascii="Arial" w:cs="Arial" w:eastAsia="Arial" w:hAnsi="Arial"/>
                <w:sz w:val="18"/>
                <w:szCs w:val="18"/>
                <w:color w:val="auto"/>
              </w:rPr>
              <w:t>Notes to condensed financial statements</w:t>
            </w:r>
          </w:p>
        </w:tc>
        <w:tc>
          <w:tcPr>
            <w:tcW w:w="1140" w:type="dxa"/>
            <w:vAlign w:val="bottom"/>
            <w:shd w:val="clear" w:color="auto" w:fill="EEEEEE"/>
          </w:tcPr>
          <w:p>
            <w:pPr>
              <w:ind w:left="58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9260" w:type="dxa"/>
            <w:vAlign w:val="bottom"/>
          </w:tcPr>
          <w:p>
            <w:pPr>
              <w:ind w:left="3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140" w:type="dxa"/>
            <w:vAlign w:val="bottom"/>
          </w:tcPr>
          <w:p>
            <w:pPr>
              <w:ind w:left="580"/>
              <w:spacing w:after="0"/>
              <w:rPr>
                <w:sz w:val="20"/>
                <w:szCs w:val="20"/>
                <w:color w:val="auto"/>
              </w:rPr>
            </w:pPr>
            <w:r>
              <w:rPr>
                <w:rFonts w:ascii="Arial" w:cs="Arial" w:eastAsia="Arial" w:hAnsi="Arial"/>
                <w:sz w:val="18"/>
                <w:szCs w:val="18"/>
                <w:color w:val="auto"/>
              </w:rPr>
              <w:t>18-32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EEEEEE"/>
          </w:tcPr>
          <w:p>
            <w:pPr>
              <w:spacing w:after="0"/>
              <w:rPr>
                <w:sz w:val="20"/>
                <w:szCs w:val="20"/>
                <w:color w:val="auto"/>
              </w:rPr>
            </w:pPr>
            <w:r>
              <w:rPr>
                <w:rFonts w:ascii="Arial" w:cs="Arial" w:eastAsia="Arial" w:hAnsi="Arial"/>
                <w:sz w:val="18"/>
                <w:szCs w:val="18"/>
                <w:color w:val="auto"/>
              </w:rPr>
              <w:t>Item 3</w:t>
            </w:r>
          </w:p>
        </w:tc>
        <w:tc>
          <w:tcPr>
            <w:tcW w:w="9260" w:type="dxa"/>
            <w:vAlign w:val="bottom"/>
            <w:shd w:val="clear" w:color="auto" w:fill="EEEEEE"/>
          </w:tcPr>
          <w:p>
            <w:pPr>
              <w:ind w:left="360"/>
              <w:spacing w:after="0"/>
              <w:rPr>
                <w:sz w:val="20"/>
                <w:szCs w:val="20"/>
                <w:color w:val="auto"/>
              </w:rPr>
            </w:pPr>
            <w:r>
              <w:rPr>
                <w:rFonts w:ascii="Arial" w:cs="Arial" w:eastAsia="Arial" w:hAnsi="Arial"/>
                <w:sz w:val="18"/>
                <w:szCs w:val="18"/>
                <w:color w:val="auto"/>
              </w:rPr>
              <w:t>Quantitative &amp; Qualitative Disclosure About Market Risk</w:t>
            </w:r>
          </w:p>
        </w:tc>
        <w:tc>
          <w:tcPr>
            <w:tcW w:w="1140" w:type="dxa"/>
            <w:vAlign w:val="bottom"/>
            <w:shd w:val="clear" w:color="auto" w:fill="EEEEEE"/>
          </w:tcPr>
          <w:p>
            <w:pPr>
              <w:ind w:left="58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9260" w:type="dxa"/>
            <w:vAlign w:val="bottom"/>
          </w:tcPr>
          <w:p>
            <w:pPr>
              <w:ind w:left="360"/>
              <w:spacing w:after="0"/>
              <w:rPr>
                <w:sz w:val="20"/>
                <w:szCs w:val="20"/>
                <w:color w:val="auto"/>
              </w:rPr>
            </w:pPr>
            <w:r>
              <w:rPr>
                <w:rFonts w:ascii="Arial" w:cs="Arial" w:eastAsia="Arial" w:hAnsi="Arial"/>
                <w:sz w:val="18"/>
                <w:szCs w:val="18"/>
                <w:color w:val="auto"/>
              </w:rPr>
              <w:t>Controls and Procedures</w:t>
            </w:r>
          </w:p>
        </w:tc>
        <w:tc>
          <w:tcPr>
            <w:tcW w:w="1140" w:type="dxa"/>
            <w:vAlign w:val="bottom"/>
          </w:tcPr>
          <w:p>
            <w:pPr>
              <w:ind w:left="58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PART II</w:t>
            </w:r>
          </w:p>
        </w:tc>
        <w:tc>
          <w:tcPr>
            <w:tcW w:w="9260" w:type="dxa"/>
            <w:vAlign w:val="bottom"/>
            <w:shd w:val="clear" w:color="auto" w:fill="EEEEEE"/>
          </w:tcPr>
          <w:p>
            <w:pPr>
              <w:ind w:left="360"/>
              <w:spacing w:after="0"/>
              <w:rPr>
                <w:sz w:val="20"/>
                <w:szCs w:val="20"/>
                <w:color w:val="auto"/>
              </w:rPr>
            </w:pPr>
            <w:r>
              <w:rPr>
                <w:rFonts w:ascii="Arial" w:cs="Arial" w:eastAsia="Arial" w:hAnsi="Arial"/>
                <w:sz w:val="18"/>
                <w:szCs w:val="18"/>
                <w:b w:val="1"/>
                <w:bCs w:val="1"/>
                <w:color w:val="auto"/>
              </w:rPr>
              <w:t>OTHER INFORMATION</w:t>
            </w:r>
          </w:p>
        </w:tc>
        <w:tc>
          <w:tcPr>
            <w:tcW w:w="1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9260" w:type="dxa"/>
            <w:vAlign w:val="bottom"/>
          </w:tcPr>
          <w:p>
            <w:pPr>
              <w:ind w:left="360"/>
              <w:spacing w:after="0"/>
              <w:rPr>
                <w:sz w:val="20"/>
                <w:szCs w:val="20"/>
                <w:color w:val="auto"/>
              </w:rPr>
            </w:pPr>
            <w:r>
              <w:rPr>
                <w:rFonts w:ascii="Arial" w:cs="Arial" w:eastAsia="Arial" w:hAnsi="Arial"/>
                <w:sz w:val="18"/>
                <w:szCs w:val="18"/>
                <w:color w:val="auto"/>
              </w:rPr>
              <w:t>Legal Proceedings</w:t>
            </w:r>
          </w:p>
        </w:tc>
        <w:tc>
          <w:tcPr>
            <w:tcW w:w="1140" w:type="dxa"/>
            <w:vAlign w:val="bottom"/>
          </w:tcPr>
          <w:p>
            <w:pPr>
              <w:ind w:left="58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EEEEEE"/>
          </w:tcPr>
          <w:p>
            <w:pPr>
              <w:spacing w:after="0"/>
              <w:rPr>
                <w:sz w:val="20"/>
                <w:szCs w:val="20"/>
                <w:color w:val="auto"/>
              </w:rPr>
            </w:pPr>
            <w:r>
              <w:rPr>
                <w:rFonts w:ascii="Arial" w:cs="Arial" w:eastAsia="Arial" w:hAnsi="Arial"/>
                <w:sz w:val="18"/>
                <w:szCs w:val="18"/>
                <w:color w:val="auto"/>
              </w:rPr>
              <w:t>Item 4</w:t>
            </w:r>
          </w:p>
        </w:tc>
        <w:tc>
          <w:tcPr>
            <w:tcW w:w="9260" w:type="dxa"/>
            <w:vAlign w:val="bottom"/>
            <w:shd w:val="clear" w:color="auto" w:fill="EEEEEE"/>
          </w:tcPr>
          <w:p>
            <w:pPr>
              <w:ind w:left="360"/>
              <w:spacing w:after="0"/>
              <w:rPr>
                <w:sz w:val="20"/>
                <w:szCs w:val="20"/>
                <w:color w:val="auto"/>
              </w:rPr>
            </w:pPr>
            <w:r>
              <w:rPr>
                <w:rFonts w:ascii="Arial" w:cs="Arial" w:eastAsia="Arial" w:hAnsi="Arial"/>
                <w:sz w:val="18"/>
                <w:szCs w:val="18"/>
                <w:color w:val="auto"/>
              </w:rPr>
              <w:t>Submission of Matters to a Vote of Security Holders</w:t>
            </w:r>
          </w:p>
        </w:tc>
        <w:tc>
          <w:tcPr>
            <w:tcW w:w="1140" w:type="dxa"/>
            <w:vAlign w:val="bottom"/>
            <w:shd w:val="clear" w:color="auto" w:fill="EEEEEE"/>
          </w:tcPr>
          <w:p>
            <w:pPr>
              <w:ind w:left="58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9260" w:type="dxa"/>
            <w:vAlign w:val="bottom"/>
          </w:tcPr>
          <w:p>
            <w:pPr>
              <w:ind w:left="360"/>
              <w:spacing w:after="0"/>
              <w:rPr>
                <w:sz w:val="20"/>
                <w:szCs w:val="20"/>
                <w:color w:val="auto"/>
              </w:rPr>
            </w:pPr>
            <w:r>
              <w:rPr>
                <w:rFonts w:ascii="Arial" w:cs="Arial" w:eastAsia="Arial" w:hAnsi="Arial"/>
                <w:sz w:val="18"/>
                <w:szCs w:val="18"/>
                <w:color w:val="auto"/>
              </w:rPr>
              <w:t>Exhibits and Reports on Form 8-K</w:t>
            </w:r>
          </w:p>
        </w:tc>
        <w:tc>
          <w:tcPr>
            <w:tcW w:w="1140" w:type="dxa"/>
            <w:vAlign w:val="bottom"/>
          </w:tcPr>
          <w:p>
            <w:pPr>
              <w:ind w:left="58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SIGNATURE PAGE</w:t>
            </w:r>
          </w:p>
        </w:tc>
        <w:tc>
          <w:tcPr>
            <w:tcW w:w="1140" w:type="dxa"/>
            <w:vAlign w:val="bottom"/>
            <w:shd w:val="clear" w:color="auto" w:fill="EEEEEE"/>
          </w:tcPr>
          <w:p>
            <w:pPr>
              <w:ind w:left="58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659"/>
        </w:trPr>
        <w:tc>
          <w:tcPr>
            <w:tcW w:w="20" w:type="dxa"/>
            <w:vAlign w:val="bottom"/>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926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Balance Sheets at June 30, 2003 and December 31, 2002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 except share data)</w:t>
      </w:r>
    </w:p>
    <w:p>
      <w:pPr>
        <w:spacing w:after="0" w:line="200" w:lineRule="exact"/>
        <w:rPr>
          <w:sz w:val="20"/>
          <w:szCs w:val="20"/>
          <w:color w:val="auto"/>
        </w:rPr>
      </w:pPr>
    </w:p>
    <w:p>
      <w:pPr>
        <w:spacing w:after="0" w:line="24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6"/>
              </w:rPr>
              <w:t>June 30,</w:t>
            </w:r>
          </w:p>
        </w:tc>
        <w:tc>
          <w:tcPr>
            <w:tcW w:w="300" w:type="dxa"/>
            <w:vAlign w:val="bottom"/>
          </w:tcPr>
          <w:p>
            <w:pPr>
              <w:spacing w:after="0"/>
              <w:rPr>
                <w:sz w:val="14"/>
                <w:szCs w:val="14"/>
                <w:color w:val="auto"/>
              </w:rPr>
            </w:pPr>
          </w:p>
        </w:tc>
        <w:tc>
          <w:tcPr>
            <w:tcW w:w="1420" w:type="dxa"/>
            <w:vAlign w:val="bottom"/>
            <w:gridSpan w:val="3"/>
          </w:tcPr>
          <w:p>
            <w:pPr>
              <w:ind w:left="32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4"/>
                <w:szCs w:val="14"/>
                <w:color w:val="auto"/>
              </w:rPr>
            </w:pPr>
          </w:p>
        </w:tc>
      </w:tr>
      <w:tr>
        <w:trPr>
          <w:trHeight w:val="174"/>
        </w:trPr>
        <w:tc>
          <w:tcPr>
            <w:tcW w:w="7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jc w:val="right"/>
              <w:ind w:right="114"/>
              <w:spacing w:after="0"/>
              <w:rPr>
                <w:sz w:val="20"/>
                <w:szCs w:val="20"/>
                <w:color w:val="auto"/>
              </w:rPr>
            </w:pPr>
            <w:r>
              <w:rPr>
                <w:rFonts w:ascii="Arial" w:cs="Arial" w:eastAsia="Arial" w:hAnsi="Arial"/>
                <w:sz w:val="14"/>
                <w:szCs w:val="14"/>
                <w:b w:val="1"/>
                <w:bCs w:val="1"/>
                <w:color w:val="auto"/>
              </w:rPr>
              <w:t>2003</w:t>
            </w: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jc w:val="right"/>
              <w:ind w:right="113"/>
              <w:spacing w:after="0"/>
              <w:rPr>
                <w:sz w:val="20"/>
                <w:szCs w:val="20"/>
                <w:color w:val="auto"/>
              </w:rPr>
            </w:pPr>
            <w:r>
              <w:rPr>
                <w:rFonts w:ascii="Arial" w:cs="Arial" w:eastAsia="Arial" w:hAnsi="Arial"/>
                <w:sz w:val="14"/>
                <w:szCs w:val="14"/>
                <w:b w:val="1"/>
                <w:bCs w:val="1"/>
                <w:color w:val="auto"/>
              </w:rPr>
              <w:t>2002</w:t>
            </w: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95"/>
        </w:trPr>
        <w:tc>
          <w:tcPr>
            <w:tcW w:w="76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7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7640" w:type="dxa"/>
            <w:vAlign w:val="bottom"/>
            <w:shd w:val="clear" w:color="auto" w:fill="EEEEEE"/>
          </w:tcPr>
          <w:p>
            <w:pPr>
              <w:ind w:left="3340"/>
              <w:spacing w:after="0"/>
              <w:rPr>
                <w:sz w:val="20"/>
                <w:szCs w:val="20"/>
                <w:color w:val="auto"/>
              </w:rPr>
            </w:pPr>
            <w:r>
              <w:rPr>
                <w:rFonts w:ascii="Arial" w:cs="Arial" w:eastAsia="Arial" w:hAnsi="Arial"/>
                <w:sz w:val="18"/>
                <w:szCs w:val="18"/>
                <w:b w:val="1"/>
                <w:bCs w:val="1"/>
                <w:color w:val="auto"/>
              </w:rPr>
              <w:t>ASSETS</w:t>
            </w: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Current assets</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6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Cash and cash equivalents</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129,659</w:t>
            </w:r>
          </w:p>
        </w:tc>
        <w:tc>
          <w:tcPr>
            <w:tcW w:w="380" w:type="dxa"/>
            <w:vAlign w:val="bottom"/>
            <w:shd w:val="clear" w:color="auto" w:fill="EEEEEE"/>
          </w:tcPr>
          <w:p>
            <w:pPr>
              <w:spacing w:after="0"/>
              <w:rPr>
                <w:sz w:val="18"/>
                <w:szCs w:val="18"/>
                <w:color w:val="auto"/>
              </w:rPr>
            </w:pPr>
          </w:p>
        </w:tc>
        <w:tc>
          <w:tcPr>
            <w:tcW w:w="700" w:type="dxa"/>
            <w:vAlign w:val="bottom"/>
            <w:gridSpan w:val="2"/>
            <w:shd w:val="clear" w:color="auto" w:fill="EEEEEE"/>
          </w:tcPr>
          <w:p>
            <w:pPr>
              <w:ind w:left="60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80,077</w:t>
            </w:r>
          </w:p>
        </w:tc>
        <w:tc>
          <w:tcPr>
            <w:tcW w:w="380" w:type="dxa"/>
            <w:vAlign w:val="bottom"/>
            <w:shd w:val="clear" w:color="auto" w:fill="EEEEEE"/>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640" w:type="dxa"/>
            <w:vAlign w:val="bottom"/>
          </w:tcPr>
          <w:p>
            <w:pPr>
              <w:ind w:left="280"/>
              <w:spacing w:after="0"/>
              <w:rPr>
                <w:sz w:val="20"/>
                <w:szCs w:val="20"/>
                <w:color w:val="auto"/>
              </w:rPr>
            </w:pPr>
            <w:r>
              <w:rPr>
                <w:rFonts w:ascii="Arial" w:cs="Arial" w:eastAsia="Arial" w:hAnsi="Arial"/>
                <w:sz w:val="18"/>
                <w:szCs w:val="18"/>
                <w:color w:val="auto"/>
              </w:rPr>
              <w:t>Marketable securities</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133,302</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173,282</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6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Restricted marketable securities</w:t>
            </w: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10,913</w:t>
            </w: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10,912</w:t>
            </w:r>
          </w:p>
        </w:tc>
        <w:tc>
          <w:tcPr>
            <w:tcW w:w="380" w:type="dxa"/>
            <w:vAlign w:val="bottom"/>
            <w:shd w:val="clear" w:color="auto" w:fill="EEEEEE"/>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640" w:type="dxa"/>
            <w:vAlign w:val="bottom"/>
          </w:tcPr>
          <w:p>
            <w:pPr>
              <w:ind w:left="280"/>
              <w:spacing w:after="0"/>
              <w:rPr>
                <w:sz w:val="20"/>
                <w:szCs w:val="20"/>
                <w:color w:val="auto"/>
              </w:rPr>
            </w:pPr>
            <w:r>
              <w:rPr>
                <w:rFonts w:ascii="Arial" w:cs="Arial" w:eastAsia="Arial" w:hAnsi="Arial"/>
                <w:sz w:val="18"/>
                <w:szCs w:val="18"/>
                <w:color w:val="auto"/>
              </w:rPr>
              <w:t>Accounts receivable</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7,871</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4,017</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6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3,063</w:t>
            </w: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1,829</w:t>
            </w:r>
          </w:p>
        </w:tc>
        <w:tc>
          <w:tcPr>
            <w:tcW w:w="380" w:type="dxa"/>
            <w:vAlign w:val="bottom"/>
            <w:shd w:val="clear" w:color="auto" w:fill="EEEEEE"/>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7640" w:type="dxa"/>
            <w:vAlign w:val="bottom"/>
          </w:tcPr>
          <w:p>
            <w:pPr>
              <w:ind w:left="280"/>
              <w:spacing w:after="0"/>
              <w:rPr>
                <w:sz w:val="20"/>
                <w:szCs w:val="20"/>
                <w:color w:val="auto"/>
              </w:rPr>
            </w:pPr>
            <w:r>
              <w:rPr>
                <w:rFonts w:ascii="Arial" w:cs="Arial" w:eastAsia="Arial" w:hAnsi="Arial"/>
                <w:sz w:val="18"/>
                <w:szCs w:val="18"/>
                <w:color w:val="auto"/>
              </w:rPr>
              <w:t>Inventory</w:t>
            </w:r>
          </w:p>
        </w:tc>
        <w:tc>
          <w:tcPr>
            <w:tcW w:w="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10,342</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6,831</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02"/>
        </w:trPr>
        <w:tc>
          <w:tcPr>
            <w:tcW w:w="7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7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7640" w:type="dxa"/>
            <w:vAlign w:val="bottom"/>
            <w:shd w:val="clear" w:color="auto" w:fill="EEEEEE"/>
          </w:tcPr>
          <w:p>
            <w:pPr>
              <w:ind w:left="560"/>
              <w:spacing w:after="0"/>
              <w:rPr>
                <w:sz w:val="20"/>
                <w:szCs w:val="20"/>
                <w:color w:val="auto"/>
              </w:rPr>
            </w:pPr>
            <w:r>
              <w:rPr>
                <w:rFonts w:ascii="Arial" w:cs="Arial" w:eastAsia="Arial" w:hAnsi="Arial"/>
                <w:sz w:val="18"/>
                <w:szCs w:val="18"/>
                <w:color w:val="auto"/>
              </w:rPr>
              <w:t>Total current assets</w:t>
            </w: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295,150</w:t>
            </w: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276,948</w:t>
            </w:r>
          </w:p>
        </w:tc>
        <w:tc>
          <w:tcPr>
            <w:tcW w:w="380" w:type="dxa"/>
            <w:vAlign w:val="bottom"/>
            <w:shd w:val="clear" w:color="auto" w:fill="EEEEEE"/>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Marketable securities</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4,185</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20,402</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640" w:type="dxa"/>
            <w:vAlign w:val="bottom"/>
            <w:shd w:val="clear" w:color="auto" w:fill="EEEEEE"/>
          </w:tcPr>
          <w:p>
            <w:pPr>
              <w:spacing w:after="0"/>
              <w:rPr>
                <w:sz w:val="20"/>
                <w:szCs w:val="20"/>
                <w:color w:val="auto"/>
              </w:rPr>
            </w:pPr>
            <w:r>
              <w:rPr>
                <w:rFonts w:ascii="Arial" w:cs="Arial" w:eastAsia="Arial" w:hAnsi="Arial"/>
                <w:sz w:val="18"/>
                <w:szCs w:val="18"/>
                <w:color w:val="auto"/>
              </w:rPr>
              <w:t>Restricted marketable securities</w:t>
            </w: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5,319</w:t>
            </w: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10,573</w:t>
            </w:r>
          </w:p>
        </w:tc>
        <w:tc>
          <w:tcPr>
            <w:tcW w:w="380" w:type="dxa"/>
            <w:vAlign w:val="bottom"/>
            <w:shd w:val="clear" w:color="auto" w:fill="EEEEEE"/>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Property, plant, and equipment, at cost, net of accumulated depreciation and amortization</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84,670</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76,825</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640" w:type="dxa"/>
            <w:vAlign w:val="bottom"/>
            <w:shd w:val="clear" w:color="auto" w:fill="EEEEEE"/>
          </w:tcPr>
          <w:p>
            <w:pPr>
              <w:spacing w:after="0"/>
              <w:rPr>
                <w:sz w:val="20"/>
                <w:szCs w:val="20"/>
                <w:color w:val="auto"/>
              </w:rPr>
            </w:pPr>
            <w:r>
              <w:rPr>
                <w:rFonts w:ascii="Arial" w:cs="Arial" w:eastAsia="Arial" w:hAnsi="Arial"/>
                <w:sz w:val="18"/>
                <w:szCs w:val="18"/>
                <w:color w:val="auto"/>
              </w:rPr>
              <w:t>Other assets</w:t>
            </w: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6,223</w:t>
            </w: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6,826</w:t>
            </w:r>
          </w:p>
        </w:tc>
        <w:tc>
          <w:tcPr>
            <w:tcW w:w="380" w:type="dxa"/>
            <w:vAlign w:val="bottom"/>
            <w:shd w:val="clear" w:color="auto" w:fill="EEEEEE"/>
          </w:tcPr>
          <w:p>
            <w:pPr>
              <w:spacing w:after="0"/>
              <w:rPr>
                <w:sz w:val="18"/>
                <w:szCs w:val="18"/>
                <w:color w:val="auto"/>
              </w:rPr>
            </w:pPr>
          </w:p>
        </w:tc>
        <w:tc>
          <w:tcPr>
            <w:tcW w:w="60" w:type="dxa"/>
            <w:vAlign w:val="bottom"/>
          </w:tcPr>
          <w:p>
            <w:pPr>
              <w:spacing w:after="0"/>
              <w:rPr>
                <w:sz w:val="18"/>
                <w:szCs w:val="18"/>
                <w:color w:val="auto"/>
              </w:rPr>
            </w:pPr>
          </w:p>
        </w:tc>
      </w:tr>
      <w:tr>
        <w:trPr>
          <w:trHeight w:val="108"/>
        </w:trPr>
        <w:tc>
          <w:tcPr>
            <w:tcW w:w="7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316"/>
        </w:trPr>
        <w:tc>
          <w:tcPr>
            <w:tcW w:w="7640" w:type="dxa"/>
            <w:vAlign w:val="bottom"/>
          </w:tcPr>
          <w:p>
            <w:pPr>
              <w:ind w:left="560"/>
              <w:spacing w:after="0"/>
              <w:rPr>
                <w:sz w:val="20"/>
                <w:szCs w:val="20"/>
                <w:color w:val="auto"/>
              </w:rPr>
            </w:pPr>
            <w:r>
              <w:rPr>
                <w:rFonts w:ascii="Arial" w:cs="Arial" w:eastAsia="Arial" w:hAnsi="Arial"/>
                <w:sz w:val="18"/>
                <w:szCs w:val="18"/>
                <w:color w:val="auto"/>
              </w:rPr>
              <w:t>Total assets</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395,547</w:t>
            </w:r>
          </w:p>
        </w:tc>
        <w:tc>
          <w:tcPr>
            <w:tcW w:w="380" w:type="dxa"/>
            <w:vAlign w:val="bottom"/>
          </w:tcPr>
          <w:p>
            <w:pPr>
              <w:spacing w:after="0"/>
              <w:rPr>
                <w:sz w:val="24"/>
                <w:szCs w:val="24"/>
                <w:color w:val="auto"/>
              </w:rPr>
            </w:pPr>
          </w:p>
        </w:tc>
        <w:tc>
          <w:tcPr>
            <w:tcW w:w="700" w:type="dxa"/>
            <w:vAlign w:val="bottom"/>
            <w:gridSpan w:val="2"/>
          </w:tcPr>
          <w:p>
            <w:pPr>
              <w:ind w:left="60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391,574</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7"/>
        </w:trPr>
        <w:tc>
          <w:tcPr>
            <w:tcW w:w="7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1"/>
        </w:trPr>
        <w:tc>
          <w:tcPr>
            <w:tcW w:w="76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r>
      <w:tr>
        <w:trPr>
          <w:trHeight w:val="105"/>
        </w:trPr>
        <w:tc>
          <w:tcPr>
            <w:tcW w:w="7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7640" w:type="dxa"/>
            <w:vAlign w:val="bottom"/>
            <w:shd w:val="clear" w:color="auto" w:fill="EEEEEE"/>
          </w:tcPr>
          <w:p>
            <w:pPr>
              <w:ind w:left="1820"/>
              <w:spacing w:after="0"/>
              <w:rPr>
                <w:sz w:val="20"/>
                <w:szCs w:val="20"/>
                <w:color w:val="auto"/>
              </w:rPr>
            </w:pPr>
            <w:r>
              <w:rPr>
                <w:rFonts w:ascii="Arial" w:cs="Arial" w:eastAsia="Arial" w:hAnsi="Arial"/>
                <w:sz w:val="18"/>
                <w:szCs w:val="18"/>
                <w:b w:val="1"/>
                <w:bCs w:val="1"/>
                <w:color w:val="auto"/>
              </w:rPr>
              <w:t>LIABILITIES and STOCKHOLDERS’ EQUITY</w:t>
            </w: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Current liabilities</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6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Accounts payable and accrued expenses</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14,043</w:t>
            </w:r>
          </w:p>
        </w:tc>
        <w:tc>
          <w:tcPr>
            <w:tcW w:w="380" w:type="dxa"/>
            <w:vAlign w:val="bottom"/>
            <w:shd w:val="clear" w:color="auto" w:fill="EEEEEE"/>
          </w:tcPr>
          <w:p>
            <w:pPr>
              <w:spacing w:after="0"/>
              <w:rPr>
                <w:sz w:val="18"/>
                <w:szCs w:val="18"/>
                <w:color w:val="auto"/>
              </w:rPr>
            </w:pPr>
          </w:p>
        </w:tc>
        <w:tc>
          <w:tcPr>
            <w:tcW w:w="700" w:type="dxa"/>
            <w:vAlign w:val="bottom"/>
            <w:gridSpan w:val="2"/>
            <w:shd w:val="clear" w:color="auto" w:fill="EEEEEE"/>
          </w:tcPr>
          <w:p>
            <w:pPr>
              <w:ind w:left="60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30,309</w:t>
            </w:r>
          </w:p>
        </w:tc>
        <w:tc>
          <w:tcPr>
            <w:tcW w:w="380" w:type="dxa"/>
            <w:vAlign w:val="bottom"/>
            <w:shd w:val="clear" w:color="auto" w:fill="EEEEEE"/>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640" w:type="dxa"/>
            <w:vAlign w:val="bottom"/>
          </w:tcPr>
          <w:p>
            <w:pPr>
              <w:ind w:left="280"/>
              <w:spacing w:after="0"/>
              <w:rPr>
                <w:sz w:val="20"/>
                <w:szCs w:val="20"/>
                <w:color w:val="auto"/>
              </w:rPr>
            </w:pPr>
            <w:r>
              <w:rPr>
                <w:rFonts w:ascii="Arial" w:cs="Arial" w:eastAsia="Arial" w:hAnsi="Arial"/>
                <w:sz w:val="18"/>
                <w:szCs w:val="18"/>
                <w:color w:val="auto"/>
              </w:rPr>
              <w:t>Deferred revenue, current portion</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35,021</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9,659</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6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Capital lease obligations</w:t>
            </w: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150</w:t>
            </w:r>
          </w:p>
        </w:tc>
        <w:tc>
          <w:tcPr>
            <w:tcW w:w="380" w:type="dxa"/>
            <w:vAlign w:val="bottom"/>
            <w:shd w:val="clear" w:color="auto" w:fill="EEEEEE"/>
          </w:tcPr>
          <w:p>
            <w:pPr>
              <w:spacing w:after="0"/>
              <w:rPr>
                <w:sz w:val="18"/>
                <w:szCs w:val="18"/>
                <w:color w:val="auto"/>
              </w:rPr>
            </w:pPr>
          </w:p>
        </w:tc>
        <w:tc>
          <w:tcPr>
            <w:tcW w:w="60" w:type="dxa"/>
            <w:vAlign w:val="bottom"/>
          </w:tcPr>
          <w:p>
            <w:pPr>
              <w:spacing w:after="0"/>
              <w:rPr>
                <w:sz w:val="18"/>
                <w:szCs w:val="18"/>
                <w:color w:val="auto"/>
              </w:rPr>
            </w:pPr>
          </w:p>
        </w:tc>
      </w:tr>
      <w:tr>
        <w:trPr>
          <w:trHeight w:val="108"/>
        </w:trPr>
        <w:tc>
          <w:tcPr>
            <w:tcW w:w="7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316"/>
        </w:trPr>
        <w:tc>
          <w:tcPr>
            <w:tcW w:w="7640" w:type="dxa"/>
            <w:vAlign w:val="bottom"/>
          </w:tcPr>
          <w:p>
            <w:pPr>
              <w:ind w:left="560"/>
              <w:spacing w:after="0"/>
              <w:rPr>
                <w:sz w:val="20"/>
                <w:szCs w:val="20"/>
                <w:color w:val="auto"/>
              </w:rPr>
            </w:pPr>
            <w:r>
              <w:rPr>
                <w:rFonts w:ascii="Arial" w:cs="Arial" w:eastAsia="Arial" w:hAnsi="Arial"/>
                <w:sz w:val="18"/>
                <w:szCs w:val="18"/>
                <w:color w:val="auto"/>
              </w:rPr>
              <w:t>Total current liabilities</w:t>
            </w:r>
          </w:p>
        </w:tc>
        <w:tc>
          <w:tcPr>
            <w:tcW w:w="4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49,064</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40,118</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8"/>
        </w:trPr>
        <w:tc>
          <w:tcPr>
            <w:tcW w:w="7640" w:type="dxa"/>
            <w:vAlign w:val="bottom"/>
            <w:shd w:val="clear" w:color="auto" w:fill="EEEEEE"/>
          </w:tcPr>
          <w:p>
            <w:pPr>
              <w:spacing w:after="0"/>
              <w:rPr>
                <w:sz w:val="20"/>
                <w:szCs w:val="20"/>
                <w:color w:val="auto"/>
              </w:rPr>
            </w:pPr>
            <w:r>
              <w:rPr>
                <w:rFonts w:ascii="Arial" w:cs="Arial" w:eastAsia="Arial" w:hAnsi="Arial"/>
                <w:sz w:val="18"/>
                <w:szCs w:val="18"/>
                <w:color w:val="auto"/>
              </w:rPr>
              <w:t>Deferred revenue</w:t>
            </w: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3,493</w:t>
            </w: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5,475</w:t>
            </w:r>
          </w:p>
        </w:tc>
        <w:tc>
          <w:tcPr>
            <w:tcW w:w="380" w:type="dxa"/>
            <w:vAlign w:val="bottom"/>
            <w:shd w:val="clear" w:color="auto" w:fill="EEEEEE"/>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Notes payable</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200,000</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200,000</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640" w:type="dxa"/>
            <w:vAlign w:val="bottom"/>
            <w:shd w:val="clear" w:color="auto" w:fill="EEEEEE"/>
          </w:tcPr>
          <w:p>
            <w:pPr>
              <w:spacing w:after="0"/>
              <w:rPr>
                <w:sz w:val="20"/>
                <w:szCs w:val="20"/>
                <w:color w:val="auto"/>
              </w:rPr>
            </w:pPr>
            <w:r>
              <w:rPr>
                <w:rFonts w:ascii="Arial" w:cs="Arial" w:eastAsia="Arial" w:hAnsi="Arial"/>
                <w:sz w:val="18"/>
                <w:szCs w:val="18"/>
                <w:color w:val="auto"/>
              </w:rPr>
              <w:t>Loan payable</w:t>
            </w: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5,147</w:t>
            </w: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640" w:type="dxa"/>
            <w:vAlign w:val="bottom"/>
            <w:shd w:val="clear" w:color="auto" w:fill="EEEEEE"/>
          </w:tcPr>
          <w:p>
            <w:pPr>
              <w:spacing w:after="0"/>
              <w:rPr>
                <w:sz w:val="20"/>
                <w:szCs w:val="20"/>
                <w:color w:val="auto"/>
              </w:rPr>
            </w:pPr>
            <w:r>
              <w:rPr>
                <w:rFonts w:ascii="Arial" w:cs="Arial" w:eastAsia="Arial" w:hAnsi="Arial"/>
                <w:sz w:val="18"/>
                <w:szCs w:val="18"/>
                <w:color w:val="auto"/>
              </w:rPr>
              <w:t>Stockholders’ equity</w:t>
            </w: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640" w:type="dxa"/>
            <w:vAlign w:val="bottom"/>
          </w:tcPr>
          <w:p>
            <w:pPr>
              <w:ind w:left="280"/>
              <w:spacing w:after="0"/>
              <w:rPr>
                <w:sz w:val="20"/>
                <w:szCs w:val="20"/>
                <w:color w:val="auto"/>
              </w:rPr>
            </w:pPr>
            <w:r>
              <w:rPr>
                <w:rFonts w:ascii="Arial" w:cs="Arial" w:eastAsia="Arial" w:hAnsi="Arial"/>
                <w:sz w:val="18"/>
                <w:szCs w:val="18"/>
                <w:color w:val="auto"/>
                <w:w w:val="99"/>
              </w:rPr>
              <w:t>Preferred stock, $.01 par value; 30,000,000 shares authorized; issued and outstanding-none</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6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Class A Stock, convertible, $.001 par value; 40,000,000 shares authorized;</w:t>
            </w: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640" w:type="dxa"/>
            <w:vAlign w:val="bottom"/>
            <w:shd w:val="clear" w:color="auto" w:fill="EEEEEE"/>
          </w:tcPr>
          <w:p>
            <w:pPr>
              <w:ind w:left="580"/>
              <w:spacing w:after="0"/>
              <w:rPr>
                <w:sz w:val="20"/>
                <w:szCs w:val="20"/>
                <w:color w:val="auto"/>
              </w:rPr>
            </w:pPr>
            <w:r>
              <w:rPr>
                <w:rFonts w:ascii="Arial" w:cs="Arial" w:eastAsia="Arial" w:hAnsi="Arial"/>
                <w:sz w:val="18"/>
                <w:szCs w:val="18"/>
                <w:color w:val="auto"/>
              </w:rPr>
              <w:t>2,406,548 shares issued and outstanding in 2003</w:t>
            </w: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r>
      <w:tr>
        <w:trPr>
          <w:trHeight w:val="216"/>
        </w:trPr>
        <w:tc>
          <w:tcPr>
            <w:tcW w:w="7640" w:type="dxa"/>
            <w:vAlign w:val="bottom"/>
            <w:shd w:val="clear" w:color="auto" w:fill="EEEEEE"/>
          </w:tcPr>
          <w:p>
            <w:pPr>
              <w:ind w:left="580"/>
              <w:spacing w:after="0"/>
              <w:rPr>
                <w:sz w:val="20"/>
                <w:szCs w:val="20"/>
                <w:color w:val="auto"/>
              </w:rPr>
            </w:pPr>
            <w:r>
              <w:rPr>
                <w:rFonts w:ascii="Arial" w:cs="Arial" w:eastAsia="Arial" w:hAnsi="Arial"/>
                <w:sz w:val="18"/>
                <w:szCs w:val="18"/>
                <w:color w:val="auto"/>
              </w:rPr>
              <w:t>2,491,181 shares issued and outstanding in 2002</w:t>
            </w: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3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r>
      <w:tr>
        <w:trPr>
          <w:trHeight w:val="208"/>
        </w:trPr>
        <w:tc>
          <w:tcPr>
            <w:tcW w:w="7640" w:type="dxa"/>
            <w:vAlign w:val="bottom"/>
          </w:tcPr>
          <w:p>
            <w:pPr>
              <w:ind w:left="280"/>
              <w:spacing w:after="0"/>
              <w:rPr>
                <w:sz w:val="20"/>
                <w:szCs w:val="20"/>
                <w:color w:val="auto"/>
              </w:rPr>
            </w:pPr>
            <w:r>
              <w:rPr>
                <w:rFonts w:ascii="Arial" w:cs="Arial" w:eastAsia="Arial" w:hAnsi="Arial"/>
                <w:sz w:val="18"/>
                <w:szCs w:val="18"/>
                <w:color w:val="auto"/>
              </w:rPr>
              <w:t>Common Stock, $.001 par value; 160,000,000 shares authorized;</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640" w:type="dxa"/>
            <w:vAlign w:val="bottom"/>
          </w:tcPr>
          <w:p>
            <w:pPr>
              <w:ind w:left="560"/>
              <w:spacing w:after="0"/>
              <w:rPr>
                <w:sz w:val="20"/>
                <w:szCs w:val="20"/>
                <w:color w:val="auto"/>
              </w:rPr>
            </w:pPr>
            <w:r>
              <w:rPr>
                <w:rFonts w:ascii="Arial" w:cs="Arial" w:eastAsia="Arial" w:hAnsi="Arial"/>
                <w:sz w:val="18"/>
                <w:szCs w:val="18"/>
                <w:color w:val="auto"/>
              </w:rPr>
              <w:t>49,697,672 shares issued and outstanding in 2003</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7640" w:type="dxa"/>
            <w:vAlign w:val="bottom"/>
          </w:tcPr>
          <w:p>
            <w:pPr>
              <w:ind w:left="560"/>
              <w:spacing w:after="0"/>
              <w:rPr>
                <w:sz w:val="20"/>
                <w:szCs w:val="20"/>
                <w:color w:val="auto"/>
              </w:rPr>
            </w:pPr>
            <w:r>
              <w:rPr>
                <w:rFonts w:ascii="Arial" w:cs="Arial" w:eastAsia="Arial" w:hAnsi="Arial"/>
                <w:sz w:val="18"/>
                <w:szCs w:val="18"/>
                <w:color w:val="auto"/>
              </w:rPr>
              <w:t>41,746,133 shares issued and outstanding in 2002</w:t>
            </w:r>
          </w:p>
        </w:tc>
        <w:tc>
          <w:tcPr>
            <w:tcW w:w="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76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Additional paid-in capital</w:t>
            </w: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622,931</w:t>
            </w: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573,184</w:t>
            </w:r>
          </w:p>
        </w:tc>
        <w:tc>
          <w:tcPr>
            <w:tcW w:w="380" w:type="dxa"/>
            <w:vAlign w:val="bottom"/>
            <w:shd w:val="clear" w:color="auto" w:fill="EEEEEE"/>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640" w:type="dxa"/>
            <w:vAlign w:val="bottom"/>
          </w:tcPr>
          <w:p>
            <w:pPr>
              <w:ind w:left="280"/>
              <w:spacing w:after="0"/>
              <w:rPr>
                <w:sz w:val="20"/>
                <w:szCs w:val="20"/>
                <w:color w:val="auto"/>
              </w:rPr>
            </w:pPr>
            <w:r>
              <w:rPr>
                <w:rFonts w:ascii="Arial" w:cs="Arial" w:eastAsia="Arial" w:hAnsi="Arial"/>
                <w:sz w:val="18"/>
                <w:szCs w:val="18"/>
                <w:color w:val="auto"/>
              </w:rPr>
              <w:t>Unearned compensation</w:t>
            </w:r>
          </w:p>
        </w:tc>
        <w:tc>
          <w:tcPr>
            <w:tcW w:w="40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(2,443)</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(3,643)</w:t>
            </w:r>
          </w:p>
        </w:tc>
        <w:tc>
          <w:tcPr>
            <w:tcW w:w="60" w:type="dxa"/>
            <w:vAlign w:val="bottom"/>
          </w:tcPr>
          <w:p>
            <w:pPr>
              <w:spacing w:after="0"/>
              <w:rPr>
                <w:sz w:val="18"/>
                <w:szCs w:val="18"/>
                <w:color w:val="auto"/>
              </w:rPr>
            </w:pPr>
          </w:p>
        </w:tc>
      </w:tr>
      <w:tr>
        <w:trPr>
          <w:trHeight w:val="216"/>
        </w:trPr>
        <w:tc>
          <w:tcPr>
            <w:tcW w:w="76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Accumulated deficit</w:t>
            </w:r>
          </w:p>
        </w:tc>
        <w:tc>
          <w:tcPr>
            <w:tcW w:w="40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85"/>
              </w:rPr>
              <w:t>(482,921)</w:t>
            </w: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85"/>
              </w:rPr>
              <w:t>(424,075)</w:t>
            </w:r>
          </w:p>
        </w:tc>
        <w:tc>
          <w:tcPr>
            <w:tcW w:w="60" w:type="dxa"/>
            <w:vAlign w:val="bottom"/>
          </w:tcPr>
          <w:p>
            <w:pPr>
              <w:spacing w:after="0"/>
              <w:rPr>
                <w:sz w:val="18"/>
                <w:szCs w:val="18"/>
                <w:color w:val="auto"/>
              </w:rPr>
            </w:pPr>
          </w:p>
        </w:tc>
      </w:tr>
      <w:tr>
        <w:trPr>
          <w:trHeight w:val="222"/>
        </w:trPr>
        <w:tc>
          <w:tcPr>
            <w:tcW w:w="7640" w:type="dxa"/>
            <w:vAlign w:val="bottom"/>
          </w:tcPr>
          <w:p>
            <w:pPr>
              <w:ind w:left="280"/>
              <w:spacing w:after="0"/>
              <w:rPr>
                <w:sz w:val="20"/>
                <w:szCs w:val="20"/>
                <w:color w:val="auto"/>
              </w:rPr>
            </w:pPr>
            <w:r>
              <w:rPr>
                <w:rFonts w:ascii="Arial" w:cs="Arial" w:eastAsia="Arial" w:hAnsi="Arial"/>
                <w:sz w:val="18"/>
                <w:szCs w:val="18"/>
                <w:color w:val="auto"/>
              </w:rPr>
              <w:t>Accumulated other comprehensive income</w:t>
            </w:r>
          </w:p>
        </w:tc>
        <w:tc>
          <w:tcPr>
            <w:tcW w:w="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224</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471</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02"/>
        </w:trPr>
        <w:tc>
          <w:tcPr>
            <w:tcW w:w="7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7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7640" w:type="dxa"/>
            <w:vAlign w:val="bottom"/>
            <w:shd w:val="clear" w:color="auto" w:fill="EEEEEE"/>
          </w:tcPr>
          <w:p>
            <w:pPr>
              <w:ind w:left="560"/>
              <w:spacing w:after="0"/>
              <w:rPr>
                <w:sz w:val="20"/>
                <w:szCs w:val="20"/>
                <w:color w:val="auto"/>
              </w:rPr>
            </w:pPr>
            <w:r>
              <w:rPr>
                <w:rFonts w:ascii="Arial" w:cs="Arial" w:eastAsia="Arial" w:hAnsi="Arial"/>
                <w:sz w:val="18"/>
                <w:szCs w:val="18"/>
                <w:color w:val="auto"/>
              </w:rPr>
              <w:t>Total stockholders’ equity</w:t>
            </w: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137,843</w:t>
            </w: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145,981</w:t>
            </w:r>
          </w:p>
        </w:tc>
        <w:tc>
          <w:tcPr>
            <w:tcW w:w="380" w:type="dxa"/>
            <w:vAlign w:val="bottom"/>
            <w:shd w:val="clear" w:color="auto" w:fill="EEEEEE"/>
          </w:tcPr>
          <w:p>
            <w:pPr>
              <w:spacing w:after="0"/>
              <w:rPr>
                <w:sz w:val="18"/>
                <w:szCs w:val="18"/>
                <w:color w:val="auto"/>
              </w:rPr>
            </w:pPr>
          </w:p>
        </w:tc>
        <w:tc>
          <w:tcPr>
            <w:tcW w:w="60" w:type="dxa"/>
            <w:vAlign w:val="bottom"/>
          </w:tcPr>
          <w:p>
            <w:pPr>
              <w:spacing w:after="0"/>
              <w:rPr>
                <w:sz w:val="18"/>
                <w:szCs w:val="18"/>
                <w:color w:val="auto"/>
              </w:rPr>
            </w:pPr>
          </w:p>
        </w:tc>
      </w:tr>
      <w:tr>
        <w:trPr>
          <w:trHeight w:val="108"/>
        </w:trPr>
        <w:tc>
          <w:tcPr>
            <w:tcW w:w="7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316"/>
        </w:trPr>
        <w:tc>
          <w:tcPr>
            <w:tcW w:w="7640" w:type="dxa"/>
            <w:vAlign w:val="bottom"/>
          </w:tcPr>
          <w:p>
            <w:pPr>
              <w:ind w:left="560"/>
              <w:spacing w:after="0"/>
              <w:rPr>
                <w:sz w:val="20"/>
                <w:szCs w:val="20"/>
                <w:color w:val="auto"/>
              </w:rPr>
            </w:pPr>
            <w:r>
              <w:rPr>
                <w:rFonts w:ascii="Arial" w:cs="Arial" w:eastAsia="Arial" w:hAnsi="Arial"/>
                <w:sz w:val="18"/>
                <w:szCs w:val="18"/>
                <w:color w:val="auto"/>
              </w:rPr>
              <w:t>Total liabilities and stockholders’ equity</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395,547</w:t>
            </w:r>
          </w:p>
        </w:tc>
        <w:tc>
          <w:tcPr>
            <w:tcW w:w="380" w:type="dxa"/>
            <w:vAlign w:val="bottom"/>
          </w:tcPr>
          <w:p>
            <w:pPr>
              <w:spacing w:after="0"/>
              <w:rPr>
                <w:sz w:val="24"/>
                <w:szCs w:val="24"/>
                <w:color w:val="auto"/>
              </w:rPr>
            </w:pPr>
          </w:p>
        </w:tc>
        <w:tc>
          <w:tcPr>
            <w:tcW w:w="700" w:type="dxa"/>
            <w:vAlign w:val="bottom"/>
            <w:gridSpan w:val="2"/>
          </w:tcPr>
          <w:p>
            <w:pPr>
              <w:ind w:left="60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391,574</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7"/>
        </w:trPr>
        <w:tc>
          <w:tcPr>
            <w:tcW w:w="7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1"/>
        </w:trPr>
        <w:tc>
          <w:tcPr>
            <w:tcW w:w="76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r>
    </w:tbl>
    <w:p>
      <w:pPr>
        <w:spacing w:after="0" w:line="30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ectPr>
          <w:pgSz w:w="11900" w:h="16838" w:orient="portrait"/>
          <w:cols w:equalWidth="0" w:num="1">
            <w:col w:w="11140"/>
          </w:cols>
          <w:pgMar w:left="240" w:top="419" w:right="519" w:bottom="1440" w:gutter="0" w:footer="0" w:header="0"/>
        </w:sectPr>
      </w:pPr>
    </w:p>
    <w:p>
      <w:pPr>
        <w:spacing w:after="0" w:line="231" w:lineRule="exact"/>
        <w:rPr>
          <w:sz w:val="20"/>
          <w:szCs w:val="20"/>
          <w:color w:val="auto"/>
        </w:rPr>
      </w:pPr>
    </w:p>
    <w:p>
      <w:pPr>
        <w:jc w:val="center"/>
        <w:ind w:right="-29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419" w:right="51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Operations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200" w:lineRule="exact"/>
        <w:rPr>
          <w:sz w:val="20"/>
          <w:szCs w:val="20"/>
          <w:color w:val="auto"/>
        </w:rPr>
      </w:pPr>
    </w:p>
    <w:p>
      <w:pPr>
        <w:spacing w:after="0" w:line="24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4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w w:val="98"/>
              </w:rPr>
              <w:t>Three months ended June 30,</w:t>
            </w: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w w:val="97"/>
              </w:rPr>
              <w:t>Six months ended June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96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15"/>
                <w:szCs w:val="15"/>
                <w:color w:val="auto"/>
              </w:rPr>
            </w:pPr>
          </w:p>
        </w:tc>
        <w:tc>
          <w:tcPr>
            <w:tcW w:w="12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2002</w:t>
            </w:r>
          </w:p>
        </w:tc>
        <w:tc>
          <w:tcPr>
            <w:tcW w:w="420" w:type="dxa"/>
            <w:vAlign w:val="bottom"/>
          </w:tcPr>
          <w:p>
            <w:pPr>
              <w:spacing w:after="0"/>
              <w:rPr>
                <w:sz w:val="15"/>
                <w:szCs w:val="15"/>
                <w:color w:val="auto"/>
              </w:rPr>
            </w:pPr>
          </w:p>
        </w:tc>
        <w:tc>
          <w:tcPr>
            <w:tcW w:w="1640" w:type="dxa"/>
            <w:vAlign w:val="bottom"/>
            <w:gridSpan w:val="3"/>
          </w:tcPr>
          <w:p>
            <w:pPr>
              <w:jc w:val="right"/>
              <w:ind w:right="72"/>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15"/>
                <w:szCs w:val="15"/>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2002</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EEEEEE"/>
          </w:tcPr>
          <w:p>
            <w:pPr>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220"/>
              <w:spacing w:after="0"/>
              <w:rPr>
                <w:sz w:val="20"/>
                <w:szCs w:val="20"/>
                <w:color w:val="auto"/>
              </w:rPr>
            </w:pPr>
            <w:r>
              <w:rPr>
                <w:rFonts w:ascii="Arial" w:cs="Arial" w:eastAsia="Arial" w:hAnsi="Arial"/>
                <w:sz w:val="18"/>
                <w:szCs w:val="18"/>
                <w:color w:val="auto"/>
              </w:rPr>
              <w:t>Contract research and development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9,774</w:t>
            </w:r>
          </w:p>
        </w:tc>
        <w:tc>
          <w:tcPr>
            <w:tcW w:w="40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  2,745</w:t>
            </w:r>
          </w:p>
        </w:tc>
        <w:tc>
          <w:tcPr>
            <w:tcW w:w="42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$ 19,198</w:t>
            </w:r>
          </w:p>
        </w:tc>
        <w:tc>
          <w:tcPr>
            <w:tcW w:w="36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  5,435</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Contract manufacturing</w:t>
            </w:r>
          </w:p>
        </w:tc>
        <w:tc>
          <w:tcPr>
            <w:tcW w:w="9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758</w:t>
            </w:r>
          </w:p>
        </w:tc>
        <w:tc>
          <w:tcPr>
            <w:tcW w:w="400" w:type="dxa"/>
            <w:vAlign w:val="bottom"/>
            <w:shd w:val="clear" w:color="auto" w:fill="EEEEEE"/>
          </w:tcPr>
          <w:p>
            <w:pPr>
              <w:spacing w:after="0"/>
              <w:rPr>
                <w:sz w:val="18"/>
                <w:szCs w:val="18"/>
                <w:color w:val="auto"/>
              </w:rPr>
            </w:pPr>
          </w:p>
        </w:tc>
        <w:tc>
          <w:tcPr>
            <w:tcW w:w="12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2,824</w:t>
            </w:r>
          </w:p>
        </w:tc>
        <w:tc>
          <w:tcPr>
            <w:tcW w:w="420" w:type="dxa"/>
            <w:vAlign w:val="bottom"/>
            <w:shd w:val="clear" w:color="auto" w:fill="EEEEEE"/>
          </w:tcPr>
          <w:p>
            <w:pPr>
              <w:spacing w:after="0"/>
              <w:rPr>
                <w:sz w:val="18"/>
                <w:szCs w:val="18"/>
                <w:color w:val="auto"/>
              </w:rPr>
            </w:pPr>
          </w:p>
        </w:tc>
        <w:tc>
          <w:tcPr>
            <w:tcW w:w="16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1,470</w:t>
            </w:r>
          </w:p>
        </w:tc>
        <w:tc>
          <w:tcPr>
            <w:tcW w:w="36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5,075</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100" w:type="dxa"/>
            <w:vAlign w:val="bottom"/>
            <w:gridSpan w:val="2"/>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10,532</w:t>
            </w:r>
          </w:p>
        </w:tc>
        <w:tc>
          <w:tcPr>
            <w:tcW w:w="400" w:type="dxa"/>
            <w:vAlign w:val="bottom"/>
          </w:tcPr>
          <w:p>
            <w:pPr>
              <w:spacing w:after="0"/>
              <w:rPr>
                <w:sz w:val="24"/>
                <w:szCs w:val="24"/>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5,569</w:t>
            </w:r>
          </w:p>
        </w:tc>
        <w:tc>
          <w:tcPr>
            <w:tcW w:w="420" w:type="dxa"/>
            <w:vAlign w:val="bottom"/>
          </w:tcPr>
          <w:p>
            <w:pPr>
              <w:spacing w:after="0"/>
              <w:rPr>
                <w:sz w:val="24"/>
                <w:szCs w:val="24"/>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20,668</w:t>
            </w:r>
          </w:p>
        </w:tc>
        <w:tc>
          <w:tcPr>
            <w:tcW w:w="360" w:type="dxa"/>
            <w:vAlign w:val="bottom"/>
          </w:tcPr>
          <w:p>
            <w:pPr>
              <w:spacing w:after="0"/>
              <w:rPr>
                <w:sz w:val="24"/>
                <w:szCs w:val="24"/>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10,510</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EEEEEE"/>
          </w:tcPr>
          <w:p>
            <w:pPr>
              <w:spacing w:after="0"/>
              <w:rPr>
                <w:sz w:val="20"/>
                <w:szCs w:val="20"/>
                <w:color w:val="auto"/>
              </w:rPr>
            </w:pPr>
            <w:r>
              <w:rPr>
                <w:rFonts w:ascii="Arial" w:cs="Arial" w:eastAsia="Arial" w:hAnsi="Arial"/>
                <w:sz w:val="18"/>
                <w:szCs w:val="18"/>
                <w:color w:val="auto"/>
              </w:rPr>
              <w:t>Expenses</w:t>
            </w:r>
          </w:p>
        </w:tc>
        <w:tc>
          <w:tcPr>
            <w:tcW w:w="4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33,717</w:t>
            </w:r>
          </w:p>
        </w:tc>
        <w:tc>
          <w:tcPr>
            <w:tcW w:w="40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30,701</w:t>
            </w:r>
          </w:p>
        </w:tc>
        <w:tc>
          <w:tcPr>
            <w:tcW w:w="42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68,107</w:t>
            </w:r>
          </w:p>
        </w:tc>
        <w:tc>
          <w:tcPr>
            <w:tcW w:w="36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56,178</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Contract manufacturing</w:t>
            </w:r>
          </w:p>
        </w:tc>
        <w:tc>
          <w:tcPr>
            <w:tcW w:w="9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259</w:t>
            </w:r>
          </w:p>
        </w:tc>
        <w:tc>
          <w:tcPr>
            <w:tcW w:w="400" w:type="dxa"/>
            <w:vAlign w:val="bottom"/>
            <w:shd w:val="clear" w:color="auto" w:fill="EEEEEE"/>
          </w:tcPr>
          <w:p>
            <w:pPr>
              <w:spacing w:after="0"/>
              <w:rPr>
                <w:sz w:val="18"/>
                <w:szCs w:val="18"/>
                <w:color w:val="auto"/>
              </w:rPr>
            </w:pPr>
          </w:p>
        </w:tc>
        <w:tc>
          <w:tcPr>
            <w:tcW w:w="12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1,861</w:t>
            </w:r>
          </w:p>
        </w:tc>
        <w:tc>
          <w:tcPr>
            <w:tcW w:w="420" w:type="dxa"/>
            <w:vAlign w:val="bottom"/>
            <w:shd w:val="clear" w:color="auto" w:fill="EEEEEE"/>
          </w:tcPr>
          <w:p>
            <w:pPr>
              <w:spacing w:after="0"/>
              <w:rPr>
                <w:sz w:val="18"/>
                <w:szCs w:val="18"/>
                <w:color w:val="auto"/>
              </w:rPr>
            </w:pPr>
          </w:p>
        </w:tc>
        <w:tc>
          <w:tcPr>
            <w:tcW w:w="16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925</w:t>
            </w:r>
          </w:p>
        </w:tc>
        <w:tc>
          <w:tcPr>
            <w:tcW w:w="36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3,120</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3,488</w:t>
            </w:r>
          </w:p>
        </w:tc>
        <w:tc>
          <w:tcPr>
            <w:tcW w:w="40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2,956</w:t>
            </w:r>
          </w:p>
        </w:tc>
        <w:tc>
          <w:tcPr>
            <w:tcW w:w="420" w:type="dxa"/>
            <w:vAlign w:val="bottom"/>
          </w:tcPr>
          <w:p>
            <w:pPr>
              <w:spacing w:after="0"/>
              <w:rPr>
                <w:sz w:val="19"/>
                <w:szCs w:val="19"/>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6,947</w:t>
            </w:r>
          </w:p>
        </w:tc>
        <w:tc>
          <w:tcPr>
            <w:tcW w:w="36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6,356</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37,464</w:t>
            </w:r>
          </w:p>
        </w:tc>
        <w:tc>
          <w:tcPr>
            <w:tcW w:w="400" w:type="dxa"/>
            <w:vAlign w:val="bottom"/>
            <w:shd w:val="clear" w:color="auto" w:fill="EEEEEE"/>
          </w:tcPr>
          <w:p>
            <w:pPr>
              <w:spacing w:after="0"/>
              <w:rPr>
                <w:sz w:val="18"/>
                <w:szCs w:val="18"/>
                <w:color w:val="auto"/>
              </w:rPr>
            </w:pPr>
          </w:p>
        </w:tc>
        <w:tc>
          <w:tcPr>
            <w:tcW w:w="12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35,518</w:t>
            </w:r>
          </w:p>
        </w:tc>
        <w:tc>
          <w:tcPr>
            <w:tcW w:w="420" w:type="dxa"/>
            <w:vAlign w:val="bottom"/>
            <w:shd w:val="clear" w:color="auto" w:fill="EEEEEE"/>
          </w:tcPr>
          <w:p>
            <w:pPr>
              <w:spacing w:after="0"/>
              <w:rPr>
                <w:sz w:val="18"/>
                <w:szCs w:val="18"/>
                <w:color w:val="auto"/>
              </w:rPr>
            </w:pPr>
          </w:p>
        </w:tc>
        <w:tc>
          <w:tcPr>
            <w:tcW w:w="16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75,979</w:t>
            </w:r>
          </w:p>
        </w:tc>
        <w:tc>
          <w:tcPr>
            <w:tcW w:w="36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65,654</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280" w:type="dxa"/>
            <w:vAlign w:val="bottom"/>
            <w:gridSpan w:val="2"/>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100" w:type="dxa"/>
            <w:vAlign w:val="bottom"/>
            <w:gridSpan w:val="2"/>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28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360" w:type="dxa"/>
            <w:vAlign w:val="bottom"/>
            <w:gridSpan w:val="3"/>
          </w:tcPr>
          <w:p>
            <w:pPr>
              <w:jc w:val="right"/>
              <w:ind w:right="360"/>
              <w:spacing w:after="0"/>
              <w:rPr>
                <w:sz w:val="20"/>
                <w:szCs w:val="20"/>
                <w:color w:val="auto"/>
              </w:rPr>
            </w:pPr>
            <w:r>
              <w:rPr>
                <w:rFonts w:ascii="Arial" w:cs="Arial" w:eastAsia="Arial" w:hAnsi="Arial"/>
                <w:sz w:val="18"/>
                <w:szCs w:val="18"/>
                <w:color w:val="auto"/>
              </w:rPr>
              <w:t>(26,932)</w:t>
            </w:r>
          </w:p>
        </w:tc>
        <w:tc>
          <w:tcPr>
            <w:tcW w:w="1680" w:type="dxa"/>
            <w:vAlign w:val="bottom"/>
            <w:gridSpan w:val="4"/>
          </w:tcPr>
          <w:p>
            <w:pPr>
              <w:jc w:val="right"/>
              <w:ind w:right="360"/>
              <w:spacing w:after="0"/>
              <w:rPr>
                <w:sz w:val="20"/>
                <w:szCs w:val="20"/>
                <w:color w:val="auto"/>
              </w:rPr>
            </w:pPr>
            <w:r>
              <w:rPr>
                <w:rFonts w:ascii="Arial" w:cs="Arial" w:eastAsia="Arial" w:hAnsi="Arial"/>
                <w:sz w:val="18"/>
                <w:szCs w:val="18"/>
                <w:color w:val="auto"/>
              </w:rPr>
              <w:t>(29,949)</w:t>
            </w:r>
          </w:p>
        </w:tc>
        <w:tc>
          <w:tcPr>
            <w:tcW w:w="2000" w:type="dxa"/>
            <w:vAlign w:val="bottom"/>
            <w:gridSpan w:val="4"/>
          </w:tcPr>
          <w:p>
            <w:pPr>
              <w:jc w:val="right"/>
              <w:ind w:right="300"/>
              <w:spacing w:after="0"/>
              <w:rPr>
                <w:sz w:val="20"/>
                <w:szCs w:val="20"/>
                <w:color w:val="auto"/>
              </w:rPr>
            </w:pPr>
            <w:r>
              <w:rPr>
                <w:rFonts w:ascii="Arial" w:cs="Arial" w:eastAsia="Arial" w:hAnsi="Arial"/>
                <w:sz w:val="18"/>
                <w:szCs w:val="18"/>
                <w:color w:val="auto"/>
              </w:rPr>
              <w:t>(55,311)</w:t>
            </w:r>
          </w:p>
        </w:tc>
        <w:tc>
          <w:tcPr>
            <w:tcW w:w="1520" w:type="dxa"/>
            <w:vAlign w:val="bottom"/>
            <w:gridSpan w:val="4"/>
          </w:tcPr>
          <w:p>
            <w:pPr>
              <w:jc w:val="right"/>
              <w:ind w:right="300"/>
              <w:spacing w:after="0"/>
              <w:rPr>
                <w:sz w:val="20"/>
                <w:szCs w:val="20"/>
                <w:color w:val="auto"/>
              </w:rPr>
            </w:pPr>
            <w:r>
              <w:rPr>
                <w:rFonts w:ascii="Arial" w:cs="Arial" w:eastAsia="Arial" w:hAnsi="Arial"/>
                <w:sz w:val="18"/>
                <w:szCs w:val="18"/>
                <w:color w:val="auto"/>
              </w:rPr>
              <w:t>(55,144)</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EEEEEE"/>
          </w:tcPr>
          <w:p>
            <w:pPr>
              <w:spacing w:after="0"/>
              <w:rPr>
                <w:sz w:val="20"/>
                <w:szCs w:val="20"/>
                <w:color w:val="auto"/>
              </w:rPr>
            </w:pPr>
            <w:r>
              <w:rPr>
                <w:rFonts w:ascii="Arial" w:cs="Arial" w:eastAsia="Arial" w:hAnsi="Arial"/>
                <w:sz w:val="18"/>
                <w:szCs w:val="18"/>
                <w:color w:val="auto"/>
              </w:rPr>
              <w:t>Other income (expense)</w:t>
            </w:r>
          </w:p>
        </w:tc>
        <w:tc>
          <w:tcPr>
            <w:tcW w:w="4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220"/>
              <w:spacing w:after="0"/>
              <w:rPr>
                <w:sz w:val="20"/>
                <w:szCs w:val="20"/>
                <w:color w:val="auto"/>
              </w:rPr>
            </w:pPr>
            <w:r>
              <w:rPr>
                <w:rFonts w:ascii="Arial" w:cs="Arial" w:eastAsia="Arial" w:hAnsi="Arial"/>
                <w:sz w:val="18"/>
                <w:szCs w:val="18"/>
                <w:color w:val="auto"/>
              </w:rPr>
              <w:t>Investment income</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1,101</w:t>
            </w:r>
          </w:p>
        </w:tc>
        <w:tc>
          <w:tcPr>
            <w:tcW w:w="40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2,553</w:t>
            </w:r>
          </w:p>
        </w:tc>
        <w:tc>
          <w:tcPr>
            <w:tcW w:w="42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2,309</w:t>
            </w:r>
          </w:p>
        </w:tc>
        <w:tc>
          <w:tcPr>
            <w:tcW w:w="36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5,325</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Interest expense</w:t>
            </w:r>
          </w:p>
        </w:tc>
        <w:tc>
          <w:tcPr>
            <w:tcW w:w="1360" w:type="dxa"/>
            <w:vAlign w:val="bottom"/>
            <w:gridSpan w:val="3"/>
            <w:shd w:val="clear" w:color="auto" w:fill="EEEEEE"/>
          </w:tcPr>
          <w:p>
            <w:pPr>
              <w:jc w:val="right"/>
              <w:ind w:right="360"/>
              <w:spacing w:after="0"/>
              <w:rPr>
                <w:sz w:val="20"/>
                <w:szCs w:val="20"/>
                <w:color w:val="auto"/>
              </w:rPr>
            </w:pPr>
            <w:r>
              <w:rPr>
                <w:rFonts w:ascii="Arial" w:cs="Arial" w:eastAsia="Arial" w:hAnsi="Arial"/>
                <w:sz w:val="18"/>
                <w:szCs w:val="18"/>
                <w:color w:val="auto"/>
              </w:rPr>
              <w:t>(2,905)</w:t>
            </w:r>
          </w:p>
        </w:tc>
        <w:tc>
          <w:tcPr>
            <w:tcW w:w="1680" w:type="dxa"/>
            <w:vAlign w:val="bottom"/>
            <w:gridSpan w:val="4"/>
            <w:shd w:val="clear" w:color="auto" w:fill="EEEEEE"/>
          </w:tcPr>
          <w:p>
            <w:pPr>
              <w:jc w:val="right"/>
              <w:ind w:right="360"/>
              <w:spacing w:after="0"/>
              <w:rPr>
                <w:sz w:val="20"/>
                <w:szCs w:val="20"/>
                <w:color w:val="auto"/>
              </w:rPr>
            </w:pPr>
            <w:r>
              <w:rPr>
                <w:rFonts w:ascii="Arial" w:cs="Arial" w:eastAsia="Arial" w:hAnsi="Arial"/>
                <w:sz w:val="18"/>
                <w:szCs w:val="18"/>
                <w:color w:val="auto"/>
              </w:rPr>
              <w:t>(3,027)</w:t>
            </w:r>
          </w:p>
        </w:tc>
        <w:tc>
          <w:tcPr>
            <w:tcW w:w="2000" w:type="dxa"/>
            <w:vAlign w:val="bottom"/>
            <w:gridSpan w:val="4"/>
            <w:shd w:val="clear" w:color="auto" w:fill="EEEEEE"/>
          </w:tcPr>
          <w:p>
            <w:pPr>
              <w:jc w:val="right"/>
              <w:ind w:right="300"/>
              <w:spacing w:after="0"/>
              <w:rPr>
                <w:sz w:val="20"/>
                <w:szCs w:val="20"/>
                <w:color w:val="auto"/>
              </w:rPr>
            </w:pPr>
            <w:r>
              <w:rPr>
                <w:rFonts w:ascii="Arial" w:cs="Arial" w:eastAsia="Arial" w:hAnsi="Arial"/>
                <w:sz w:val="18"/>
                <w:szCs w:val="18"/>
                <w:color w:val="auto"/>
              </w:rPr>
              <w:t>(5,844)</w:t>
            </w:r>
          </w:p>
        </w:tc>
        <w:tc>
          <w:tcPr>
            <w:tcW w:w="1520" w:type="dxa"/>
            <w:vAlign w:val="bottom"/>
            <w:gridSpan w:val="4"/>
            <w:shd w:val="clear" w:color="auto" w:fill="EEEEEE"/>
          </w:tcPr>
          <w:p>
            <w:pPr>
              <w:jc w:val="right"/>
              <w:ind w:right="300"/>
              <w:spacing w:after="0"/>
              <w:rPr>
                <w:sz w:val="20"/>
                <w:szCs w:val="20"/>
                <w:color w:val="auto"/>
              </w:rPr>
            </w:pPr>
            <w:r>
              <w:rPr>
                <w:rFonts w:ascii="Arial" w:cs="Arial" w:eastAsia="Arial" w:hAnsi="Arial"/>
                <w:sz w:val="18"/>
                <w:szCs w:val="18"/>
                <w:color w:val="auto"/>
              </w:rPr>
              <w:t>(6,049)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100" w:type="dxa"/>
            <w:vAlign w:val="bottom"/>
            <w:gridSpan w:val="2"/>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360" w:type="dxa"/>
            <w:vAlign w:val="bottom"/>
            <w:gridSpan w:val="3"/>
          </w:tcPr>
          <w:p>
            <w:pPr>
              <w:jc w:val="right"/>
              <w:ind w:right="360"/>
              <w:spacing w:after="0"/>
              <w:rPr>
                <w:sz w:val="20"/>
                <w:szCs w:val="20"/>
                <w:color w:val="auto"/>
              </w:rPr>
            </w:pPr>
            <w:r>
              <w:rPr>
                <w:rFonts w:ascii="Arial" w:cs="Arial" w:eastAsia="Arial" w:hAnsi="Arial"/>
                <w:sz w:val="18"/>
                <w:szCs w:val="18"/>
                <w:color w:val="auto"/>
              </w:rPr>
              <w:t>(1,804)</w:t>
            </w:r>
          </w:p>
        </w:tc>
        <w:tc>
          <w:tcPr>
            <w:tcW w:w="1680" w:type="dxa"/>
            <w:vAlign w:val="bottom"/>
            <w:gridSpan w:val="4"/>
          </w:tcPr>
          <w:p>
            <w:pPr>
              <w:jc w:val="right"/>
              <w:ind w:right="360"/>
              <w:spacing w:after="0"/>
              <w:rPr>
                <w:sz w:val="20"/>
                <w:szCs w:val="20"/>
                <w:color w:val="auto"/>
              </w:rPr>
            </w:pPr>
            <w:r>
              <w:rPr>
                <w:rFonts w:ascii="Arial" w:cs="Arial" w:eastAsia="Arial" w:hAnsi="Arial"/>
                <w:sz w:val="18"/>
                <w:szCs w:val="18"/>
                <w:color w:val="auto"/>
              </w:rPr>
              <w:t>(474)</w:t>
            </w:r>
          </w:p>
        </w:tc>
        <w:tc>
          <w:tcPr>
            <w:tcW w:w="2000" w:type="dxa"/>
            <w:vAlign w:val="bottom"/>
            <w:gridSpan w:val="4"/>
          </w:tcPr>
          <w:p>
            <w:pPr>
              <w:jc w:val="right"/>
              <w:ind w:right="300"/>
              <w:spacing w:after="0"/>
              <w:rPr>
                <w:sz w:val="20"/>
                <w:szCs w:val="20"/>
                <w:color w:val="auto"/>
              </w:rPr>
            </w:pPr>
            <w:r>
              <w:rPr>
                <w:rFonts w:ascii="Arial" w:cs="Arial" w:eastAsia="Arial" w:hAnsi="Arial"/>
                <w:sz w:val="18"/>
                <w:szCs w:val="18"/>
                <w:color w:val="auto"/>
              </w:rPr>
              <w:t>(3,535)</w:t>
            </w:r>
          </w:p>
        </w:tc>
        <w:tc>
          <w:tcPr>
            <w:tcW w:w="1520" w:type="dxa"/>
            <w:vAlign w:val="bottom"/>
            <w:gridSpan w:val="4"/>
          </w:tcPr>
          <w:p>
            <w:pPr>
              <w:jc w:val="right"/>
              <w:ind w:right="30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EEEEEE"/>
          </w:tcPr>
          <w:p>
            <w:pPr>
              <w:spacing w:after="0"/>
              <w:rPr>
                <w:sz w:val="20"/>
                <w:szCs w:val="20"/>
                <w:color w:val="auto"/>
              </w:rPr>
            </w:pPr>
            <w:r>
              <w:rPr>
                <w:rFonts w:ascii="Arial" w:cs="Arial" w:eastAsia="Arial" w:hAnsi="Arial"/>
                <w:sz w:val="18"/>
                <w:szCs w:val="18"/>
                <w:color w:val="auto"/>
              </w:rPr>
              <w:t>Net loss</w:t>
            </w:r>
          </w:p>
        </w:tc>
        <w:tc>
          <w:tcPr>
            <w:tcW w:w="1360" w:type="dxa"/>
            <w:vAlign w:val="bottom"/>
            <w:gridSpan w:val="3"/>
            <w:shd w:val="clear" w:color="auto" w:fill="EEEEEE"/>
          </w:tcPr>
          <w:p>
            <w:pPr>
              <w:jc w:val="right"/>
              <w:ind w:right="360"/>
              <w:spacing w:after="0"/>
              <w:rPr>
                <w:sz w:val="20"/>
                <w:szCs w:val="20"/>
                <w:color w:val="auto"/>
              </w:rPr>
            </w:pPr>
            <w:r>
              <w:rPr>
                <w:rFonts w:ascii="Arial" w:cs="Arial" w:eastAsia="Arial" w:hAnsi="Arial"/>
                <w:sz w:val="18"/>
                <w:szCs w:val="18"/>
                <w:color w:val="auto"/>
              </w:rPr>
              <w:t>($ 28,736)</w:t>
            </w:r>
          </w:p>
        </w:tc>
        <w:tc>
          <w:tcPr>
            <w:tcW w:w="1680" w:type="dxa"/>
            <w:vAlign w:val="bottom"/>
            <w:gridSpan w:val="4"/>
            <w:shd w:val="clear" w:color="auto" w:fill="EEEEEE"/>
          </w:tcPr>
          <w:p>
            <w:pPr>
              <w:jc w:val="right"/>
              <w:ind w:right="360"/>
              <w:spacing w:after="0"/>
              <w:rPr>
                <w:sz w:val="20"/>
                <w:szCs w:val="20"/>
                <w:color w:val="auto"/>
              </w:rPr>
            </w:pPr>
            <w:r>
              <w:rPr>
                <w:rFonts w:ascii="Arial" w:cs="Arial" w:eastAsia="Arial" w:hAnsi="Arial"/>
                <w:sz w:val="18"/>
                <w:szCs w:val="18"/>
                <w:color w:val="auto"/>
              </w:rPr>
              <w:t>($ 30,423)</w:t>
            </w:r>
          </w:p>
        </w:tc>
        <w:tc>
          <w:tcPr>
            <w:tcW w:w="2000" w:type="dxa"/>
            <w:vAlign w:val="bottom"/>
            <w:gridSpan w:val="4"/>
            <w:shd w:val="clear" w:color="auto" w:fill="EEEEEE"/>
          </w:tcPr>
          <w:p>
            <w:pPr>
              <w:jc w:val="right"/>
              <w:ind w:right="300"/>
              <w:spacing w:after="0"/>
              <w:rPr>
                <w:sz w:val="20"/>
                <w:szCs w:val="20"/>
                <w:color w:val="auto"/>
              </w:rPr>
            </w:pPr>
            <w:r>
              <w:rPr>
                <w:rFonts w:ascii="Arial" w:cs="Arial" w:eastAsia="Arial" w:hAnsi="Arial"/>
                <w:sz w:val="18"/>
                <w:szCs w:val="18"/>
                <w:color w:val="auto"/>
              </w:rPr>
              <w:t>($ 58,846)</w:t>
            </w:r>
          </w:p>
        </w:tc>
        <w:tc>
          <w:tcPr>
            <w:tcW w:w="1520" w:type="dxa"/>
            <w:vAlign w:val="bottom"/>
            <w:gridSpan w:val="4"/>
            <w:shd w:val="clear" w:color="auto" w:fill="EEEEEE"/>
          </w:tcPr>
          <w:p>
            <w:pPr>
              <w:jc w:val="right"/>
              <w:ind w:right="300"/>
              <w:spacing w:after="0"/>
              <w:rPr>
                <w:sz w:val="20"/>
                <w:szCs w:val="20"/>
                <w:color w:val="auto"/>
              </w:rPr>
            </w:pPr>
            <w:r>
              <w:rPr>
                <w:rFonts w:ascii="Arial" w:cs="Arial" w:eastAsia="Arial" w:hAnsi="Arial"/>
                <w:sz w:val="18"/>
                <w:szCs w:val="18"/>
                <w:color w:val="auto"/>
              </w:rPr>
              <w:t>($ 55,868)</w:t>
            </w:r>
          </w:p>
        </w:tc>
        <w:tc>
          <w:tcPr>
            <w:tcW w:w="0" w:type="dxa"/>
            <w:vAlign w:val="bottom"/>
          </w:tcPr>
          <w:p>
            <w:pPr>
              <w:spacing w:after="0"/>
              <w:rPr>
                <w:sz w:val="1"/>
                <w:szCs w:val="1"/>
                <w:color w:val="auto"/>
              </w:rPr>
            </w:pPr>
          </w:p>
        </w:tc>
      </w:tr>
      <w:tr>
        <w:trPr>
          <w:trHeight w:val="105"/>
        </w:trPr>
        <w:tc>
          <w:tcPr>
            <w:tcW w:w="4280" w:type="dxa"/>
            <w:vAlign w:val="bottom"/>
            <w:gridSpan w:val="2"/>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00" w:type="dxa"/>
            <w:vAlign w:val="bottom"/>
            <w:gridSpan w:val="2"/>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280" w:type="dxa"/>
            <w:vAlign w:val="bottom"/>
            <w:gridSpan w:val="2"/>
          </w:tcPr>
          <w:p>
            <w:pPr>
              <w:spacing w:after="0"/>
              <w:rPr>
                <w:sz w:val="5"/>
                <w:szCs w:val="5"/>
                <w:color w:val="auto"/>
              </w:rPr>
            </w:pPr>
          </w:p>
        </w:tc>
        <w:tc>
          <w:tcPr>
            <w:tcW w:w="40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tcBorders>
              <w:right w:val="single" w:sz="8" w:color="808080"/>
            </w:tcBorders>
            <w:gridSpan w:val="2"/>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1100" w:type="dxa"/>
            <w:vAlign w:val="bottom"/>
            <w:gridSpan w:val="2"/>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620" w:type="dxa"/>
            <w:vAlign w:val="bottom"/>
            <w:tcBorders>
              <w:right w:val="single" w:sz="8" w:color="808080"/>
            </w:tcBorders>
            <w:gridSpan w:val="2"/>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280" w:type="dxa"/>
            <w:vAlign w:val="bottom"/>
            <w:gridSpan w:val="2"/>
          </w:tcPr>
          <w:p>
            <w:pPr>
              <w:spacing w:after="0"/>
              <w:rPr>
                <w:sz w:val="20"/>
                <w:szCs w:val="20"/>
                <w:color w:val="auto"/>
              </w:rPr>
            </w:pPr>
            <w:r>
              <w:rPr>
                <w:rFonts w:ascii="Arial" w:cs="Arial" w:eastAsia="Arial" w:hAnsi="Arial"/>
                <w:sz w:val="18"/>
                <w:szCs w:val="18"/>
                <w:color w:val="auto"/>
              </w:rPr>
              <w:t>Net loss per share amounts, basic and diluted</w:t>
            </w:r>
          </w:p>
        </w:tc>
        <w:tc>
          <w:tcPr>
            <w:tcW w:w="1360" w:type="dxa"/>
            <w:vAlign w:val="bottom"/>
            <w:gridSpan w:val="3"/>
          </w:tcPr>
          <w:p>
            <w:pPr>
              <w:jc w:val="right"/>
              <w:ind w:right="360"/>
              <w:spacing w:after="0"/>
              <w:rPr>
                <w:sz w:val="20"/>
                <w:szCs w:val="20"/>
                <w:color w:val="auto"/>
              </w:rPr>
            </w:pPr>
            <w:r>
              <w:rPr>
                <w:rFonts w:ascii="Arial" w:cs="Arial" w:eastAsia="Arial" w:hAnsi="Arial"/>
                <w:sz w:val="18"/>
                <w:szCs w:val="18"/>
                <w:color w:val="auto"/>
              </w:rPr>
              <w:t>($0.58)</w:t>
            </w:r>
          </w:p>
        </w:tc>
        <w:tc>
          <w:tcPr>
            <w:tcW w:w="1680" w:type="dxa"/>
            <w:vAlign w:val="bottom"/>
            <w:gridSpan w:val="4"/>
          </w:tcPr>
          <w:p>
            <w:pPr>
              <w:jc w:val="right"/>
              <w:ind w:right="360"/>
              <w:spacing w:after="0"/>
              <w:rPr>
                <w:sz w:val="20"/>
                <w:szCs w:val="20"/>
                <w:color w:val="auto"/>
              </w:rPr>
            </w:pPr>
            <w:r>
              <w:rPr>
                <w:rFonts w:ascii="Arial" w:cs="Arial" w:eastAsia="Arial" w:hAnsi="Arial"/>
                <w:sz w:val="18"/>
                <w:szCs w:val="18"/>
                <w:color w:val="auto"/>
              </w:rPr>
              <w:t>($0.69)</w:t>
            </w:r>
          </w:p>
        </w:tc>
        <w:tc>
          <w:tcPr>
            <w:tcW w:w="2000" w:type="dxa"/>
            <w:vAlign w:val="bottom"/>
            <w:gridSpan w:val="4"/>
          </w:tcPr>
          <w:p>
            <w:pPr>
              <w:jc w:val="right"/>
              <w:ind w:right="300"/>
              <w:spacing w:after="0"/>
              <w:rPr>
                <w:sz w:val="20"/>
                <w:szCs w:val="20"/>
                <w:color w:val="auto"/>
              </w:rPr>
            </w:pPr>
            <w:r>
              <w:rPr>
                <w:rFonts w:ascii="Arial" w:cs="Arial" w:eastAsia="Arial" w:hAnsi="Arial"/>
                <w:sz w:val="18"/>
                <w:szCs w:val="18"/>
                <w:color w:val="auto"/>
              </w:rPr>
              <w:t>($1.25)</w:t>
            </w:r>
          </w:p>
        </w:tc>
        <w:tc>
          <w:tcPr>
            <w:tcW w:w="1520" w:type="dxa"/>
            <w:vAlign w:val="bottom"/>
            <w:gridSpan w:val="4"/>
          </w:tcPr>
          <w:p>
            <w:pPr>
              <w:jc w:val="right"/>
              <w:ind w:right="3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3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419" w:right="5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 of Stockholders’ Equity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9"/>
          </w:tcPr>
          <w:p>
            <w:pPr>
              <w:ind w:left="180"/>
              <w:spacing w:after="0"/>
              <w:rPr>
                <w:sz w:val="20"/>
                <w:szCs w:val="20"/>
                <w:color w:val="auto"/>
              </w:rPr>
            </w:pPr>
            <w:r>
              <w:rPr>
                <w:rFonts w:ascii="Arial" w:cs="Arial" w:eastAsia="Arial" w:hAnsi="Arial"/>
                <w:sz w:val="14"/>
                <w:szCs w:val="14"/>
                <w:b w:val="1"/>
                <w:bCs w:val="1"/>
                <w:color w:val="auto"/>
              </w:rPr>
              <w:t>Class A Stock</w:t>
            </w:r>
          </w:p>
        </w:tc>
        <w:tc>
          <w:tcPr>
            <w:tcW w:w="160" w:type="dxa"/>
            <w:vAlign w:val="bottom"/>
          </w:tcPr>
          <w:p>
            <w:pPr>
              <w:spacing w:after="0"/>
              <w:rPr>
                <w:sz w:val="15"/>
                <w:szCs w:val="15"/>
                <w:color w:val="auto"/>
              </w:rPr>
            </w:pPr>
          </w:p>
        </w:tc>
        <w:tc>
          <w:tcPr>
            <w:tcW w:w="1320" w:type="dxa"/>
            <w:vAlign w:val="bottom"/>
            <w:gridSpan w:val="10"/>
          </w:tcPr>
          <w:p>
            <w:pPr>
              <w:ind w:left="14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20" w:type="dxa"/>
            <w:vAlign w:val="bottom"/>
            <w:vMerge w:val="restart"/>
          </w:tcPr>
          <w:p>
            <w:pPr>
              <w:spacing w:after="0"/>
              <w:rPr>
                <w:sz w:val="8"/>
                <w:szCs w:val="8"/>
                <w:color w:val="auto"/>
              </w:rPr>
            </w:pPr>
          </w:p>
        </w:tc>
        <w:tc>
          <w:tcPr>
            <w:tcW w:w="140" w:type="dxa"/>
            <w:vAlign w:val="bottom"/>
            <w:vMerge w:val="restart"/>
          </w:tcPr>
          <w:p>
            <w:pPr>
              <w:spacing w:after="0"/>
              <w:rPr>
                <w:sz w:val="8"/>
                <w:szCs w:val="8"/>
                <w:color w:val="auto"/>
              </w:rPr>
            </w:pPr>
          </w:p>
        </w:tc>
        <w:tc>
          <w:tcPr>
            <w:tcW w:w="120" w:type="dxa"/>
            <w:vAlign w:val="bottom"/>
            <w:vMerge w:val="restart"/>
          </w:tcPr>
          <w:p>
            <w:pPr>
              <w:spacing w:after="0"/>
              <w:rPr>
                <w:sz w:val="8"/>
                <w:szCs w:val="8"/>
                <w:color w:val="auto"/>
              </w:rPr>
            </w:pPr>
          </w:p>
        </w:tc>
        <w:tc>
          <w:tcPr>
            <w:tcW w:w="68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Paid-in</w:t>
            </w:r>
          </w:p>
        </w:tc>
        <w:tc>
          <w:tcPr>
            <w:tcW w:w="160" w:type="dxa"/>
            <w:vAlign w:val="bottom"/>
            <w:vMerge w:val="restart"/>
          </w:tcPr>
          <w:p>
            <w:pPr>
              <w:spacing w:after="0"/>
              <w:rPr>
                <w:sz w:val="8"/>
                <w:szCs w:val="8"/>
                <w:color w:val="auto"/>
              </w:rPr>
            </w:pPr>
          </w:p>
        </w:tc>
        <w:tc>
          <w:tcPr>
            <w:tcW w:w="120" w:type="dxa"/>
            <w:vAlign w:val="bottom"/>
            <w:vMerge w:val="restart"/>
          </w:tcPr>
          <w:p>
            <w:pPr>
              <w:spacing w:after="0"/>
              <w:rPr>
                <w:sz w:val="8"/>
                <w:szCs w:val="8"/>
                <w:color w:val="auto"/>
              </w:rPr>
            </w:pPr>
          </w:p>
        </w:tc>
        <w:tc>
          <w:tcPr>
            <w:tcW w:w="160" w:type="dxa"/>
            <w:vAlign w:val="bottom"/>
            <w:vMerge w:val="restart"/>
          </w:tcPr>
          <w:p>
            <w:pPr>
              <w:spacing w:after="0"/>
              <w:rPr>
                <w:sz w:val="8"/>
                <w:szCs w:val="8"/>
                <w:color w:val="auto"/>
              </w:rPr>
            </w:pPr>
          </w:p>
        </w:tc>
        <w:tc>
          <w:tcPr>
            <w:tcW w:w="940" w:type="dxa"/>
            <w:vAlign w:val="bottom"/>
            <w:gridSpan w:val="4"/>
            <w:vMerge w:val="restart"/>
          </w:tcPr>
          <w:p>
            <w:pPr>
              <w:jc w:val="right"/>
              <w:ind w:right="260"/>
              <w:spacing w:after="0"/>
              <w:rPr>
                <w:sz w:val="20"/>
                <w:szCs w:val="20"/>
                <w:color w:val="auto"/>
              </w:rPr>
            </w:pPr>
            <w:r>
              <w:rPr>
                <w:rFonts w:ascii="Arial" w:cs="Arial" w:eastAsia="Arial" w:hAnsi="Arial"/>
                <w:sz w:val="14"/>
                <w:szCs w:val="14"/>
                <w:b w:val="1"/>
                <w:bCs w:val="1"/>
                <w:color w:val="auto"/>
              </w:rPr>
              <w:t>Unearned</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5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9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tcPr>
          <w:p>
            <w:pPr>
              <w:ind w:left="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5"/>
          </w:tcPr>
          <w:p>
            <w:pPr>
              <w:ind w:left="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8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76"/>
              </w:rPr>
              <w:t>Shares</w:t>
            </w:r>
          </w:p>
        </w:tc>
        <w:tc>
          <w:tcPr>
            <w:tcW w:w="500" w:type="dxa"/>
            <w:vAlign w:val="bottom"/>
            <w:gridSpan w:val="5"/>
          </w:tcPr>
          <w:p>
            <w:pPr>
              <w:spacing w:after="0"/>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w w:val="96"/>
              </w:rPr>
              <w:t>Compensation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Balance, December 31, 2002</w:t>
            </w:r>
          </w:p>
        </w:tc>
        <w:tc>
          <w:tcPr>
            <w:tcW w:w="520" w:type="dxa"/>
            <w:vAlign w:val="bottom"/>
            <w:tcBorders>
              <w:right w:val="single" w:sz="8" w:color="EEEEEE"/>
            </w:tcBorders>
            <w:gridSpan w:val="2"/>
            <w:shd w:val="clear" w:color="auto" w:fill="EEEEEE"/>
          </w:tcPr>
          <w:p>
            <w:pPr>
              <w:ind w:left="120"/>
              <w:spacing w:after="0"/>
              <w:rPr>
                <w:sz w:val="20"/>
                <w:szCs w:val="20"/>
                <w:color w:val="auto"/>
              </w:rPr>
            </w:pPr>
            <w:r>
              <w:rPr>
                <w:rFonts w:ascii="Arial" w:cs="Arial" w:eastAsia="Arial" w:hAnsi="Arial"/>
                <w:sz w:val="18"/>
                <w:szCs w:val="18"/>
                <w:color w:val="auto"/>
                <w:w w:val="79"/>
              </w:rPr>
              <w:t>2,491</w:t>
            </w:r>
          </w:p>
        </w:tc>
        <w:tc>
          <w:tcPr>
            <w:tcW w:w="100" w:type="dxa"/>
            <w:vAlign w:val="bottom"/>
            <w:shd w:val="clear" w:color="auto" w:fill="EEEEEE"/>
          </w:tcPr>
          <w:p>
            <w:pPr>
              <w:spacing w:after="0"/>
              <w:rPr>
                <w:sz w:val="18"/>
                <w:szCs w:val="18"/>
                <w:color w:val="auto"/>
              </w:rPr>
            </w:pPr>
          </w:p>
        </w:tc>
        <w:tc>
          <w:tcPr>
            <w:tcW w:w="600" w:type="dxa"/>
            <w:vAlign w:val="bottom"/>
            <w:gridSpan w:val="4"/>
            <w:shd w:val="clear" w:color="auto" w:fill="EEEEEE"/>
          </w:tcPr>
          <w:p>
            <w:pPr>
              <w:jc w:val="center"/>
              <w:ind w:left="256"/>
              <w:spacing w:after="0"/>
              <w:rPr>
                <w:sz w:val="20"/>
                <w:szCs w:val="20"/>
                <w:color w:val="auto"/>
              </w:rPr>
            </w:pPr>
            <w:r>
              <w:rPr>
                <w:rFonts w:ascii="Arial" w:cs="Arial" w:eastAsia="Arial" w:hAnsi="Arial"/>
                <w:sz w:val="18"/>
                <w:szCs w:val="18"/>
                <w:color w:val="auto"/>
              </w:rPr>
              <w:t>$ 2</w:t>
            </w:r>
          </w:p>
        </w:tc>
        <w:tc>
          <w:tcPr>
            <w:tcW w:w="22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41,746</w:t>
            </w: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$42</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6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$573,184</w:t>
            </w:r>
          </w:p>
        </w:tc>
        <w:tc>
          <w:tcPr>
            <w:tcW w:w="100" w:type="dxa"/>
            <w:vAlign w:val="bottom"/>
            <w:shd w:val="clear" w:color="auto" w:fill="EEEEEE"/>
          </w:tcPr>
          <w:p>
            <w:pPr>
              <w:spacing w:after="0"/>
              <w:rPr>
                <w:sz w:val="18"/>
                <w:szCs w:val="18"/>
                <w:color w:val="auto"/>
              </w:rPr>
            </w:pPr>
          </w:p>
        </w:tc>
        <w:tc>
          <w:tcPr>
            <w:tcW w:w="1380" w:type="dxa"/>
            <w:vAlign w:val="bottom"/>
            <w:gridSpan w:val="7"/>
            <w:shd w:val="clear" w:color="auto" w:fill="EEEEEE"/>
          </w:tcPr>
          <w:p>
            <w:pPr>
              <w:jc w:val="right"/>
              <w:ind w:right="220"/>
              <w:spacing w:after="0"/>
              <w:rPr>
                <w:sz w:val="20"/>
                <w:szCs w:val="20"/>
                <w:color w:val="auto"/>
              </w:rPr>
            </w:pPr>
            <w:r>
              <w:rPr>
                <w:rFonts w:ascii="Arial" w:cs="Arial" w:eastAsia="Arial" w:hAnsi="Arial"/>
                <w:sz w:val="18"/>
                <w:szCs w:val="18"/>
                <w:color w:val="auto"/>
              </w:rPr>
              <w:t>($3,643)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Issuance of Common Stock in connection with exercise of stock options</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5"/>
          </w:tcPr>
          <w:p>
            <w:pPr>
              <w:jc w:val="right"/>
              <w:spacing w:after="0"/>
              <w:rPr>
                <w:sz w:val="20"/>
                <w:szCs w:val="20"/>
                <w:color w:val="auto"/>
              </w:rPr>
            </w:pPr>
            <w:r>
              <w:rPr>
                <w:rFonts w:ascii="Arial" w:cs="Arial" w:eastAsia="Arial" w:hAnsi="Arial"/>
                <w:sz w:val="18"/>
                <w:szCs w:val="18"/>
                <w:color w:val="auto"/>
              </w:rPr>
              <w:t>1,076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Issuance of Common Stock to Novartis Pharma AG</w:t>
            </w:r>
          </w:p>
        </w:tc>
        <w:tc>
          <w:tcPr>
            <w:tcW w:w="1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7,527</w:t>
            </w: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6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47,992</w:t>
            </w: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Forfeitures of restricted Common Stock under Long-Term Incentive Plan</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4"/>
          </w:tcPr>
          <w:p>
            <w:pPr>
              <w:jc w:val="right"/>
              <w:ind w:right="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6"/>
          </w:tcPr>
          <w:p>
            <w:pPr>
              <w:jc w:val="right"/>
              <w:ind w:right="40"/>
              <w:spacing w:after="0"/>
              <w:rPr>
                <w:sz w:val="20"/>
                <w:szCs w:val="20"/>
                <w:color w:val="auto"/>
              </w:rPr>
            </w:pPr>
            <w:r>
              <w:rPr>
                <w:rFonts w:ascii="Arial" w:cs="Arial" w:eastAsia="Arial" w:hAnsi="Arial"/>
                <w:sz w:val="18"/>
                <w:szCs w:val="18"/>
                <w:color w:val="auto"/>
              </w:rPr>
              <w:t>(68)</w:t>
            </w:r>
          </w:p>
        </w:tc>
        <w:tc>
          <w:tcPr>
            <w:tcW w:w="1120" w:type="dxa"/>
            <w:vAlign w:val="bottom"/>
            <w:gridSpan w:val="6"/>
          </w:tcPr>
          <w:p>
            <w:pPr>
              <w:jc w:val="right"/>
              <w:ind w:right="20"/>
              <w:spacing w:after="0"/>
              <w:rPr>
                <w:sz w:val="20"/>
                <w:szCs w:val="20"/>
                <w:color w:val="auto"/>
              </w:rPr>
            </w:pPr>
            <w:r>
              <w:rPr>
                <w:rFonts w:ascii="Arial" w:cs="Arial" w:eastAsia="Arial" w:hAnsi="Arial"/>
                <w:sz w:val="18"/>
                <w:szCs w:val="18"/>
                <w:color w:val="auto"/>
              </w:rPr>
              <w:t>68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w w:val="94"/>
              </w:rPr>
              <w:t>Issuance of Common Stock in connection with Company 401(k) Savings Plan</w:t>
            </w:r>
          </w:p>
        </w:tc>
        <w:tc>
          <w:tcPr>
            <w:tcW w:w="1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contribution</w:t>
            </w:r>
          </w:p>
        </w:tc>
        <w:tc>
          <w:tcPr>
            <w:tcW w:w="100" w:type="dxa"/>
            <w:vAlign w:val="bottom"/>
            <w:shd w:val="clear" w:color="auto" w:fill="EEEEEE"/>
          </w:tcPr>
          <w:p>
            <w:pPr>
              <w:spacing w:after="0"/>
              <w:rPr>
                <w:sz w:val="19"/>
                <w:szCs w:val="19"/>
                <w:color w:val="auto"/>
              </w:rPr>
            </w:pPr>
          </w:p>
        </w:tc>
        <w:tc>
          <w:tcPr>
            <w:tcW w:w="420" w:type="dxa"/>
            <w:vAlign w:val="bottom"/>
            <w:tcBorders>
              <w:right w:val="single" w:sz="8" w:color="EEEEEE"/>
            </w:tcBorders>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00" w:type="dxa"/>
            <w:vAlign w:val="bottom"/>
            <w:tcBorders>
              <w:right w:val="single" w:sz="8" w:color="EEEEEE"/>
            </w:tcBorders>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220" w:type="dxa"/>
            <w:vAlign w:val="bottom"/>
            <w:tcBorders>
              <w:right w:val="single" w:sz="8" w:color="EEEEEE"/>
            </w:tcBorders>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6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6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96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747</w:t>
            </w:r>
          </w:p>
        </w:tc>
        <w:tc>
          <w:tcPr>
            <w:tcW w:w="10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520" w:type="dxa"/>
            <w:vAlign w:val="bottom"/>
            <w:shd w:val="clear" w:color="auto" w:fill="EEEEEE"/>
          </w:tcPr>
          <w:p>
            <w:pPr>
              <w:spacing w:after="0"/>
              <w:rPr>
                <w:sz w:val="19"/>
                <w:szCs w:val="19"/>
                <w:color w:val="auto"/>
              </w:rPr>
            </w:pPr>
          </w:p>
        </w:tc>
        <w:tc>
          <w:tcPr>
            <w:tcW w:w="40" w:type="dxa"/>
            <w:vAlign w:val="bottom"/>
            <w:tcBorders>
              <w:right w:val="single" w:sz="8" w:color="EEEEEE"/>
            </w:tcBorders>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Conversion of Class A Stock to Common Stock</w:t>
            </w:r>
          </w:p>
        </w:tc>
        <w:tc>
          <w:tcPr>
            <w:tcW w:w="620" w:type="dxa"/>
            <w:vAlign w:val="bottom"/>
            <w:gridSpan w:val="3"/>
          </w:tcPr>
          <w:p>
            <w:pPr>
              <w:ind w:left="280"/>
              <w:spacing w:after="0"/>
              <w:rPr>
                <w:sz w:val="20"/>
                <w:szCs w:val="20"/>
                <w:color w:val="auto"/>
              </w:rPr>
            </w:pPr>
            <w:r>
              <w:rPr>
                <w:rFonts w:ascii="Arial" w:cs="Arial" w:eastAsia="Arial" w:hAnsi="Arial"/>
                <w:sz w:val="18"/>
                <w:szCs w:val="18"/>
                <w:color w:val="auto"/>
                <w:w w:val="99"/>
              </w:rPr>
              <w:t>(85)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Amortization of unearned compensation</w:t>
            </w:r>
          </w:p>
        </w:tc>
        <w:tc>
          <w:tcPr>
            <w:tcW w:w="1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20" w:type="dxa"/>
            <w:vAlign w:val="bottom"/>
            <w:tcBorders>
              <w:right w:val="single" w:sz="8" w:color="EEEEEE"/>
            </w:tcBorders>
            <w:gridSpan w:val="6"/>
            <w:shd w:val="clear" w:color="auto" w:fill="EEEEEE"/>
          </w:tcPr>
          <w:p>
            <w:pPr>
              <w:jc w:val="right"/>
              <w:ind w:right="20"/>
              <w:spacing w:after="0"/>
              <w:rPr>
                <w:sz w:val="20"/>
                <w:szCs w:val="20"/>
                <w:color w:val="auto"/>
              </w:rPr>
            </w:pPr>
            <w:r>
              <w:rPr>
                <w:rFonts w:ascii="Arial" w:cs="Arial" w:eastAsia="Arial" w:hAnsi="Arial"/>
                <w:sz w:val="18"/>
                <w:szCs w:val="18"/>
                <w:color w:val="auto"/>
              </w:rPr>
              <w:t>1,132</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Change in net unrealized gain on marketable securities</w:t>
            </w:r>
          </w:p>
        </w:tc>
        <w:tc>
          <w:tcPr>
            <w:tcW w:w="1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gridSpan w:val="2"/>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gridSpan w:val="2"/>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840" w:type="dxa"/>
            <w:vAlign w:val="bottom"/>
          </w:tcPr>
          <w:p>
            <w:pPr>
              <w:ind w:left="240"/>
              <w:spacing w:after="0"/>
              <w:rPr>
                <w:sz w:val="20"/>
                <w:szCs w:val="20"/>
                <w:color w:val="auto"/>
              </w:rPr>
            </w:pPr>
            <w:r>
              <w:rPr>
                <w:rFonts w:ascii="Arial" w:cs="Arial" w:eastAsia="Arial" w:hAnsi="Arial"/>
                <w:sz w:val="18"/>
                <w:szCs w:val="18"/>
                <w:color w:val="auto"/>
              </w:rPr>
              <w:t>Balance, June 30, 2003</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w w:val="79"/>
              </w:rPr>
              <w:t>2,406</w:t>
            </w:r>
          </w:p>
        </w:tc>
        <w:tc>
          <w:tcPr>
            <w:tcW w:w="100" w:type="dxa"/>
            <w:vAlign w:val="bottom"/>
          </w:tcPr>
          <w:p>
            <w:pPr>
              <w:spacing w:after="0"/>
              <w:rPr>
                <w:sz w:val="24"/>
                <w:szCs w:val="24"/>
                <w:color w:val="auto"/>
              </w:rPr>
            </w:pPr>
          </w:p>
        </w:tc>
        <w:tc>
          <w:tcPr>
            <w:tcW w:w="600" w:type="dxa"/>
            <w:vAlign w:val="bottom"/>
            <w:gridSpan w:val="4"/>
          </w:tcPr>
          <w:p>
            <w:pPr>
              <w:jc w:val="center"/>
              <w:ind w:left="256"/>
              <w:spacing w:after="0"/>
              <w:rPr>
                <w:sz w:val="20"/>
                <w:szCs w:val="20"/>
                <w:color w:val="auto"/>
              </w:rPr>
            </w:pPr>
            <w:r>
              <w:rPr>
                <w:rFonts w:ascii="Arial" w:cs="Arial" w:eastAsia="Arial" w:hAnsi="Arial"/>
                <w:sz w:val="18"/>
                <w:szCs w:val="18"/>
                <w:color w:val="auto"/>
              </w:rPr>
              <w:t>$ 2</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49,698</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5"/>
          </w:tcPr>
          <w:p>
            <w:pPr>
              <w:jc w:val="right"/>
              <w:spacing w:after="0"/>
              <w:rPr>
                <w:sz w:val="20"/>
                <w:szCs w:val="20"/>
                <w:color w:val="auto"/>
              </w:rPr>
            </w:pPr>
            <w:r>
              <w:rPr>
                <w:rFonts w:ascii="Arial" w:cs="Arial" w:eastAsia="Arial" w:hAnsi="Arial"/>
                <w:sz w:val="18"/>
                <w:szCs w:val="18"/>
                <w:color w:val="auto"/>
              </w:rPr>
              <w:t>$622,931</w:t>
            </w:r>
          </w:p>
        </w:tc>
        <w:tc>
          <w:tcPr>
            <w:tcW w:w="100" w:type="dxa"/>
            <w:vAlign w:val="bottom"/>
          </w:tcPr>
          <w:p>
            <w:pPr>
              <w:spacing w:after="0"/>
              <w:rPr>
                <w:sz w:val="24"/>
                <w:szCs w:val="24"/>
                <w:color w:val="auto"/>
              </w:rPr>
            </w:pPr>
          </w:p>
        </w:tc>
        <w:tc>
          <w:tcPr>
            <w:tcW w:w="1380" w:type="dxa"/>
            <w:vAlign w:val="bottom"/>
            <w:gridSpan w:val="7"/>
          </w:tcPr>
          <w:p>
            <w:pPr>
              <w:jc w:val="right"/>
              <w:ind w:right="220"/>
              <w:spacing w:after="0"/>
              <w:rPr>
                <w:sz w:val="20"/>
                <w:szCs w:val="20"/>
                <w:color w:val="auto"/>
              </w:rPr>
            </w:pPr>
            <w:r>
              <w:rPr>
                <w:rFonts w:ascii="Arial" w:cs="Arial" w:eastAsia="Arial" w:hAnsi="Arial"/>
                <w:sz w:val="18"/>
                <w:szCs w:val="18"/>
                <w:color w:val="auto"/>
              </w:rPr>
              <w:t>($2,443)</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gridSpan w:val="2"/>
          </w:tcPr>
          <w:p>
            <w:pPr>
              <w:spacing w:after="0"/>
              <w:rPr>
                <w:sz w:val="9"/>
                <w:szCs w:val="9"/>
                <w:color w:val="auto"/>
              </w:rPr>
            </w:pPr>
          </w:p>
        </w:tc>
        <w:tc>
          <w:tcPr>
            <w:tcW w:w="260" w:type="dxa"/>
            <w:vAlign w:val="bottom"/>
            <w:gridSpan w:val="3"/>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4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4"/>
        </w:trPr>
        <w:tc>
          <w:tcPr>
            <w:tcW w:w="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10"/>
          </w:tcPr>
          <w:p>
            <w:pPr>
              <w:jc w:val="center"/>
              <w:ind w:right="400"/>
              <w:spacing w:after="0"/>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5"/>
          </w:tcPr>
          <w:p>
            <w:pPr>
              <w:jc w:val="center"/>
              <w:ind w:left="52"/>
              <w:spacing w:after="0" w:line="149"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5"/>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7"/>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60" w:type="dxa"/>
            <w:vAlign w:val="bottom"/>
          </w:tcPr>
          <w:p>
            <w:pPr>
              <w:spacing w:after="0"/>
              <w:rPr>
                <w:sz w:val="12"/>
                <w:szCs w:val="12"/>
                <w:color w:val="auto"/>
              </w:rPr>
            </w:pPr>
          </w:p>
        </w:tc>
        <w:tc>
          <w:tcPr>
            <w:tcW w:w="1320" w:type="dxa"/>
            <w:vAlign w:val="bottom"/>
            <w:gridSpan w:val="10"/>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060" w:type="dxa"/>
            <w:vAlign w:val="bottom"/>
            <w:gridSpan w:val="6"/>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5"/>
          </w:tcPr>
          <w:p>
            <w:pPr>
              <w:jc w:val="right"/>
              <w:ind w:right="160"/>
              <w:spacing w:after="0" w:line="149" w:lineRule="exact"/>
              <w:rPr>
                <w:sz w:val="20"/>
                <w:szCs w:val="20"/>
                <w:color w:val="auto"/>
              </w:rPr>
            </w:pPr>
            <w:r>
              <w:rPr>
                <w:rFonts w:ascii="Arial" w:cs="Arial" w:eastAsia="Arial" w:hAnsi="Arial"/>
                <w:sz w:val="14"/>
                <w:szCs w:val="14"/>
                <w:b w:val="1"/>
                <w:bCs w:val="1"/>
                <w:color w:val="auto"/>
                <w:w w:val="87"/>
              </w:rPr>
              <w:t>Comprehensive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8"/>
              </w:rPr>
              <w:t>Deficit</w:t>
            </w:r>
          </w:p>
        </w:tc>
        <w:tc>
          <w:tcPr>
            <w:tcW w:w="160" w:type="dxa"/>
            <w:vAlign w:val="bottom"/>
          </w:tcPr>
          <w:p>
            <w:pPr>
              <w:spacing w:after="0"/>
              <w:rPr>
                <w:sz w:val="15"/>
                <w:szCs w:val="15"/>
                <w:color w:val="auto"/>
              </w:rPr>
            </w:pPr>
          </w:p>
        </w:tc>
        <w:tc>
          <w:tcPr>
            <w:tcW w:w="820" w:type="dxa"/>
            <w:vAlign w:val="bottom"/>
            <w:gridSpan w:val="5"/>
          </w:tcPr>
          <w:p>
            <w:pPr>
              <w:jc w:val="center"/>
              <w:ind w:left="52"/>
              <w:spacing w:after="0"/>
              <w:rPr>
                <w:sz w:val="20"/>
                <w:szCs w:val="20"/>
                <w:color w:val="auto"/>
              </w:rPr>
            </w:pPr>
            <w:r>
              <w:rPr>
                <w:rFonts w:ascii="Arial" w:cs="Arial" w:eastAsia="Arial" w:hAnsi="Arial"/>
                <w:sz w:val="14"/>
                <w:szCs w:val="14"/>
                <w:b w:val="1"/>
                <w:bCs w:val="1"/>
                <w:color w:val="auto"/>
                <w:w w:val="85"/>
              </w:rPr>
              <w:t>Income</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8"/>
              </w:rPr>
              <w:t>Equity</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7"/>
              </w:rPr>
              <w:t>Loss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gridSpan w:val="4"/>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gridSpan w:val="2"/>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gridSpan w:val="2"/>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Balance, December 31, 2002</w:t>
            </w:r>
          </w:p>
        </w:tc>
        <w:tc>
          <w:tcPr>
            <w:tcW w:w="1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20" w:type="dxa"/>
            <w:vAlign w:val="bottom"/>
            <w:gridSpan w:val="6"/>
            <w:shd w:val="clear" w:color="auto" w:fill="EEEEEE"/>
          </w:tcPr>
          <w:p>
            <w:pPr>
              <w:jc w:val="right"/>
              <w:ind w:right="40"/>
              <w:spacing w:after="0"/>
              <w:rPr>
                <w:sz w:val="20"/>
                <w:szCs w:val="20"/>
                <w:color w:val="auto"/>
              </w:rPr>
            </w:pPr>
            <w:r>
              <w:rPr>
                <w:rFonts w:ascii="Arial" w:cs="Arial" w:eastAsia="Arial" w:hAnsi="Arial"/>
                <w:sz w:val="18"/>
                <w:szCs w:val="18"/>
                <w:color w:val="auto"/>
                <w:w w:val="98"/>
              </w:rPr>
              <w:t>($424,075)</w:t>
            </w:r>
          </w:p>
        </w:tc>
        <w:tc>
          <w:tcPr>
            <w:tcW w:w="100" w:type="dxa"/>
            <w:vAlign w:val="bottom"/>
            <w:shd w:val="clear" w:color="auto" w:fill="EEEEEE"/>
          </w:tcPr>
          <w:p>
            <w:pPr>
              <w:spacing w:after="0"/>
              <w:rPr>
                <w:sz w:val="18"/>
                <w:szCs w:val="18"/>
                <w:color w:val="auto"/>
              </w:rPr>
            </w:pPr>
          </w:p>
        </w:tc>
        <w:tc>
          <w:tcPr>
            <w:tcW w:w="78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$ 471</w:t>
            </w: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7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w w:val="90"/>
              </w:rPr>
              <w:t>$145,981</w:t>
            </w: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Issuance of Common Stock in connection with exercise of stock options</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1,076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Issuance of Common Stock to Novartis Pharma AG</w:t>
            </w:r>
          </w:p>
        </w:tc>
        <w:tc>
          <w:tcPr>
            <w:tcW w:w="1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7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48,000</w:t>
            </w: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Forfeitures of restricted Common Stock under Long-Term Incentive Plan</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w w:val="94"/>
              </w:rPr>
              <w:t>Issuance of Common Stock in connection with Company 401(k) Savings Plan</w:t>
            </w:r>
          </w:p>
        </w:tc>
        <w:tc>
          <w:tcPr>
            <w:tcW w:w="1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contribution</w:t>
            </w:r>
          </w:p>
        </w:tc>
        <w:tc>
          <w:tcPr>
            <w:tcW w:w="100" w:type="dxa"/>
            <w:vAlign w:val="bottom"/>
            <w:shd w:val="clear" w:color="auto" w:fill="EEEEEE"/>
          </w:tcPr>
          <w:p>
            <w:pPr>
              <w:spacing w:after="0"/>
              <w:rPr>
                <w:sz w:val="19"/>
                <w:szCs w:val="19"/>
                <w:color w:val="auto"/>
              </w:rPr>
            </w:pPr>
          </w:p>
        </w:tc>
        <w:tc>
          <w:tcPr>
            <w:tcW w:w="420" w:type="dxa"/>
            <w:vAlign w:val="bottom"/>
            <w:tcBorders>
              <w:right w:val="single" w:sz="8" w:color="EEEEEE"/>
            </w:tcBorders>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00" w:type="dxa"/>
            <w:vAlign w:val="bottom"/>
            <w:tcBorders>
              <w:right w:val="single" w:sz="8" w:color="EEEEEE"/>
            </w:tcBorders>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220" w:type="dxa"/>
            <w:vAlign w:val="bottom"/>
            <w:tcBorders>
              <w:right w:val="single" w:sz="8" w:color="EEEEEE"/>
            </w:tcBorders>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60" w:type="dxa"/>
            <w:vAlign w:val="bottom"/>
            <w:tcBorders>
              <w:right w:val="single" w:sz="8" w:color="EEEEEE"/>
            </w:tcBorders>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6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7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747</w:t>
            </w:r>
          </w:p>
        </w:tc>
        <w:tc>
          <w:tcPr>
            <w:tcW w:w="26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520" w:type="dxa"/>
            <w:vAlign w:val="bottom"/>
            <w:shd w:val="clear" w:color="auto" w:fill="EEEEEE"/>
          </w:tcPr>
          <w:p>
            <w:pPr>
              <w:spacing w:after="0"/>
              <w:rPr>
                <w:sz w:val="19"/>
                <w:szCs w:val="19"/>
                <w:color w:val="auto"/>
              </w:rPr>
            </w:pPr>
          </w:p>
        </w:tc>
        <w:tc>
          <w:tcPr>
            <w:tcW w:w="40" w:type="dxa"/>
            <w:vAlign w:val="bottom"/>
            <w:tcBorders>
              <w:right w:val="single" w:sz="8" w:color="EEEEEE"/>
            </w:tcBorders>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Conversion of Class A Stock to Common Stock</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Amortization of unearned compensation</w:t>
            </w:r>
          </w:p>
        </w:tc>
        <w:tc>
          <w:tcPr>
            <w:tcW w:w="1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7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1,132</w:t>
            </w: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6"/>
          </w:tcPr>
          <w:p>
            <w:pPr>
              <w:jc w:val="right"/>
              <w:ind w:right="40"/>
              <w:spacing w:after="0"/>
              <w:rPr>
                <w:sz w:val="20"/>
                <w:szCs w:val="20"/>
                <w:color w:val="auto"/>
              </w:rPr>
            </w:pPr>
            <w:r>
              <w:rPr>
                <w:rFonts w:ascii="Arial" w:cs="Arial" w:eastAsia="Arial" w:hAnsi="Arial"/>
                <w:sz w:val="18"/>
                <w:szCs w:val="18"/>
                <w:color w:val="auto"/>
              </w:rPr>
              <w:t>(58,846)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5"/>
          </w:tcPr>
          <w:p>
            <w:pPr>
              <w:jc w:val="right"/>
              <w:ind w:right="200"/>
              <w:spacing w:after="0"/>
              <w:rPr>
                <w:sz w:val="20"/>
                <w:szCs w:val="20"/>
                <w:color w:val="auto"/>
              </w:rPr>
            </w:pPr>
            <w:r>
              <w:rPr>
                <w:rFonts w:ascii="Arial" w:cs="Arial" w:eastAsia="Arial" w:hAnsi="Arial"/>
                <w:sz w:val="18"/>
                <w:szCs w:val="18"/>
                <w:color w:val="auto"/>
              </w:rPr>
              <w:t>(58,846)</w:t>
            </w:r>
          </w:p>
        </w:tc>
        <w:tc>
          <w:tcPr>
            <w:tcW w:w="100" w:type="dxa"/>
            <w:vAlign w:val="bottom"/>
          </w:tcPr>
          <w:p>
            <w:pPr>
              <w:spacing w:after="0"/>
              <w:rPr>
                <w:sz w:val="18"/>
                <w:szCs w:val="18"/>
                <w:color w:val="auto"/>
              </w:rPr>
            </w:pPr>
          </w:p>
        </w:tc>
        <w:tc>
          <w:tcPr>
            <w:tcW w:w="1380" w:type="dxa"/>
            <w:vAlign w:val="bottom"/>
            <w:gridSpan w:val="7"/>
          </w:tcPr>
          <w:p>
            <w:pPr>
              <w:jc w:val="right"/>
              <w:ind w:right="240"/>
              <w:spacing w:after="0"/>
              <w:rPr>
                <w:sz w:val="20"/>
                <w:szCs w:val="20"/>
                <w:color w:val="auto"/>
              </w:rPr>
            </w:pPr>
            <w:r>
              <w:rPr>
                <w:rFonts w:ascii="Arial" w:cs="Arial" w:eastAsia="Arial" w:hAnsi="Arial"/>
                <w:sz w:val="18"/>
                <w:szCs w:val="18"/>
                <w:color w:val="auto"/>
              </w:rPr>
              <w:t>($58,846)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Change in net unrealized gain on marketable securities</w:t>
            </w:r>
          </w:p>
        </w:tc>
        <w:tc>
          <w:tcPr>
            <w:tcW w:w="1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80" w:type="dxa"/>
            <w:vAlign w:val="bottom"/>
            <w:gridSpan w:val="6"/>
            <w:shd w:val="clear" w:color="auto" w:fill="EEEEEE"/>
          </w:tcPr>
          <w:p>
            <w:pPr>
              <w:jc w:val="right"/>
              <w:ind w:right="140"/>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60" w:type="dxa"/>
            <w:vAlign w:val="bottom"/>
            <w:gridSpan w:val="5"/>
            <w:shd w:val="clear" w:color="auto" w:fill="EEEEEE"/>
          </w:tcPr>
          <w:p>
            <w:pPr>
              <w:jc w:val="right"/>
              <w:ind w:right="200"/>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EEEEEE"/>
          </w:tcPr>
          <w:p>
            <w:pPr>
              <w:spacing w:after="0"/>
              <w:rPr>
                <w:sz w:val="18"/>
                <w:szCs w:val="18"/>
                <w:color w:val="auto"/>
              </w:rPr>
            </w:pPr>
          </w:p>
        </w:tc>
        <w:tc>
          <w:tcPr>
            <w:tcW w:w="1380" w:type="dxa"/>
            <w:vAlign w:val="bottom"/>
            <w:gridSpan w:val="7"/>
            <w:shd w:val="clear" w:color="auto" w:fill="EEEEEE"/>
          </w:tcPr>
          <w:p>
            <w:pPr>
              <w:jc w:val="right"/>
              <w:ind w:right="24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Borders>
              <w:bottom w:val="single" w:sz="8" w:color="808080"/>
            </w:tcBorders>
            <w:gridSpan w:val="4"/>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240" w:type="dxa"/>
            <w:vAlign w:val="bottom"/>
            <w:tcBorders>
              <w:bottom w:val="single" w:sz="8" w:color="808080"/>
            </w:tcBorders>
            <w:gridSpan w:val="2"/>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808080"/>
            </w:tcBorders>
            <w:gridSpan w:val="2"/>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gridSpan w:val="3"/>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3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840" w:type="dxa"/>
            <w:vAlign w:val="bottom"/>
          </w:tcPr>
          <w:p>
            <w:pPr>
              <w:ind w:left="240"/>
              <w:spacing w:after="0"/>
              <w:rPr>
                <w:sz w:val="20"/>
                <w:szCs w:val="20"/>
                <w:color w:val="auto"/>
              </w:rPr>
            </w:pPr>
            <w:r>
              <w:rPr>
                <w:rFonts w:ascii="Arial" w:cs="Arial" w:eastAsia="Arial" w:hAnsi="Arial"/>
                <w:sz w:val="18"/>
                <w:szCs w:val="18"/>
                <w:color w:val="auto"/>
              </w:rPr>
              <w:t>Balance, June 30, 2003</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6"/>
          </w:tcPr>
          <w:p>
            <w:pPr>
              <w:jc w:val="right"/>
              <w:ind w:right="40"/>
              <w:spacing w:after="0"/>
              <w:rPr>
                <w:sz w:val="20"/>
                <w:szCs w:val="20"/>
                <w:color w:val="auto"/>
              </w:rPr>
            </w:pPr>
            <w:r>
              <w:rPr>
                <w:rFonts w:ascii="Arial" w:cs="Arial" w:eastAsia="Arial" w:hAnsi="Arial"/>
                <w:sz w:val="18"/>
                <w:szCs w:val="18"/>
                <w:color w:val="auto"/>
                <w:w w:val="98"/>
              </w:rPr>
              <w:t>($482,921)</w:t>
            </w:r>
          </w:p>
        </w:tc>
        <w:tc>
          <w:tcPr>
            <w:tcW w:w="100" w:type="dxa"/>
            <w:vAlign w:val="bottom"/>
          </w:tcPr>
          <w:p>
            <w:pPr>
              <w:spacing w:after="0"/>
              <w:rPr>
                <w:sz w:val="24"/>
                <w:szCs w:val="24"/>
                <w:color w:val="auto"/>
              </w:rPr>
            </w:pPr>
          </w:p>
        </w:tc>
        <w:tc>
          <w:tcPr>
            <w:tcW w:w="780" w:type="dxa"/>
            <w:vAlign w:val="bottom"/>
            <w:gridSpan w:val="5"/>
          </w:tcPr>
          <w:p>
            <w:pPr>
              <w:jc w:val="right"/>
              <w:spacing w:after="0"/>
              <w:rPr>
                <w:sz w:val="20"/>
                <w:szCs w:val="20"/>
                <w:color w:val="auto"/>
              </w:rPr>
            </w:pPr>
            <w:r>
              <w:rPr>
                <w:rFonts w:ascii="Arial" w:cs="Arial" w:eastAsia="Arial" w:hAnsi="Arial"/>
                <w:sz w:val="18"/>
                <w:szCs w:val="18"/>
                <w:color w:val="auto"/>
              </w:rPr>
              <w:t>$ 224</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w w:val="90"/>
              </w:rPr>
              <w:t>$137,843</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7"/>
          </w:tcPr>
          <w:p>
            <w:pPr>
              <w:jc w:val="right"/>
              <w:ind w:right="240"/>
              <w:spacing w:after="0"/>
              <w:rPr>
                <w:sz w:val="20"/>
                <w:szCs w:val="20"/>
                <w:color w:val="auto"/>
              </w:rPr>
            </w:pPr>
            <w:r>
              <w:rPr>
                <w:rFonts w:ascii="Arial" w:cs="Arial" w:eastAsia="Arial" w:hAnsi="Arial"/>
                <w:sz w:val="18"/>
                <w:szCs w:val="18"/>
                <w:color w:val="auto"/>
              </w:rPr>
              <w:t>($59,093)</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-2541905</wp:posOffset>
            </wp:positionV>
            <wp:extent cx="10731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7315" cy="3873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-2541905</wp:posOffset>
            </wp:positionV>
            <wp:extent cx="11557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5570" cy="38735"/>
                    </a:xfrm>
                    <a:prstGeom prst="rect">
                      <a:avLst/>
                    </a:prstGeom>
                    <a:noFill/>
                  </pic:spPr>
                </pic:pic>
              </a:graphicData>
            </a:graphic>
          </wp:anchor>
        </w:drawing>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Cash Flows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200" w:lineRule="exact"/>
        <w:rPr>
          <w:sz w:val="20"/>
          <w:szCs w:val="20"/>
          <w:color w:val="auto"/>
        </w:rPr>
      </w:pPr>
    </w:p>
    <w:p>
      <w:pPr>
        <w:spacing w:after="0" w:line="245"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0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100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15"/>
                <w:szCs w:val="15"/>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2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20" w:type="dxa"/>
            <w:vAlign w:val="bottom"/>
          </w:tcPr>
          <w:p>
            <w:pPr>
              <w:ind w:left="220"/>
              <w:spacing w:after="0"/>
              <w:rPr>
                <w:sz w:val="20"/>
                <w:szCs w:val="20"/>
                <w:color w:val="auto"/>
              </w:rPr>
            </w:pPr>
            <w:r>
              <w:rPr>
                <w:rFonts w:ascii="Arial" w:cs="Arial" w:eastAsia="Arial" w:hAnsi="Arial"/>
                <w:sz w:val="18"/>
                <w:szCs w:val="18"/>
                <w:color w:val="auto"/>
              </w:rPr>
              <w:t>Net loss</w:t>
            </w:r>
          </w:p>
        </w:tc>
        <w:tc>
          <w:tcPr>
            <w:tcW w:w="1400" w:type="dxa"/>
            <w:vAlign w:val="bottom"/>
            <w:gridSpan w:val="3"/>
          </w:tcPr>
          <w:p>
            <w:pPr>
              <w:jc w:val="right"/>
              <w:ind w:right="360"/>
              <w:spacing w:after="0"/>
              <w:rPr>
                <w:sz w:val="20"/>
                <w:szCs w:val="20"/>
                <w:color w:val="auto"/>
              </w:rPr>
            </w:pPr>
            <w:r>
              <w:rPr>
                <w:rFonts w:ascii="Arial" w:cs="Arial" w:eastAsia="Arial" w:hAnsi="Arial"/>
                <w:sz w:val="18"/>
                <w:szCs w:val="18"/>
                <w:color w:val="auto"/>
              </w:rPr>
              <w:t>($58,846)</w:t>
            </w:r>
          </w:p>
        </w:tc>
        <w:tc>
          <w:tcPr>
            <w:tcW w:w="1660" w:type="dxa"/>
            <w:vAlign w:val="bottom"/>
            <w:gridSpan w:val="4"/>
          </w:tcPr>
          <w:p>
            <w:pPr>
              <w:jc w:val="right"/>
              <w:ind w:right="360"/>
              <w:spacing w:after="0"/>
              <w:rPr>
                <w:sz w:val="20"/>
                <w:szCs w:val="20"/>
                <w:color w:val="auto"/>
              </w:rPr>
            </w:pPr>
            <w:r>
              <w:rPr>
                <w:rFonts w:ascii="Arial" w:cs="Arial" w:eastAsia="Arial" w:hAnsi="Arial"/>
                <w:sz w:val="18"/>
                <w:szCs w:val="18"/>
                <w:color w:val="auto"/>
              </w:rPr>
              <w:t>($55,868)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480"/>
              <w:spacing w:after="0"/>
              <w:rPr>
                <w:sz w:val="20"/>
                <w:szCs w:val="20"/>
                <w:color w:val="auto"/>
              </w:rPr>
            </w:pPr>
            <w:r>
              <w:rPr>
                <w:rFonts w:ascii="Arial" w:cs="Arial" w:eastAsia="Arial" w:hAnsi="Arial"/>
                <w:sz w:val="18"/>
                <w:szCs w:val="18"/>
                <w:color w:val="auto"/>
              </w:rPr>
              <w:t>Depreciation and amortization</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4,967</w:t>
            </w:r>
          </w:p>
        </w:tc>
        <w:tc>
          <w:tcPr>
            <w:tcW w:w="400" w:type="dxa"/>
            <w:vAlign w:val="bottom"/>
          </w:tcPr>
          <w:p>
            <w:pPr>
              <w:spacing w:after="0"/>
              <w:rPr>
                <w:sz w:val="18"/>
                <w:szCs w:val="18"/>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4,236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EEEEE"/>
          </w:tcPr>
          <w:p>
            <w:pPr>
              <w:ind w:left="480"/>
              <w:spacing w:after="0"/>
              <w:rPr>
                <w:sz w:val="20"/>
                <w:szCs w:val="20"/>
                <w:color w:val="auto"/>
              </w:rPr>
            </w:pPr>
            <w:r>
              <w:rPr>
                <w:rFonts w:ascii="Arial" w:cs="Arial" w:eastAsia="Arial" w:hAnsi="Arial"/>
                <w:sz w:val="18"/>
                <w:szCs w:val="18"/>
                <w:color w:val="auto"/>
              </w:rPr>
              <w:t>Non-cash compensation expense</w:t>
            </w:r>
          </w:p>
        </w:tc>
        <w:tc>
          <w:tcPr>
            <w:tcW w:w="10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1,132</w:t>
            </w:r>
          </w:p>
        </w:tc>
        <w:tc>
          <w:tcPr>
            <w:tcW w:w="400" w:type="dxa"/>
            <w:vAlign w:val="bottom"/>
            <w:shd w:val="clear" w:color="auto" w:fill="EEEEEE"/>
          </w:tcPr>
          <w:p>
            <w:pPr>
              <w:spacing w:after="0"/>
              <w:rPr>
                <w:sz w:val="18"/>
                <w:szCs w:val="18"/>
                <w:color w:val="auto"/>
              </w:rPr>
            </w:pPr>
          </w:p>
        </w:tc>
        <w:tc>
          <w:tcPr>
            <w:tcW w:w="126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879</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48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EEEEE"/>
          </w:tcPr>
          <w:p>
            <w:pPr>
              <w:ind w:left="720"/>
              <w:spacing w:after="0"/>
              <w:rPr>
                <w:sz w:val="20"/>
                <w:szCs w:val="20"/>
                <w:color w:val="auto"/>
              </w:rPr>
            </w:pPr>
            <w:r>
              <w:rPr>
                <w:rFonts w:ascii="Arial" w:cs="Arial" w:eastAsia="Arial" w:hAnsi="Arial"/>
                <w:sz w:val="18"/>
                <w:szCs w:val="18"/>
                <w:color w:val="auto"/>
              </w:rPr>
              <w:t>Increase in accounts receivable</w:t>
            </w:r>
          </w:p>
        </w:tc>
        <w:tc>
          <w:tcPr>
            <w:tcW w:w="1400" w:type="dxa"/>
            <w:vAlign w:val="bottom"/>
            <w:gridSpan w:val="3"/>
            <w:shd w:val="clear" w:color="auto" w:fill="EEEEEE"/>
          </w:tcPr>
          <w:p>
            <w:pPr>
              <w:jc w:val="right"/>
              <w:ind w:right="360"/>
              <w:spacing w:after="0"/>
              <w:rPr>
                <w:sz w:val="20"/>
                <w:szCs w:val="20"/>
                <w:color w:val="auto"/>
              </w:rPr>
            </w:pPr>
            <w:r>
              <w:rPr>
                <w:rFonts w:ascii="Arial" w:cs="Arial" w:eastAsia="Arial" w:hAnsi="Arial"/>
                <w:sz w:val="18"/>
                <w:szCs w:val="18"/>
                <w:color w:val="auto"/>
              </w:rPr>
              <w:t>(3,854)</w:t>
            </w:r>
          </w:p>
        </w:tc>
        <w:tc>
          <w:tcPr>
            <w:tcW w:w="1660" w:type="dxa"/>
            <w:vAlign w:val="bottom"/>
            <w:gridSpan w:val="4"/>
            <w:shd w:val="clear" w:color="auto" w:fill="EEEEEE"/>
          </w:tcPr>
          <w:p>
            <w:pPr>
              <w:jc w:val="right"/>
              <w:ind w:right="3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720"/>
              <w:spacing w:after="0"/>
              <w:rPr>
                <w:sz w:val="20"/>
                <w:szCs w:val="20"/>
                <w:color w:val="auto"/>
              </w:rPr>
            </w:pPr>
            <w:r>
              <w:rPr>
                <w:rFonts w:ascii="Arial" w:cs="Arial" w:eastAsia="Arial" w:hAnsi="Arial"/>
                <w:sz w:val="18"/>
                <w:szCs w:val="18"/>
                <w:color w:val="auto"/>
              </w:rPr>
              <w:t>Decrease (increase) in prepaid expenses and other assets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18"/>
                <w:szCs w:val="18"/>
                <w:color w:val="auto"/>
              </w:rPr>
            </w:pPr>
          </w:p>
        </w:tc>
        <w:tc>
          <w:tcPr>
            <w:tcW w:w="1660" w:type="dxa"/>
            <w:vAlign w:val="bottom"/>
            <w:gridSpan w:val="4"/>
          </w:tcPr>
          <w:p>
            <w:pPr>
              <w:jc w:val="right"/>
              <w:ind w:right="360"/>
              <w:spacing w:after="0"/>
              <w:rPr>
                <w:sz w:val="20"/>
                <w:szCs w:val="20"/>
                <w:color w:val="auto"/>
              </w:rPr>
            </w:pPr>
            <w:r>
              <w:rPr>
                <w:rFonts w:ascii="Arial" w:cs="Arial" w:eastAsia="Arial" w:hAnsi="Arial"/>
                <w:sz w:val="18"/>
                <w:szCs w:val="18"/>
                <w:color w:val="auto"/>
              </w:rPr>
              <w:t>(1,903)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EEEEE"/>
          </w:tcPr>
          <w:p>
            <w:pPr>
              <w:ind w:left="720"/>
              <w:spacing w:after="0"/>
              <w:rPr>
                <w:sz w:val="20"/>
                <w:szCs w:val="20"/>
                <w:color w:val="auto"/>
              </w:rPr>
            </w:pPr>
            <w:r>
              <w:rPr>
                <w:rFonts w:ascii="Arial" w:cs="Arial" w:eastAsia="Arial" w:hAnsi="Arial"/>
                <w:sz w:val="18"/>
                <w:szCs w:val="18"/>
                <w:color w:val="auto"/>
              </w:rPr>
              <w:t>Increase in inventory</w:t>
            </w:r>
          </w:p>
        </w:tc>
        <w:tc>
          <w:tcPr>
            <w:tcW w:w="1400" w:type="dxa"/>
            <w:vAlign w:val="bottom"/>
            <w:gridSpan w:val="3"/>
            <w:shd w:val="clear" w:color="auto" w:fill="EEEEEE"/>
          </w:tcPr>
          <w:p>
            <w:pPr>
              <w:jc w:val="right"/>
              <w:ind w:right="360"/>
              <w:spacing w:after="0"/>
              <w:rPr>
                <w:sz w:val="20"/>
                <w:szCs w:val="20"/>
                <w:color w:val="auto"/>
              </w:rPr>
            </w:pPr>
            <w:r>
              <w:rPr>
                <w:rFonts w:ascii="Arial" w:cs="Arial" w:eastAsia="Arial" w:hAnsi="Arial"/>
                <w:sz w:val="18"/>
                <w:szCs w:val="18"/>
                <w:color w:val="auto"/>
              </w:rPr>
              <w:t>(2,947)</w:t>
            </w:r>
          </w:p>
        </w:tc>
        <w:tc>
          <w:tcPr>
            <w:tcW w:w="1660" w:type="dxa"/>
            <w:vAlign w:val="bottom"/>
            <w:gridSpan w:val="4"/>
            <w:shd w:val="clear" w:color="auto" w:fill="EEEEEE"/>
          </w:tcPr>
          <w:p>
            <w:pPr>
              <w:jc w:val="right"/>
              <w:ind w:right="36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720"/>
              <w:spacing w:after="0"/>
              <w:rPr>
                <w:sz w:val="20"/>
                <w:szCs w:val="20"/>
                <w:color w:val="auto"/>
              </w:rPr>
            </w:pPr>
            <w:r>
              <w:rPr>
                <w:rFonts w:ascii="Arial" w:cs="Arial" w:eastAsia="Arial" w:hAnsi="Arial"/>
                <w:sz w:val="18"/>
                <w:szCs w:val="18"/>
                <w:color w:val="auto"/>
              </w:rPr>
              <w:t>Increase (decrease) in deferred revenue</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23,380</w:t>
            </w:r>
          </w:p>
        </w:tc>
        <w:tc>
          <w:tcPr>
            <w:tcW w:w="400" w:type="dxa"/>
            <w:vAlign w:val="bottom"/>
          </w:tcPr>
          <w:p>
            <w:pPr>
              <w:spacing w:after="0"/>
              <w:rPr>
                <w:sz w:val="18"/>
                <w:szCs w:val="18"/>
                <w:color w:val="auto"/>
              </w:rPr>
            </w:pPr>
          </w:p>
        </w:tc>
        <w:tc>
          <w:tcPr>
            <w:tcW w:w="1660" w:type="dxa"/>
            <w:vAlign w:val="bottom"/>
            <w:gridSpan w:val="4"/>
          </w:tcPr>
          <w:p>
            <w:pPr>
              <w:jc w:val="right"/>
              <w:ind w:right="360"/>
              <w:spacing w:after="0"/>
              <w:rPr>
                <w:sz w:val="20"/>
                <w:szCs w:val="20"/>
                <w:color w:val="auto"/>
              </w:rPr>
            </w:pPr>
            <w:r>
              <w:rPr>
                <w:rFonts w:ascii="Arial" w:cs="Arial" w:eastAsia="Arial" w:hAnsi="Arial"/>
                <w:sz w:val="18"/>
                <w:szCs w:val="18"/>
                <w:color w:val="auto"/>
              </w:rPr>
              <w:t>(3,601)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EEEEE"/>
          </w:tcPr>
          <w:p>
            <w:pPr>
              <w:ind w:left="720"/>
              <w:spacing w:after="0"/>
              <w:rPr>
                <w:sz w:val="20"/>
                <w:szCs w:val="20"/>
                <w:color w:val="auto"/>
              </w:rPr>
            </w:pPr>
            <w:r>
              <w:rPr>
                <w:rFonts w:ascii="Arial" w:cs="Arial" w:eastAsia="Arial" w:hAnsi="Arial"/>
                <w:sz w:val="18"/>
                <w:szCs w:val="18"/>
                <w:color w:val="auto"/>
                <w:w w:val="91"/>
              </w:rPr>
              <w:t>(Decrease) increase in accounts payable, accrued expenses, and other liabilities</w:t>
            </w:r>
          </w:p>
        </w:tc>
        <w:tc>
          <w:tcPr>
            <w:tcW w:w="1400" w:type="dxa"/>
            <w:vAlign w:val="bottom"/>
            <w:gridSpan w:val="3"/>
            <w:shd w:val="clear" w:color="auto" w:fill="EEEEEE"/>
          </w:tcPr>
          <w:p>
            <w:pPr>
              <w:jc w:val="right"/>
              <w:ind w:right="360"/>
              <w:spacing w:after="0"/>
              <w:rPr>
                <w:sz w:val="20"/>
                <w:szCs w:val="20"/>
                <w:color w:val="auto"/>
              </w:rPr>
            </w:pPr>
            <w:r>
              <w:rPr>
                <w:rFonts w:ascii="Arial" w:cs="Arial" w:eastAsia="Arial" w:hAnsi="Arial"/>
                <w:sz w:val="18"/>
                <w:szCs w:val="18"/>
                <w:color w:val="auto"/>
              </w:rPr>
              <w:t>(3,388)</w:t>
            </w:r>
          </w:p>
        </w:tc>
        <w:tc>
          <w:tcPr>
            <w:tcW w:w="126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1,455</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620" w:type="dxa"/>
            <w:vAlign w:val="bottom"/>
          </w:tcPr>
          <w:p>
            <w:pPr>
              <w:ind w:left="1520"/>
              <w:spacing w:after="0"/>
              <w:rPr>
                <w:sz w:val="20"/>
                <w:szCs w:val="20"/>
                <w:color w:val="auto"/>
              </w:rPr>
            </w:pPr>
            <w:r>
              <w:rPr>
                <w:rFonts w:ascii="Arial" w:cs="Arial" w:eastAsia="Arial" w:hAnsi="Arial"/>
                <w:sz w:val="18"/>
                <w:szCs w:val="18"/>
                <w:color w:val="auto"/>
              </w:rPr>
              <w:t>Total adjustments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19,332</w:t>
            </w:r>
          </w:p>
        </w:tc>
        <w:tc>
          <w:tcPr>
            <w:tcW w:w="400" w:type="dxa"/>
            <w:vAlign w:val="bottom"/>
          </w:tcPr>
          <w:p>
            <w:pPr>
              <w:spacing w:after="0"/>
              <w:rPr>
                <w:sz w:val="24"/>
                <w:szCs w:val="24"/>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225</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EEEEE"/>
          </w:tcPr>
          <w:p>
            <w:pPr>
              <w:ind w:left="980"/>
              <w:spacing w:after="0"/>
              <w:rPr>
                <w:sz w:val="20"/>
                <w:szCs w:val="20"/>
                <w:color w:val="auto"/>
              </w:rPr>
            </w:pPr>
            <w:r>
              <w:rPr>
                <w:rFonts w:ascii="Arial" w:cs="Arial" w:eastAsia="Arial" w:hAnsi="Arial"/>
                <w:sz w:val="18"/>
                <w:szCs w:val="18"/>
                <w:color w:val="auto"/>
              </w:rPr>
              <w:t>Net cash used in operating activities</w:t>
            </w:r>
          </w:p>
        </w:tc>
        <w:tc>
          <w:tcPr>
            <w:tcW w:w="1400" w:type="dxa"/>
            <w:vAlign w:val="bottom"/>
            <w:gridSpan w:val="3"/>
            <w:shd w:val="clear" w:color="auto" w:fill="EEEEEE"/>
          </w:tcPr>
          <w:p>
            <w:pPr>
              <w:jc w:val="right"/>
              <w:ind w:right="360"/>
              <w:spacing w:after="0"/>
              <w:rPr>
                <w:sz w:val="20"/>
                <w:szCs w:val="20"/>
                <w:color w:val="auto"/>
              </w:rPr>
            </w:pPr>
            <w:r>
              <w:rPr>
                <w:rFonts w:ascii="Arial" w:cs="Arial" w:eastAsia="Arial" w:hAnsi="Arial"/>
                <w:sz w:val="18"/>
                <w:szCs w:val="18"/>
                <w:color w:val="auto"/>
              </w:rPr>
              <w:t>(39,514)</w:t>
            </w:r>
          </w:p>
        </w:tc>
        <w:tc>
          <w:tcPr>
            <w:tcW w:w="1660" w:type="dxa"/>
            <w:vAlign w:val="bottom"/>
            <w:gridSpan w:val="4"/>
            <w:shd w:val="clear" w:color="auto" w:fill="EEEEEE"/>
          </w:tcPr>
          <w:p>
            <w:pPr>
              <w:jc w:val="right"/>
              <w:ind w:right="360"/>
              <w:spacing w:after="0"/>
              <w:rPr>
                <w:sz w:val="20"/>
                <w:szCs w:val="20"/>
                <w:color w:val="auto"/>
              </w:rPr>
            </w:pPr>
            <w:r>
              <w:rPr>
                <w:rFonts w:ascii="Arial" w:cs="Arial" w:eastAsia="Arial" w:hAnsi="Arial"/>
                <w:sz w:val="18"/>
                <w:szCs w:val="18"/>
                <w:color w:val="auto"/>
              </w:rPr>
              <w:t>(55,643)</w:t>
            </w:r>
          </w:p>
        </w:tc>
        <w:tc>
          <w:tcPr>
            <w:tcW w:w="0" w:type="dxa"/>
            <w:vAlign w:val="bottom"/>
          </w:tcPr>
          <w:p>
            <w:pPr>
              <w:spacing w:after="0"/>
              <w:rPr>
                <w:sz w:val="1"/>
                <w:szCs w:val="1"/>
                <w:color w:val="auto"/>
              </w:rPr>
            </w:pPr>
          </w:p>
        </w:tc>
      </w:tr>
      <w:tr>
        <w:trPr>
          <w:trHeight w:val="108"/>
        </w:trPr>
        <w:tc>
          <w:tcPr>
            <w:tcW w:w="6640" w:type="dxa"/>
            <w:vAlign w:val="bottom"/>
            <w:gridSpan w:val="2"/>
            <w:vMerge w:val="restart"/>
          </w:tcPr>
          <w:p>
            <w:pPr>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664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Purchases of marketable securities</w:t>
            </w:r>
          </w:p>
        </w:tc>
        <w:tc>
          <w:tcPr>
            <w:tcW w:w="1400" w:type="dxa"/>
            <w:vAlign w:val="bottom"/>
            <w:gridSpan w:val="3"/>
            <w:shd w:val="clear" w:color="auto" w:fill="EEEEEE"/>
          </w:tcPr>
          <w:p>
            <w:pPr>
              <w:jc w:val="right"/>
              <w:ind w:right="360"/>
              <w:spacing w:after="0"/>
              <w:rPr>
                <w:sz w:val="20"/>
                <w:szCs w:val="20"/>
                <w:color w:val="auto"/>
              </w:rPr>
            </w:pPr>
            <w:r>
              <w:rPr>
                <w:rFonts w:ascii="Arial" w:cs="Arial" w:eastAsia="Arial" w:hAnsi="Arial"/>
                <w:sz w:val="18"/>
                <w:szCs w:val="18"/>
                <w:color w:val="auto"/>
              </w:rPr>
              <w:t>(82,273)</w:t>
            </w:r>
          </w:p>
        </w:tc>
        <w:tc>
          <w:tcPr>
            <w:tcW w:w="1660" w:type="dxa"/>
            <w:vAlign w:val="bottom"/>
            <w:gridSpan w:val="4"/>
            <w:shd w:val="clear" w:color="auto" w:fill="EEEEEE"/>
          </w:tcPr>
          <w:p>
            <w:pPr>
              <w:jc w:val="right"/>
              <w:ind w:right="360"/>
              <w:spacing w:after="0"/>
              <w:rPr>
                <w:sz w:val="20"/>
                <w:szCs w:val="20"/>
                <w:color w:val="auto"/>
              </w:rPr>
            </w:pPr>
            <w:r>
              <w:rPr>
                <w:rFonts w:ascii="Arial" w:cs="Arial" w:eastAsia="Arial" w:hAnsi="Arial"/>
                <w:sz w:val="18"/>
                <w:szCs w:val="18"/>
                <w:color w:val="auto"/>
              </w:rPr>
              <w:t>(194,705)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20"/>
              <w:spacing w:after="0"/>
              <w:rPr>
                <w:sz w:val="20"/>
                <w:szCs w:val="20"/>
                <w:color w:val="auto"/>
              </w:rPr>
            </w:pPr>
            <w:r>
              <w:rPr>
                <w:rFonts w:ascii="Arial" w:cs="Arial" w:eastAsia="Arial" w:hAnsi="Arial"/>
                <w:sz w:val="18"/>
                <w:szCs w:val="18"/>
                <w:color w:val="auto"/>
              </w:rPr>
              <w:t>Purchases of restricted marketable securities</w:t>
            </w:r>
          </w:p>
        </w:tc>
        <w:tc>
          <w:tcPr>
            <w:tcW w:w="1400" w:type="dxa"/>
            <w:vAlign w:val="bottom"/>
            <w:gridSpan w:val="3"/>
          </w:tcPr>
          <w:p>
            <w:pPr>
              <w:jc w:val="right"/>
              <w:ind w:right="360"/>
              <w:spacing w:after="0"/>
              <w:rPr>
                <w:sz w:val="20"/>
                <w:szCs w:val="20"/>
                <w:color w:val="auto"/>
              </w:rPr>
            </w:pPr>
            <w:r>
              <w:rPr>
                <w:rFonts w:ascii="Arial" w:cs="Arial" w:eastAsia="Arial" w:hAnsi="Arial"/>
                <w:sz w:val="18"/>
                <w:szCs w:val="18"/>
                <w:color w:val="auto"/>
              </w:rPr>
              <w:t>(5,523)</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Sales of marketable securities</w:t>
            </w:r>
          </w:p>
        </w:tc>
        <w:tc>
          <w:tcPr>
            <w:tcW w:w="10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136,781</w:t>
            </w:r>
          </w:p>
        </w:tc>
        <w:tc>
          <w:tcPr>
            <w:tcW w:w="400" w:type="dxa"/>
            <w:vAlign w:val="bottom"/>
            <w:shd w:val="clear" w:color="auto" w:fill="EEEEEE"/>
          </w:tcPr>
          <w:p>
            <w:pPr>
              <w:spacing w:after="0"/>
              <w:rPr>
                <w:sz w:val="18"/>
                <w:szCs w:val="18"/>
                <w:color w:val="auto"/>
              </w:rPr>
            </w:pPr>
          </w:p>
        </w:tc>
        <w:tc>
          <w:tcPr>
            <w:tcW w:w="126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76,533</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20"/>
              <w:spacing w:after="0"/>
              <w:rPr>
                <w:sz w:val="20"/>
                <w:szCs w:val="20"/>
                <w:color w:val="auto"/>
              </w:rPr>
            </w:pPr>
            <w:r>
              <w:rPr>
                <w:rFonts w:ascii="Arial" w:cs="Arial" w:eastAsia="Arial" w:hAnsi="Arial"/>
                <w:sz w:val="18"/>
                <w:szCs w:val="18"/>
                <w:color w:val="auto"/>
              </w:rPr>
              <w:t>Maturities of restricted marketable securities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11,023</w:t>
            </w:r>
          </w:p>
        </w:tc>
        <w:tc>
          <w:tcPr>
            <w:tcW w:w="400" w:type="dxa"/>
            <w:vAlign w:val="bottom"/>
          </w:tcPr>
          <w:p>
            <w:pPr>
              <w:spacing w:after="0"/>
              <w:rPr>
                <w:sz w:val="18"/>
                <w:szCs w:val="18"/>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5,500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Capital expenditures</w:t>
            </w:r>
          </w:p>
        </w:tc>
        <w:tc>
          <w:tcPr>
            <w:tcW w:w="1400" w:type="dxa"/>
            <w:vAlign w:val="bottom"/>
            <w:gridSpan w:val="3"/>
            <w:shd w:val="clear" w:color="auto" w:fill="EEEEEE"/>
          </w:tcPr>
          <w:p>
            <w:pPr>
              <w:jc w:val="right"/>
              <w:ind w:right="360"/>
              <w:spacing w:after="0"/>
              <w:rPr>
                <w:sz w:val="20"/>
                <w:szCs w:val="20"/>
                <w:color w:val="auto"/>
              </w:rPr>
            </w:pPr>
            <w:r>
              <w:rPr>
                <w:rFonts w:ascii="Arial" w:cs="Arial" w:eastAsia="Arial" w:hAnsi="Arial"/>
                <w:sz w:val="18"/>
                <w:szCs w:val="18"/>
                <w:color w:val="auto"/>
              </w:rPr>
              <w:t>(24,985)</w:t>
            </w:r>
          </w:p>
        </w:tc>
        <w:tc>
          <w:tcPr>
            <w:tcW w:w="1660" w:type="dxa"/>
            <w:vAlign w:val="bottom"/>
            <w:gridSpan w:val="4"/>
            <w:shd w:val="clear" w:color="auto" w:fill="EEEEEE"/>
          </w:tcPr>
          <w:p>
            <w:pPr>
              <w:jc w:val="right"/>
              <w:ind w:right="360"/>
              <w:spacing w:after="0"/>
              <w:rPr>
                <w:sz w:val="20"/>
                <w:szCs w:val="20"/>
                <w:color w:val="auto"/>
              </w:rPr>
            </w:pPr>
            <w:r>
              <w:rPr>
                <w:rFonts w:ascii="Arial" w:cs="Arial" w:eastAsia="Arial" w:hAnsi="Arial"/>
                <w:sz w:val="18"/>
                <w:szCs w:val="18"/>
                <w:color w:val="auto"/>
              </w:rPr>
              <w:t>(10,881)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620" w:type="dxa"/>
            <w:vAlign w:val="bottom"/>
          </w:tcPr>
          <w:p>
            <w:pPr>
              <w:ind w:left="980"/>
              <w:spacing w:after="0"/>
              <w:rPr>
                <w:sz w:val="20"/>
                <w:szCs w:val="20"/>
                <w:color w:val="auto"/>
              </w:rPr>
            </w:pPr>
            <w:r>
              <w:rPr>
                <w:rFonts w:ascii="Arial" w:cs="Arial" w:eastAsia="Arial" w:hAnsi="Arial"/>
                <w:sz w:val="18"/>
                <w:szCs w:val="18"/>
                <w:color w:val="auto"/>
              </w:rPr>
              <w:t>Net cash provided by (used in) investing activities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35,023</w:t>
            </w:r>
          </w:p>
        </w:tc>
        <w:tc>
          <w:tcPr>
            <w:tcW w:w="400" w:type="dxa"/>
            <w:vAlign w:val="bottom"/>
          </w:tcPr>
          <w:p>
            <w:pPr>
              <w:spacing w:after="0"/>
              <w:rPr>
                <w:sz w:val="24"/>
                <w:szCs w:val="24"/>
                <w:color w:val="auto"/>
              </w:rPr>
            </w:pPr>
          </w:p>
        </w:tc>
        <w:tc>
          <w:tcPr>
            <w:tcW w:w="1660" w:type="dxa"/>
            <w:vAlign w:val="bottom"/>
            <w:gridSpan w:val="4"/>
          </w:tcPr>
          <w:p>
            <w:pPr>
              <w:jc w:val="right"/>
              <w:ind w:right="360"/>
              <w:spacing w:after="0"/>
              <w:rPr>
                <w:sz w:val="20"/>
                <w:szCs w:val="20"/>
                <w:color w:val="auto"/>
              </w:rPr>
            </w:pPr>
            <w:r>
              <w:rPr>
                <w:rFonts w:ascii="Arial" w:cs="Arial" w:eastAsia="Arial" w:hAnsi="Arial"/>
                <w:sz w:val="18"/>
                <w:szCs w:val="18"/>
                <w:color w:val="auto"/>
              </w:rPr>
              <w:t>(123,553)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20"/>
              <w:spacing w:after="0"/>
              <w:rPr>
                <w:sz w:val="20"/>
                <w:szCs w:val="20"/>
                <w:color w:val="auto"/>
              </w:rPr>
            </w:pPr>
            <w:r>
              <w:rPr>
                <w:rFonts w:ascii="Arial" w:cs="Arial" w:eastAsia="Arial" w:hAnsi="Arial"/>
                <w:sz w:val="18"/>
                <w:szCs w:val="18"/>
                <w:color w:val="auto"/>
              </w:rPr>
              <w:t>Net proceeds from the issuance of stock</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49,076</w:t>
            </w:r>
          </w:p>
        </w:tc>
        <w:tc>
          <w:tcPr>
            <w:tcW w:w="400" w:type="dxa"/>
            <w:vAlign w:val="bottom"/>
          </w:tcPr>
          <w:p>
            <w:pPr>
              <w:spacing w:after="0"/>
              <w:rPr>
                <w:sz w:val="18"/>
                <w:szCs w:val="18"/>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1,429</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Borrowings under loan payable</w:t>
            </w:r>
          </w:p>
        </w:tc>
        <w:tc>
          <w:tcPr>
            <w:tcW w:w="10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5,147</w:t>
            </w: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20" w:type="dxa"/>
            <w:vAlign w:val="bottom"/>
          </w:tcPr>
          <w:p>
            <w:pPr>
              <w:ind w:left="220"/>
              <w:spacing w:after="0"/>
              <w:rPr>
                <w:sz w:val="20"/>
                <w:szCs w:val="20"/>
                <w:color w:val="auto"/>
              </w:rPr>
            </w:pPr>
            <w:r>
              <w:rPr>
                <w:rFonts w:ascii="Arial" w:cs="Arial" w:eastAsia="Arial" w:hAnsi="Arial"/>
                <w:sz w:val="18"/>
                <w:szCs w:val="18"/>
                <w:color w:val="auto"/>
              </w:rPr>
              <w:t>Capital lease payments</w:t>
            </w:r>
          </w:p>
        </w:tc>
        <w:tc>
          <w:tcPr>
            <w:tcW w:w="1400" w:type="dxa"/>
            <w:vAlign w:val="bottom"/>
            <w:gridSpan w:val="3"/>
          </w:tcPr>
          <w:p>
            <w:pPr>
              <w:jc w:val="right"/>
              <w:ind w:right="360"/>
              <w:spacing w:after="0"/>
              <w:rPr>
                <w:sz w:val="20"/>
                <w:szCs w:val="20"/>
                <w:color w:val="auto"/>
              </w:rPr>
            </w:pPr>
            <w:r>
              <w:rPr>
                <w:rFonts w:ascii="Arial" w:cs="Arial" w:eastAsia="Arial" w:hAnsi="Arial"/>
                <w:sz w:val="18"/>
                <w:szCs w:val="18"/>
                <w:color w:val="auto"/>
              </w:rPr>
              <w:t>(150)</w:t>
            </w:r>
          </w:p>
        </w:tc>
        <w:tc>
          <w:tcPr>
            <w:tcW w:w="1660" w:type="dxa"/>
            <w:vAlign w:val="bottom"/>
            <w:gridSpan w:val="4"/>
          </w:tcPr>
          <w:p>
            <w:pPr>
              <w:jc w:val="right"/>
              <w:ind w:right="36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EEEEE"/>
          </w:tcPr>
          <w:p>
            <w:pPr>
              <w:ind w:left="980"/>
              <w:spacing w:after="0"/>
              <w:rPr>
                <w:sz w:val="20"/>
                <w:szCs w:val="20"/>
                <w:color w:val="auto"/>
              </w:rPr>
            </w:pPr>
            <w:r>
              <w:rPr>
                <w:rFonts w:ascii="Arial" w:cs="Arial" w:eastAsia="Arial" w:hAnsi="Arial"/>
                <w:sz w:val="18"/>
                <w:szCs w:val="18"/>
                <w:color w:val="auto"/>
              </w:rPr>
              <w:t>Net cash provided by financing activities</w:t>
            </w:r>
          </w:p>
        </w:tc>
        <w:tc>
          <w:tcPr>
            <w:tcW w:w="10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54,073</w:t>
            </w:r>
          </w:p>
        </w:tc>
        <w:tc>
          <w:tcPr>
            <w:tcW w:w="400" w:type="dxa"/>
            <w:vAlign w:val="bottom"/>
            <w:shd w:val="clear" w:color="auto" w:fill="EEEEEE"/>
          </w:tcPr>
          <w:p>
            <w:pPr>
              <w:spacing w:after="0"/>
              <w:rPr>
                <w:sz w:val="18"/>
                <w:szCs w:val="18"/>
                <w:color w:val="auto"/>
              </w:rPr>
            </w:pPr>
          </w:p>
        </w:tc>
        <w:tc>
          <w:tcPr>
            <w:tcW w:w="126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1,177</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620" w:type="dxa"/>
            <w:vAlign w:val="bottom"/>
          </w:tcPr>
          <w:p>
            <w:pPr>
              <w:ind w:left="980"/>
              <w:spacing w:after="0"/>
              <w:rPr>
                <w:sz w:val="20"/>
                <w:szCs w:val="20"/>
                <w:color w:val="auto"/>
              </w:rPr>
            </w:pPr>
            <w:r>
              <w:rPr>
                <w:rFonts w:ascii="Arial" w:cs="Arial" w:eastAsia="Arial" w:hAnsi="Arial"/>
                <w:sz w:val="18"/>
                <w:szCs w:val="18"/>
                <w:color w:val="auto"/>
              </w:rPr>
              <w:t>Net increase (decrease) in cash and cash equivalents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49,582</w:t>
            </w:r>
          </w:p>
        </w:tc>
        <w:tc>
          <w:tcPr>
            <w:tcW w:w="400" w:type="dxa"/>
            <w:vAlign w:val="bottom"/>
          </w:tcPr>
          <w:p>
            <w:pPr>
              <w:spacing w:after="0"/>
              <w:rPr>
                <w:sz w:val="24"/>
                <w:szCs w:val="24"/>
                <w:color w:val="auto"/>
              </w:rPr>
            </w:pPr>
          </w:p>
        </w:tc>
        <w:tc>
          <w:tcPr>
            <w:tcW w:w="1660" w:type="dxa"/>
            <w:vAlign w:val="bottom"/>
            <w:gridSpan w:val="4"/>
          </w:tcPr>
          <w:p>
            <w:pPr>
              <w:jc w:val="right"/>
              <w:ind w:right="360"/>
              <w:spacing w:after="0"/>
              <w:rPr>
                <w:sz w:val="20"/>
                <w:szCs w:val="20"/>
                <w:color w:val="auto"/>
              </w:rPr>
            </w:pPr>
            <w:r>
              <w:rPr>
                <w:rFonts w:ascii="Arial" w:cs="Arial" w:eastAsia="Arial" w:hAnsi="Arial"/>
                <w:sz w:val="18"/>
                <w:szCs w:val="18"/>
                <w:color w:val="auto"/>
              </w:rPr>
              <w:t>(178,019)</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beginning of period</w:t>
            </w:r>
          </w:p>
        </w:tc>
        <w:tc>
          <w:tcPr>
            <w:tcW w:w="10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80,077</w:t>
            </w:r>
          </w:p>
        </w:tc>
        <w:tc>
          <w:tcPr>
            <w:tcW w:w="400" w:type="dxa"/>
            <w:vAlign w:val="bottom"/>
            <w:shd w:val="clear" w:color="auto" w:fill="EEEEEE"/>
          </w:tcPr>
          <w:p>
            <w:pPr>
              <w:spacing w:after="0"/>
              <w:rPr>
                <w:sz w:val="18"/>
                <w:szCs w:val="18"/>
                <w:color w:val="auto"/>
              </w:rPr>
            </w:pPr>
          </w:p>
        </w:tc>
        <w:tc>
          <w:tcPr>
            <w:tcW w:w="126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247,393</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620" w:type="dxa"/>
            <w:vAlign w:val="bottom"/>
          </w:tcPr>
          <w:p>
            <w:pPr>
              <w:ind w:left="980"/>
              <w:spacing w:after="0"/>
              <w:rPr>
                <w:sz w:val="20"/>
                <w:szCs w:val="20"/>
                <w:color w:val="auto"/>
              </w:rPr>
            </w:pPr>
            <w:r>
              <w:rPr>
                <w:rFonts w:ascii="Arial" w:cs="Arial" w:eastAsia="Arial" w:hAnsi="Arial"/>
                <w:sz w:val="18"/>
                <w:szCs w:val="18"/>
                <w:color w:val="auto"/>
              </w:rPr>
              <w:t>Cash and cash equivalents at end of period</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$ 129,659</w:t>
            </w:r>
          </w:p>
        </w:tc>
        <w:tc>
          <w:tcPr>
            <w:tcW w:w="400" w:type="dxa"/>
            <w:vAlign w:val="bottom"/>
          </w:tcPr>
          <w:p>
            <w:pPr>
              <w:spacing w:after="0"/>
              <w:rPr>
                <w:sz w:val="24"/>
                <w:szCs w:val="24"/>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  69,374</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3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13"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Interim Financial Statements</w:t>
      </w:r>
    </w:p>
    <w:p>
      <w:pPr>
        <w:spacing w:after="0" w:line="231" w:lineRule="exact"/>
        <w:rPr>
          <w:rFonts w:ascii="Arial" w:cs="Arial" w:eastAsia="Arial" w:hAnsi="Arial"/>
          <w:sz w:val="18"/>
          <w:szCs w:val="18"/>
          <w:b w:val="1"/>
          <w:bCs w:val="1"/>
          <w:color w:val="auto"/>
        </w:rPr>
      </w:pPr>
    </w:p>
    <w:p>
      <w:pPr>
        <w:ind w:left="460"/>
        <w:spacing w:after="0" w:line="310" w:lineRule="auto"/>
        <w:rPr>
          <w:rFonts w:ascii="Arial" w:cs="Arial" w:eastAsia="Arial" w:hAnsi="Arial"/>
          <w:sz w:val="18"/>
          <w:szCs w:val="18"/>
          <w:b w:val="1"/>
          <w:bCs w:val="1"/>
          <w:color w:val="auto"/>
        </w:rPr>
      </w:pPr>
      <w:r>
        <w:rPr>
          <w:rFonts w:ascii="Arial" w:cs="Arial" w:eastAsia="Arial" w:hAnsi="Arial"/>
          <w:sz w:val="15"/>
          <w:szCs w:val="15"/>
          <w:color w:val="auto"/>
        </w:rPr>
        <w:t>The interim Condensed Financial Statements of Regeneron Pharmaceuticals, Inc. (“Regeneron” or the “Company”)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generally accepted accounting principles. In the opinion of management, these financial statements reflect all adjustments, consisting only of normal recurring accruals, necessary for a fair presentation of the Company’s financial position, results of operations, and cash flows for such periods. The results of operations for any interim periods are not necessarily indicative of the results for the full year. The December 31, 2002 Condensed Balance Sheet data was derived from audited financial statements, but does not include all disclosures required by generally accepted accounting principles. These financial statements should be read in conjunction with the financial statements and notes thereto contained in the Company’s Annual Report on Form 10-K for the year ended December 31, 2002.</w:t>
      </w:r>
    </w:p>
    <w:p>
      <w:pPr>
        <w:spacing w:after="0" w:line="162" w:lineRule="exact"/>
        <w:rPr>
          <w:rFonts w:ascii="Arial" w:cs="Arial" w:eastAsia="Arial" w:hAnsi="Arial"/>
          <w:sz w:val="18"/>
          <w:szCs w:val="18"/>
          <w:b w:val="1"/>
          <w:bCs w:val="1"/>
          <w:color w:val="auto"/>
        </w:rPr>
      </w:pPr>
    </w:p>
    <w:p>
      <w:pPr>
        <w:ind w:left="460" w:right="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Certain reclassifications have been made to the financial statements for the three and six months ended June 30, 2002 to conform with the current period’s presentation.</w:t>
      </w:r>
    </w:p>
    <w:p>
      <w:pPr>
        <w:spacing w:after="0" w:line="179" w:lineRule="exact"/>
        <w:rPr>
          <w:rFonts w:ascii="Arial" w:cs="Arial" w:eastAsia="Arial" w:hAnsi="Arial"/>
          <w:sz w:val="18"/>
          <w:szCs w:val="18"/>
          <w:b w:val="1"/>
          <w:bCs w:val="1"/>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Employee Compensation</w:t>
      </w:r>
    </w:p>
    <w:p>
      <w:pPr>
        <w:spacing w:after="0" w:line="231" w:lineRule="exact"/>
        <w:rPr>
          <w:rFonts w:ascii="Arial" w:cs="Arial" w:eastAsia="Arial" w:hAnsi="Arial"/>
          <w:sz w:val="18"/>
          <w:szCs w:val="18"/>
          <w:b w:val="1"/>
          <w:bCs w:val="1"/>
          <w:color w:val="auto"/>
        </w:rPr>
      </w:pPr>
    </w:p>
    <w:p>
      <w:pPr>
        <w:ind w:left="460" w:right="1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 xml:space="preserve">The accompanying financial position and results of operations of the Company have been prepared in accordance with APB Opinion No. 25, </w:t>
      </w:r>
      <w:r>
        <w:rPr>
          <w:rFonts w:ascii="Arial" w:cs="Arial" w:eastAsia="Arial" w:hAnsi="Arial"/>
          <w:sz w:val="18"/>
          <w:szCs w:val="18"/>
          <w:i w:val="1"/>
          <w:iCs w:val="1"/>
          <w:color w:val="auto"/>
        </w:rPr>
        <w:t>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for Stock Issued to Employees.</w:t>
      </w:r>
    </w:p>
    <w:p>
      <w:pPr>
        <w:spacing w:after="0" w:line="186" w:lineRule="exact"/>
        <w:rPr>
          <w:sz w:val="20"/>
          <w:szCs w:val="20"/>
          <w:color w:val="auto"/>
        </w:rPr>
      </w:pPr>
    </w:p>
    <w:p>
      <w:pPr>
        <w:jc w:val="both"/>
        <w:ind w:left="460" w:right="20"/>
        <w:spacing w:after="0" w:line="259" w:lineRule="auto"/>
        <w:rPr>
          <w:sz w:val="20"/>
          <w:szCs w:val="20"/>
          <w:color w:val="auto"/>
        </w:rPr>
      </w:pPr>
      <w:r>
        <w:rPr>
          <w:rFonts w:ascii="Arial" w:cs="Arial" w:eastAsia="Arial" w:hAnsi="Arial"/>
          <w:sz w:val="18"/>
          <w:szCs w:val="18"/>
          <w:color w:val="auto"/>
        </w:rPr>
        <w:t xml:space="preserve">The following table illustrates the effect on the Company’s net loss and net loss per share had compensation costs for the Company’s stock-based incentive plans been determined in accordance with the fair value based method of accounting for stock-based compensation as prescribed by Statement of Financial Accounting Standards No. 123, </w:t>
      </w:r>
      <w:r>
        <w:rPr>
          <w:rFonts w:ascii="Arial" w:cs="Arial" w:eastAsia="Arial" w:hAnsi="Arial"/>
          <w:sz w:val="18"/>
          <w:szCs w:val="18"/>
          <w:i w:val="1"/>
          <w:iCs w:val="1"/>
          <w:color w:val="auto"/>
        </w:rPr>
        <w:t>Accounting for Stock-Based Compensation.</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258"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5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40" w:type="dxa"/>
            <w:vAlign w:val="bottom"/>
            <w:gridSpan w:val="9"/>
          </w:tcPr>
          <w:p>
            <w:pPr>
              <w:jc w:val="right"/>
              <w:ind w:right="800"/>
              <w:spacing w:after="0"/>
              <w:rPr>
                <w:sz w:val="20"/>
                <w:szCs w:val="20"/>
                <w:color w:val="auto"/>
              </w:rPr>
            </w:pPr>
            <w:r>
              <w:rPr>
                <w:rFonts w:ascii="Arial" w:cs="Arial" w:eastAsia="Arial" w:hAnsi="Arial"/>
                <w:sz w:val="14"/>
                <w:szCs w:val="14"/>
                <w:b w:val="1"/>
                <w:bCs w:val="1"/>
                <w:color w:val="auto"/>
                <w:w w:val="97"/>
              </w:rPr>
              <w:t>Three months ended June 30,</w:t>
            </w:r>
          </w:p>
        </w:tc>
      </w:tr>
      <w:tr>
        <w:trPr>
          <w:trHeight w:val="95"/>
        </w:trPr>
        <w:tc>
          <w:tcPr>
            <w:tcW w:w="52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r>
      <w:tr>
        <w:trPr>
          <w:trHeight w:val="263"/>
        </w:trPr>
        <w:tc>
          <w:tcPr>
            <w:tcW w:w="5260" w:type="dxa"/>
            <w:vAlign w:val="bottom"/>
          </w:tcPr>
          <w:p>
            <w:pPr>
              <w:spacing w:after="0"/>
              <w:rPr>
                <w:sz w:val="22"/>
                <w:szCs w:val="22"/>
                <w:color w:val="auto"/>
              </w:rPr>
            </w:pPr>
          </w:p>
        </w:tc>
        <w:tc>
          <w:tcPr>
            <w:tcW w:w="1040" w:type="dxa"/>
            <w:vAlign w:val="bottom"/>
            <w:gridSpan w:val="4"/>
          </w:tcPr>
          <w:p>
            <w:pPr>
              <w:jc w:val="right"/>
              <w:ind w:right="112"/>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22"/>
                <w:szCs w:val="22"/>
                <w:color w:val="auto"/>
              </w:rPr>
            </w:pPr>
          </w:p>
        </w:tc>
      </w:tr>
      <w:tr>
        <w:trPr>
          <w:trHeight w:val="95"/>
        </w:trPr>
        <w:tc>
          <w:tcPr>
            <w:tcW w:w="52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r>
      <w:tr>
        <w:trPr>
          <w:trHeight w:val="102"/>
        </w:trPr>
        <w:tc>
          <w:tcPr>
            <w:tcW w:w="5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216"/>
        </w:trPr>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rPr>
              <w:t>Net loss, as reported</w:t>
            </w:r>
          </w:p>
        </w:tc>
        <w:tc>
          <w:tcPr>
            <w:tcW w:w="1180" w:type="dxa"/>
            <w:vAlign w:val="bottom"/>
            <w:tcBorders>
              <w:right w:val="single" w:sz="8" w:color="EEEEEE"/>
            </w:tcBorders>
            <w:gridSpan w:val="5"/>
            <w:shd w:val="clear" w:color="auto" w:fill="EEEEEE"/>
          </w:tcPr>
          <w:p>
            <w:pPr>
              <w:jc w:val="right"/>
              <w:ind w:right="80"/>
              <w:spacing w:after="0"/>
              <w:rPr>
                <w:sz w:val="20"/>
                <w:szCs w:val="20"/>
                <w:color w:val="auto"/>
              </w:rPr>
            </w:pPr>
            <w:r>
              <w:rPr>
                <w:rFonts w:ascii="Arial" w:cs="Arial" w:eastAsia="Arial" w:hAnsi="Arial"/>
                <w:sz w:val="18"/>
                <w:szCs w:val="18"/>
                <w:color w:val="auto"/>
              </w:rPr>
              <w:t>($28,736)</w:t>
            </w:r>
          </w:p>
        </w:tc>
        <w:tc>
          <w:tcPr>
            <w:tcW w:w="260" w:type="dxa"/>
            <w:vAlign w:val="bottom"/>
            <w:shd w:val="clear" w:color="auto" w:fill="EEEEEE"/>
          </w:tcPr>
          <w:p>
            <w:pPr>
              <w:spacing w:after="0"/>
              <w:rPr>
                <w:sz w:val="18"/>
                <w:szCs w:val="18"/>
                <w:color w:val="auto"/>
              </w:rPr>
            </w:pPr>
          </w:p>
        </w:tc>
        <w:tc>
          <w:tcPr>
            <w:tcW w:w="1840" w:type="dxa"/>
            <w:vAlign w:val="bottom"/>
            <w:gridSpan w:val="6"/>
            <w:shd w:val="clear" w:color="auto" w:fill="EEEEEE"/>
          </w:tcPr>
          <w:p>
            <w:pPr>
              <w:jc w:val="right"/>
              <w:ind w:right="340"/>
              <w:spacing w:after="0"/>
              <w:rPr>
                <w:sz w:val="20"/>
                <w:szCs w:val="20"/>
                <w:color w:val="auto"/>
              </w:rPr>
            </w:pPr>
            <w:r>
              <w:rPr>
                <w:rFonts w:ascii="Arial" w:cs="Arial" w:eastAsia="Arial" w:hAnsi="Arial"/>
                <w:sz w:val="18"/>
                <w:szCs w:val="18"/>
                <w:color w:val="auto"/>
              </w:rPr>
              <w:t>($30,423)</w:t>
            </w:r>
          </w:p>
        </w:tc>
      </w:tr>
      <w:tr>
        <w:trPr>
          <w:trHeight w:val="208"/>
        </w:trPr>
        <w:tc>
          <w:tcPr>
            <w:tcW w:w="5260" w:type="dxa"/>
            <w:vAlign w:val="bottom"/>
          </w:tcPr>
          <w:p>
            <w:pPr>
              <w:spacing w:after="0"/>
              <w:rPr>
                <w:sz w:val="20"/>
                <w:szCs w:val="20"/>
                <w:color w:val="auto"/>
              </w:rPr>
            </w:pPr>
            <w:r>
              <w:rPr>
                <w:rFonts w:ascii="Arial" w:cs="Arial" w:eastAsia="Arial" w:hAnsi="Arial"/>
                <w:sz w:val="18"/>
                <w:szCs w:val="18"/>
                <w:color w:val="auto"/>
              </w:rPr>
              <w:t>Add: Stock-based employee compensation expense included in</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23"/>
        </w:trPr>
        <w:tc>
          <w:tcPr>
            <w:tcW w:w="5260" w:type="dxa"/>
            <w:vAlign w:val="bottom"/>
          </w:tcPr>
          <w:p>
            <w:pPr>
              <w:ind w:left="140"/>
              <w:spacing w:after="0"/>
              <w:rPr>
                <w:sz w:val="20"/>
                <w:szCs w:val="20"/>
                <w:color w:val="auto"/>
              </w:rPr>
            </w:pPr>
            <w:r>
              <w:rPr>
                <w:rFonts w:ascii="Arial" w:cs="Arial" w:eastAsia="Arial" w:hAnsi="Arial"/>
                <w:sz w:val="18"/>
                <w:szCs w:val="18"/>
                <w:color w:val="auto"/>
              </w:rPr>
              <w:t>reported net loss</w:t>
            </w: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545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5"/>
          </w:tcPr>
          <w:p>
            <w:pPr>
              <w:jc w:val="right"/>
              <w:spacing w:after="0"/>
              <w:rPr>
                <w:sz w:val="20"/>
                <w:szCs w:val="20"/>
                <w:color w:val="auto"/>
              </w:rPr>
            </w:pPr>
            <w:r>
              <w:rPr>
                <w:rFonts w:ascii="Arial" w:cs="Arial" w:eastAsia="Arial" w:hAnsi="Arial"/>
                <w:sz w:val="18"/>
                <w:szCs w:val="18"/>
                <w:color w:val="auto"/>
              </w:rPr>
              <w:t>440</w:t>
            </w:r>
          </w:p>
        </w:tc>
        <w:tc>
          <w:tcPr>
            <w:tcW w:w="400" w:type="dxa"/>
            <w:vAlign w:val="bottom"/>
          </w:tcPr>
          <w:p>
            <w:pPr>
              <w:spacing w:after="0"/>
              <w:rPr>
                <w:sz w:val="19"/>
                <w:szCs w:val="19"/>
                <w:color w:val="auto"/>
              </w:rPr>
            </w:pPr>
          </w:p>
        </w:tc>
      </w:tr>
      <w:tr>
        <w:trPr>
          <w:trHeight w:val="209"/>
        </w:trPr>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rPr>
              <w:t>Deduct: Total stock-based employee compensation expense</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400" w:type="dxa"/>
            <w:vAlign w:val="bottom"/>
            <w:tcBorders>
              <w:left w:val="single" w:sz="8" w:color="EEEEEE"/>
            </w:tcBorders>
            <w:shd w:val="clear" w:color="auto" w:fill="EEEEEE"/>
          </w:tcPr>
          <w:p>
            <w:pPr>
              <w:spacing w:after="0"/>
              <w:rPr>
                <w:sz w:val="18"/>
                <w:szCs w:val="18"/>
                <w:color w:val="auto"/>
              </w:rPr>
            </w:pPr>
          </w:p>
        </w:tc>
      </w:tr>
      <w:tr>
        <w:trPr>
          <w:trHeight w:val="224"/>
        </w:trPr>
        <w:tc>
          <w:tcPr>
            <w:tcW w:w="52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determined under fair value based method for all awards</w:t>
            </w:r>
          </w:p>
        </w:tc>
        <w:tc>
          <w:tcPr>
            <w:tcW w:w="1180" w:type="dxa"/>
            <w:vAlign w:val="bottom"/>
            <w:tcBorders>
              <w:right w:val="single" w:sz="8" w:color="EEEEEE"/>
            </w:tcBorders>
            <w:gridSpan w:val="5"/>
            <w:shd w:val="clear" w:color="auto" w:fill="EEEEEE"/>
          </w:tcPr>
          <w:p>
            <w:pPr>
              <w:jc w:val="right"/>
              <w:ind w:right="80"/>
              <w:spacing w:after="0"/>
              <w:rPr>
                <w:sz w:val="20"/>
                <w:szCs w:val="20"/>
                <w:color w:val="auto"/>
              </w:rPr>
            </w:pPr>
            <w:r>
              <w:rPr>
                <w:rFonts w:ascii="Arial" w:cs="Arial" w:eastAsia="Arial" w:hAnsi="Arial"/>
                <w:sz w:val="18"/>
                <w:szCs w:val="18"/>
                <w:color w:val="auto"/>
              </w:rPr>
              <w:t>(10,997)</w:t>
            </w:r>
          </w:p>
        </w:tc>
        <w:tc>
          <w:tcPr>
            <w:tcW w:w="260" w:type="dxa"/>
            <w:vAlign w:val="bottom"/>
            <w:shd w:val="clear" w:color="auto" w:fill="EEEEEE"/>
          </w:tcPr>
          <w:p>
            <w:pPr>
              <w:spacing w:after="0"/>
              <w:rPr>
                <w:sz w:val="19"/>
                <w:szCs w:val="19"/>
                <w:color w:val="auto"/>
              </w:rPr>
            </w:pPr>
          </w:p>
        </w:tc>
        <w:tc>
          <w:tcPr>
            <w:tcW w:w="1840" w:type="dxa"/>
            <w:vAlign w:val="bottom"/>
            <w:gridSpan w:val="6"/>
            <w:shd w:val="clear" w:color="auto" w:fill="EEEEEE"/>
          </w:tcPr>
          <w:p>
            <w:pPr>
              <w:jc w:val="right"/>
              <w:ind w:right="340"/>
              <w:spacing w:after="0"/>
              <w:rPr>
                <w:sz w:val="20"/>
                <w:szCs w:val="20"/>
                <w:color w:val="auto"/>
              </w:rPr>
            </w:pPr>
            <w:r>
              <w:rPr>
                <w:rFonts w:ascii="Arial" w:cs="Arial" w:eastAsia="Arial" w:hAnsi="Arial"/>
                <w:sz w:val="18"/>
                <w:szCs w:val="18"/>
                <w:color w:val="auto"/>
              </w:rPr>
              <w:t>(11,548)</w:t>
            </w:r>
          </w:p>
        </w:tc>
      </w:tr>
      <w:tr>
        <w:trPr>
          <w:trHeight w:val="108"/>
        </w:trPr>
        <w:tc>
          <w:tcPr>
            <w:tcW w:w="5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gridSpan w:val="2"/>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r>
      <w:tr>
        <w:trPr>
          <w:trHeight w:val="316"/>
        </w:trPr>
        <w:tc>
          <w:tcPr>
            <w:tcW w:w="5260" w:type="dxa"/>
            <w:vAlign w:val="bottom"/>
          </w:tcPr>
          <w:p>
            <w:pPr>
              <w:spacing w:after="0"/>
              <w:rPr>
                <w:sz w:val="20"/>
                <w:szCs w:val="20"/>
                <w:color w:val="auto"/>
              </w:rPr>
            </w:pPr>
            <w:r>
              <w:rPr>
                <w:rFonts w:ascii="Arial" w:cs="Arial" w:eastAsia="Arial" w:hAnsi="Arial"/>
                <w:sz w:val="18"/>
                <w:szCs w:val="18"/>
                <w:color w:val="auto"/>
              </w:rPr>
              <w:t>Pro forma net loss</w:t>
            </w:r>
          </w:p>
        </w:tc>
        <w:tc>
          <w:tcPr>
            <w:tcW w:w="1180" w:type="dxa"/>
            <w:vAlign w:val="bottom"/>
            <w:gridSpan w:val="5"/>
          </w:tcPr>
          <w:p>
            <w:pPr>
              <w:jc w:val="right"/>
              <w:ind w:right="80"/>
              <w:spacing w:after="0"/>
              <w:rPr>
                <w:sz w:val="20"/>
                <w:szCs w:val="20"/>
                <w:color w:val="auto"/>
              </w:rPr>
            </w:pPr>
            <w:r>
              <w:rPr>
                <w:rFonts w:ascii="Arial" w:cs="Arial" w:eastAsia="Arial" w:hAnsi="Arial"/>
                <w:sz w:val="18"/>
                <w:szCs w:val="18"/>
                <w:color w:val="auto"/>
              </w:rPr>
              <w:t>($39,188)</w:t>
            </w:r>
          </w:p>
        </w:tc>
        <w:tc>
          <w:tcPr>
            <w:tcW w:w="260" w:type="dxa"/>
            <w:vAlign w:val="bottom"/>
          </w:tcPr>
          <w:p>
            <w:pPr>
              <w:spacing w:after="0"/>
              <w:rPr>
                <w:sz w:val="24"/>
                <w:szCs w:val="24"/>
                <w:color w:val="auto"/>
              </w:rPr>
            </w:pPr>
          </w:p>
        </w:tc>
        <w:tc>
          <w:tcPr>
            <w:tcW w:w="1840" w:type="dxa"/>
            <w:vAlign w:val="bottom"/>
            <w:gridSpan w:val="6"/>
          </w:tcPr>
          <w:p>
            <w:pPr>
              <w:jc w:val="right"/>
              <w:ind w:right="340"/>
              <w:spacing w:after="0"/>
              <w:rPr>
                <w:sz w:val="20"/>
                <w:szCs w:val="20"/>
                <w:color w:val="auto"/>
              </w:rPr>
            </w:pPr>
            <w:r>
              <w:rPr>
                <w:rFonts w:ascii="Arial" w:cs="Arial" w:eastAsia="Arial" w:hAnsi="Arial"/>
                <w:sz w:val="18"/>
                <w:szCs w:val="18"/>
                <w:color w:val="auto"/>
              </w:rPr>
              <w:t>($41,531)</w:t>
            </w:r>
          </w:p>
        </w:tc>
      </w:tr>
      <w:tr>
        <w:trPr>
          <w:trHeight w:val="107"/>
        </w:trPr>
        <w:tc>
          <w:tcPr>
            <w:tcW w:w="5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r>
      <w:tr>
        <w:trPr>
          <w:trHeight w:val="61"/>
        </w:trPr>
        <w:tc>
          <w:tcPr>
            <w:tcW w:w="5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r>
      <w:tr>
        <w:trPr>
          <w:trHeight w:val="105"/>
        </w:trPr>
        <w:tc>
          <w:tcPr>
            <w:tcW w:w="5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r>
      <w:tr>
        <w:trPr>
          <w:trHeight w:val="216"/>
        </w:trPr>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rPr>
              <w:t>Net loss per share amounts, basic and diluted:</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400" w:type="dxa"/>
            <w:vAlign w:val="bottom"/>
            <w:tcBorders>
              <w:left w:val="single" w:sz="8" w:color="EEEEEE"/>
            </w:tcBorders>
            <w:shd w:val="clear" w:color="auto" w:fill="EEEEEE"/>
          </w:tcPr>
          <w:p>
            <w:pPr>
              <w:spacing w:after="0"/>
              <w:rPr>
                <w:sz w:val="18"/>
                <w:szCs w:val="18"/>
                <w:color w:val="auto"/>
              </w:rPr>
            </w:pPr>
          </w:p>
        </w:tc>
      </w:tr>
      <w:tr>
        <w:trPr>
          <w:trHeight w:val="222"/>
        </w:trPr>
        <w:tc>
          <w:tcPr>
            <w:tcW w:w="5260" w:type="dxa"/>
            <w:vAlign w:val="bottom"/>
          </w:tcPr>
          <w:p>
            <w:pPr>
              <w:ind w:left="360"/>
              <w:spacing w:after="0"/>
              <w:rPr>
                <w:sz w:val="20"/>
                <w:szCs w:val="20"/>
                <w:color w:val="auto"/>
              </w:rPr>
            </w:pPr>
            <w:r>
              <w:rPr>
                <w:rFonts w:ascii="Arial" w:cs="Arial" w:eastAsia="Arial" w:hAnsi="Arial"/>
                <w:sz w:val="18"/>
                <w:szCs w:val="18"/>
                <w:color w:val="auto"/>
              </w:rPr>
              <w:t>As reported</w:t>
            </w:r>
          </w:p>
        </w:tc>
        <w:tc>
          <w:tcPr>
            <w:tcW w:w="1180" w:type="dxa"/>
            <w:vAlign w:val="bottom"/>
            <w:gridSpan w:val="5"/>
          </w:tcPr>
          <w:p>
            <w:pPr>
              <w:jc w:val="right"/>
              <w:ind w:right="80"/>
              <w:spacing w:after="0"/>
              <w:rPr>
                <w:sz w:val="20"/>
                <w:szCs w:val="20"/>
                <w:color w:val="auto"/>
              </w:rPr>
            </w:pPr>
            <w:r>
              <w:rPr>
                <w:rFonts w:ascii="Arial" w:cs="Arial" w:eastAsia="Arial" w:hAnsi="Arial"/>
                <w:sz w:val="18"/>
                <w:szCs w:val="18"/>
                <w:color w:val="auto"/>
              </w:rPr>
              <w:t>($0.58)</w:t>
            </w:r>
          </w:p>
        </w:tc>
        <w:tc>
          <w:tcPr>
            <w:tcW w:w="260" w:type="dxa"/>
            <w:vAlign w:val="bottom"/>
          </w:tcPr>
          <w:p>
            <w:pPr>
              <w:spacing w:after="0"/>
              <w:rPr>
                <w:sz w:val="19"/>
                <w:szCs w:val="19"/>
                <w:color w:val="auto"/>
              </w:rPr>
            </w:pPr>
          </w:p>
        </w:tc>
        <w:tc>
          <w:tcPr>
            <w:tcW w:w="1840" w:type="dxa"/>
            <w:vAlign w:val="bottom"/>
            <w:gridSpan w:val="6"/>
          </w:tcPr>
          <w:p>
            <w:pPr>
              <w:jc w:val="right"/>
              <w:ind w:right="340"/>
              <w:spacing w:after="0"/>
              <w:rPr>
                <w:sz w:val="20"/>
                <w:szCs w:val="20"/>
                <w:color w:val="auto"/>
              </w:rPr>
            </w:pPr>
            <w:r>
              <w:rPr>
                <w:rFonts w:ascii="Arial" w:cs="Arial" w:eastAsia="Arial" w:hAnsi="Arial"/>
                <w:sz w:val="18"/>
                <w:szCs w:val="18"/>
                <w:color w:val="auto"/>
              </w:rPr>
              <w:t>($0.69)</w:t>
            </w:r>
          </w:p>
        </w:tc>
      </w:tr>
      <w:tr>
        <w:trPr>
          <w:trHeight w:val="98"/>
        </w:trPr>
        <w:tc>
          <w:tcPr>
            <w:tcW w:w="5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61"/>
        </w:trPr>
        <w:tc>
          <w:tcPr>
            <w:tcW w:w="5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r>
      <w:tr>
        <w:trPr>
          <w:trHeight w:val="105"/>
        </w:trPr>
        <w:tc>
          <w:tcPr>
            <w:tcW w:w="5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r>
      <w:tr>
        <w:trPr>
          <w:trHeight w:val="216"/>
        </w:trPr>
        <w:tc>
          <w:tcPr>
            <w:tcW w:w="5260" w:type="dxa"/>
            <w:vAlign w:val="bottom"/>
            <w:shd w:val="clear" w:color="auto" w:fill="EEEEEE"/>
          </w:tcPr>
          <w:p>
            <w:pPr>
              <w:ind w:left="360"/>
              <w:spacing w:after="0"/>
              <w:rPr>
                <w:sz w:val="20"/>
                <w:szCs w:val="20"/>
                <w:color w:val="auto"/>
              </w:rPr>
            </w:pPr>
            <w:r>
              <w:rPr>
                <w:rFonts w:ascii="Arial" w:cs="Arial" w:eastAsia="Arial" w:hAnsi="Arial"/>
                <w:sz w:val="18"/>
                <w:szCs w:val="18"/>
                <w:color w:val="auto"/>
              </w:rPr>
              <w:t>Pro forma</w:t>
            </w:r>
          </w:p>
        </w:tc>
        <w:tc>
          <w:tcPr>
            <w:tcW w:w="1180" w:type="dxa"/>
            <w:vAlign w:val="bottom"/>
            <w:tcBorders>
              <w:right w:val="single" w:sz="8" w:color="EEEEEE"/>
            </w:tcBorders>
            <w:gridSpan w:val="5"/>
            <w:shd w:val="clear" w:color="auto" w:fill="EEEEEE"/>
          </w:tcPr>
          <w:p>
            <w:pPr>
              <w:jc w:val="right"/>
              <w:ind w:right="80"/>
              <w:spacing w:after="0"/>
              <w:rPr>
                <w:sz w:val="20"/>
                <w:szCs w:val="20"/>
                <w:color w:val="auto"/>
              </w:rPr>
            </w:pPr>
            <w:r>
              <w:rPr>
                <w:rFonts w:ascii="Arial" w:cs="Arial" w:eastAsia="Arial" w:hAnsi="Arial"/>
                <w:sz w:val="18"/>
                <w:szCs w:val="18"/>
                <w:color w:val="auto"/>
              </w:rPr>
              <w:t>($0.79)</w:t>
            </w:r>
          </w:p>
        </w:tc>
        <w:tc>
          <w:tcPr>
            <w:tcW w:w="260" w:type="dxa"/>
            <w:vAlign w:val="bottom"/>
            <w:shd w:val="clear" w:color="auto" w:fill="EEEEEE"/>
          </w:tcPr>
          <w:p>
            <w:pPr>
              <w:spacing w:after="0"/>
              <w:rPr>
                <w:sz w:val="18"/>
                <w:szCs w:val="18"/>
                <w:color w:val="auto"/>
              </w:rPr>
            </w:pPr>
          </w:p>
        </w:tc>
        <w:tc>
          <w:tcPr>
            <w:tcW w:w="1840" w:type="dxa"/>
            <w:vAlign w:val="bottom"/>
            <w:gridSpan w:val="6"/>
            <w:shd w:val="clear" w:color="auto" w:fill="EEEEEE"/>
          </w:tcPr>
          <w:p>
            <w:pPr>
              <w:jc w:val="right"/>
              <w:ind w:right="340"/>
              <w:spacing w:after="0"/>
              <w:rPr>
                <w:sz w:val="20"/>
                <w:szCs w:val="20"/>
                <w:color w:val="auto"/>
              </w:rPr>
            </w:pPr>
            <w:r>
              <w:rPr>
                <w:rFonts w:ascii="Arial" w:cs="Arial" w:eastAsia="Arial" w:hAnsi="Arial"/>
                <w:sz w:val="18"/>
                <w:szCs w:val="18"/>
                <w:color w:val="auto"/>
              </w:rPr>
              <w:t>($0.95)</w:t>
            </w:r>
          </w:p>
        </w:tc>
      </w:tr>
      <w:tr>
        <w:trPr>
          <w:trHeight w:val="105"/>
        </w:trPr>
        <w:tc>
          <w:tcPr>
            <w:tcW w:w="5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360" w:type="dxa"/>
            <w:vAlign w:val="bottom"/>
            <w:gridSpan w:val="2"/>
          </w:tcPr>
          <w:p>
            <w:pPr>
              <w:spacing w:after="0"/>
              <w:rPr>
                <w:sz w:val="9"/>
                <w:szCs w:val="9"/>
                <w:color w:val="auto"/>
              </w:rPr>
            </w:pPr>
          </w:p>
        </w:tc>
        <w:tc>
          <w:tcPr>
            <w:tcW w:w="380" w:type="dxa"/>
            <w:vAlign w:val="bottom"/>
            <w:gridSpan w:val="2"/>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r>
      <w:tr>
        <w:trPr>
          <w:trHeight w:val="61"/>
        </w:trPr>
        <w:tc>
          <w:tcPr>
            <w:tcW w:w="5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gridSpan w:val="2"/>
          </w:tcPr>
          <w:p>
            <w:pPr>
              <w:spacing w:after="0"/>
              <w:rPr>
                <w:sz w:val="5"/>
                <w:szCs w:val="5"/>
                <w:color w:val="auto"/>
              </w:rPr>
            </w:pPr>
          </w:p>
        </w:tc>
        <w:tc>
          <w:tcPr>
            <w:tcW w:w="380" w:type="dxa"/>
            <w:vAlign w:val="bottom"/>
            <w:gridSpan w:val="2"/>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r>
      <w:tr>
        <w:trPr>
          <w:trHeight w:val="509"/>
        </w:trPr>
        <w:tc>
          <w:tcPr>
            <w:tcW w:w="5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40" w:type="dxa"/>
            <w:vAlign w:val="bottom"/>
            <w:gridSpan w:val="9"/>
          </w:tcPr>
          <w:p>
            <w:pPr>
              <w:jc w:val="right"/>
              <w:ind w:right="780"/>
              <w:spacing w:after="0"/>
              <w:rPr>
                <w:sz w:val="20"/>
                <w:szCs w:val="20"/>
                <w:color w:val="auto"/>
              </w:rPr>
            </w:pPr>
            <w:r>
              <w:rPr>
                <w:rFonts w:ascii="Arial" w:cs="Arial" w:eastAsia="Arial" w:hAnsi="Arial"/>
                <w:sz w:val="14"/>
                <w:szCs w:val="14"/>
                <w:b w:val="1"/>
                <w:bCs w:val="1"/>
                <w:color w:val="auto"/>
              </w:rPr>
              <w:t>Six Months ended June 30,</w:t>
            </w:r>
          </w:p>
        </w:tc>
      </w:tr>
      <w:tr>
        <w:trPr>
          <w:trHeight w:val="95"/>
        </w:trPr>
        <w:tc>
          <w:tcPr>
            <w:tcW w:w="5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Borders>
              <w:bottom w:val="single" w:sz="8" w:color="808080"/>
            </w:tcBorders>
            <w:gridSpan w:val="2"/>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gridSpan w:val="2"/>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r>
      <w:tr>
        <w:trPr>
          <w:trHeight w:val="263"/>
        </w:trPr>
        <w:tc>
          <w:tcPr>
            <w:tcW w:w="5260" w:type="dxa"/>
            <w:vAlign w:val="bottom"/>
          </w:tcPr>
          <w:p>
            <w:pPr>
              <w:spacing w:after="0"/>
              <w:rPr>
                <w:sz w:val="22"/>
                <w:szCs w:val="22"/>
                <w:color w:val="auto"/>
              </w:rPr>
            </w:pPr>
          </w:p>
        </w:tc>
        <w:tc>
          <w:tcPr>
            <w:tcW w:w="104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22"/>
                <w:szCs w:val="22"/>
                <w:color w:val="auto"/>
              </w:rPr>
            </w:pPr>
          </w:p>
        </w:tc>
      </w:tr>
      <w:tr>
        <w:trPr>
          <w:trHeight w:val="95"/>
        </w:trPr>
        <w:tc>
          <w:tcPr>
            <w:tcW w:w="5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Borders>
              <w:bottom w:val="single" w:sz="8" w:color="808080"/>
            </w:tcBorders>
            <w:gridSpan w:val="2"/>
          </w:tcPr>
          <w:p>
            <w:pPr>
              <w:spacing w:after="0"/>
              <w:rPr>
                <w:sz w:val="8"/>
                <w:szCs w:val="8"/>
                <w:color w:val="auto"/>
              </w:rPr>
            </w:pPr>
          </w:p>
        </w:tc>
        <w:tc>
          <w:tcPr>
            <w:tcW w:w="640" w:type="dxa"/>
            <w:vAlign w:val="bottom"/>
            <w:tcBorders>
              <w:bottom w:val="single" w:sz="8" w:color="808080"/>
            </w:tcBorders>
            <w:gridSpan w:val="2"/>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80" w:type="dxa"/>
            <w:vAlign w:val="bottom"/>
            <w:gridSpan w:val="2"/>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r>
      <w:tr>
        <w:trPr>
          <w:trHeight w:val="102"/>
        </w:trPr>
        <w:tc>
          <w:tcPr>
            <w:tcW w:w="5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216"/>
        </w:trPr>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rPr>
              <w:t>Net loss, as reported</w:t>
            </w:r>
          </w:p>
        </w:tc>
        <w:tc>
          <w:tcPr>
            <w:tcW w:w="1440" w:type="dxa"/>
            <w:vAlign w:val="bottom"/>
            <w:gridSpan w:val="6"/>
            <w:shd w:val="clear" w:color="auto" w:fill="EEEEEE"/>
          </w:tcPr>
          <w:p>
            <w:pPr>
              <w:jc w:val="right"/>
              <w:ind w:right="220"/>
              <w:spacing w:after="0"/>
              <w:rPr>
                <w:sz w:val="20"/>
                <w:szCs w:val="20"/>
                <w:color w:val="auto"/>
              </w:rPr>
            </w:pPr>
            <w:r>
              <w:rPr>
                <w:rFonts w:ascii="Arial" w:cs="Arial" w:eastAsia="Arial" w:hAnsi="Arial"/>
                <w:sz w:val="18"/>
                <w:szCs w:val="18"/>
                <w:color w:val="auto"/>
              </w:rPr>
              <w:t>($58,846)</w:t>
            </w:r>
          </w:p>
        </w:tc>
        <w:tc>
          <w:tcPr>
            <w:tcW w:w="1840" w:type="dxa"/>
            <w:vAlign w:val="bottom"/>
            <w:gridSpan w:val="6"/>
            <w:shd w:val="clear" w:color="auto" w:fill="EEEEEE"/>
          </w:tcPr>
          <w:p>
            <w:pPr>
              <w:jc w:val="right"/>
              <w:ind w:right="320"/>
              <w:spacing w:after="0"/>
              <w:rPr>
                <w:sz w:val="20"/>
                <w:szCs w:val="20"/>
                <w:color w:val="auto"/>
              </w:rPr>
            </w:pPr>
            <w:r>
              <w:rPr>
                <w:rFonts w:ascii="Arial" w:cs="Arial" w:eastAsia="Arial" w:hAnsi="Arial"/>
                <w:sz w:val="18"/>
                <w:szCs w:val="18"/>
                <w:color w:val="auto"/>
              </w:rPr>
              <w:t>($55,868)</w:t>
            </w:r>
          </w:p>
        </w:tc>
      </w:tr>
      <w:tr>
        <w:trPr>
          <w:trHeight w:val="208"/>
        </w:trPr>
        <w:tc>
          <w:tcPr>
            <w:tcW w:w="5260" w:type="dxa"/>
            <w:vAlign w:val="bottom"/>
          </w:tcPr>
          <w:p>
            <w:pPr>
              <w:spacing w:after="0"/>
              <w:rPr>
                <w:sz w:val="20"/>
                <w:szCs w:val="20"/>
                <w:color w:val="auto"/>
              </w:rPr>
            </w:pPr>
            <w:r>
              <w:rPr>
                <w:rFonts w:ascii="Arial" w:cs="Arial" w:eastAsia="Arial" w:hAnsi="Arial"/>
                <w:sz w:val="18"/>
                <w:szCs w:val="18"/>
                <w:color w:val="auto"/>
              </w:rPr>
              <w:t>Add: Stock-based employee compensation expense included in</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23"/>
        </w:trPr>
        <w:tc>
          <w:tcPr>
            <w:tcW w:w="5260" w:type="dxa"/>
            <w:vAlign w:val="bottom"/>
          </w:tcPr>
          <w:p>
            <w:pPr>
              <w:ind w:left="140"/>
              <w:spacing w:after="0"/>
              <w:rPr>
                <w:sz w:val="20"/>
                <w:szCs w:val="20"/>
                <w:color w:val="auto"/>
              </w:rPr>
            </w:pPr>
            <w:r>
              <w:rPr>
                <w:rFonts w:ascii="Arial" w:cs="Arial" w:eastAsia="Arial" w:hAnsi="Arial"/>
                <w:sz w:val="18"/>
                <w:szCs w:val="18"/>
                <w:color w:val="auto"/>
              </w:rPr>
              <w:t>reported net loss</w:t>
            </w:r>
          </w:p>
        </w:tc>
        <w:tc>
          <w:tcPr>
            <w:tcW w:w="1180" w:type="dxa"/>
            <w:vAlign w:val="bottom"/>
            <w:gridSpan w:val="5"/>
          </w:tcPr>
          <w:p>
            <w:pPr>
              <w:jc w:val="right"/>
              <w:ind w:right="20"/>
              <w:spacing w:after="0"/>
              <w:rPr>
                <w:sz w:val="20"/>
                <w:szCs w:val="20"/>
                <w:color w:val="auto"/>
              </w:rPr>
            </w:pPr>
            <w:r>
              <w:rPr>
                <w:rFonts w:ascii="Arial" w:cs="Arial" w:eastAsia="Arial" w:hAnsi="Arial"/>
                <w:sz w:val="18"/>
                <w:szCs w:val="18"/>
                <w:color w:val="auto"/>
              </w:rPr>
              <w:t>1,132</w:t>
            </w:r>
          </w:p>
        </w:tc>
        <w:tc>
          <w:tcPr>
            <w:tcW w:w="260" w:type="dxa"/>
            <w:vAlign w:val="bottom"/>
          </w:tcPr>
          <w:p>
            <w:pPr>
              <w:spacing w:after="0"/>
              <w:rPr>
                <w:sz w:val="19"/>
                <w:szCs w:val="19"/>
                <w:color w:val="auto"/>
              </w:rPr>
            </w:pPr>
          </w:p>
        </w:tc>
        <w:tc>
          <w:tcPr>
            <w:tcW w:w="1440" w:type="dxa"/>
            <w:vAlign w:val="bottom"/>
            <w:gridSpan w:val="5"/>
          </w:tcPr>
          <w:p>
            <w:pPr>
              <w:jc w:val="right"/>
              <w:spacing w:after="0"/>
              <w:rPr>
                <w:sz w:val="20"/>
                <w:szCs w:val="20"/>
                <w:color w:val="auto"/>
              </w:rPr>
            </w:pPr>
            <w:r>
              <w:rPr>
                <w:rFonts w:ascii="Arial" w:cs="Arial" w:eastAsia="Arial" w:hAnsi="Arial"/>
                <w:sz w:val="18"/>
                <w:szCs w:val="18"/>
                <w:color w:val="auto"/>
              </w:rPr>
              <w:t>879</w:t>
            </w:r>
          </w:p>
        </w:tc>
        <w:tc>
          <w:tcPr>
            <w:tcW w:w="400" w:type="dxa"/>
            <w:vAlign w:val="bottom"/>
          </w:tcPr>
          <w:p>
            <w:pPr>
              <w:spacing w:after="0"/>
              <w:rPr>
                <w:sz w:val="19"/>
                <w:szCs w:val="19"/>
                <w:color w:val="auto"/>
              </w:rPr>
            </w:pPr>
          </w:p>
        </w:tc>
      </w:tr>
      <w:tr>
        <w:trPr>
          <w:trHeight w:val="209"/>
        </w:trPr>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w w:val="90"/>
              </w:rPr>
              <w:t>Deduct: Total stock-based employee compensation expense determined</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400" w:type="dxa"/>
            <w:vAlign w:val="bottom"/>
            <w:tcBorders>
              <w:left w:val="single" w:sz="8" w:color="EEEEEE"/>
            </w:tcBorders>
            <w:shd w:val="clear" w:color="auto" w:fill="EEEEEE"/>
          </w:tcPr>
          <w:p>
            <w:pPr>
              <w:spacing w:after="0"/>
              <w:rPr>
                <w:sz w:val="18"/>
                <w:szCs w:val="18"/>
                <w:color w:val="auto"/>
              </w:rPr>
            </w:pPr>
          </w:p>
        </w:tc>
      </w:tr>
      <w:tr>
        <w:trPr>
          <w:trHeight w:val="224"/>
        </w:trPr>
        <w:tc>
          <w:tcPr>
            <w:tcW w:w="52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under fair value based method for all awards</w:t>
            </w:r>
          </w:p>
        </w:tc>
        <w:tc>
          <w:tcPr>
            <w:tcW w:w="1440" w:type="dxa"/>
            <w:vAlign w:val="bottom"/>
            <w:gridSpan w:val="6"/>
            <w:shd w:val="clear" w:color="auto" w:fill="EEEEEE"/>
          </w:tcPr>
          <w:p>
            <w:pPr>
              <w:jc w:val="right"/>
              <w:ind w:right="220"/>
              <w:spacing w:after="0"/>
              <w:rPr>
                <w:sz w:val="20"/>
                <w:szCs w:val="20"/>
                <w:color w:val="auto"/>
              </w:rPr>
            </w:pPr>
            <w:r>
              <w:rPr>
                <w:rFonts w:ascii="Arial" w:cs="Arial" w:eastAsia="Arial" w:hAnsi="Arial"/>
                <w:sz w:val="18"/>
                <w:szCs w:val="18"/>
                <w:color w:val="auto"/>
              </w:rPr>
              <w:t>(22,582)</w:t>
            </w:r>
          </w:p>
        </w:tc>
        <w:tc>
          <w:tcPr>
            <w:tcW w:w="1840" w:type="dxa"/>
            <w:vAlign w:val="bottom"/>
            <w:gridSpan w:val="6"/>
            <w:shd w:val="clear" w:color="auto" w:fill="EEEEEE"/>
          </w:tcPr>
          <w:p>
            <w:pPr>
              <w:jc w:val="right"/>
              <w:ind w:right="320"/>
              <w:spacing w:after="0"/>
              <w:rPr>
                <w:sz w:val="20"/>
                <w:szCs w:val="20"/>
                <w:color w:val="auto"/>
              </w:rPr>
            </w:pPr>
            <w:r>
              <w:rPr>
                <w:rFonts w:ascii="Arial" w:cs="Arial" w:eastAsia="Arial" w:hAnsi="Arial"/>
                <w:sz w:val="18"/>
                <w:szCs w:val="18"/>
                <w:color w:val="auto"/>
              </w:rPr>
              <w:t>(22,882)</w:t>
            </w:r>
          </w:p>
        </w:tc>
      </w:tr>
      <w:tr>
        <w:trPr>
          <w:trHeight w:val="108"/>
        </w:trPr>
        <w:tc>
          <w:tcPr>
            <w:tcW w:w="5260" w:type="dxa"/>
            <w:vAlign w:val="bottom"/>
          </w:tcPr>
          <w:p>
            <w:pPr>
              <w:spacing w:after="0"/>
              <w:rPr>
                <w:sz w:val="9"/>
                <w:szCs w:val="9"/>
                <w:color w:val="auto"/>
              </w:rPr>
            </w:pPr>
          </w:p>
        </w:tc>
        <w:tc>
          <w:tcPr>
            <w:tcW w:w="540" w:type="dxa"/>
            <w:vAlign w:val="bottom"/>
            <w:gridSpan w:val="3"/>
          </w:tcPr>
          <w:p>
            <w:pPr>
              <w:spacing w:after="0"/>
              <w:rPr>
                <w:sz w:val="9"/>
                <w:szCs w:val="9"/>
                <w:color w:val="auto"/>
              </w:rPr>
            </w:pPr>
          </w:p>
        </w:tc>
        <w:tc>
          <w:tcPr>
            <w:tcW w:w="640" w:type="dxa"/>
            <w:vAlign w:val="bottom"/>
            <w:tcBorders>
              <w:bottom w:val="single" w:sz="8" w:color="808080"/>
            </w:tcBorders>
            <w:gridSpan w:val="2"/>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gridSpan w:val="4"/>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r>
      <w:tr>
        <w:trPr>
          <w:trHeight w:val="316"/>
        </w:trPr>
        <w:tc>
          <w:tcPr>
            <w:tcW w:w="5260" w:type="dxa"/>
            <w:vAlign w:val="bottom"/>
          </w:tcPr>
          <w:p>
            <w:pPr>
              <w:spacing w:after="0"/>
              <w:rPr>
                <w:sz w:val="20"/>
                <w:szCs w:val="20"/>
                <w:color w:val="auto"/>
              </w:rPr>
            </w:pPr>
            <w:r>
              <w:rPr>
                <w:rFonts w:ascii="Arial" w:cs="Arial" w:eastAsia="Arial" w:hAnsi="Arial"/>
                <w:sz w:val="18"/>
                <w:szCs w:val="18"/>
                <w:color w:val="auto"/>
              </w:rPr>
              <w:t>Pro forma net loss</w:t>
            </w:r>
          </w:p>
        </w:tc>
        <w:tc>
          <w:tcPr>
            <w:tcW w:w="1440" w:type="dxa"/>
            <w:vAlign w:val="bottom"/>
            <w:gridSpan w:val="6"/>
          </w:tcPr>
          <w:p>
            <w:pPr>
              <w:jc w:val="right"/>
              <w:ind w:right="220"/>
              <w:spacing w:after="0"/>
              <w:rPr>
                <w:sz w:val="20"/>
                <w:szCs w:val="20"/>
                <w:color w:val="auto"/>
              </w:rPr>
            </w:pPr>
            <w:r>
              <w:rPr>
                <w:rFonts w:ascii="Arial" w:cs="Arial" w:eastAsia="Arial" w:hAnsi="Arial"/>
                <w:sz w:val="18"/>
                <w:szCs w:val="18"/>
                <w:color w:val="auto"/>
              </w:rPr>
              <w:t>($80,296)</w:t>
            </w:r>
          </w:p>
        </w:tc>
        <w:tc>
          <w:tcPr>
            <w:tcW w:w="1840" w:type="dxa"/>
            <w:vAlign w:val="bottom"/>
            <w:gridSpan w:val="6"/>
          </w:tcPr>
          <w:p>
            <w:pPr>
              <w:jc w:val="right"/>
              <w:ind w:right="320"/>
              <w:spacing w:after="0"/>
              <w:rPr>
                <w:sz w:val="20"/>
                <w:szCs w:val="20"/>
                <w:color w:val="auto"/>
              </w:rPr>
            </w:pPr>
            <w:r>
              <w:rPr>
                <w:rFonts w:ascii="Arial" w:cs="Arial" w:eastAsia="Arial" w:hAnsi="Arial"/>
                <w:sz w:val="18"/>
                <w:szCs w:val="18"/>
                <w:color w:val="auto"/>
              </w:rPr>
              <w:t>($77,871)</w:t>
            </w:r>
          </w:p>
        </w:tc>
      </w:tr>
      <w:tr>
        <w:trPr>
          <w:trHeight w:val="107"/>
        </w:trPr>
        <w:tc>
          <w:tcPr>
            <w:tcW w:w="5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r>
      <w:tr>
        <w:trPr>
          <w:trHeight w:val="61"/>
        </w:trPr>
        <w:tc>
          <w:tcPr>
            <w:tcW w:w="5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4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400" w:type="dxa"/>
            <w:vAlign w:val="bottom"/>
            <w:tcBorders>
              <w:left w:val="single" w:sz="8" w:color="808080"/>
            </w:tcBorders>
          </w:tcPr>
          <w:p>
            <w:pPr>
              <w:spacing w:after="0"/>
              <w:rPr>
                <w:sz w:val="5"/>
                <w:szCs w:val="5"/>
                <w:color w:val="auto"/>
              </w:rPr>
            </w:pPr>
          </w:p>
        </w:tc>
      </w:tr>
      <w:tr>
        <w:trPr>
          <w:trHeight w:val="105"/>
        </w:trPr>
        <w:tc>
          <w:tcPr>
            <w:tcW w:w="5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r>
      <w:tr>
        <w:trPr>
          <w:trHeight w:val="216"/>
        </w:trPr>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rPr>
              <w:t>Net loss per share amounts, basic and diluted:</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400" w:type="dxa"/>
            <w:vAlign w:val="bottom"/>
            <w:tcBorders>
              <w:left w:val="single" w:sz="8" w:color="EEEEEE"/>
            </w:tcBorders>
            <w:shd w:val="clear" w:color="auto" w:fill="EEEEEE"/>
          </w:tcPr>
          <w:p>
            <w:pPr>
              <w:spacing w:after="0"/>
              <w:rPr>
                <w:sz w:val="18"/>
                <w:szCs w:val="18"/>
                <w:color w:val="auto"/>
              </w:rPr>
            </w:pPr>
          </w:p>
        </w:tc>
      </w:tr>
      <w:tr>
        <w:trPr>
          <w:trHeight w:val="222"/>
        </w:trPr>
        <w:tc>
          <w:tcPr>
            <w:tcW w:w="5260" w:type="dxa"/>
            <w:vAlign w:val="bottom"/>
          </w:tcPr>
          <w:p>
            <w:pPr>
              <w:ind w:left="360"/>
              <w:spacing w:after="0"/>
              <w:rPr>
                <w:sz w:val="20"/>
                <w:szCs w:val="20"/>
                <w:color w:val="auto"/>
              </w:rPr>
            </w:pPr>
            <w:r>
              <w:rPr>
                <w:rFonts w:ascii="Arial" w:cs="Arial" w:eastAsia="Arial" w:hAnsi="Arial"/>
                <w:sz w:val="18"/>
                <w:szCs w:val="18"/>
                <w:color w:val="auto"/>
              </w:rPr>
              <w:t>As reported</w:t>
            </w:r>
          </w:p>
        </w:tc>
        <w:tc>
          <w:tcPr>
            <w:tcW w:w="1440" w:type="dxa"/>
            <w:vAlign w:val="bottom"/>
            <w:gridSpan w:val="6"/>
          </w:tcPr>
          <w:p>
            <w:pPr>
              <w:jc w:val="right"/>
              <w:ind w:right="220"/>
              <w:spacing w:after="0"/>
              <w:rPr>
                <w:sz w:val="20"/>
                <w:szCs w:val="20"/>
                <w:color w:val="auto"/>
              </w:rPr>
            </w:pPr>
            <w:r>
              <w:rPr>
                <w:rFonts w:ascii="Arial" w:cs="Arial" w:eastAsia="Arial" w:hAnsi="Arial"/>
                <w:sz w:val="18"/>
                <w:szCs w:val="18"/>
                <w:color w:val="auto"/>
              </w:rPr>
              <w:t>($1.25)</w:t>
            </w:r>
          </w:p>
        </w:tc>
        <w:tc>
          <w:tcPr>
            <w:tcW w:w="1840" w:type="dxa"/>
            <w:vAlign w:val="bottom"/>
            <w:gridSpan w:val="6"/>
          </w:tcPr>
          <w:p>
            <w:pPr>
              <w:jc w:val="right"/>
              <w:ind w:right="320"/>
              <w:spacing w:after="0"/>
              <w:rPr>
                <w:sz w:val="20"/>
                <w:szCs w:val="20"/>
                <w:color w:val="auto"/>
              </w:rPr>
            </w:pPr>
            <w:r>
              <w:rPr>
                <w:rFonts w:ascii="Arial" w:cs="Arial" w:eastAsia="Arial" w:hAnsi="Arial"/>
                <w:sz w:val="18"/>
                <w:szCs w:val="18"/>
                <w:color w:val="auto"/>
              </w:rPr>
              <w:t>($1.27)</w:t>
            </w:r>
          </w:p>
        </w:tc>
      </w:tr>
      <w:tr>
        <w:trPr>
          <w:trHeight w:val="98"/>
        </w:trPr>
        <w:tc>
          <w:tcPr>
            <w:tcW w:w="5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gridSpan w:val="2"/>
          </w:tcPr>
          <w:p>
            <w:pPr>
              <w:spacing w:after="0"/>
              <w:rPr>
                <w:sz w:val="8"/>
                <w:szCs w:val="8"/>
                <w:color w:val="auto"/>
              </w:rPr>
            </w:pPr>
          </w:p>
        </w:tc>
        <w:tc>
          <w:tcPr>
            <w:tcW w:w="640" w:type="dxa"/>
            <w:vAlign w:val="bottom"/>
            <w:gridSpan w:val="2"/>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gridSpan w:val="2"/>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61"/>
        </w:trPr>
        <w:tc>
          <w:tcPr>
            <w:tcW w:w="5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4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400" w:type="dxa"/>
            <w:vAlign w:val="bottom"/>
            <w:tcBorders>
              <w:left w:val="single" w:sz="8" w:color="808080"/>
            </w:tcBorders>
          </w:tcPr>
          <w:p>
            <w:pPr>
              <w:spacing w:after="0"/>
              <w:rPr>
                <w:sz w:val="5"/>
                <w:szCs w:val="5"/>
                <w:color w:val="auto"/>
              </w:rPr>
            </w:pPr>
          </w:p>
        </w:tc>
      </w:tr>
      <w:tr>
        <w:trPr>
          <w:trHeight w:val="105"/>
        </w:trPr>
        <w:tc>
          <w:tcPr>
            <w:tcW w:w="5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r>
      <w:tr>
        <w:trPr>
          <w:trHeight w:val="216"/>
        </w:trPr>
        <w:tc>
          <w:tcPr>
            <w:tcW w:w="5260" w:type="dxa"/>
            <w:vAlign w:val="bottom"/>
            <w:shd w:val="clear" w:color="auto" w:fill="EEEEEE"/>
          </w:tcPr>
          <w:p>
            <w:pPr>
              <w:ind w:left="360"/>
              <w:spacing w:after="0"/>
              <w:rPr>
                <w:sz w:val="20"/>
                <w:szCs w:val="20"/>
                <w:color w:val="auto"/>
              </w:rPr>
            </w:pPr>
            <w:r>
              <w:rPr>
                <w:rFonts w:ascii="Arial" w:cs="Arial" w:eastAsia="Arial" w:hAnsi="Arial"/>
                <w:sz w:val="18"/>
                <w:szCs w:val="18"/>
                <w:color w:val="auto"/>
              </w:rPr>
              <w:t>Pro forma</w:t>
            </w:r>
          </w:p>
        </w:tc>
        <w:tc>
          <w:tcPr>
            <w:tcW w:w="1440" w:type="dxa"/>
            <w:vAlign w:val="bottom"/>
            <w:gridSpan w:val="6"/>
            <w:shd w:val="clear" w:color="auto" w:fill="EEEEEE"/>
          </w:tcPr>
          <w:p>
            <w:pPr>
              <w:jc w:val="right"/>
              <w:ind w:right="220"/>
              <w:spacing w:after="0"/>
              <w:rPr>
                <w:sz w:val="20"/>
                <w:szCs w:val="20"/>
                <w:color w:val="auto"/>
              </w:rPr>
            </w:pPr>
            <w:r>
              <w:rPr>
                <w:rFonts w:ascii="Arial" w:cs="Arial" w:eastAsia="Arial" w:hAnsi="Arial"/>
                <w:sz w:val="18"/>
                <w:szCs w:val="18"/>
                <w:color w:val="auto"/>
              </w:rPr>
              <w:t>($1.71)</w:t>
            </w:r>
          </w:p>
        </w:tc>
        <w:tc>
          <w:tcPr>
            <w:tcW w:w="1840" w:type="dxa"/>
            <w:vAlign w:val="bottom"/>
            <w:gridSpan w:val="6"/>
            <w:shd w:val="clear" w:color="auto" w:fill="EEEEEE"/>
          </w:tcPr>
          <w:p>
            <w:pPr>
              <w:jc w:val="right"/>
              <w:ind w:right="320"/>
              <w:spacing w:after="0"/>
              <w:rPr>
                <w:sz w:val="20"/>
                <w:szCs w:val="20"/>
                <w:color w:val="auto"/>
              </w:rPr>
            </w:pPr>
            <w:r>
              <w:rPr>
                <w:rFonts w:ascii="Arial" w:cs="Arial" w:eastAsia="Arial" w:hAnsi="Arial"/>
                <w:sz w:val="18"/>
                <w:szCs w:val="18"/>
                <w:color w:val="auto"/>
              </w:rPr>
              <w:t>($1.78)</w:t>
            </w:r>
          </w:p>
        </w:tc>
      </w:tr>
      <w:tr>
        <w:trPr>
          <w:trHeight w:val="105"/>
        </w:trPr>
        <w:tc>
          <w:tcPr>
            <w:tcW w:w="5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r>
      <w:tr>
        <w:trPr>
          <w:trHeight w:val="61"/>
        </w:trPr>
        <w:tc>
          <w:tcPr>
            <w:tcW w:w="5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4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400" w:type="dxa"/>
            <w:vAlign w:val="bottom"/>
            <w:tcBorders>
              <w:left w:val="single" w:sz="8" w:color="808080"/>
            </w:tcBorders>
          </w:tcPr>
          <w:p>
            <w:pPr>
              <w:spacing w:after="0"/>
              <w:rPr>
                <w:sz w:val="5"/>
                <w:szCs w:val="5"/>
                <w:color w:val="auto"/>
              </w:rPr>
            </w:pPr>
          </w:p>
        </w:tc>
      </w:tr>
    </w:tbl>
    <w:p>
      <w:pPr>
        <w:spacing w:after="0" w:line="313"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For the purpose of the pro forma calculation, the fair value of each option granted from the Company’s stock-based incentive plans during the three and six months ended June 30, 2003 and 2002 was estimated on the date of grant using the Black-Scholes option-pricing model. The weighted-average fair value of the options granted during the three months ended June 30, 2003 and 2002 was $9.16 and $13.59, respectively. The weighted-average fair value of the options granted during the six months ended June 30, 2003 and 2002 was $13.91 and $17.13, respectively. The following tables summarize the assumptions used in computing the fair value of option grants.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258" w:lineRule="exact"/>
        <w:rPr>
          <w:sz w:val="20"/>
          <w:szCs w:val="20"/>
          <w:color w:val="auto"/>
        </w:rPr>
      </w:pPr>
    </w:p>
    <w:tbl>
      <w:tblPr>
        <w:tblLayout w:type="fixed"/>
        <w:tblInd w:w="2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3700" w:type="dxa"/>
            <w:vAlign w:val="bottom"/>
            <w:gridSpan w:val="3"/>
          </w:tcPr>
          <w:p>
            <w:pPr>
              <w:jc w:val="right"/>
              <w:ind w:right="932"/>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6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8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600" w:type="dxa"/>
            <w:vAlign w:val="bottom"/>
          </w:tcPr>
          <w:p>
            <w:pPr>
              <w:jc w:val="right"/>
              <w:ind w:right="599"/>
              <w:spacing w:after="0"/>
              <w:rPr>
                <w:sz w:val="20"/>
                <w:szCs w:val="20"/>
                <w:color w:val="auto"/>
              </w:rPr>
            </w:pPr>
            <w:r>
              <w:rPr>
                <w:rFonts w:ascii="Arial" w:cs="Arial" w:eastAsia="Arial" w:hAnsi="Arial"/>
                <w:sz w:val="14"/>
                <w:szCs w:val="14"/>
                <w:b w:val="1"/>
                <w:bCs w:val="1"/>
                <w:color w:val="auto"/>
              </w:rPr>
              <w:t>2003</w:t>
            </w:r>
          </w:p>
        </w:tc>
        <w:tc>
          <w:tcPr>
            <w:tcW w:w="2100" w:type="dxa"/>
            <w:vAlign w:val="bottom"/>
            <w:gridSpan w:val="2"/>
          </w:tcPr>
          <w:p>
            <w:pPr>
              <w:jc w:val="right"/>
              <w:ind w:right="712"/>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6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shd w:val="clear" w:color="auto" w:fill="EEEEEE"/>
          </w:tcPr>
          <w:p>
            <w:pPr>
              <w:spacing w:after="0"/>
              <w:rPr>
                <w:sz w:val="20"/>
                <w:szCs w:val="20"/>
                <w:color w:val="auto"/>
              </w:rPr>
            </w:pPr>
            <w:r>
              <w:rPr>
                <w:rFonts w:ascii="Arial" w:cs="Arial" w:eastAsia="Arial" w:hAnsi="Arial"/>
                <w:sz w:val="18"/>
                <w:szCs w:val="18"/>
                <w:color w:val="auto"/>
              </w:rPr>
              <w:t>Expected volatility</w:t>
            </w:r>
          </w:p>
        </w:tc>
        <w:tc>
          <w:tcPr>
            <w:tcW w:w="1600" w:type="dxa"/>
            <w:vAlign w:val="bottom"/>
            <w:shd w:val="clear" w:color="auto" w:fill="EEEEEE"/>
          </w:tcPr>
          <w:p>
            <w:pPr>
              <w:jc w:val="right"/>
              <w:ind w:right="319"/>
              <w:spacing w:after="0"/>
              <w:rPr>
                <w:sz w:val="20"/>
                <w:szCs w:val="20"/>
                <w:color w:val="auto"/>
              </w:rPr>
            </w:pPr>
            <w:r>
              <w:rPr>
                <w:rFonts w:ascii="Arial" w:cs="Arial" w:eastAsia="Arial" w:hAnsi="Arial"/>
                <w:sz w:val="18"/>
                <w:szCs w:val="18"/>
                <w:color w:val="auto"/>
              </w:rPr>
              <w:t>80%</w:t>
            </w:r>
          </w:p>
        </w:tc>
        <w:tc>
          <w:tcPr>
            <w:tcW w:w="2100" w:type="dxa"/>
            <w:vAlign w:val="bottom"/>
            <w:gridSpan w:val="2"/>
            <w:shd w:val="clear" w:color="auto" w:fill="EEEEEE"/>
          </w:tcPr>
          <w:p>
            <w:pPr>
              <w:jc w:val="right"/>
              <w:ind w:right="372"/>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Expected lives</w:t>
            </w:r>
          </w:p>
        </w:tc>
        <w:tc>
          <w:tcPr>
            <w:tcW w:w="1600" w:type="dxa"/>
            <w:vAlign w:val="bottom"/>
          </w:tcPr>
          <w:p>
            <w:pPr>
              <w:jc w:val="right"/>
              <w:ind w:right="319"/>
              <w:spacing w:after="0"/>
              <w:rPr>
                <w:sz w:val="20"/>
                <w:szCs w:val="20"/>
                <w:color w:val="auto"/>
              </w:rPr>
            </w:pPr>
            <w:r>
              <w:rPr>
                <w:rFonts w:ascii="Arial" w:cs="Arial" w:eastAsia="Arial" w:hAnsi="Arial"/>
                <w:sz w:val="18"/>
                <w:szCs w:val="18"/>
                <w:color w:val="auto"/>
              </w:rPr>
              <w:t>5 years</w:t>
            </w:r>
          </w:p>
        </w:tc>
        <w:tc>
          <w:tcPr>
            <w:tcW w:w="240" w:type="dxa"/>
            <w:vAlign w:val="bottom"/>
          </w:tcPr>
          <w:p>
            <w:pPr>
              <w:spacing w:after="0"/>
              <w:rPr>
                <w:sz w:val="18"/>
                <w:szCs w:val="18"/>
                <w:color w:val="auto"/>
              </w:rPr>
            </w:pPr>
          </w:p>
        </w:tc>
        <w:tc>
          <w:tcPr>
            <w:tcW w:w="1860" w:type="dxa"/>
            <w:vAlign w:val="bottom"/>
          </w:tcPr>
          <w:p>
            <w:pPr>
              <w:jc w:val="right"/>
              <w:ind w:right="372"/>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EEEEEE"/>
          </w:tcPr>
          <w:p>
            <w:pPr>
              <w:spacing w:after="0"/>
              <w:rPr>
                <w:sz w:val="20"/>
                <w:szCs w:val="20"/>
                <w:color w:val="auto"/>
              </w:rPr>
            </w:pPr>
            <w:r>
              <w:rPr>
                <w:rFonts w:ascii="Arial" w:cs="Arial" w:eastAsia="Arial" w:hAnsi="Arial"/>
                <w:sz w:val="18"/>
                <w:szCs w:val="18"/>
                <w:color w:val="auto"/>
              </w:rPr>
              <w:t>Dividend yield</w:t>
            </w:r>
          </w:p>
        </w:tc>
        <w:tc>
          <w:tcPr>
            <w:tcW w:w="1600" w:type="dxa"/>
            <w:vAlign w:val="bottom"/>
            <w:shd w:val="clear" w:color="auto" w:fill="EEEEEE"/>
          </w:tcPr>
          <w:p>
            <w:pPr>
              <w:jc w:val="right"/>
              <w:ind w:right="319"/>
              <w:spacing w:after="0"/>
              <w:rPr>
                <w:sz w:val="20"/>
                <w:szCs w:val="20"/>
                <w:color w:val="auto"/>
              </w:rPr>
            </w:pPr>
            <w:r>
              <w:rPr>
                <w:rFonts w:ascii="Arial" w:cs="Arial" w:eastAsia="Arial" w:hAnsi="Arial"/>
                <w:sz w:val="18"/>
                <w:szCs w:val="18"/>
                <w:color w:val="auto"/>
              </w:rPr>
              <w:t>0%</w:t>
            </w:r>
          </w:p>
        </w:tc>
        <w:tc>
          <w:tcPr>
            <w:tcW w:w="2100" w:type="dxa"/>
            <w:vAlign w:val="bottom"/>
            <w:gridSpan w:val="2"/>
            <w:shd w:val="clear" w:color="auto" w:fill="EEEEEE"/>
          </w:tcPr>
          <w:p>
            <w:pPr>
              <w:jc w:val="right"/>
              <w:ind w:right="37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600" w:type="dxa"/>
            <w:vAlign w:val="bottom"/>
          </w:tcPr>
          <w:p>
            <w:pPr>
              <w:jc w:val="right"/>
              <w:ind w:right="319"/>
              <w:spacing w:after="0"/>
              <w:rPr>
                <w:sz w:val="20"/>
                <w:szCs w:val="20"/>
                <w:color w:val="auto"/>
              </w:rPr>
            </w:pPr>
            <w:r>
              <w:rPr>
                <w:rFonts w:ascii="Arial" w:cs="Arial" w:eastAsia="Arial" w:hAnsi="Arial"/>
                <w:sz w:val="18"/>
                <w:szCs w:val="18"/>
                <w:color w:val="auto"/>
              </w:rPr>
              <w:t>3.01-3.83%</w:t>
            </w:r>
          </w:p>
        </w:tc>
        <w:tc>
          <w:tcPr>
            <w:tcW w:w="2100" w:type="dxa"/>
            <w:vAlign w:val="bottom"/>
            <w:gridSpan w:val="2"/>
          </w:tcPr>
          <w:p>
            <w:pPr>
              <w:jc w:val="right"/>
              <w:ind w:right="372"/>
              <w:spacing w:after="0"/>
              <w:rPr>
                <w:sz w:val="20"/>
                <w:szCs w:val="20"/>
                <w:color w:val="auto"/>
              </w:rPr>
            </w:pPr>
            <w:r>
              <w:rPr>
                <w:rFonts w:ascii="Arial" w:cs="Arial" w:eastAsia="Arial" w:hAnsi="Arial"/>
                <w:sz w:val="18"/>
                <w:szCs w:val="18"/>
                <w:color w:val="auto"/>
              </w:rPr>
              <w:t>3.98%-4.72%</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700" w:type="dxa"/>
            <w:vAlign w:val="bottom"/>
            <w:gridSpan w:val="3"/>
          </w:tcPr>
          <w:p>
            <w:pPr>
              <w:jc w:val="right"/>
              <w:ind w:right="101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600" w:type="dxa"/>
            <w:vAlign w:val="bottom"/>
            <w:tcBorders>
              <w:bottom w:val="single" w:sz="8" w:color="808080"/>
            </w:tcBorders>
          </w:tcPr>
          <w:p>
            <w:pPr>
              <w:spacing w:after="0"/>
              <w:rPr>
                <w:sz w:val="8"/>
                <w:szCs w:val="8"/>
                <w:color w:val="auto"/>
              </w:rPr>
            </w:pPr>
          </w:p>
        </w:tc>
        <w:tc>
          <w:tcPr>
            <w:tcW w:w="2100" w:type="dxa"/>
            <w:vAlign w:val="bottom"/>
            <w:tcBorders>
              <w:bottom w:val="single" w:sz="8" w:color="808080"/>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600" w:type="dxa"/>
            <w:vAlign w:val="bottom"/>
          </w:tcPr>
          <w:p>
            <w:pPr>
              <w:jc w:val="right"/>
              <w:ind w:right="599"/>
              <w:spacing w:after="0"/>
              <w:rPr>
                <w:sz w:val="20"/>
                <w:szCs w:val="20"/>
                <w:color w:val="auto"/>
              </w:rPr>
            </w:pPr>
            <w:r>
              <w:rPr>
                <w:rFonts w:ascii="Arial" w:cs="Arial" w:eastAsia="Arial" w:hAnsi="Arial"/>
                <w:sz w:val="14"/>
                <w:szCs w:val="14"/>
                <w:b w:val="1"/>
                <w:bCs w:val="1"/>
                <w:color w:val="auto"/>
              </w:rPr>
              <w:t>2003</w:t>
            </w:r>
          </w:p>
        </w:tc>
        <w:tc>
          <w:tcPr>
            <w:tcW w:w="2100" w:type="dxa"/>
            <w:vAlign w:val="bottom"/>
            <w:gridSpan w:val="2"/>
          </w:tcPr>
          <w:p>
            <w:pPr>
              <w:jc w:val="right"/>
              <w:ind w:right="712"/>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1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60" w:type="dxa"/>
            <w:vAlign w:val="bottom"/>
          </w:tcPr>
          <w:p>
            <w:pPr>
              <w:spacing w:after="0"/>
              <w:rPr>
                <w:sz w:val="8"/>
                <w:szCs w:val="8"/>
                <w:color w:val="auto"/>
              </w:rPr>
            </w:pPr>
          </w:p>
        </w:tc>
        <w:tc>
          <w:tcPr>
            <w:tcW w:w="1600" w:type="dxa"/>
            <w:vAlign w:val="bottom"/>
            <w:tcBorders>
              <w:top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60" w:type="dxa"/>
            <w:vAlign w:val="bottom"/>
            <w:tcBorders>
              <w:top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shd w:val="clear" w:color="auto" w:fill="EEEEEE"/>
          </w:tcPr>
          <w:p>
            <w:pPr>
              <w:spacing w:after="0"/>
              <w:rPr>
                <w:sz w:val="20"/>
                <w:szCs w:val="20"/>
                <w:color w:val="auto"/>
              </w:rPr>
            </w:pPr>
            <w:r>
              <w:rPr>
                <w:rFonts w:ascii="Arial" w:cs="Arial" w:eastAsia="Arial" w:hAnsi="Arial"/>
                <w:sz w:val="18"/>
                <w:szCs w:val="18"/>
                <w:color w:val="auto"/>
              </w:rPr>
              <w:t>Expected volatility</w:t>
            </w:r>
          </w:p>
        </w:tc>
        <w:tc>
          <w:tcPr>
            <w:tcW w:w="1600" w:type="dxa"/>
            <w:vAlign w:val="bottom"/>
            <w:shd w:val="clear" w:color="auto" w:fill="EEEEEE"/>
          </w:tcPr>
          <w:p>
            <w:pPr>
              <w:jc w:val="right"/>
              <w:ind w:right="319"/>
              <w:spacing w:after="0"/>
              <w:rPr>
                <w:sz w:val="20"/>
                <w:szCs w:val="20"/>
                <w:color w:val="auto"/>
              </w:rPr>
            </w:pPr>
            <w:r>
              <w:rPr>
                <w:rFonts w:ascii="Arial" w:cs="Arial" w:eastAsia="Arial" w:hAnsi="Arial"/>
                <w:sz w:val="18"/>
                <w:szCs w:val="18"/>
                <w:color w:val="auto"/>
              </w:rPr>
              <w:t>80%</w:t>
            </w:r>
          </w:p>
        </w:tc>
        <w:tc>
          <w:tcPr>
            <w:tcW w:w="2100" w:type="dxa"/>
            <w:vAlign w:val="bottom"/>
            <w:gridSpan w:val="2"/>
            <w:shd w:val="clear" w:color="auto" w:fill="EEEEEE"/>
          </w:tcPr>
          <w:p>
            <w:pPr>
              <w:jc w:val="right"/>
              <w:ind w:right="372"/>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Expected lives</w:t>
            </w:r>
          </w:p>
        </w:tc>
        <w:tc>
          <w:tcPr>
            <w:tcW w:w="1600" w:type="dxa"/>
            <w:vAlign w:val="bottom"/>
          </w:tcPr>
          <w:p>
            <w:pPr>
              <w:jc w:val="right"/>
              <w:ind w:right="319"/>
              <w:spacing w:after="0"/>
              <w:rPr>
                <w:sz w:val="20"/>
                <w:szCs w:val="20"/>
                <w:color w:val="auto"/>
              </w:rPr>
            </w:pPr>
            <w:r>
              <w:rPr>
                <w:rFonts w:ascii="Arial" w:cs="Arial" w:eastAsia="Arial" w:hAnsi="Arial"/>
                <w:sz w:val="18"/>
                <w:szCs w:val="18"/>
                <w:color w:val="auto"/>
              </w:rPr>
              <w:t>5 years</w:t>
            </w:r>
          </w:p>
        </w:tc>
        <w:tc>
          <w:tcPr>
            <w:tcW w:w="240" w:type="dxa"/>
            <w:vAlign w:val="bottom"/>
          </w:tcPr>
          <w:p>
            <w:pPr>
              <w:spacing w:after="0"/>
              <w:rPr>
                <w:sz w:val="18"/>
                <w:szCs w:val="18"/>
                <w:color w:val="auto"/>
              </w:rPr>
            </w:pPr>
          </w:p>
        </w:tc>
        <w:tc>
          <w:tcPr>
            <w:tcW w:w="1860" w:type="dxa"/>
            <w:vAlign w:val="bottom"/>
          </w:tcPr>
          <w:p>
            <w:pPr>
              <w:jc w:val="right"/>
              <w:ind w:right="372"/>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EEEEEE"/>
          </w:tcPr>
          <w:p>
            <w:pPr>
              <w:spacing w:after="0"/>
              <w:rPr>
                <w:sz w:val="20"/>
                <w:szCs w:val="20"/>
                <w:color w:val="auto"/>
              </w:rPr>
            </w:pPr>
            <w:r>
              <w:rPr>
                <w:rFonts w:ascii="Arial" w:cs="Arial" w:eastAsia="Arial" w:hAnsi="Arial"/>
                <w:sz w:val="18"/>
                <w:szCs w:val="18"/>
                <w:color w:val="auto"/>
              </w:rPr>
              <w:t>Dividend yield</w:t>
            </w:r>
          </w:p>
        </w:tc>
        <w:tc>
          <w:tcPr>
            <w:tcW w:w="1600" w:type="dxa"/>
            <w:vAlign w:val="bottom"/>
            <w:shd w:val="clear" w:color="auto" w:fill="EEEEEE"/>
          </w:tcPr>
          <w:p>
            <w:pPr>
              <w:jc w:val="right"/>
              <w:ind w:right="319"/>
              <w:spacing w:after="0"/>
              <w:rPr>
                <w:sz w:val="20"/>
                <w:szCs w:val="20"/>
                <w:color w:val="auto"/>
              </w:rPr>
            </w:pPr>
            <w:r>
              <w:rPr>
                <w:rFonts w:ascii="Arial" w:cs="Arial" w:eastAsia="Arial" w:hAnsi="Arial"/>
                <w:sz w:val="18"/>
                <w:szCs w:val="18"/>
                <w:color w:val="auto"/>
              </w:rPr>
              <w:t>0%</w:t>
            </w:r>
          </w:p>
        </w:tc>
        <w:tc>
          <w:tcPr>
            <w:tcW w:w="2100" w:type="dxa"/>
            <w:vAlign w:val="bottom"/>
            <w:gridSpan w:val="2"/>
            <w:shd w:val="clear" w:color="auto" w:fill="EEEEEE"/>
          </w:tcPr>
          <w:p>
            <w:pPr>
              <w:jc w:val="right"/>
              <w:ind w:right="37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600" w:type="dxa"/>
            <w:vAlign w:val="bottom"/>
          </w:tcPr>
          <w:p>
            <w:pPr>
              <w:jc w:val="right"/>
              <w:ind w:right="319"/>
              <w:spacing w:after="0"/>
              <w:rPr>
                <w:sz w:val="20"/>
                <w:szCs w:val="20"/>
                <w:color w:val="auto"/>
              </w:rPr>
            </w:pPr>
            <w:r>
              <w:rPr>
                <w:rFonts w:ascii="Arial" w:cs="Arial" w:eastAsia="Arial" w:hAnsi="Arial"/>
                <w:sz w:val="18"/>
                <w:szCs w:val="18"/>
                <w:color w:val="auto"/>
              </w:rPr>
              <w:t>3.01-4.01%</w:t>
            </w:r>
          </w:p>
        </w:tc>
        <w:tc>
          <w:tcPr>
            <w:tcW w:w="2100" w:type="dxa"/>
            <w:vAlign w:val="bottom"/>
            <w:gridSpan w:val="2"/>
          </w:tcPr>
          <w:p>
            <w:pPr>
              <w:jc w:val="right"/>
              <w:ind w:right="372"/>
              <w:spacing w:after="0"/>
              <w:rPr>
                <w:sz w:val="20"/>
                <w:szCs w:val="20"/>
                <w:color w:val="auto"/>
              </w:rPr>
            </w:pPr>
            <w:r>
              <w:rPr>
                <w:rFonts w:ascii="Arial" w:cs="Arial" w:eastAsia="Arial" w:hAnsi="Arial"/>
                <w:sz w:val="18"/>
                <w:szCs w:val="18"/>
                <w:color w:val="auto"/>
              </w:rPr>
              <w:t>3.98%-4.72%</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460"/>
        <w:spacing w:after="0" w:line="290" w:lineRule="auto"/>
        <w:rPr>
          <w:sz w:val="20"/>
          <w:szCs w:val="20"/>
          <w:color w:val="auto"/>
        </w:rPr>
      </w:pPr>
      <w:r>
        <w:rPr>
          <w:rFonts w:ascii="Arial" w:cs="Arial" w:eastAsia="Arial" w:hAnsi="Arial"/>
          <w:sz w:val="16"/>
          <w:szCs w:val="16"/>
          <w:color w:val="auto"/>
        </w:rPr>
        <w:t>Under the Regeneron Pharmaceuticals, Inc. 2000 Long-Term Incentive Plan, the Company awards shares of Restricted Stock. Restrictions on these shares generally lapse with respect to 25% of the shares every six months over approximately a two-year period. In accordance with generally accepted accounting principles, the Company records unearned compensation in Stockholders’ Equity related to these awards. The amount is based on the fair market value of shares of the Company’s Common Stock on the grant date of the Restricted Stock award and is expensed, on a pro rata basis, over the period that the restrictions lapse. For the three months ended June 30, 2003 and 2002, the Company recognized compensation expense related to Restricted Stock awards of $545 and $440, respectively. For the six months ended June 30, 2003 and 2002, the Company recognized compensation expense related to Restricted Stock awards of $1,132 and $879, respectively.</w:t>
      </w:r>
    </w:p>
    <w:p>
      <w:pPr>
        <w:spacing w:after="0" w:line="166"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Statement of Cash Flows</w:t>
      </w:r>
    </w:p>
    <w:p>
      <w:pPr>
        <w:spacing w:after="0" w:line="23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Supplemental disclosure of noncash investing and financing activities:</w:t>
      </w:r>
    </w:p>
    <w:p>
      <w:pPr>
        <w:spacing w:after="0" w:line="225" w:lineRule="exact"/>
        <w:rPr>
          <w:rFonts w:ascii="Arial" w:cs="Arial" w:eastAsia="Arial" w:hAnsi="Arial"/>
          <w:sz w:val="18"/>
          <w:szCs w:val="18"/>
          <w:b w:val="1"/>
          <w:bCs w:val="1"/>
          <w:color w:val="auto"/>
        </w:rPr>
      </w:pPr>
    </w:p>
    <w:p>
      <w:pPr>
        <w:ind w:left="46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Included in accounts payable and accrued expenses at June 30, 2003 and December 31, 2002 are $1,359 and $13,490, respectively, of accrued capital expenditures. Included in accounts payable and accrued expenses at June 30, 2002 and December 31, 2001 are $3,358 and $1,946, respectively, of accrued capital expenditures.</w:t>
      </w:r>
    </w:p>
    <w:p>
      <w:pPr>
        <w:spacing w:after="0" w:line="194" w:lineRule="exact"/>
        <w:rPr>
          <w:rFonts w:ascii="Arial" w:cs="Arial" w:eastAsia="Arial" w:hAnsi="Arial"/>
          <w:sz w:val="18"/>
          <w:szCs w:val="18"/>
          <w:b w:val="1"/>
          <w:bCs w:val="1"/>
          <w:color w:val="auto"/>
        </w:rPr>
      </w:pPr>
    </w:p>
    <w:p>
      <w:pPr>
        <w:jc w:val="both"/>
        <w:ind w:left="4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Included in accounts payable and accrued expenses at December 31, 2002 and 2001 are $747 and $764, respectively, of accrued Company 401(k) Savings Plan contribution expense. In the first quarter of both 2003 and 2002, the Company contributed 42,543 and 21,953 shares, respectively, of Common Stock to the 401(k) Savings Plan in satisfaction of these obligations.</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19" w:lineRule="exact"/>
        <w:rPr>
          <w:sz w:val="20"/>
          <w:szCs w:val="20"/>
          <w:color w:val="auto"/>
        </w:rPr>
      </w:pPr>
    </w:p>
    <w:p>
      <w:pPr>
        <w:ind w:left="460" w:right="480"/>
        <w:spacing w:after="0" w:line="332" w:lineRule="auto"/>
        <w:rPr>
          <w:sz w:val="20"/>
          <w:szCs w:val="20"/>
          <w:color w:val="auto"/>
        </w:rPr>
      </w:pPr>
      <w:r>
        <w:rPr>
          <w:rFonts w:ascii="Arial" w:cs="Arial" w:eastAsia="Arial" w:hAnsi="Arial"/>
          <w:sz w:val="16"/>
          <w:szCs w:val="16"/>
          <w:color w:val="auto"/>
        </w:rPr>
        <w:t>Included in marketable securities at June 30, 2003 and December 31, 2002 are $570 and $2,013, respectively, of accrued interest income. Included in marketable securities at June 30, 2002 and December 31, 2001 are $3,039 and $1,988, respectively, of accrued interest income.</w:t>
      </w:r>
    </w:p>
    <w:p>
      <w:pPr>
        <w:spacing w:after="0" w:line="133"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31" w:lineRule="exact"/>
        <w:rPr>
          <w:rFonts w:ascii="Arial" w:cs="Arial" w:eastAsia="Arial" w:hAnsi="Arial"/>
          <w:sz w:val="18"/>
          <w:szCs w:val="18"/>
          <w:b w:val="1"/>
          <w:bCs w:val="1"/>
          <w:color w:val="auto"/>
        </w:rPr>
      </w:pPr>
    </w:p>
    <w:p>
      <w:pPr>
        <w:ind w:left="460" w:right="4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Inventories consist of raw materials and other direct and indirect costs associated with production of an intermediate for a Merck &amp; Co., Inc. pediatric vaccine under a long-term manufacturing agreement.</w:t>
      </w:r>
    </w:p>
    <w:p>
      <w:pPr>
        <w:spacing w:after="0" w:line="18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Inventories as of June 30, 2003 and December 31, 2002 consist of the following:</w:t>
      </w:r>
    </w:p>
    <w:p>
      <w:pPr>
        <w:spacing w:after="0" w:line="200" w:lineRule="exact"/>
        <w:rPr>
          <w:sz w:val="20"/>
          <w:szCs w:val="20"/>
          <w:color w:val="auto"/>
        </w:rPr>
      </w:pPr>
    </w:p>
    <w:p>
      <w:pPr>
        <w:spacing w:after="0" w:line="251" w:lineRule="exact"/>
        <w:rPr>
          <w:sz w:val="20"/>
          <w:szCs w:val="20"/>
          <w:color w:val="auto"/>
        </w:rPr>
      </w:pPr>
    </w:p>
    <w:tbl>
      <w:tblPr>
        <w:tblLayout w:type="fixed"/>
        <w:tblInd w:w="2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2"/>
              </w:rPr>
              <w:t>June 30,</w:t>
            </w:r>
          </w:p>
        </w:tc>
        <w:tc>
          <w:tcPr>
            <w:tcW w:w="260" w:type="dxa"/>
            <w:vAlign w:val="bottom"/>
          </w:tcPr>
          <w:p>
            <w:pPr>
              <w:spacing w:after="0"/>
              <w:rPr>
                <w:sz w:val="14"/>
                <w:szCs w:val="14"/>
                <w:color w:val="auto"/>
              </w:rPr>
            </w:pPr>
          </w:p>
        </w:tc>
        <w:tc>
          <w:tcPr>
            <w:tcW w:w="15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jc w:val="right"/>
              <w:ind w:right="19"/>
              <w:spacing w:after="0"/>
              <w:rPr>
                <w:sz w:val="20"/>
                <w:szCs w:val="20"/>
                <w:color w:val="auto"/>
              </w:rPr>
            </w:pPr>
            <w:r>
              <w:rPr>
                <w:rFonts w:ascii="Arial" w:cs="Arial" w:eastAsia="Arial" w:hAnsi="Arial"/>
                <w:sz w:val="14"/>
                <w:szCs w:val="14"/>
                <w:b w:val="1"/>
                <w:bCs w:val="1"/>
                <w:color w:val="auto"/>
              </w:rPr>
              <w:t>2003</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EEEEEE"/>
          </w:tcPr>
          <w:p>
            <w:pPr>
              <w:spacing w:after="0"/>
              <w:rPr>
                <w:sz w:val="20"/>
                <w:szCs w:val="20"/>
                <w:color w:val="auto"/>
              </w:rPr>
            </w:pPr>
            <w:r>
              <w:rPr>
                <w:rFonts w:ascii="Arial" w:cs="Arial" w:eastAsia="Arial" w:hAnsi="Arial"/>
                <w:sz w:val="18"/>
                <w:szCs w:val="18"/>
                <w:color w:val="auto"/>
              </w:rPr>
              <w:t>Raw materials</w:t>
            </w: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456</w:t>
            </w:r>
          </w:p>
        </w:tc>
        <w:tc>
          <w:tcPr>
            <w:tcW w:w="56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357</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Work-in-process</w:t>
            </w:r>
          </w:p>
        </w:tc>
        <w:tc>
          <w:tcPr>
            <w:tcW w:w="5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626</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261</w:t>
            </w: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EEEEEE"/>
          </w:tcPr>
          <w:p>
            <w:pPr>
              <w:spacing w:after="0"/>
              <w:rPr>
                <w:sz w:val="20"/>
                <w:szCs w:val="20"/>
                <w:color w:val="auto"/>
              </w:rPr>
            </w:pPr>
            <w:r>
              <w:rPr>
                <w:rFonts w:ascii="Arial" w:cs="Arial" w:eastAsia="Arial" w:hAnsi="Arial"/>
                <w:sz w:val="18"/>
                <w:szCs w:val="18"/>
                <w:color w:val="auto"/>
              </w:rPr>
              <w:t>Finished products</w:t>
            </w:r>
          </w:p>
        </w:tc>
        <w:tc>
          <w:tcPr>
            <w:tcW w:w="52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w w:val="99"/>
              </w:rPr>
              <w:t>9,260</w:t>
            </w:r>
            <w:r>
              <w:rPr>
                <w:rFonts w:ascii="Arial" w:cs="Arial" w:eastAsia="Arial" w:hAnsi="Arial"/>
                <w:sz w:val="14"/>
                <w:szCs w:val="14"/>
                <w:color w:val="auto"/>
                <w:w w:val="99"/>
              </w:rPr>
              <w:t>(1)</w:t>
            </w: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w w:val="90"/>
              </w:rPr>
              <w:t>6,213</w:t>
            </w:r>
            <w:r>
              <w:rPr>
                <w:rFonts w:ascii="Arial" w:cs="Arial" w:eastAsia="Arial" w:hAnsi="Arial"/>
                <w:sz w:val="14"/>
                <w:szCs w:val="14"/>
                <w:color w:val="auto"/>
                <w:w w:val="90"/>
              </w:rPr>
              <w:t>(3)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840" w:type="dxa"/>
            <w:vAlign w:val="bottom"/>
            <w:gridSpan w:val="2"/>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10,342</w:t>
            </w:r>
          </w:p>
        </w:tc>
        <w:tc>
          <w:tcPr>
            <w:tcW w:w="56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6,831</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8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680" w:hanging="213"/>
        <w:spacing w:after="0"/>
        <w:tabs>
          <w:tab w:leader="none" w:pos="680" w:val="left"/>
        </w:tabs>
        <w:numPr>
          <w:ilvl w:val="1"/>
          <w:numId w:val="6"/>
        </w:numPr>
        <w:rPr>
          <w:rFonts w:ascii="Arial" w:cs="Arial" w:eastAsia="Arial" w:hAnsi="Arial"/>
          <w:sz w:val="26"/>
          <w:szCs w:val="26"/>
          <w:color w:val="auto"/>
          <w:vertAlign w:val="superscript"/>
        </w:rPr>
      </w:pPr>
      <w:r>
        <w:rPr>
          <w:rFonts w:ascii="Arial" w:cs="Arial" w:eastAsia="Arial" w:hAnsi="Arial"/>
          <w:sz w:val="16"/>
          <w:szCs w:val="16"/>
          <w:color w:val="auto"/>
        </w:rPr>
        <w:t>Net of reserves of $1,119.</w:t>
      </w:r>
    </w:p>
    <w:p>
      <w:pPr>
        <w:spacing w:after="0" w:line="173" w:lineRule="exact"/>
        <w:rPr>
          <w:rFonts w:ascii="Arial" w:cs="Arial" w:eastAsia="Arial" w:hAnsi="Arial"/>
          <w:sz w:val="26"/>
          <w:szCs w:val="26"/>
          <w:color w:val="auto"/>
          <w:vertAlign w:val="superscript"/>
        </w:rPr>
      </w:pPr>
    </w:p>
    <w:p>
      <w:pPr>
        <w:ind w:left="680" w:hanging="213"/>
        <w:spacing w:after="0"/>
        <w:tabs>
          <w:tab w:leader="none" w:pos="680" w:val="left"/>
        </w:tabs>
        <w:numPr>
          <w:ilvl w:val="1"/>
          <w:numId w:val="6"/>
        </w:numPr>
        <w:rPr>
          <w:rFonts w:ascii="Arial" w:cs="Arial" w:eastAsia="Arial" w:hAnsi="Arial"/>
          <w:sz w:val="26"/>
          <w:szCs w:val="26"/>
          <w:color w:val="auto"/>
          <w:vertAlign w:val="superscript"/>
        </w:rPr>
      </w:pPr>
      <w:r>
        <w:rPr>
          <w:rFonts w:ascii="Arial" w:cs="Arial" w:eastAsia="Arial" w:hAnsi="Arial"/>
          <w:sz w:val="16"/>
          <w:szCs w:val="16"/>
          <w:color w:val="auto"/>
        </w:rPr>
        <w:t>Net of reserves of $32.</w:t>
      </w:r>
    </w:p>
    <w:p>
      <w:pPr>
        <w:spacing w:after="0" w:line="173" w:lineRule="exact"/>
        <w:rPr>
          <w:rFonts w:ascii="Arial" w:cs="Arial" w:eastAsia="Arial" w:hAnsi="Arial"/>
          <w:sz w:val="26"/>
          <w:szCs w:val="26"/>
          <w:color w:val="auto"/>
          <w:vertAlign w:val="superscript"/>
        </w:rPr>
      </w:pPr>
    </w:p>
    <w:p>
      <w:pPr>
        <w:ind w:left="680" w:hanging="213"/>
        <w:spacing w:after="0"/>
        <w:tabs>
          <w:tab w:leader="none" w:pos="680" w:val="left"/>
        </w:tabs>
        <w:numPr>
          <w:ilvl w:val="1"/>
          <w:numId w:val="6"/>
        </w:numPr>
        <w:rPr>
          <w:rFonts w:ascii="Arial" w:cs="Arial" w:eastAsia="Arial" w:hAnsi="Arial"/>
          <w:sz w:val="26"/>
          <w:szCs w:val="26"/>
          <w:color w:val="auto"/>
          <w:vertAlign w:val="superscript"/>
        </w:rPr>
      </w:pPr>
      <w:r>
        <w:rPr>
          <w:rFonts w:ascii="Arial" w:cs="Arial" w:eastAsia="Arial" w:hAnsi="Arial"/>
          <w:sz w:val="16"/>
          <w:szCs w:val="16"/>
          <w:color w:val="auto"/>
        </w:rPr>
        <w:t>Net of reserves of $1,223.</w:t>
      </w:r>
    </w:p>
    <w:p>
      <w:pPr>
        <w:spacing w:after="0" w:line="203" w:lineRule="exact"/>
        <w:rPr>
          <w:rFonts w:ascii="Arial" w:cs="Arial" w:eastAsia="Arial" w:hAnsi="Arial"/>
          <w:sz w:val="26"/>
          <w:szCs w:val="26"/>
          <w:color w:val="auto"/>
          <w:vertAlign w:val="superscript"/>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Accounts Payable and Accrued Expenses</w:t>
      </w:r>
    </w:p>
    <w:p>
      <w:pPr>
        <w:spacing w:after="0" w:line="23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Accounts payable and accrued expenses as of June 30, 2003 and December 31, 2002 consist of the following:</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c>
          <w:tcPr>
            <w:tcW w:w="340" w:type="dxa"/>
            <w:vAlign w:val="bottom"/>
          </w:tcPr>
          <w:p>
            <w:pPr>
              <w:spacing w:after="0"/>
              <w:rPr>
                <w:sz w:val="14"/>
                <w:szCs w:val="14"/>
                <w:color w:val="auto"/>
              </w:rPr>
            </w:pPr>
          </w:p>
        </w:tc>
        <w:tc>
          <w:tcPr>
            <w:tcW w:w="1180" w:type="dxa"/>
            <w:vAlign w:val="bottom"/>
            <w:gridSpan w:val="3"/>
          </w:tcPr>
          <w:p>
            <w:pPr>
              <w:ind w:left="200"/>
              <w:spacing w:after="0"/>
              <w:rPr>
                <w:sz w:val="20"/>
                <w:szCs w:val="20"/>
                <w:color w:val="auto"/>
              </w:rPr>
            </w:pPr>
            <w:r>
              <w:rPr>
                <w:rFonts w:ascii="Arial" w:cs="Arial" w:eastAsia="Arial" w:hAnsi="Arial"/>
                <w:sz w:val="14"/>
                <w:szCs w:val="14"/>
                <w:b w:val="1"/>
                <w:bCs w:val="1"/>
                <w:color w:val="auto"/>
              </w:rPr>
              <w:t>December 31,</w:t>
            </w: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5"/>
                <w:szCs w:val="15"/>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2002</w:t>
            </w:r>
          </w:p>
        </w:tc>
        <w:tc>
          <w:tcPr>
            <w:tcW w:w="3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0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00" w:type="dxa"/>
            <w:vAlign w:val="bottom"/>
            <w:vMerge w:val="restart"/>
          </w:tcPr>
          <w:p>
            <w:pPr>
              <w:spacing w:after="0"/>
              <w:rPr>
                <w:sz w:val="8"/>
                <w:szCs w:val="8"/>
                <w:color w:val="auto"/>
              </w:rPr>
            </w:pPr>
          </w:p>
        </w:tc>
        <w:tc>
          <w:tcPr>
            <w:tcW w:w="31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00" w:type="dxa"/>
            <w:vAlign w:val="bottom"/>
            <w:vMerge w:val="continue"/>
          </w:tcPr>
          <w:p>
            <w:pPr>
              <w:spacing w:after="0"/>
              <w:rPr>
                <w:sz w:val="18"/>
                <w:szCs w:val="18"/>
                <w:color w:val="auto"/>
              </w:rPr>
            </w:pPr>
          </w:p>
        </w:tc>
        <w:tc>
          <w:tcPr>
            <w:tcW w:w="3100" w:type="dxa"/>
            <w:vAlign w:val="bottom"/>
            <w:shd w:val="clear" w:color="auto" w:fill="EEEEEE"/>
          </w:tcPr>
          <w:p>
            <w:pPr>
              <w:spacing w:after="0"/>
              <w:rPr>
                <w:sz w:val="20"/>
                <w:szCs w:val="20"/>
                <w:color w:val="auto"/>
              </w:rPr>
            </w:pPr>
            <w:r>
              <w:rPr>
                <w:rFonts w:ascii="Arial" w:cs="Arial" w:eastAsia="Arial" w:hAnsi="Arial"/>
                <w:sz w:val="18"/>
                <w:szCs w:val="18"/>
                <w:color w:val="auto"/>
              </w:rPr>
              <w:t>Accounts payable</w:t>
            </w:r>
          </w:p>
        </w:tc>
        <w:tc>
          <w:tcPr>
            <w:tcW w:w="2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3,984</w:t>
            </w:r>
          </w:p>
        </w:tc>
        <w:tc>
          <w:tcPr>
            <w:tcW w:w="320" w:type="dxa"/>
            <w:vAlign w:val="bottom"/>
            <w:shd w:val="clear" w:color="auto" w:fill="EEEEEE"/>
          </w:tcPr>
          <w:p>
            <w:pPr>
              <w:spacing w:after="0"/>
              <w:rPr>
                <w:sz w:val="18"/>
                <w:szCs w:val="18"/>
                <w:color w:val="auto"/>
              </w:rPr>
            </w:pPr>
          </w:p>
        </w:tc>
        <w:tc>
          <w:tcPr>
            <w:tcW w:w="114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$13,297</w:t>
            </w:r>
          </w:p>
        </w:tc>
        <w:tc>
          <w:tcPr>
            <w:tcW w:w="38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Accrued payroll and related costs</w:t>
            </w: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3,270</w:t>
            </w:r>
          </w:p>
        </w:tc>
        <w:tc>
          <w:tcPr>
            <w:tcW w:w="32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4,162</w:t>
            </w:r>
          </w:p>
        </w:tc>
        <w:tc>
          <w:tcPr>
            <w:tcW w:w="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100" w:type="dxa"/>
            <w:vAlign w:val="bottom"/>
            <w:shd w:val="clear" w:color="auto" w:fill="EEEEEE"/>
          </w:tcPr>
          <w:p>
            <w:pPr>
              <w:spacing w:after="0"/>
              <w:rPr>
                <w:sz w:val="20"/>
                <w:szCs w:val="20"/>
                <w:color w:val="auto"/>
              </w:rPr>
            </w:pPr>
            <w:r>
              <w:rPr>
                <w:rFonts w:ascii="Arial" w:cs="Arial" w:eastAsia="Arial" w:hAnsi="Arial"/>
                <w:sz w:val="18"/>
                <w:szCs w:val="18"/>
                <w:color w:val="auto"/>
              </w:rPr>
              <w:t>Accrued clinical trial expense</w:t>
            </w:r>
          </w:p>
        </w:tc>
        <w:tc>
          <w:tcPr>
            <w:tcW w:w="17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2,051</w:t>
            </w:r>
          </w:p>
        </w:tc>
        <w:tc>
          <w:tcPr>
            <w:tcW w:w="320" w:type="dxa"/>
            <w:vAlign w:val="bottom"/>
            <w:shd w:val="clear" w:color="auto" w:fill="EEEEEE"/>
          </w:tcPr>
          <w:p>
            <w:pPr>
              <w:spacing w:after="0"/>
              <w:rPr>
                <w:sz w:val="18"/>
                <w:szCs w:val="18"/>
                <w:color w:val="auto"/>
              </w:rPr>
            </w:pPr>
          </w:p>
        </w:tc>
        <w:tc>
          <w:tcPr>
            <w:tcW w:w="114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4,515</w:t>
            </w:r>
          </w:p>
        </w:tc>
        <w:tc>
          <w:tcPr>
            <w:tcW w:w="38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Accrued capital expenditures</w:t>
            </w: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688</w:t>
            </w:r>
          </w:p>
        </w:tc>
        <w:tc>
          <w:tcPr>
            <w:tcW w:w="32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4,322</w:t>
            </w:r>
          </w:p>
        </w:tc>
        <w:tc>
          <w:tcPr>
            <w:tcW w:w="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100" w:type="dxa"/>
            <w:vAlign w:val="bottom"/>
            <w:shd w:val="clear" w:color="auto" w:fill="EEEEEE"/>
          </w:tcPr>
          <w:p>
            <w:pPr>
              <w:spacing w:after="0"/>
              <w:rPr>
                <w:sz w:val="20"/>
                <w:szCs w:val="20"/>
                <w:color w:val="auto"/>
              </w:rPr>
            </w:pPr>
            <w:r>
              <w:rPr>
                <w:rFonts w:ascii="Arial" w:cs="Arial" w:eastAsia="Arial" w:hAnsi="Arial"/>
                <w:sz w:val="18"/>
                <w:szCs w:val="18"/>
                <w:color w:val="auto"/>
              </w:rPr>
              <w:t>Accrued expenses, other</w:t>
            </w:r>
          </w:p>
        </w:tc>
        <w:tc>
          <w:tcPr>
            <w:tcW w:w="17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1,758</w:t>
            </w:r>
          </w:p>
        </w:tc>
        <w:tc>
          <w:tcPr>
            <w:tcW w:w="320" w:type="dxa"/>
            <w:vAlign w:val="bottom"/>
            <w:shd w:val="clear" w:color="auto" w:fill="EEEEEE"/>
          </w:tcPr>
          <w:p>
            <w:pPr>
              <w:spacing w:after="0"/>
              <w:rPr>
                <w:sz w:val="18"/>
                <w:szCs w:val="18"/>
                <w:color w:val="auto"/>
              </w:rPr>
            </w:pPr>
          </w:p>
        </w:tc>
        <w:tc>
          <w:tcPr>
            <w:tcW w:w="114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1,721</w:t>
            </w:r>
          </w:p>
        </w:tc>
        <w:tc>
          <w:tcPr>
            <w:tcW w:w="38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0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Interest payable on convertible notes</w:t>
            </w:r>
          </w:p>
        </w:tc>
        <w:tc>
          <w:tcPr>
            <w:tcW w:w="1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2,292</w:t>
            </w:r>
          </w:p>
        </w:tc>
        <w:tc>
          <w:tcPr>
            <w:tcW w:w="320" w:type="dxa"/>
            <w:vAlign w:val="bottom"/>
          </w:tcPr>
          <w:p>
            <w:pPr>
              <w:spacing w:after="0"/>
              <w:rPr>
                <w:sz w:val="19"/>
                <w:szCs w:val="19"/>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2,292</w:t>
            </w:r>
          </w:p>
        </w:tc>
        <w:tc>
          <w:tcPr>
            <w:tcW w:w="3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0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0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100" w:type="dxa"/>
            <w:vAlign w:val="bottom"/>
            <w:shd w:val="clear" w:color="auto" w:fill="EEEEEE"/>
          </w:tcPr>
          <w:p>
            <w:pPr>
              <w:spacing w:after="0"/>
              <w:rPr>
                <w:sz w:val="18"/>
                <w:szCs w:val="18"/>
                <w:color w:val="auto"/>
              </w:rPr>
            </w:pPr>
          </w:p>
        </w:tc>
        <w:tc>
          <w:tcPr>
            <w:tcW w:w="2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14,043</w:t>
            </w:r>
          </w:p>
        </w:tc>
        <w:tc>
          <w:tcPr>
            <w:tcW w:w="320" w:type="dxa"/>
            <w:vAlign w:val="bottom"/>
            <w:shd w:val="clear" w:color="auto" w:fill="EEEEEE"/>
          </w:tcPr>
          <w:p>
            <w:pPr>
              <w:spacing w:after="0"/>
              <w:rPr>
                <w:sz w:val="18"/>
                <w:szCs w:val="18"/>
                <w:color w:val="auto"/>
              </w:rPr>
            </w:pPr>
          </w:p>
        </w:tc>
        <w:tc>
          <w:tcPr>
            <w:tcW w:w="114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$30,309</w:t>
            </w:r>
          </w:p>
        </w:tc>
        <w:tc>
          <w:tcPr>
            <w:tcW w:w="38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3100" w:type="dxa"/>
            <w:vAlign w:val="bottom"/>
          </w:tcPr>
          <w:p>
            <w:pPr>
              <w:spacing w:after="0"/>
              <w:rPr>
                <w:sz w:val="9"/>
                <w:szCs w:val="9"/>
                <w:color w:val="auto"/>
              </w:rPr>
            </w:pPr>
          </w:p>
        </w:tc>
        <w:tc>
          <w:tcPr>
            <w:tcW w:w="1740" w:type="dxa"/>
            <w:vAlign w:val="bottom"/>
            <w:vMerge w:val="restart"/>
          </w:tcPr>
          <w:p>
            <w:pPr>
              <w:jc w:val="right"/>
              <w:ind w:right="952"/>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00" w:type="dxa"/>
            <w:vAlign w:val="bottom"/>
          </w:tcPr>
          <w:p>
            <w:pPr>
              <w:spacing w:after="0"/>
              <w:rPr>
                <w:sz w:val="5"/>
                <w:szCs w:val="5"/>
                <w:color w:val="auto"/>
              </w:rPr>
            </w:pPr>
          </w:p>
        </w:tc>
        <w:tc>
          <w:tcPr>
            <w:tcW w:w="310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00" w:type="dxa"/>
            <w:vAlign w:val="bottom"/>
            <w:tcBorders>
              <w:bottom w:val="single" w:sz="8" w:color="808080"/>
            </w:tcBorders>
          </w:tcPr>
          <w:p>
            <w:pPr>
              <w:spacing w:after="0"/>
              <w:rPr>
                <w:sz w:val="19"/>
                <w:szCs w:val="19"/>
                <w:color w:val="auto"/>
              </w:rPr>
            </w:pPr>
          </w:p>
        </w:tc>
        <w:tc>
          <w:tcPr>
            <w:tcW w:w="310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0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13"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Loss</w:t>
      </w:r>
    </w:p>
    <w:p>
      <w:pPr>
        <w:spacing w:after="0" w:line="231" w:lineRule="exact"/>
        <w:rPr>
          <w:rFonts w:ascii="Arial" w:cs="Arial" w:eastAsia="Arial" w:hAnsi="Arial"/>
          <w:sz w:val="18"/>
          <w:szCs w:val="18"/>
          <w:b w:val="1"/>
          <w:bCs w:val="1"/>
          <w:color w:val="auto"/>
        </w:rPr>
      </w:pPr>
    </w:p>
    <w:p>
      <w:pPr>
        <w:ind w:left="4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Comprehensive loss represents the change in net assets of a business enterprise during a period from transactions and other events and circumstances from non-owner sources. Comprehensive loss of the Company includes net loss adjusted for the change in net unrealized gain or loss on marketable securities. The net effect of income taxes on comprehensive loss is immaterial. For the three months ended June 30, 2003 and 2002, the components of comprehensive loss are:</w:t>
      </w:r>
    </w:p>
    <w:p>
      <w:pPr>
        <w:spacing w:after="0" w:line="200" w:lineRule="exact"/>
        <w:rPr>
          <w:sz w:val="20"/>
          <w:szCs w:val="20"/>
          <w:color w:val="auto"/>
        </w:rPr>
      </w:pPr>
    </w:p>
    <w:p>
      <w:pPr>
        <w:spacing w:after="0" w:line="236" w:lineRule="exact"/>
        <w:rPr>
          <w:sz w:val="20"/>
          <w:szCs w:val="20"/>
          <w:color w:val="auto"/>
        </w:rPr>
      </w:pPr>
    </w:p>
    <w:p>
      <w:pPr>
        <w:jc w:val="center"/>
        <w:ind w:left="594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594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60325</wp:posOffset>
            </wp:positionV>
            <wp:extent cx="1663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592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15"/>
                <w:szCs w:val="15"/>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2002</w:t>
            </w:r>
          </w:p>
        </w:tc>
        <w:tc>
          <w:tcPr>
            <w:tcW w:w="300" w:type="dxa"/>
            <w:vAlign w:val="bottom"/>
          </w:tcPr>
          <w:p>
            <w:pPr>
              <w:spacing w:after="0"/>
              <w:rPr>
                <w:sz w:val="15"/>
                <w:szCs w:val="15"/>
                <w:color w:val="auto"/>
              </w:rPr>
            </w:pPr>
          </w:p>
        </w:tc>
      </w:tr>
      <w:tr>
        <w:trPr>
          <w:trHeight w:val="95"/>
        </w:trPr>
        <w:tc>
          <w:tcPr>
            <w:tcW w:w="59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r>
      <w:tr>
        <w:trPr>
          <w:trHeight w:val="102"/>
        </w:trPr>
        <w:tc>
          <w:tcPr>
            <w:tcW w:w="5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r>
      <w:tr>
        <w:trPr>
          <w:trHeight w:val="216"/>
        </w:trPr>
        <w:tc>
          <w:tcPr>
            <w:tcW w:w="5920" w:type="dxa"/>
            <w:vAlign w:val="bottom"/>
            <w:shd w:val="clear" w:color="auto" w:fill="EEEEEE"/>
          </w:tcPr>
          <w:p>
            <w:pPr>
              <w:spacing w:after="0"/>
              <w:rPr>
                <w:sz w:val="20"/>
                <w:szCs w:val="20"/>
                <w:color w:val="auto"/>
              </w:rPr>
            </w:pPr>
            <w:r>
              <w:rPr>
                <w:rFonts w:ascii="Arial" w:cs="Arial" w:eastAsia="Arial" w:hAnsi="Arial"/>
                <w:sz w:val="18"/>
                <w:szCs w:val="18"/>
                <w:color w:val="auto"/>
              </w:rPr>
              <w:t>Net loss</w:t>
            </w:r>
          </w:p>
        </w:tc>
        <w:tc>
          <w:tcPr>
            <w:tcW w:w="1120" w:type="dxa"/>
            <w:vAlign w:val="bottom"/>
            <w:gridSpan w:val="3"/>
            <w:shd w:val="clear" w:color="auto" w:fill="EEEEEE"/>
          </w:tcPr>
          <w:p>
            <w:pPr>
              <w:jc w:val="right"/>
              <w:ind w:right="240"/>
              <w:spacing w:after="0"/>
              <w:rPr>
                <w:sz w:val="20"/>
                <w:szCs w:val="20"/>
                <w:color w:val="auto"/>
              </w:rPr>
            </w:pPr>
            <w:r>
              <w:rPr>
                <w:rFonts w:ascii="Arial" w:cs="Arial" w:eastAsia="Arial" w:hAnsi="Arial"/>
                <w:sz w:val="18"/>
                <w:szCs w:val="18"/>
                <w:color w:val="auto"/>
              </w:rPr>
              <w:t>($28,736)</w:t>
            </w:r>
          </w:p>
        </w:tc>
        <w:tc>
          <w:tcPr>
            <w:tcW w:w="1500" w:type="dxa"/>
            <w:vAlign w:val="bottom"/>
            <w:gridSpan w:val="4"/>
            <w:shd w:val="clear" w:color="auto" w:fill="EEEEEE"/>
          </w:tcPr>
          <w:p>
            <w:pPr>
              <w:jc w:val="right"/>
              <w:ind w:right="240"/>
              <w:spacing w:after="0"/>
              <w:rPr>
                <w:sz w:val="20"/>
                <w:szCs w:val="20"/>
                <w:color w:val="auto"/>
              </w:rPr>
            </w:pPr>
            <w:r>
              <w:rPr>
                <w:rFonts w:ascii="Arial" w:cs="Arial" w:eastAsia="Arial" w:hAnsi="Arial"/>
                <w:sz w:val="18"/>
                <w:szCs w:val="18"/>
                <w:color w:val="auto"/>
              </w:rPr>
              <w:t>($30,423)</w:t>
            </w:r>
          </w:p>
        </w:tc>
      </w:tr>
      <w:tr>
        <w:trPr>
          <w:trHeight w:val="222"/>
        </w:trPr>
        <w:tc>
          <w:tcPr>
            <w:tcW w:w="5920" w:type="dxa"/>
            <w:vAlign w:val="bottom"/>
          </w:tcPr>
          <w:p>
            <w:pPr>
              <w:spacing w:after="0"/>
              <w:rPr>
                <w:sz w:val="20"/>
                <w:szCs w:val="20"/>
                <w:color w:val="auto"/>
              </w:rPr>
            </w:pPr>
            <w:r>
              <w:rPr>
                <w:rFonts w:ascii="Arial" w:cs="Arial" w:eastAsia="Arial" w:hAnsi="Arial"/>
                <w:sz w:val="18"/>
                <w:szCs w:val="18"/>
                <w:color w:val="auto"/>
              </w:rPr>
              <w:t>Change in net unrealized gain on marketable securities</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(71)</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397</w:t>
            </w:r>
          </w:p>
        </w:tc>
        <w:tc>
          <w:tcPr>
            <w:tcW w:w="300" w:type="dxa"/>
            <w:vAlign w:val="bottom"/>
          </w:tcPr>
          <w:p>
            <w:pPr>
              <w:spacing w:after="0"/>
              <w:rPr>
                <w:sz w:val="19"/>
                <w:szCs w:val="19"/>
                <w:color w:val="auto"/>
              </w:rPr>
            </w:pPr>
          </w:p>
        </w:tc>
      </w:tr>
      <w:tr>
        <w:trPr>
          <w:trHeight w:val="102"/>
        </w:trPr>
        <w:tc>
          <w:tcPr>
            <w:tcW w:w="5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r>
      <w:tr>
        <w:trPr>
          <w:trHeight w:val="102"/>
        </w:trPr>
        <w:tc>
          <w:tcPr>
            <w:tcW w:w="5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r>
      <w:tr>
        <w:trPr>
          <w:trHeight w:val="216"/>
        </w:trPr>
        <w:tc>
          <w:tcPr>
            <w:tcW w:w="59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Total comprehensive loss</w:t>
            </w:r>
          </w:p>
        </w:tc>
        <w:tc>
          <w:tcPr>
            <w:tcW w:w="1120" w:type="dxa"/>
            <w:vAlign w:val="bottom"/>
            <w:gridSpan w:val="3"/>
            <w:shd w:val="clear" w:color="auto" w:fill="EEEEEE"/>
          </w:tcPr>
          <w:p>
            <w:pPr>
              <w:jc w:val="right"/>
              <w:ind w:right="240"/>
              <w:spacing w:after="0"/>
              <w:rPr>
                <w:sz w:val="20"/>
                <w:szCs w:val="20"/>
                <w:color w:val="auto"/>
              </w:rPr>
            </w:pPr>
            <w:r>
              <w:rPr>
                <w:rFonts w:ascii="Arial" w:cs="Arial" w:eastAsia="Arial" w:hAnsi="Arial"/>
                <w:sz w:val="18"/>
                <w:szCs w:val="18"/>
                <w:color w:val="auto"/>
              </w:rPr>
              <w:t>($28,807)</w:t>
            </w:r>
          </w:p>
        </w:tc>
        <w:tc>
          <w:tcPr>
            <w:tcW w:w="1500" w:type="dxa"/>
            <w:vAlign w:val="bottom"/>
            <w:gridSpan w:val="4"/>
            <w:shd w:val="clear" w:color="auto" w:fill="EEEEEE"/>
          </w:tcPr>
          <w:p>
            <w:pPr>
              <w:jc w:val="right"/>
              <w:ind w:right="240"/>
              <w:spacing w:after="0"/>
              <w:rPr>
                <w:sz w:val="20"/>
                <w:szCs w:val="20"/>
                <w:color w:val="auto"/>
              </w:rPr>
            </w:pPr>
            <w:r>
              <w:rPr>
                <w:rFonts w:ascii="Arial" w:cs="Arial" w:eastAsia="Arial" w:hAnsi="Arial"/>
                <w:sz w:val="18"/>
                <w:szCs w:val="18"/>
                <w:color w:val="auto"/>
              </w:rPr>
              <w:t>($30,026)</w:t>
            </w:r>
          </w:p>
        </w:tc>
      </w:tr>
      <w:tr>
        <w:trPr>
          <w:trHeight w:val="105"/>
        </w:trPr>
        <w:tc>
          <w:tcPr>
            <w:tcW w:w="59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r>
      <w:tr>
        <w:trPr>
          <w:trHeight w:val="61"/>
        </w:trPr>
        <w:tc>
          <w:tcPr>
            <w:tcW w:w="592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r>
    </w:tbl>
    <w:p>
      <w:pPr>
        <w:spacing w:after="0" w:line="3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six months ended June 30, 2003 and 2002, the components of comprehensive loss are:</w:t>
      </w:r>
    </w:p>
    <w:p>
      <w:pPr>
        <w:spacing w:after="0" w:line="200" w:lineRule="exact"/>
        <w:rPr>
          <w:sz w:val="20"/>
          <w:szCs w:val="20"/>
          <w:color w:val="auto"/>
        </w:rPr>
      </w:pPr>
    </w:p>
    <w:p>
      <w:pPr>
        <w:spacing w:after="0" w:line="264" w:lineRule="exact"/>
        <w:rPr>
          <w:sz w:val="20"/>
          <w:szCs w:val="20"/>
          <w:color w:val="auto"/>
        </w:rPr>
      </w:pPr>
    </w:p>
    <w:p>
      <w:pPr>
        <w:jc w:val="center"/>
        <w:ind w:left="5940"/>
        <w:spacing w:after="0"/>
        <w:rPr>
          <w:sz w:val="20"/>
          <w:szCs w:val="20"/>
          <w:color w:val="auto"/>
        </w:rPr>
      </w:pPr>
      <w:r>
        <w:rPr>
          <w:rFonts w:ascii="Arial" w:cs="Arial" w:eastAsia="Arial" w:hAnsi="Arial"/>
          <w:sz w:val="14"/>
          <w:szCs w:val="14"/>
          <w:b w:val="1"/>
          <w:bCs w:val="1"/>
          <w:color w:val="auto"/>
        </w:rPr>
        <w:t>Six Months Ended</w:t>
      </w:r>
    </w:p>
    <w:p>
      <w:pPr>
        <w:spacing w:after="0" w:line="1" w:lineRule="exact"/>
        <w:rPr>
          <w:sz w:val="20"/>
          <w:szCs w:val="20"/>
          <w:color w:val="auto"/>
        </w:rPr>
      </w:pPr>
    </w:p>
    <w:p>
      <w:pPr>
        <w:jc w:val="center"/>
        <w:ind w:left="594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60325</wp:posOffset>
            </wp:positionV>
            <wp:extent cx="1663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592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15"/>
                <w:szCs w:val="15"/>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2002</w:t>
            </w:r>
          </w:p>
        </w:tc>
        <w:tc>
          <w:tcPr>
            <w:tcW w:w="300" w:type="dxa"/>
            <w:vAlign w:val="bottom"/>
          </w:tcPr>
          <w:p>
            <w:pPr>
              <w:spacing w:after="0"/>
              <w:rPr>
                <w:sz w:val="15"/>
                <w:szCs w:val="15"/>
                <w:color w:val="auto"/>
              </w:rPr>
            </w:pPr>
          </w:p>
        </w:tc>
      </w:tr>
      <w:tr>
        <w:trPr>
          <w:trHeight w:val="95"/>
        </w:trPr>
        <w:tc>
          <w:tcPr>
            <w:tcW w:w="59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r>
      <w:tr>
        <w:trPr>
          <w:trHeight w:val="102"/>
        </w:trPr>
        <w:tc>
          <w:tcPr>
            <w:tcW w:w="5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r>
      <w:tr>
        <w:trPr>
          <w:trHeight w:val="216"/>
        </w:trPr>
        <w:tc>
          <w:tcPr>
            <w:tcW w:w="5920" w:type="dxa"/>
            <w:vAlign w:val="bottom"/>
            <w:shd w:val="clear" w:color="auto" w:fill="EEEEEE"/>
          </w:tcPr>
          <w:p>
            <w:pPr>
              <w:spacing w:after="0"/>
              <w:rPr>
                <w:sz w:val="20"/>
                <w:szCs w:val="20"/>
                <w:color w:val="auto"/>
              </w:rPr>
            </w:pPr>
            <w:r>
              <w:rPr>
                <w:rFonts w:ascii="Arial" w:cs="Arial" w:eastAsia="Arial" w:hAnsi="Arial"/>
                <w:sz w:val="18"/>
                <w:szCs w:val="18"/>
                <w:color w:val="auto"/>
              </w:rPr>
              <w:t>Net loss</w:t>
            </w:r>
          </w:p>
        </w:tc>
        <w:tc>
          <w:tcPr>
            <w:tcW w:w="1120" w:type="dxa"/>
            <w:vAlign w:val="bottom"/>
            <w:gridSpan w:val="3"/>
            <w:shd w:val="clear" w:color="auto" w:fill="EEEEEE"/>
          </w:tcPr>
          <w:p>
            <w:pPr>
              <w:jc w:val="right"/>
              <w:ind w:right="240"/>
              <w:spacing w:after="0"/>
              <w:rPr>
                <w:sz w:val="20"/>
                <w:szCs w:val="20"/>
                <w:color w:val="auto"/>
              </w:rPr>
            </w:pPr>
            <w:r>
              <w:rPr>
                <w:rFonts w:ascii="Arial" w:cs="Arial" w:eastAsia="Arial" w:hAnsi="Arial"/>
                <w:sz w:val="18"/>
                <w:szCs w:val="18"/>
                <w:color w:val="auto"/>
              </w:rPr>
              <w:t>($58,846)</w:t>
            </w:r>
          </w:p>
        </w:tc>
        <w:tc>
          <w:tcPr>
            <w:tcW w:w="1500" w:type="dxa"/>
            <w:vAlign w:val="bottom"/>
            <w:gridSpan w:val="4"/>
            <w:shd w:val="clear" w:color="auto" w:fill="EEEEEE"/>
          </w:tcPr>
          <w:p>
            <w:pPr>
              <w:jc w:val="right"/>
              <w:ind w:right="240"/>
              <w:spacing w:after="0"/>
              <w:rPr>
                <w:sz w:val="20"/>
                <w:szCs w:val="20"/>
                <w:color w:val="auto"/>
              </w:rPr>
            </w:pPr>
            <w:r>
              <w:rPr>
                <w:rFonts w:ascii="Arial" w:cs="Arial" w:eastAsia="Arial" w:hAnsi="Arial"/>
                <w:sz w:val="18"/>
                <w:szCs w:val="18"/>
                <w:color w:val="auto"/>
              </w:rPr>
              <w:t>($55,868)</w:t>
            </w:r>
          </w:p>
        </w:tc>
      </w:tr>
      <w:tr>
        <w:trPr>
          <w:trHeight w:val="222"/>
        </w:trPr>
        <w:tc>
          <w:tcPr>
            <w:tcW w:w="5920" w:type="dxa"/>
            <w:vAlign w:val="bottom"/>
          </w:tcPr>
          <w:p>
            <w:pPr>
              <w:spacing w:after="0"/>
              <w:rPr>
                <w:sz w:val="20"/>
                <w:szCs w:val="20"/>
                <w:color w:val="auto"/>
              </w:rPr>
            </w:pPr>
            <w:r>
              <w:rPr>
                <w:rFonts w:ascii="Arial" w:cs="Arial" w:eastAsia="Arial" w:hAnsi="Arial"/>
                <w:sz w:val="18"/>
                <w:szCs w:val="18"/>
                <w:color w:val="auto"/>
              </w:rPr>
              <w:t>Change in net unrealized gain on marketable securities</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(247)</w:t>
            </w:r>
          </w:p>
        </w:tc>
        <w:tc>
          <w:tcPr>
            <w:tcW w:w="1500" w:type="dxa"/>
            <w:vAlign w:val="bottom"/>
            <w:gridSpan w:val="4"/>
          </w:tcPr>
          <w:p>
            <w:pPr>
              <w:jc w:val="right"/>
              <w:ind w:right="240"/>
              <w:spacing w:after="0"/>
              <w:rPr>
                <w:sz w:val="20"/>
                <w:szCs w:val="20"/>
                <w:color w:val="auto"/>
              </w:rPr>
            </w:pPr>
            <w:r>
              <w:rPr>
                <w:rFonts w:ascii="Arial" w:cs="Arial" w:eastAsia="Arial" w:hAnsi="Arial"/>
                <w:sz w:val="18"/>
                <w:szCs w:val="18"/>
                <w:color w:val="auto"/>
              </w:rPr>
              <w:t>(400)</w:t>
            </w:r>
          </w:p>
        </w:tc>
      </w:tr>
      <w:tr>
        <w:trPr>
          <w:trHeight w:val="102"/>
        </w:trPr>
        <w:tc>
          <w:tcPr>
            <w:tcW w:w="5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r>
      <w:tr>
        <w:trPr>
          <w:trHeight w:val="102"/>
        </w:trPr>
        <w:tc>
          <w:tcPr>
            <w:tcW w:w="5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r>
      <w:tr>
        <w:trPr>
          <w:trHeight w:val="216"/>
        </w:trPr>
        <w:tc>
          <w:tcPr>
            <w:tcW w:w="59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Total comprehensive loss</w:t>
            </w:r>
          </w:p>
        </w:tc>
        <w:tc>
          <w:tcPr>
            <w:tcW w:w="1120" w:type="dxa"/>
            <w:vAlign w:val="bottom"/>
            <w:gridSpan w:val="3"/>
            <w:shd w:val="clear" w:color="auto" w:fill="EEEEEE"/>
          </w:tcPr>
          <w:p>
            <w:pPr>
              <w:jc w:val="right"/>
              <w:ind w:right="240"/>
              <w:spacing w:after="0"/>
              <w:rPr>
                <w:sz w:val="20"/>
                <w:szCs w:val="20"/>
                <w:color w:val="auto"/>
              </w:rPr>
            </w:pPr>
            <w:r>
              <w:rPr>
                <w:rFonts w:ascii="Arial" w:cs="Arial" w:eastAsia="Arial" w:hAnsi="Arial"/>
                <w:sz w:val="18"/>
                <w:szCs w:val="18"/>
                <w:color w:val="auto"/>
              </w:rPr>
              <w:t>($59,093)</w:t>
            </w:r>
          </w:p>
        </w:tc>
        <w:tc>
          <w:tcPr>
            <w:tcW w:w="1500" w:type="dxa"/>
            <w:vAlign w:val="bottom"/>
            <w:gridSpan w:val="4"/>
            <w:shd w:val="clear" w:color="auto" w:fill="EEEEEE"/>
          </w:tcPr>
          <w:p>
            <w:pPr>
              <w:jc w:val="right"/>
              <w:ind w:right="240"/>
              <w:spacing w:after="0"/>
              <w:rPr>
                <w:sz w:val="20"/>
                <w:szCs w:val="20"/>
                <w:color w:val="auto"/>
              </w:rPr>
            </w:pPr>
            <w:r>
              <w:rPr>
                <w:rFonts w:ascii="Arial" w:cs="Arial" w:eastAsia="Arial" w:hAnsi="Arial"/>
                <w:sz w:val="18"/>
                <w:szCs w:val="18"/>
                <w:color w:val="auto"/>
              </w:rPr>
              <w:t>($56,268)</w:t>
            </w:r>
          </w:p>
        </w:tc>
      </w:tr>
      <w:tr>
        <w:trPr>
          <w:trHeight w:val="105"/>
        </w:trPr>
        <w:tc>
          <w:tcPr>
            <w:tcW w:w="59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r>
      <w:tr>
        <w:trPr>
          <w:trHeight w:val="61"/>
        </w:trPr>
        <w:tc>
          <w:tcPr>
            <w:tcW w:w="592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r>
    </w:tbl>
    <w:p>
      <w:pPr>
        <w:spacing w:after="0" w:line="307"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Collaboration and License Agreement</w:t>
      </w:r>
    </w:p>
    <w:p>
      <w:pPr>
        <w:spacing w:after="0" w:line="231" w:lineRule="exact"/>
        <w:rPr>
          <w:rFonts w:ascii="Arial" w:cs="Arial" w:eastAsia="Arial" w:hAnsi="Arial"/>
          <w:sz w:val="18"/>
          <w:szCs w:val="18"/>
          <w:b w:val="1"/>
          <w:bCs w:val="1"/>
          <w:color w:val="auto"/>
        </w:rPr>
      </w:pPr>
    </w:p>
    <w:p>
      <w:pPr>
        <w:ind w:left="460" w:right="4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In March 2003, the Company entered into a collaboration agreement (the “Novartis Agreement”) with Novartis Pharma AG (“Novartis”) to jointly develop and commercialize the Interleukin-1 Cytokine Trap (“IL-1 Trap”). In connection with this agreement, Novartis made a non-refundable up-front payment of $27.0 million and purchased $48.0 million of newly issued unregistered shares of the Company’s Common Stock. Regeneron issued 2,400,000 shares of Common Stock to Novartis in March 2003 and an additional 5,127,050 shares in May 2003 for a total of 7,527,050 shares based upon the average closing price of the Common Stock for the 20 consecutive trading days ending May 12, 2003.</w:t>
      </w:r>
    </w:p>
    <w:p>
      <w:pPr>
        <w:spacing w:after="0" w:line="170" w:lineRule="exact"/>
        <w:rPr>
          <w:sz w:val="20"/>
          <w:szCs w:val="20"/>
          <w:color w:val="auto"/>
        </w:rPr>
      </w:pPr>
    </w:p>
    <w:p>
      <w:pPr>
        <w:jc w:val="both"/>
        <w:ind w:left="460" w:right="280"/>
        <w:spacing w:after="0" w:line="323" w:lineRule="auto"/>
        <w:rPr>
          <w:sz w:val="20"/>
          <w:szCs w:val="20"/>
          <w:color w:val="auto"/>
        </w:rPr>
      </w:pPr>
      <w:r>
        <w:rPr>
          <w:rFonts w:ascii="Arial" w:cs="Arial" w:eastAsia="Arial" w:hAnsi="Arial"/>
          <w:sz w:val="15"/>
          <w:szCs w:val="15"/>
          <w:color w:val="auto"/>
        </w:rPr>
        <w:t>Development expenses incurred during 2003 will be shared equally by the Company and Novartis. Regeneron may fund its share of 2003 development expenses through a loan (the “2003 Loan”) from Novartis, which will bear interest at a rate per annum equal to the LIBOR rate plus 2.5%, compounded quarterly. The 2003 Loan and accrued interest thereon will be forgiven should certain defined pre-clinical and clinical milestones be reached; otherwise, such amounts are payable on July 1, 2004. As of June 30, 2003, the 2003 Loan balance due Novartis, including accrued interest, totaled $5,147.</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19" w:lineRule="exact"/>
        <w:rPr>
          <w:sz w:val="20"/>
          <w:szCs w:val="20"/>
          <w:color w:val="auto"/>
        </w:rPr>
      </w:pPr>
    </w:p>
    <w:p>
      <w:pPr>
        <w:ind w:left="460" w:right="60"/>
        <w:spacing w:after="0" w:line="291" w:lineRule="auto"/>
        <w:rPr>
          <w:sz w:val="20"/>
          <w:szCs w:val="20"/>
          <w:color w:val="auto"/>
        </w:rPr>
      </w:pPr>
      <w:r>
        <w:rPr>
          <w:rFonts w:ascii="Arial" w:cs="Arial" w:eastAsia="Arial" w:hAnsi="Arial"/>
          <w:sz w:val="16"/>
          <w:szCs w:val="16"/>
          <w:color w:val="auto"/>
        </w:rPr>
        <w:t>Development expenses incurred subsequent to 2003 will be shared by the Company and Novartis, as set forth in the Novartis Agreement, with funding for Regeneron’s share of these expenses available through another loan (the “Post-2003 Loan”) from Novartis. Also, Regeneron’s share of promotional expenses prior to product launch, as defined, may be funded through an additional loan (the “Promotion Expense Loan”) from Novartis. These loans will bear interest at a rate per annum equal to the LIBOR rate plus 2.5%, compounded quarterly. The Post-2003 Loan and the Promotion Expense Loan, including accrued interest thereon, will be due five and three years, respectively, after the earlier of either the first commercial sale of an IL-1 Trap product in the United States or Europe or the effective date of termination of the agreement by Novartis.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Novartis has the right to terminate the agreement without cause with at least nine months advance notice.</w:t>
      </w:r>
    </w:p>
    <w:p>
      <w:pPr>
        <w:spacing w:after="0" w:line="225" w:lineRule="exact"/>
        <w:rPr>
          <w:sz w:val="20"/>
          <w:szCs w:val="20"/>
          <w:color w:val="auto"/>
        </w:rPr>
      </w:pPr>
    </w:p>
    <w:p>
      <w:pPr>
        <w:ind w:left="460"/>
        <w:spacing w:after="0" w:line="298" w:lineRule="auto"/>
        <w:rPr>
          <w:sz w:val="20"/>
          <w:szCs w:val="20"/>
          <w:color w:val="auto"/>
        </w:rPr>
      </w:pPr>
      <w:r>
        <w:rPr>
          <w:rFonts w:ascii="Arial" w:cs="Arial" w:eastAsia="Arial" w:hAnsi="Arial"/>
          <w:sz w:val="16"/>
          <w:szCs w:val="16"/>
          <w:color w:val="auto"/>
        </w:rPr>
        <w:t>The Company and Novartis will share co-promotion rights and profits on sales, if any, of the IL-1 Trap. In addition, the Company may receive up to $275.0 million in milestone payments upon the receipt of specified regulatory approvals and the achievement of certain product revenues targets. Also, under the Novartis Agreement, the Company and Novartis each has the option to collaborate on the development and commercialization of additional defined IL-1 product candidates that Regeneron and Novartis are currently developing independently.</w:t>
      </w:r>
    </w:p>
    <w:p>
      <w:pPr>
        <w:spacing w:after="0" w:line="167" w:lineRule="exact"/>
        <w:rPr>
          <w:sz w:val="20"/>
          <w:szCs w:val="20"/>
          <w:color w:val="auto"/>
        </w:rPr>
      </w:pPr>
    </w:p>
    <w:p>
      <w:pPr>
        <w:ind w:left="460" w:right="60"/>
        <w:spacing w:after="0" w:line="253" w:lineRule="auto"/>
        <w:rPr>
          <w:sz w:val="20"/>
          <w:szCs w:val="20"/>
          <w:color w:val="auto"/>
        </w:rPr>
      </w:pPr>
      <w:r>
        <w:rPr>
          <w:rFonts w:ascii="Arial" w:cs="Arial" w:eastAsia="Arial" w:hAnsi="Arial"/>
          <w:sz w:val="18"/>
          <w:szCs w:val="18"/>
          <w:color w:val="auto"/>
        </w:rPr>
        <w:t xml:space="preserve">Revenue related to payments from Novartis, including the up-front payment of $27.0 million, reimbursement of Novartis’ share of Regeneron-incurred development expenses, forgiveness of any loans, and the initial milestone payment upon receipt of the first specified regulatory approval is being recognized as contract research and development revenue on a percentage of completion basis in accordance with Staff Accounting Bulletin No. 101, </w:t>
      </w:r>
      <w:r>
        <w:rPr>
          <w:rFonts w:ascii="Arial" w:cs="Arial" w:eastAsia="Arial" w:hAnsi="Arial"/>
          <w:sz w:val="18"/>
          <w:szCs w:val="18"/>
          <w:i w:val="1"/>
          <w:iCs w:val="1"/>
          <w:color w:val="auto"/>
        </w:rPr>
        <w:t>Revenue Recognition in Financial Statements</w:t>
      </w:r>
      <w:r>
        <w:rPr>
          <w:rFonts w:ascii="Arial" w:cs="Arial" w:eastAsia="Arial" w:hAnsi="Arial"/>
          <w:sz w:val="18"/>
          <w:szCs w:val="18"/>
          <w:color w:val="auto"/>
        </w:rPr>
        <w:t>. Further regulatory and product revenues milestone payments will be recognized if and when earned.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and six months ended June 30, 2003, the Company recognized $7.0 million and $13.7 million, respectively, of contract research and development revenue in connection with the Novartis Agreement. At June 30, 2003, amounts receivable from Novartis totaled $4.3 million and deferred revenue was $22.7 million.</w:t>
      </w:r>
    </w:p>
    <w:p>
      <w:pPr>
        <w:spacing w:after="0" w:line="195"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Per Share Data</w:t>
      </w:r>
    </w:p>
    <w:p>
      <w:pPr>
        <w:spacing w:after="0" w:line="231" w:lineRule="exact"/>
        <w:rPr>
          <w:rFonts w:ascii="Arial" w:cs="Arial" w:eastAsia="Arial" w:hAnsi="Arial"/>
          <w:sz w:val="18"/>
          <w:szCs w:val="18"/>
          <w:b w:val="1"/>
          <w:bCs w:val="1"/>
          <w:color w:val="auto"/>
        </w:rPr>
      </w:pPr>
    </w:p>
    <w:p>
      <w:pPr>
        <w:ind w:left="460" w:right="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Company’s basic net loss per share amounts have been computed by dividing net loss by the weighted average number of Common and Class A shares outstanding. For the three and six months ended June 30, 2003 and 2002, the Company reported net losses and, therefore, no common stock equivalents were included in the computation of diluted net loss per share, since such inclusion would have been antidilutive. The calculations of basic and diluted net loss per share are as follows: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245" w:lineRule="exact"/>
        <w:rPr>
          <w:sz w:val="20"/>
          <w:szCs w:val="20"/>
          <w:color w:val="auto"/>
        </w:rPr>
      </w:pPr>
    </w:p>
    <w:tbl>
      <w:tblPr>
        <w:tblLayout w:type="fixed"/>
        <w:tblInd w:w="280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5"/>
              </w:rPr>
              <w:t>Net Loss, in</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6"/>
              </w:rPr>
              <w:t>Shares, in</w:t>
            </w:r>
          </w:p>
        </w:tc>
        <w:tc>
          <w:tcPr>
            <w:tcW w:w="880" w:type="dxa"/>
            <w:vAlign w:val="bottom"/>
          </w:tcPr>
          <w:p>
            <w:pPr>
              <w:spacing w:after="0"/>
              <w:rPr>
                <w:sz w:val="14"/>
                <w:szCs w:val="14"/>
                <w:color w:val="auto"/>
              </w:rPr>
            </w:pPr>
          </w:p>
        </w:tc>
      </w:tr>
      <w:tr>
        <w:trPr>
          <w:trHeight w:val="149"/>
        </w:trPr>
        <w:tc>
          <w:tcPr>
            <w:tcW w:w="206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thousands</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thousands</w:t>
            </w:r>
          </w:p>
        </w:tc>
        <w:tc>
          <w:tcPr>
            <w:tcW w:w="880" w:type="dxa"/>
            <w:vAlign w:val="bottom"/>
          </w:tcPr>
          <w:p>
            <w:pPr>
              <w:jc w:val="center"/>
              <w:ind w:left="232"/>
              <w:spacing w:after="0" w:line="149" w:lineRule="exact"/>
              <w:rPr>
                <w:sz w:val="20"/>
                <w:szCs w:val="20"/>
                <w:color w:val="auto"/>
              </w:rPr>
            </w:pPr>
            <w:r>
              <w:rPr>
                <w:rFonts w:ascii="Arial" w:cs="Arial" w:eastAsia="Arial" w:hAnsi="Arial"/>
                <w:sz w:val="14"/>
                <w:szCs w:val="14"/>
                <w:b w:val="1"/>
                <w:bCs w:val="1"/>
                <w:color w:val="auto"/>
                <w:w w:val="88"/>
              </w:rPr>
              <w:t>Per Share</w:t>
            </w:r>
          </w:p>
        </w:tc>
      </w:tr>
      <w:tr>
        <w:trPr>
          <w:trHeight w:val="174"/>
        </w:trPr>
        <w:tc>
          <w:tcPr>
            <w:tcW w:w="2060" w:type="dxa"/>
            <w:vAlign w:val="bottom"/>
          </w:tcPr>
          <w:p>
            <w:pPr>
              <w:spacing w:after="0"/>
              <w:rPr>
                <w:sz w:val="20"/>
                <w:szCs w:val="20"/>
                <w:color w:val="auto"/>
              </w:rPr>
            </w:pPr>
            <w:r>
              <w:rPr>
                <w:rFonts w:ascii="Arial" w:cs="Arial" w:eastAsia="Arial" w:hAnsi="Arial"/>
                <w:sz w:val="14"/>
                <w:szCs w:val="14"/>
                <w:b w:val="1"/>
                <w:bCs w:val="1"/>
                <w:color w:val="auto"/>
              </w:rPr>
              <w:t>Three Months Ended June 30,</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2"/>
              </w:rPr>
              <w:t>(Numerator)</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9"/>
              </w:rPr>
              <w:t>(Denominator)</w:t>
            </w:r>
          </w:p>
        </w:tc>
        <w:tc>
          <w:tcPr>
            <w:tcW w:w="880" w:type="dxa"/>
            <w:vAlign w:val="bottom"/>
          </w:tcPr>
          <w:p>
            <w:pPr>
              <w:jc w:val="center"/>
              <w:ind w:left="232"/>
              <w:spacing w:after="0"/>
              <w:rPr>
                <w:sz w:val="20"/>
                <w:szCs w:val="20"/>
                <w:color w:val="auto"/>
              </w:rPr>
            </w:pPr>
            <w:r>
              <w:rPr>
                <w:rFonts w:ascii="Arial" w:cs="Arial" w:eastAsia="Arial" w:hAnsi="Arial"/>
                <w:sz w:val="14"/>
                <w:szCs w:val="14"/>
                <w:b w:val="1"/>
                <w:bCs w:val="1"/>
                <w:color w:val="auto"/>
                <w:w w:val="86"/>
              </w:rPr>
              <w:t>Amount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60325</wp:posOffset>
            </wp:positionV>
            <wp:extent cx="39789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197" w:lineRule="exact"/>
        <w:rPr>
          <w:sz w:val="20"/>
          <w:szCs w:val="20"/>
          <w:color w:val="auto"/>
        </w:rPr>
      </w:pPr>
    </w:p>
    <w:tbl>
      <w:tblPr>
        <w:tblLayout w:type="fixed"/>
        <w:tblInd w:w="2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100" w:type="dxa"/>
            <w:vAlign w:val="bottom"/>
            <w:shd w:val="clear" w:color="auto" w:fill="EEEEEE"/>
          </w:tcPr>
          <w:p>
            <w:pPr>
              <w:spacing w:after="0"/>
              <w:rPr>
                <w:sz w:val="20"/>
                <w:szCs w:val="20"/>
                <w:color w:val="auto"/>
              </w:rPr>
            </w:pPr>
            <w:r>
              <w:rPr>
                <w:rFonts w:ascii="Arial" w:cs="Arial" w:eastAsia="Arial" w:hAnsi="Arial"/>
                <w:sz w:val="18"/>
                <w:szCs w:val="18"/>
                <w:color w:val="auto"/>
              </w:rPr>
              <w:t>2003:</w:t>
            </w:r>
          </w:p>
        </w:tc>
        <w:tc>
          <w:tcPr>
            <w:tcW w:w="20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ind w:left="240"/>
              <w:spacing w:after="0"/>
              <w:rPr>
                <w:sz w:val="20"/>
                <w:szCs w:val="20"/>
                <w:color w:val="auto"/>
              </w:rPr>
            </w:pPr>
            <w:r>
              <w:rPr>
                <w:rFonts w:ascii="Arial" w:cs="Arial" w:eastAsia="Arial" w:hAnsi="Arial"/>
                <w:sz w:val="18"/>
                <w:szCs w:val="18"/>
                <w:color w:val="auto"/>
              </w:rPr>
              <w:t>Basic and diluted</w:t>
            </w:r>
          </w:p>
        </w:tc>
        <w:tc>
          <w:tcPr>
            <w:tcW w:w="1500" w:type="dxa"/>
            <w:vAlign w:val="bottom"/>
            <w:gridSpan w:val="2"/>
          </w:tcPr>
          <w:p>
            <w:pPr>
              <w:ind w:left="560"/>
              <w:spacing w:after="0"/>
              <w:rPr>
                <w:sz w:val="20"/>
                <w:szCs w:val="20"/>
                <w:color w:val="auto"/>
              </w:rPr>
            </w:pPr>
            <w:r>
              <w:rPr>
                <w:rFonts w:ascii="Arial" w:cs="Arial" w:eastAsia="Arial" w:hAnsi="Arial"/>
                <w:sz w:val="18"/>
                <w:szCs w:val="18"/>
                <w:color w:val="auto"/>
              </w:rPr>
              <w:t>($28,736)</w:t>
            </w:r>
          </w:p>
        </w:tc>
        <w:tc>
          <w:tcPr>
            <w:tcW w:w="1480" w:type="dxa"/>
            <w:vAlign w:val="bottom"/>
            <w:gridSpan w:val="2"/>
          </w:tcPr>
          <w:p>
            <w:pPr>
              <w:jc w:val="center"/>
              <w:ind w:left="152"/>
              <w:spacing w:after="0"/>
              <w:rPr>
                <w:sz w:val="20"/>
                <w:szCs w:val="20"/>
                <w:color w:val="auto"/>
              </w:rPr>
            </w:pPr>
            <w:r>
              <w:rPr>
                <w:rFonts w:ascii="Arial" w:cs="Arial" w:eastAsia="Arial" w:hAnsi="Arial"/>
                <w:sz w:val="18"/>
                <w:szCs w:val="18"/>
                <w:color w:val="auto"/>
                <w:w w:val="87"/>
              </w:rPr>
              <w:t>49,566</w:t>
            </w:r>
          </w:p>
        </w:tc>
        <w:tc>
          <w:tcPr>
            <w:tcW w:w="1180" w:type="dxa"/>
            <w:vAlign w:val="bottom"/>
            <w:gridSpan w:val="2"/>
          </w:tcPr>
          <w:p>
            <w:pPr>
              <w:jc w:val="center"/>
              <w:ind w:left="132"/>
              <w:spacing w:after="0"/>
              <w:rPr>
                <w:sz w:val="20"/>
                <w:szCs w:val="20"/>
                <w:color w:val="auto"/>
              </w:rPr>
            </w:pPr>
            <w:r>
              <w:rPr>
                <w:rFonts w:ascii="Arial" w:cs="Arial" w:eastAsia="Arial" w:hAnsi="Arial"/>
                <w:sz w:val="18"/>
                <w:szCs w:val="18"/>
                <w:color w:val="auto"/>
                <w:w w:val="91"/>
              </w:rPr>
              <w:t>($0.58)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EEEEEE"/>
          </w:tcPr>
          <w:p>
            <w:pPr>
              <w:spacing w:after="0"/>
              <w:rPr>
                <w:sz w:val="20"/>
                <w:szCs w:val="20"/>
                <w:color w:val="auto"/>
              </w:rPr>
            </w:pPr>
            <w:r>
              <w:rPr>
                <w:rFonts w:ascii="Arial" w:cs="Arial" w:eastAsia="Arial" w:hAnsi="Arial"/>
                <w:sz w:val="18"/>
                <w:szCs w:val="18"/>
                <w:color w:val="auto"/>
              </w:rPr>
              <w:t>2002:</w:t>
            </w:r>
          </w:p>
        </w:tc>
        <w:tc>
          <w:tcPr>
            <w:tcW w:w="20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00" w:type="dxa"/>
            <w:vAlign w:val="bottom"/>
          </w:tcPr>
          <w:p>
            <w:pPr>
              <w:ind w:left="240"/>
              <w:spacing w:after="0"/>
              <w:rPr>
                <w:sz w:val="20"/>
                <w:szCs w:val="20"/>
                <w:color w:val="auto"/>
              </w:rPr>
            </w:pPr>
            <w:r>
              <w:rPr>
                <w:rFonts w:ascii="Arial" w:cs="Arial" w:eastAsia="Arial" w:hAnsi="Arial"/>
                <w:sz w:val="18"/>
                <w:szCs w:val="18"/>
                <w:color w:val="auto"/>
              </w:rPr>
              <w:t>Basic and diluted</w:t>
            </w:r>
          </w:p>
        </w:tc>
        <w:tc>
          <w:tcPr>
            <w:tcW w:w="1500" w:type="dxa"/>
            <w:vAlign w:val="bottom"/>
            <w:gridSpan w:val="2"/>
          </w:tcPr>
          <w:p>
            <w:pPr>
              <w:ind w:left="560"/>
              <w:spacing w:after="0"/>
              <w:rPr>
                <w:sz w:val="20"/>
                <w:szCs w:val="20"/>
                <w:color w:val="auto"/>
              </w:rPr>
            </w:pPr>
            <w:r>
              <w:rPr>
                <w:rFonts w:ascii="Arial" w:cs="Arial" w:eastAsia="Arial" w:hAnsi="Arial"/>
                <w:sz w:val="18"/>
                <w:szCs w:val="18"/>
                <w:color w:val="auto"/>
              </w:rPr>
              <w:t>($30,423)</w:t>
            </w:r>
          </w:p>
        </w:tc>
        <w:tc>
          <w:tcPr>
            <w:tcW w:w="1480" w:type="dxa"/>
            <w:vAlign w:val="bottom"/>
            <w:gridSpan w:val="2"/>
          </w:tcPr>
          <w:p>
            <w:pPr>
              <w:jc w:val="center"/>
              <w:ind w:left="152"/>
              <w:spacing w:after="0"/>
              <w:rPr>
                <w:sz w:val="20"/>
                <w:szCs w:val="20"/>
                <w:color w:val="auto"/>
              </w:rPr>
            </w:pPr>
            <w:r>
              <w:rPr>
                <w:rFonts w:ascii="Arial" w:cs="Arial" w:eastAsia="Arial" w:hAnsi="Arial"/>
                <w:sz w:val="18"/>
                <w:szCs w:val="18"/>
                <w:color w:val="auto"/>
                <w:w w:val="87"/>
              </w:rPr>
              <w:t>43,914</w:t>
            </w:r>
          </w:p>
        </w:tc>
        <w:tc>
          <w:tcPr>
            <w:tcW w:w="1180" w:type="dxa"/>
            <w:vAlign w:val="bottom"/>
            <w:gridSpan w:val="2"/>
          </w:tcPr>
          <w:p>
            <w:pPr>
              <w:jc w:val="center"/>
              <w:ind w:left="132"/>
              <w:spacing w:after="0"/>
              <w:rPr>
                <w:sz w:val="20"/>
                <w:szCs w:val="20"/>
                <w:color w:val="auto"/>
              </w:rPr>
            </w:pPr>
            <w:r>
              <w:rPr>
                <w:rFonts w:ascii="Arial" w:cs="Arial" w:eastAsia="Arial" w:hAnsi="Arial"/>
                <w:sz w:val="18"/>
                <w:szCs w:val="18"/>
                <w:color w:val="auto"/>
                <w:w w:val="91"/>
              </w:rPr>
              <w:t>($0.69)</w:t>
            </w: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5"/>
              </w:rPr>
              <w:t>Net Loss, in</w:t>
            </w:r>
          </w:p>
        </w:tc>
        <w:tc>
          <w:tcPr>
            <w:tcW w:w="20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3"/>
              </w:rPr>
              <w:t>Shares, in</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ind w:left="360"/>
              <w:spacing w:after="0" w:line="149" w:lineRule="exact"/>
              <w:rPr>
                <w:sz w:val="20"/>
                <w:szCs w:val="20"/>
                <w:color w:val="auto"/>
              </w:rPr>
            </w:pPr>
            <w:r>
              <w:rPr>
                <w:rFonts w:ascii="Arial" w:cs="Arial" w:eastAsia="Arial" w:hAnsi="Arial"/>
                <w:sz w:val="14"/>
                <w:szCs w:val="14"/>
                <w:b w:val="1"/>
                <w:bCs w:val="1"/>
                <w:color w:val="auto"/>
              </w:rPr>
              <w:t>thousands</w:t>
            </w: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thousands</w:t>
            </w:r>
          </w:p>
        </w:tc>
        <w:tc>
          <w:tcPr>
            <w:tcW w:w="2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Per Share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00" w:type="dxa"/>
            <w:vAlign w:val="bottom"/>
          </w:tcPr>
          <w:p>
            <w:pPr>
              <w:ind w:left="240"/>
              <w:spacing w:after="0"/>
              <w:rPr>
                <w:sz w:val="20"/>
                <w:szCs w:val="20"/>
                <w:color w:val="auto"/>
              </w:rPr>
            </w:pPr>
            <w:r>
              <w:rPr>
                <w:rFonts w:ascii="Arial" w:cs="Arial" w:eastAsia="Arial" w:hAnsi="Arial"/>
                <w:sz w:val="14"/>
                <w:szCs w:val="14"/>
                <w:b w:val="1"/>
                <w:bCs w:val="1"/>
                <w:color w:val="auto"/>
              </w:rPr>
              <w:t>Six Months Ended June 30,</w:t>
            </w:r>
          </w:p>
        </w:tc>
        <w:tc>
          <w:tcPr>
            <w:tcW w:w="2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2"/>
              </w:rPr>
              <w:t>(Numerator)</w:t>
            </w:r>
          </w:p>
        </w:tc>
        <w:tc>
          <w:tcPr>
            <w:tcW w:w="20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7"/>
              </w:rPr>
              <w:t>(Denominator)</w:t>
            </w:r>
          </w:p>
        </w:tc>
        <w:tc>
          <w:tcPr>
            <w:tcW w:w="2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00" w:type="dxa"/>
            <w:vAlign w:val="bottom"/>
            <w:shd w:val="clear" w:color="auto" w:fill="EEEEEE"/>
          </w:tcPr>
          <w:p>
            <w:pPr>
              <w:spacing w:after="0"/>
              <w:rPr>
                <w:sz w:val="20"/>
                <w:szCs w:val="20"/>
                <w:color w:val="auto"/>
              </w:rPr>
            </w:pPr>
            <w:r>
              <w:rPr>
                <w:rFonts w:ascii="Arial" w:cs="Arial" w:eastAsia="Arial" w:hAnsi="Arial"/>
                <w:sz w:val="18"/>
                <w:szCs w:val="18"/>
                <w:color w:val="auto"/>
              </w:rPr>
              <w:t>2003:</w:t>
            </w:r>
          </w:p>
        </w:tc>
        <w:tc>
          <w:tcPr>
            <w:tcW w:w="20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ind w:left="220"/>
              <w:spacing w:after="0"/>
              <w:rPr>
                <w:sz w:val="20"/>
                <w:szCs w:val="20"/>
                <w:color w:val="auto"/>
              </w:rPr>
            </w:pPr>
            <w:r>
              <w:rPr>
                <w:rFonts w:ascii="Arial" w:cs="Arial" w:eastAsia="Arial" w:hAnsi="Arial"/>
                <w:sz w:val="18"/>
                <w:szCs w:val="18"/>
                <w:color w:val="auto"/>
              </w:rPr>
              <w:t>Basic and diluted</w:t>
            </w:r>
          </w:p>
        </w:tc>
        <w:tc>
          <w:tcPr>
            <w:tcW w:w="1500" w:type="dxa"/>
            <w:vAlign w:val="bottom"/>
            <w:gridSpan w:val="2"/>
          </w:tcPr>
          <w:p>
            <w:pPr>
              <w:ind w:left="540"/>
              <w:spacing w:after="0"/>
              <w:rPr>
                <w:sz w:val="20"/>
                <w:szCs w:val="20"/>
                <w:color w:val="auto"/>
              </w:rPr>
            </w:pPr>
            <w:r>
              <w:rPr>
                <w:rFonts w:ascii="Arial" w:cs="Arial" w:eastAsia="Arial" w:hAnsi="Arial"/>
                <w:sz w:val="18"/>
                <w:szCs w:val="18"/>
                <w:color w:val="auto"/>
              </w:rPr>
              <w:t>($58,846)</w:t>
            </w:r>
          </w:p>
        </w:tc>
        <w:tc>
          <w:tcPr>
            <w:tcW w:w="1480" w:type="dxa"/>
            <w:vAlign w:val="bottom"/>
            <w:gridSpan w:val="2"/>
          </w:tcPr>
          <w:p>
            <w:pPr>
              <w:jc w:val="center"/>
              <w:ind w:left="112"/>
              <w:spacing w:after="0"/>
              <w:rPr>
                <w:sz w:val="20"/>
                <w:szCs w:val="20"/>
                <w:color w:val="auto"/>
              </w:rPr>
            </w:pPr>
            <w:r>
              <w:rPr>
                <w:rFonts w:ascii="Arial" w:cs="Arial" w:eastAsia="Arial" w:hAnsi="Arial"/>
                <w:sz w:val="18"/>
                <w:szCs w:val="18"/>
                <w:color w:val="auto"/>
                <w:w w:val="87"/>
              </w:rPr>
              <w:t>46,937</w:t>
            </w:r>
          </w:p>
        </w:tc>
        <w:tc>
          <w:tcPr>
            <w:tcW w:w="1180" w:type="dxa"/>
            <w:vAlign w:val="bottom"/>
            <w:gridSpan w:val="2"/>
          </w:tcPr>
          <w:p>
            <w:pPr>
              <w:jc w:val="center"/>
              <w:ind w:left="112"/>
              <w:spacing w:after="0"/>
              <w:rPr>
                <w:sz w:val="20"/>
                <w:szCs w:val="20"/>
                <w:color w:val="auto"/>
              </w:rPr>
            </w:pPr>
            <w:r>
              <w:rPr>
                <w:rFonts w:ascii="Arial" w:cs="Arial" w:eastAsia="Arial" w:hAnsi="Arial"/>
                <w:sz w:val="18"/>
                <w:szCs w:val="18"/>
                <w:color w:val="auto"/>
                <w:w w:val="87"/>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EEEEEE"/>
          </w:tcPr>
          <w:p>
            <w:pPr>
              <w:spacing w:after="0"/>
              <w:rPr>
                <w:sz w:val="20"/>
                <w:szCs w:val="20"/>
                <w:color w:val="auto"/>
              </w:rPr>
            </w:pPr>
            <w:r>
              <w:rPr>
                <w:rFonts w:ascii="Arial" w:cs="Arial" w:eastAsia="Arial" w:hAnsi="Arial"/>
                <w:sz w:val="18"/>
                <w:szCs w:val="18"/>
                <w:color w:val="auto"/>
              </w:rPr>
              <w:t>2002:</w:t>
            </w:r>
          </w:p>
        </w:tc>
        <w:tc>
          <w:tcPr>
            <w:tcW w:w="20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00" w:type="dxa"/>
            <w:vAlign w:val="bottom"/>
          </w:tcPr>
          <w:p>
            <w:pPr>
              <w:ind w:left="220"/>
              <w:spacing w:after="0"/>
              <w:rPr>
                <w:sz w:val="20"/>
                <w:szCs w:val="20"/>
                <w:color w:val="auto"/>
              </w:rPr>
            </w:pPr>
            <w:r>
              <w:rPr>
                <w:rFonts w:ascii="Arial" w:cs="Arial" w:eastAsia="Arial" w:hAnsi="Arial"/>
                <w:sz w:val="18"/>
                <w:szCs w:val="18"/>
                <w:color w:val="auto"/>
              </w:rPr>
              <w:t>Basic and diluted</w:t>
            </w:r>
          </w:p>
        </w:tc>
        <w:tc>
          <w:tcPr>
            <w:tcW w:w="1500" w:type="dxa"/>
            <w:vAlign w:val="bottom"/>
            <w:gridSpan w:val="2"/>
          </w:tcPr>
          <w:p>
            <w:pPr>
              <w:ind w:left="540"/>
              <w:spacing w:after="0"/>
              <w:rPr>
                <w:sz w:val="20"/>
                <w:szCs w:val="20"/>
                <w:color w:val="auto"/>
              </w:rPr>
            </w:pPr>
            <w:r>
              <w:rPr>
                <w:rFonts w:ascii="Arial" w:cs="Arial" w:eastAsia="Arial" w:hAnsi="Arial"/>
                <w:sz w:val="18"/>
                <w:szCs w:val="18"/>
                <w:color w:val="auto"/>
              </w:rPr>
              <w:t>($55,868)</w:t>
            </w:r>
          </w:p>
        </w:tc>
        <w:tc>
          <w:tcPr>
            <w:tcW w:w="1480" w:type="dxa"/>
            <w:vAlign w:val="bottom"/>
            <w:gridSpan w:val="2"/>
          </w:tcPr>
          <w:p>
            <w:pPr>
              <w:jc w:val="center"/>
              <w:ind w:left="112"/>
              <w:spacing w:after="0"/>
              <w:rPr>
                <w:sz w:val="20"/>
                <w:szCs w:val="20"/>
                <w:color w:val="auto"/>
              </w:rPr>
            </w:pPr>
            <w:r>
              <w:rPr>
                <w:rFonts w:ascii="Arial" w:cs="Arial" w:eastAsia="Arial" w:hAnsi="Arial"/>
                <w:sz w:val="18"/>
                <w:szCs w:val="18"/>
                <w:color w:val="auto"/>
                <w:w w:val="87"/>
              </w:rPr>
              <w:t>43,868</w:t>
            </w:r>
          </w:p>
        </w:tc>
        <w:tc>
          <w:tcPr>
            <w:tcW w:w="1180" w:type="dxa"/>
            <w:vAlign w:val="bottom"/>
            <w:gridSpan w:val="2"/>
          </w:tcPr>
          <w:p>
            <w:pPr>
              <w:jc w:val="center"/>
              <w:ind w:left="112"/>
              <w:spacing w:after="0"/>
              <w:rPr>
                <w:sz w:val="20"/>
                <w:szCs w:val="20"/>
                <w:color w:val="auto"/>
              </w:rPr>
            </w:pPr>
            <w:r>
              <w:rPr>
                <w:rFonts w:ascii="Arial" w:cs="Arial" w:eastAsia="Arial" w:hAnsi="Arial"/>
                <w:sz w:val="18"/>
                <w:szCs w:val="18"/>
                <w:color w:val="auto"/>
                <w:w w:val="87"/>
              </w:rPr>
              <w:t>($1.27)</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460" w:right="300"/>
        <w:spacing w:after="0" w:line="268" w:lineRule="auto"/>
        <w:rPr>
          <w:sz w:val="20"/>
          <w:szCs w:val="20"/>
          <w:color w:val="auto"/>
        </w:rPr>
      </w:pPr>
      <w:r>
        <w:rPr>
          <w:rFonts w:ascii="Arial" w:cs="Arial" w:eastAsia="Arial" w:hAnsi="Arial"/>
          <w:sz w:val="18"/>
          <w:szCs w:val="18"/>
          <w:color w:val="auto"/>
        </w:rPr>
        <w:t>Shares issuable upon the exercise of options, vesting of restricted stock awards, and conversion of convertible debt, which have been excluded from the diluted per share amounts because their effect would have been antidilutive, include the following:</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0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89"/>
              </w:rPr>
              <w:t>Three Months Ended June 30,</w:t>
            </w: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00" w:type="dxa"/>
            <w:vAlign w:val="bottom"/>
          </w:tcPr>
          <w:p>
            <w:pPr>
              <w:spacing w:after="0"/>
              <w:rPr>
                <w:sz w:val="8"/>
                <w:szCs w:val="8"/>
                <w:color w:val="auto"/>
              </w:rPr>
            </w:pPr>
          </w:p>
        </w:tc>
        <w:tc>
          <w:tcPr>
            <w:tcW w:w="33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0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jc w:val="right"/>
              <w:ind w:right="358"/>
              <w:spacing w:after="0"/>
              <w:rPr>
                <w:sz w:val="20"/>
                <w:szCs w:val="20"/>
                <w:color w:val="auto"/>
              </w:rPr>
            </w:pPr>
            <w:r>
              <w:rPr>
                <w:rFonts w:ascii="Arial" w:cs="Arial" w:eastAsia="Arial" w:hAnsi="Arial"/>
                <w:sz w:val="14"/>
                <w:szCs w:val="14"/>
                <w:b w:val="1"/>
                <w:bCs w:val="1"/>
                <w:color w:val="auto"/>
              </w:rPr>
              <w:t>2003</w:t>
            </w:r>
          </w:p>
        </w:tc>
        <w:tc>
          <w:tcPr>
            <w:tcW w:w="13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2002</w:t>
            </w:r>
          </w:p>
        </w:tc>
        <w:tc>
          <w:tcPr>
            <w:tcW w:w="2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00" w:type="dxa"/>
            <w:vAlign w:val="bottom"/>
          </w:tcPr>
          <w:p>
            <w:pPr>
              <w:spacing w:after="0"/>
              <w:rPr>
                <w:sz w:val="8"/>
                <w:szCs w:val="8"/>
                <w:color w:val="auto"/>
              </w:rPr>
            </w:pPr>
          </w:p>
        </w:tc>
        <w:tc>
          <w:tcPr>
            <w:tcW w:w="33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00" w:type="dxa"/>
            <w:vAlign w:val="bottom"/>
            <w:vMerge w:val="restart"/>
          </w:tcPr>
          <w:p>
            <w:pPr>
              <w:spacing w:after="0"/>
              <w:rPr>
                <w:sz w:val="8"/>
                <w:szCs w:val="8"/>
                <w:color w:val="auto"/>
              </w:rPr>
            </w:pPr>
          </w:p>
        </w:tc>
        <w:tc>
          <w:tcPr>
            <w:tcW w:w="33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00" w:type="dxa"/>
            <w:vAlign w:val="bottom"/>
            <w:vMerge w:val="continue"/>
          </w:tcPr>
          <w:p>
            <w:pPr>
              <w:spacing w:after="0"/>
              <w:rPr>
                <w:sz w:val="18"/>
                <w:szCs w:val="18"/>
                <w:color w:val="auto"/>
              </w:rPr>
            </w:pPr>
          </w:p>
        </w:tc>
        <w:tc>
          <w:tcPr>
            <w:tcW w:w="3380" w:type="dxa"/>
            <w:vAlign w:val="bottom"/>
            <w:shd w:val="clear" w:color="auto" w:fill="EEEEEE"/>
          </w:tcPr>
          <w:p>
            <w:pPr>
              <w:spacing w:after="0"/>
              <w:rPr>
                <w:sz w:val="20"/>
                <w:szCs w:val="20"/>
                <w:color w:val="auto"/>
              </w:rPr>
            </w:pPr>
            <w:r>
              <w:rPr>
                <w:rFonts w:ascii="Arial" w:cs="Arial" w:eastAsia="Arial" w:hAnsi="Arial"/>
                <w:sz w:val="18"/>
                <w:szCs w:val="18"/>
                <w:color w:val="auto"/>
              </w:rPr>
              <w:t>Options:</w:t>
            </w:r>
          </w:p>
        </w:tc>
        <w:tc>
          <w:tcPr>
            <w:tcW w:w="15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80" w:type="dxa"/>
            <w:vAlign w:val="bottom"/>
          </w:tcPr>
          <w:p>
            <w:pPr>
              <w:ind w:left="320"/>
              <w:spacing w:after="0"/>
              <w:rPr>
                <w:sz w:val="20"/>
                <w:szCs w:val="20"/>
                <w:color w:val="auto"/>
              </w:rPr>
            </w:pPr>
            <w:r>
              <w:rPr>
                <w:rFonts w:ascii="Arial" w:cs="Arial" w:eastAsia="Arial" w:hAnsi="Arial"/>
                <w:sz w:val="18"/>
                <w:szCs w:val="18"/>
                <w:color w:val="auto"/>
                <w:w w:val="93"/>
              </w:rPr>
              <w:t>Weighted average number, in thousands</w:t>
            </w: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298"/>
              <w:spacing w:after="0"/>
              <w:rPr>
                <w:sz w:val="20"/>
                <w:szCs w:val="20"/>
                <w:color w:val="auto"/>
              </w:rPr>
            </w:pPr>
            <w:r>
              <w:rPr>
                <w:rFonts w:ascii="Arial" w:cs="Arial" w:eastAsia="Arial" w:hAnsi="Arial"/>
                <w:sz w:val="18"/>
                <w:szCs w:val="18"/>
                <w:color w:val="auto"/>
                <w:w w:val="83"/>
              </w:rPr>
              <w:t>11,334</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9,471</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80" w:type="dxa"/>
            <w:vAlign w:val="bottom"/>
            <w:shd w:val="clear" w:color="auto" w:fill="EEEEEE"/>
          </w:tcPr>
          <w:p>
            <w:pPr>
              <w:ind w:left="320"/>
              <w:spacing w:after="0"/>
              <w:rPr>
                <w:sz w:val="20"/>
                <w:szCs w:val="20"/>
                <w:color w:val="auto"/>
              </w:rPr>
            </w:pPr>
            <w:r>
              <w:rPr>
                <w:rFonts w:ascii="Arial" w:cs="Arial" w:eastAsia="Arial" w:hAnsi="Arial"/>
                <w:sz w:val="18"/>
                <w:szCs w:val="18"/>
                <w:color w:val="auto"/>
              </w:rPr>
              <w:t>Weighted average exercise price</w:t>
            </w:r>
          </w:p>
        </w:tc>
        <w:tc>
          <w:tcPr>
            <w:tcW w:w="1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ind w:right="298"/>
              <w:spacing w:after="0"/>
              <w:rPr>
                <w:sz w:val="20"/>
                <w:szCs w:val="20"/>
                <w:color w:val="auto"/>
              </w:rPr>
            </w:pPr>
            <w:r>
              <w:rPr>
                <w:rFonts w:ascii="Arial" w:cs="Arial" w:eastAsia="Arial" w:hAnsi="Arial"/>
                <w:sz w:val="18"/>
                <w:szCs w:val="18"/>
                <w:color w:val="auto"/>
              </w:rPr>
              <w:t>21.44</w:t>
            </w:r>
          </w:p>
        </w:tc>
        <w:tc>
          <w:tcPr>
            <w:tcW w:w="13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$21.48</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Restricted Stock:</w:t>
            </w: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80" w:type="dxa"/>
            <w:vAlign w:val="bottom"/>
            <w:shd w:val="clear" w:color="auto" w:fill="EEEEEE"/>
          </w:tcPr>
          <w:p>
            <w:pPr>
              <w:ind w:left="320"/>
              <w:spacing w:after="0"/>
              <w:rPr>
                <w:sz w:val="20"/>
                <w:szCs w:val="20"/>
                <w:color w:val="auto"/>
              </w:rPr>
            </w:pPr>
            <w:r>
              <w:rPr>
                <w:rFonts w:ascii="Arial" w:cs="Arial" w:eastAsia="Arial" w:hAnsi="Arial"/>
                <w:sz w:val="18"/>
                <w:szCs w:val="18"/>
                <w:color w:val="auto"/>
                <w:w w:val="93"/>
              </w:rPr>
              <w:t>Weighted average number, in thousands</w:t>
            </w:r>
          </w:p>
        </w:tc>
        <w:tc>
          <w:tcPr>
            <w:tcW w:w="15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298"/>
              <w:spacing w:after="0"/>
              <w:rPr>
                <w:sz w:val="20"/>
                <w:szCs w:val="20"/>
                <w:color w:val="auto"/>
              </w:rPr>
            </w:pPr>
            <w:r>
              <w:rPr>
                <w:rFonts w:ascii="Arial" w:cs="Arial" w:eastAsia="Arial" w:hAnsi="Arial"/>
                <w:sz w:val="18"/>
                <w:szCs w:val="18"/>
                <w:color w:val="auto"/>
              </w:rPr>
              <w:t>172</w:t>
            </w:r>
          </w:p>
        </w:tc>
        <w:tc>
          <w:tcPr>
            <w:tcW w:w="13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97</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Convertible Debt:</w:t>
            </w: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80" w:type="dxa"/>
            <w:vAlign w:val="bottom"/>
            <w:shd w:val="clear" w:color="auto" w:fill="EEEEEE"/>
          </w:tcPr>
          <w:p>
            <w:pPr>
              <w:ind w:left="320"/>
              <w:spacing w:after="0"/>
              <w:rPr>
                <w:sz w:val="20"/>
                <w:szCs w:val="20"/>
                <w:color w:val="auto"/>
              </w:rPr>
            </w:pPr>
            <w:r>
              <w:rPr>
                <w:rFonts w:ascii="Arial" w:cs="Arial" w:eastAsia="Arial" w:hAnsi="Arial"/>
                <w:sz w:val="18"/>
                <w:szCs w:val="18"/>
                <w:color w:val="auto"/>
                <w:w w:val="93"/>
              </w:rPr>
              <w:t>Weighted average number, in thousands</w:t>
            </w:r>
          </w:p>
        </w:tc>
        <w:tc>
          <w:tcPr>
            <w:tcW w:w="15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298"/>
              <w:spacing w:after="0"/>
              <w:rPr>
                <w:sz w:val="20"/>
                <w:szCs w:val="20"/>
                <w:color w:val="auto"/>
              </w:rPr>
            </w:pPr>
            <w:r>
              <w:rPr>
                <w:rFonts w:ascii="Arial" w:cs="Arial" w:eastAsia="Arial" w:hAnsi="Arial"/>
                <w:sz w:val="18"/>
                <w:szCs w:val="18"/>
                <w:color w:val="auto"/>
              </w:rPr>
              <w:t>6,611</w:t>
            </w:r>
          </w:p>
        </w:tc>
        <w:tc>
          <w:tcPr>
            <w:tcW w:w="13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6,611</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00" w:type="dxa"/>
            <w:vAlign w:val="bottom"/>
          </w:tcPr>
          <w:p>
            <w:pPr>
              <w:spacing w:after="0"/>
              <w:rPr>
                <w:sz w:val="19"/>
                <w:szCs w:val="19"/>
                <w:color w:val="auto"/>
              </w:rPr>
            </w:pPr>
          </w:p>
        </w:tc>
        <w:tc>
          <w:tcPr>
            <w:tcW w:w="3380" w:type="dxa"/>
            <w:vAlign w:val="bottom"/>
          </w:tcPr>
          <w:p>
            <w:pPr>
              <w:ind w:left="320"/>
              <w:spacing w:after="0"/>
              <w:rPr>
                <w:sz w:val="20"/>
                <w:szCs w:val="20"/>
                <w:color w:val="auto"/>
              </w:rPr>
            </w:pPr>
            <w:r>
              <w:rPr>
                <w:rFonts w:ascii="Arial" w:cs="Arial" w:eastAsia="Arial" w:hAnsi="Arial"/>
                <w:sz w:val="18"/>
                <w:szCs w:val="18"/>
                <w:color w:val="auto"/>
              </w:rPr>
              <w:t>Conversion price</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98"/>
              <w:spacing w:after="0"/>
              <w:rPr>
                <w:sz w:val="20"/>
                <w:szCs w:val="20"/>
                <w:color w:val="auto"/>
              </w:rPr>
            </w:pPr>
            <w:r>
              <w:rPr>
                <w:rFonts w:ascii="Arial" w:cs="Arial" w:eastAsia="Arial" w:hAnsi="Arial"/>
                <w:sz w:val="18"/>
                <w:szCs w:val="18"/>
                <w:color w:val="auto"/>
              </w:rPr>
              <w:t>30.25</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$30.25</w:t>
            </w: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0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580" w:type="dxa"/>
            <w:vAlign w:val="bottom"/>
          </w:tcPr>
          <w:p>
            <w:pPr>
              <w:jc w:val="right"/>
              <w:ind w:right="1072"/>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00" w:type="dxa"/>
            <w:vAlign w:val="bottom"/>
            <w:tcBorders>
              <w:bottom w:val="single" w:sz="8" w:color="808080"/>
            </w:tcBorders>
          </w:tcPr>
          <w:p>
            <w:pPr>
              <w:spacing w:after="0"/>
              <w:rPr>
                <w:sz w:val="19"/>
                <w:szCs w:val="19"/>
                <w:color w:val="auto"/>
              </w:rPr>
            </w:pPr>
          </w:p>
        </w:tc>
        <w:tc>
          <w:tcPr>
            <w:tcW w:w="338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20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258" w:lineRule="exact"/>
        <w:rPr>
          <w:sz w:val="20"/>
          <w:szCs w:val="20"/>
          <w:color w:val="auto"/>
        </w:rPr>
      </w:pPr>
    </w:p>
    <w:tbl>
      <w:tblPr>
        <w:tblLayout w:type="fixed"/>
        <w:tblInd w:w="20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358"/>
              <w:spacing w:after="0"/>
              <w:rPr>
                <w:sz w:val="20"/>
                <w:szCs w:val="20"/>
                <w:color w:val="auto"/>
              </w:rPr>
            </w:pPr>
            <w:r>
              <w:rPr>
                <w:rFonts w:ascii="Arial" w:cs="Arial" w:eastAsia="Arial" w:hAnsi="Arial"/>
                <w:sz w:val="14"/>
                <w:szCs w:val="14"/>
                <w:b w:val="1"/>
                <w:bCs w:val="1"/>
                <w:color w:val="auto"/>
              </w:rPr>
              <w:t>2003</w:t>
            </w:r>
          </w:p>
        </w:tc>
        <w:tc>
          <w:tcPr>
            <w:tcW w:w="12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EEEEEE"/>
          </w:tcPr>
          <w:p>
            <w:pPr>
              <w:spacing w:after="0"/>
              <w:rPr>
                <w:sz w:val="20"/>
                <w:szCs w:val="20"/>
                <w:color w:val="auto"/>
              </w:rPr>
            </w:pPr>
            <w:r>
              <w:rPr>
                <w:rFonts w:ascii="Arial" w:cs="Arial" w:eastAsia="Arial" w:hAnsi="Arial"/>
                <w:sz w:val="18"/>
                <w:szCs w:val="18"/>
                <w:color w:val="auto"/>
              </w:rPr>
              <w:t>Options:</w:t>
            </w:r>
          </w:p>
        </w:tc>
        <w:tc>
          <w:tcPr>
            <w:tcW w:w="28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00"/>
              <w:spacing w:after="0"/>
              <w:rPr>
                <w:sz w:val="20"/>
                <w:szCs w:val="20"/>
                <w:color w:val="auto"/>
              </w:rPr>
            </w:pPr>
            <w:r>
              <w:rPr>
                <w:rFonts w:ascii="Arial" w:cs="Arial" w:eastAsia="Arial" w:hAnsi="Arial"/>
                <w:sz w:val="18"/>
                <w:szCs w:val="18"/>
                <w:color w:val="auto"/>
              </w:rPr>
              <w:t>Weighted average number, in thousands</w:t>
            </w:r>
          </w:p>
        </w:tc>
        <w:tc>
          <w:tcPr>
            <w:tcW w:w="280" w:type="dxa"/>
            <w:vAlign w:val="bottom"/>
          </w:tcPr>
          <w:p>
            <w:pPr>
              <w:spacing w:after="0"/>
              <w:rPr>
                <w:sz w:val="18"/>
                <w:szCs w:val="18"/>
                <w:color w:val="auto"/>
              </w:rPr>
            </w:pPr>
          </w:p>
        </w:tc>
        <w:tc>
          <w:tcPr>
            <w:tcW w:w="860" w:type="dxa"/>
            <w:vAlign w:val="bottom"/>
          </w:tcPr>
          <w:p>
            <w:pPr>
              <w:jc w:val="right"/>
              <w:ind w:right="298"/>
              <w:spacing w:after="0"/>
              <w:rPr>
                <w:sz w:val="20"/>
                <w:szCs w:val="20"/>
                <w:color w:val="auto"/>
              </w:rPr>
            </w:pPr>
            <w:r>
              <w:rPr>
                <w:rFonts w:ascii="Arial" w:cs="Arial" w:eastAsia="Arial" w:hAnsi="Arial"/>
                <w:sz w:val="18"/>
                <w:szCs w:val="18"/>
                <w:color w:val="auto"/>
                <w:w w:val="83"/>
              </w:rPr>
              <w:t>11,433</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9,447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EEEEEE"/>
          </w:tcPr>
          <w:p>
            <w:pPr>
              <w:ind w:left="300"/>
              <w:spacing w:after="0"/>
              <w:rPr>
                <w:sz w:val="20"/>
                <w:szCs w:val="20"/>
                <w:color w:val="auto"/>
              </w:rPr>
            </w:pPr>
            <w:r>
              <w:rPr>
                <w:rFonts w:ascii="Arial" w:cs="Arial" w:eastAsia="Arial" w:hAnsi="Arial"/>
                <w:sz w:val="18"/>
                <w:szCs w:val="18"/>
                <w:color w:val="auto"/>
              </w:rPr>
              <w:t>Weighted average exercise price</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ind w:right="298"/>
              <w:spacing w:after="0"/>
              <w:rPr>
                <w:sz w:val="20"/>
                <w:szCs w:val="20"/>
                <w:color w:val="auto"/>
              </w:rPr>
            </w:pPr>
            <w:r>
              <w:rPr>
                <w:rFonts w:ascii="Arial" w:cs="Arial" w:eastAsia="Arial" w:hAnsi="Arial"/>
                <w:sz w:val="18"/>
                <w:szCs w:val="18"/>
                <w:color w:val="auto"/>
              </w:rPr>
              <w:t>21.37</w:t>
            </w:r>
          </w:p>
        </w:tc>
        <w:tc>
          <w:tcPr>
            <w:tcW w:w="126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$21.38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Restricted Stock:</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EEEEEE"/>
          </w:tcPr>
          <w:p>
            <w:pPr>
              <w:ind w:left="300"/>
              <w:spacing w:after="0"/>
              <w:rPr>
                <w:sz w:val="20"/>
                <w:szCs w:val="20"/>
                <w:color w:val="auto"/>
              </w:rPr>
            </w:pPr>
            <w:r>
              <w:rPr>
                <w:rFonts w:ascii="Arial" w:cs="Arial" w:eastAsia="Arial" w:hAnsi="Arial"/>
                <w:sz w:val="18"/>
                <w:szCs w:val="18"/>
                <w:color w:val="auto"/>
              </w:rPr>
              <w:t>Weighted average number, in thousands</w:t>
            </w:r>
          </w:p>
        </w:tc>
        <w:tc>
          <w:tcPr>
            <w:tcW w:w="28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298"/>
              <w:spacing w:after="0"/>
              <w:rPr>
                <w:sz w:val="20"/>
                <w:szCs w:val="20"/>
                <w:color w:val="auto"/>
              </w:rPr>
            </w:pPr>
            <w:r>
              <w:rPr>
                <w:rFonts w:ascii="Arial" w:cs="Arial" w:eastAsia="Arial" w:hAnsi="Arial"/>
                <w:sz w:val="18"/>
                <w:szCs w:val="18"/>
                <w:color w:val="auto"/>
              </w:rPr>
              <w:t>175</w:t>
            </w:r>
          </w:p>
        </w:tc>
        <w:tc>
          <w:tcPr>
            <w:tcW w:w="126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Convertible Debt:</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EEEEEE"/>
          </w:tcPr>
          <w:p>
            <w:pPr>
              <w:ind w:left="300"/>
              <w:spacing w:after="0"/>
              <w:rPr>
                <w:sz w:val="20"/>
                <w:szCs w:val="20"/>
                <w:color w:val="auto"/>
              </w:rPr>
            </w:pPr>
            <w:r>
              <w:rPr>
                <w:rFonts w:ascii="Arial" w:cs="Arial" w:eastAsia="Arial" w:hAnsi="Arial"/>
                <w:sz w:val="18"/>
                <w:szCs w:val="18"/>
                <w:color w:val="auto"/>
              </w:rPr>
              <w:t>Weighted average number, in thousands</w:t>
            </w:r>
          </w:p>
        </w:tc>
        <w:tc>
          <w:tcPr>
            <w:tcW w:w="28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298"/>
              <w:spacing w:after="0"/>
              <w:rPr>
                <w:sz w:val="20"/>
                <w:szCs w:val="20"/>
                <w:color w:val="auto"/>
              </w:rPr>
            </w:pPr>
            <w:r>
              <w:rPr>
                <w:rFonts w:ascii="Arial" w:cs="Arial" w:eastAsia="Arial" w:hAnsi="Arial"/>
                <w:sz w:val="18"/>
                <w:szCs w:val="18"/>
                <w:color w:val="auto"/>
              </w:rPr>
              <w:t>6,611</w:t>
            </w:r>
          </w:p>
        </w:tc>
        <w:tc>
          <w:tcPr>
            <w:tcW w:w="126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6,611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tcPr>
          <w:p>
            <w:pPr>
              <w:ind w:left="300"/>
              <w:spacing w:after="0"/>
              <w:rPr>
                <w:sz w:val="20"/>
                <w:szCs w:val="20"/>
                <w:color w:val="auto"/>
              </w:rPr>
            </w:pPr>
            <w:r>
              <w:rPr>
                <w:rFonts w:ascii="Arial" w:cs="Arial" w:eastAsia="Arial" w:hAnsi="Arial"/>
                <w:sz w:val="18"/>
                <w:szCs w:val="18"/>
                <w:color w:val="auto"/>
              </w:rPr>
              <w:t>Conversion price</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98"/>
              <w:spacing w:after="0"/>
              <w:rPr>
                <w:sz w:val="20"/>
                <w:szCs w:val="20"/>
                <w:color w:val="auto"/>
              </w:rPr>
            </w:pPr>
            <w:r>
              <w:rPr>
                <w:rFonts w:ascii="Arial" w:cs="Arial" w:eastAsia="Arial" w:hAnsi="Arial"/>
                <w:sz w:val="18"/>
                <w:szCs w:val="18"/>
                <w:color w:val="auto"/>
              </w:rPr>
              <w:t>30.25</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$30.25</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3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Company’s operations are managed in two business segments: research and development, and contract manufacturing.</w:t>
      </w:r>
    </w:p>
    <w:p>
      <w:pPr>
        <w:spacing w:after="0" w:line="225" w:lineRule="exact"/>
        <w:rPr>
          <w:rFonts w:ascii="Arial" w:cs="Arial" w:eastAsia="Arial" w:hAnsi="Arial"/>
          <w:sz w:val="18"/>
          <w:szCs w:val="18"/>
          <w:b w:val="1"/>
          <w:bCs w:val="1"/>
          <w:color w:val="auto"/>
        </w:rPr>
      </w:pPr>
    </w:p>
    <w:p>
      <w:pPr>
        <w:ind w:left="4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Research and development: Includes all activities related to the discovery of potential therapeutics for human medical conditions, and the development and commercialization of these discoveries. Also includes revenues and expenses related to the development of manufacturing processes prior to commencing commercial production of a product under contract manufacturing arrangements.</w:t>
      </w:r>
    </w:p>
    <w:p>
      <w:pPr>
        <w:spacing w:after="0" w:line="194" w:lineRule="exact"/>
        <w:rPr>
          <w:rFonts w:ascii="Arial" w:cs="Arial" w:eastAsia="Arial" w:hAnsi="Arial"/>
          <w:sz w:val="18"/>
          <w:szCs w:val="18"/>
          <w:b w:val="1"/>
          <w:bCs w:val="1"/>
          <w:color w:val="auto"/>
        </w:rPr>
      </w:pPr>
    </w:p>
    <w:p>
      <w:pPr>
        <w:ind w:left="460" w:right="10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Contract manufacturing: Includes all revenues and expenses related to the commercial production of products under contract manufacturing arrangements. The Company produces an intermediate for a Merck &amp; Co., Inc. pediatric vaccine under a long-term manufacturing agreement.</w:t>
      </w:r>
    </w:p>
    <w:p>
      <w:pPr>
        <w:spacing w:after="0" w:line="13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table below presents information about reported segments for the three and six months ended June 30, 2003 and 2002:</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44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60" w:type="dxa"/>
            <w:vAlign w:val="bottom"/>
            <w:gridSpan w:val="3"/>
          </w:tcPr>
          <w:p>
            <w:pPr>
              <w:ind w:left="160"/>
              <w:spacing w:after="0"/>
              <w:rPr>
                <w:sz w:val="20"/>
                <w:szCs w:val="20"/>
                <w:color w:val="auto"/>
              </w:rPr>
            </w:pPr>
            <w:r>
              <w:rPr>
                <w:rFonts w:ascii="Arial" w:cs="Arial" w:eastAsia="Arial" w:hAnsi="Arial"/>
                <w:sz w:val="14"/>
                <w:szCs w:val="14"/>
                <w:b w:val="1"/>
                <w:bCs w:val="1"/>
                <w:color w:val="auto"/>
              </w:rPr>
              <w:t>Three Months Ended June 30, 2003</w:t>
            </w: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95"/>
        </w:trPr>
        <w:tc>
          <w:tcPr>
            <w:tcW w:w="144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1440" w:type="dxa"/>
            <w:vAlign w:val="bottom"/>
          </w:tcPr>
          <w:p>
            <w:pPr>
              <w:spacing w:after="0"/>
              <w:rPr>
                <w:sz w:val="8"/>
                <w:szCs w:val="8"/>
                <w:color w:val="auto"/>
              </w:rPr>
            </w:pPr>
          </w:p>
        </w:tc>
      </w:tr>
      <w:tr>
        <w:trPr>
          <w:trHeight w:val="237"/>
        </w:trPr>
        <w:tc>
          <w:tcPr>
            <w:tcW w:w="14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400" w:type="dxa"/>
            <w:vAlign w:val="bottom"/>
          </w:tcPr>
          <w:p>
            <w:pPr>
              <w:jc w:val="right"/>
              <w:ind w:right="278"/>
              <w:spacing w:after="0"/>
              <w:rPr>
                <w:sz w:val="20"/>
                <w:szCs w:val="20"/>
                <w:color w:val="auto"/>
              </w:rPr>
            </w:pPr>
            <w:r>
              <w:rPr>
                <w:rFonts w:ascii="Arial" w:cs="Arial" w:eastAsia="Arial" w:hAnsi="Arial"/>
                <w:sz w:val="14"/>
                <w:szCs w:val="14"/>
                <w:b w:val="1"/>
                <w:bCs w:val="1"/>
                <w:color w:val="auto"/>
              </w:rPr>
              <w:t>Research &amp;</w:t>
            </w:r>
          </w:p>
        </w:tc>
        <w:tc>
          <w:tcPr>
            <w:tcW w:w="300" w:type="dxa"/>
            <w:vAlign w:val="bottom"/>
          </w:tcPr>
          <w:p>
            <w:pPr>
              <w:spacing w:after="0"/>
              <w:rPr>
                <w:sz w:val="20"/>
                <w:szCs w:val="20"/>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Contract</w:t>
            </w:r>
          </w:p>
        </w:tc>
        <w:tc>
          <w:tcPr>
            <w:tcW w:w="1420" w:type="dxa"/>
            <w:vAlign w:val="bottom"/>
          </w:tcPr>
          <w:p>
            <w:pPr>
              <w:jc w:val="right"/>
              <w:ind w:right="278"/>
              <w:spacing w:after="0"/>
              <w:rPr>
                <w:sz w:val="20"/>
                <w:szCs w:val="20"/>
                <w:color w:val="auto"/>
              </w:rPr>
            </w:pPr>
            <w:r>
              <w:rPr>
                <w:rFonts w:ascii="Arial" w:cs="Arial" w:eastAsia="Arial" w:hAnsi="Arial"/>
                <w:sz w:val="14"/>
                <w:szCs w:val="14"/>
                <w:b w:val="1"/>
                <w:bCs w:val="1"/>
                <w:color w:val="auto"/>
              </w:rPr>
              <w:t>Reconciling</w:t>
            </w: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174"/>
        </w:trPr>
        <w:tc>
          <w:tcPr>
            <w:tcW w:w="144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400" w:type="dxa"/>
            <w:vAlign w:val="bottom"/>
          </w:tcPr>
          <w:p>
            <w:pPr>
              <w:jc w:val="right"/>
              <w:ind w:right="238"/>
              <w:spacing w:after="0"/>
              <w:rPr>
                <w:sz w:val="20"/>
                <w:szCs w:val="20"/>
                <w:color w:val="auto"/>
              </w:rPr>
            </w:pPr>
            <w:r>
              <w:rPr>
                <w:rFonts w:ascii="Arial" w:cs="Arial" w:eastAsia="Arial" w:hAnsi="Arial"/>
                <w:sz w:val="14"/>
                <w:szCs w:val="14"/>
                <w:b w:val="1"/>
                <w:bCs w:val="1"/>
                <w:color w:val="auto"/>
              </w:rPr>
              <w:t>Development</w:t>
            </w:r>
          </w:p>
        </w:tc>
        <w:tc>
          <w:tcPr>
            <w:tcW w:w="30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Manufacturing</w:t>
            </w:r>
          </w:p>
        </w:tc>
        <w:tc>
          <w:tcPr>
            <w:tcW w:w="1420" w:type="dxa"/>
            <w:vAlign w:val="bottom"/>
          </w:tcPr>
          <w:p>
            <w:pPr>
              <w:jc w:val="right"/>
              <w:ind w:right="458"/>
              <w:spacing w:after="0"/>
              <w:rPr>
                <w:sz w:val="20"/>
                <w:szCs w:val="20"/>
                <w:color w:val="auto"/>
              </w:rPr>
            </w:pPr>
            <w:r>
              <w:rPr>
                <w:rFonts w:ascii="Arial" w:cs="Arial" w:eastAsia="Arial" w:hAnsi="Arial"/>
                <w:sz w:val="14"/>
                <w:szCs w:val="14"/>
                <w:b w:val="1"/>
                <w:bCs w:val="1"/>
                <w:color w:val="auto"/>
              </w:rPr>
              <w:t>Items</w:t>
            </w:r>
          </w:p>
        </w:tc>
        <w:tc>
          <w:tcPr>
            <w:tcW w:w="300" w:type="dxa"/>
            <w:vAlign w:val="bottom"/>
          </w:tcPr>
          <w:p>
            <w:pPr>
              <w:spacing w:after="0"/>
              <w:rPr>
                <w:sz w:val="15"/>
                <w:szCs w:val="15"/>
                <w:color w:val="auto"/>
              </w:rPr>
            </w:pPr>
          </w:p>
        </w:tc>
        <w:tc>
          <w:tcPr>
            <w:tcW w:w="1220" w:type="dxa"/>
            <w:vAlign w:val="bottom"/>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1440" w:type="dxa"/>
            <w:vAlign w:val="bottom"/>
          </w:tcPr>
          <w:p>
            <w:pPr>
              <w:spacing w:after="0"/>
              <w:rPr>
                <w:sz w:val="15"/>
                <w:szCs w:val="15"/>
                <w:color w:val="auto"/>
              </w:rPr>
            </w:pPr>
          </w:p>
        </w:tc>
      </w:tr>
      <w:tr>
        <w:trPr>
          <w:trHeight w:val="95"/>
        </w:trPr>
        <w:tc>
          <w:tcPr>
            <w:tcW w:w="144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1440" w:type="dxa"/>
            <w:vAlign w:val="bottom"/>
          </w:tcPr>
          <w:p>
            <w:pPr>
              <w:spacing w:after="0"/>
              <w:rPr>
                <w:sz w:val="8"/>
                <w:szCs w:val="8"/>
                <w:color w:val="auto"/>
              </w:rPr>
            </w:pPr>
          </w:p>
        </w:tc>
      </w:tr>
      <w:tr>
        <w:trPr>
          <w:trHeight w:val="102"/>
        </w:trPr>
        <w:tc>
          <w:tcPr>
            <w:tcW w:w="144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440" w:type="dxa"/>
            <w:vAlign w:val="bottom"/>
          </w:tcPr>
          <w:p>
            <w:pPr>
              <w:spacing w:after="0"/>
              <w:rPr>
                <w:sz w:val="8"/>
                <w:szCs w:val="8"/>
                <w:color w:val="auto"/>
              </w:rPr>
            </w:pPr>
          </w:p>
        </w:tc>
      </w:tr>
      <w:tr>
        <w:trPr>
          <w:trHeight w:val="216"/>
        </w:trPr>
        <w:tc>
          <w:tcPr>
            <w:tcW w:w="1440" w:type="dxa"/>
            <w:vAlign w:val="bottom"/>
          </w:tcPr>
          <w:p>
            <w:pPr>
              <w:spacing w:after="0"/>
              <w:rPr>
                <w:sz w:val="18"/>
                <w:szCs w:val="18"/>
                <w:color w:val="auto"/>
              </w:rPr>
            </w:pPr>
          </w:p>
        </w:tc>
        <w:tc>
          <w:tcPr>
            <w:tcW w:w="2760" w:type="dxa"/>
            <w:vAlign w:val="bottom"/>
            <w:shd w:val="clear" w:color="auto" w:fill="EEEEEE"/>
          </w:tcPr>
          <w:p>
            <w:pPr>
              <w:spacing w:after="0"/>
              <w:rPr>
                <w:sz w:val="20"/>
                <w:szCs w:val="20"/>
                <w:color w:val="auto"/>
              </w:rPr>
            </w:pPr>
            <w:r>
              <w:rPr>
                <w:rFonts w:ascii="Arial" w:cs="Arial" w:eastAsia="Arial" w:hAnsi="Arial"/>
                <w:sz w:val="18"/>
                <w:szCs w:val="18"/>
                <w:color w:val="auto"/>
              </w:rPr>
              <w:t>Revenues</w:t>
            </w:r>
          </w:p>
        </w:tc>
        <w:tc>
          <w:tcPr>
            <w:tcW w:w="1400" w:type="dxa"/>
            <w:vAlign w:val="bottom"/>
            <w:shd w:val="clear" w:color="auto" w:fill="EEEEEE"/>
          </w:tcPr>
          <w:p>
            <w:pPr>
              <w:jc w:val="right"/>
              <w:ind w:right="378"/>
              <w:spacing w:after="0"/>
              <w:rPr>
                <w:sz w:val="20"/>
                <w:szCs w:val="20"/>
                <w:color w:val="auto"/>
              </w:rPr>
            </w:pPr>
            <w:r>
              <w:rPr>
                <w:rFonts w:ascii="Arial" w:cs="Arial" w:eastAsia="Arial" w:hAnsi="Arial"/>
                <w:sz w:val="18"/>
                <w:szCs w:val="18"/>
                <w:color w:val="auto"/>
              </w:rPr>
              <w:t>$  9,774</w:t>
            </w:r>
          </w:p>
        </w:tc>
        <w:tc>
          <w:tcPr>
            <w:tcW w:w="1140" w:type="dxa"/>
            <w:vAlign w:val="bottom"/>
            <w:gridSpan w:val="2"/>
            <w:shd w:val="clear" w:color="auto" w:fill="EEEEEE"/>
          </w:tcPr>
          <w:p>
            <w:pPr>
              <w:jc w:val="right"/>
              <w:ind w:right="202"/>
              <w:spacing w:after="0"/>
              <w:rPr>
                <w:sz w:val="20"/>
                <w:szCs w:val="20"/>
                <w:color w:val="auto"/>
              </w:rPr>
            </w:pPr>
            <w:r>
              <w:rPr>
                <w:rFonts w:ascii="Arial" w:cs="Arial" w:eastAsia="Arial" w:hAnsi="Arial"/>
                <w:sz w:val="18"/>
                <w:szCs w:val="18"/>
                <w:color w:val="auto"/>
              </w:rPr>
              <w:t>$ 758</w:t>
            </w:r>
          </w:p>
        </w:tc>
        <w:tc>
          <w:tcPr>
            <w:tcW w:w="300" w:type="dxa"/>
            <w:vAlign w:val="bottom"/>
            <w:shd w:val="clear" w:color="auto" w:fill="EEEEEE"/>
          </w:tcPr>
          <w:p>
            <w:pPr>
              <w:spacing w:after="0"/>
              <w:rPr>
                <w:sz w:val="18"/>
                <w:szCs w:val="18"/>
                <w:color w:val="auto"/>
              </w:rPr>
            </w:pPr>
          </w:p>
        </w:tc>
        <w:tc>
          <w:tcPr>
            <w:tcW w:w="1420" w:type="dxa"/>
            <w:vAlign w:val="bottom"/>
            <w:shd w:val="clear" w:color="auto" w:fill="EEEEEE"/>
          </w:tcPr>
          <w:p>
            <w:pPr>
              <w:jc w:val="right"/>
              <w:ind w:right="438"/>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292"/>
              <w:spacing w:after="0"/>
              <w:rPr>
                <w:sz w:val="20"/>
                <w:szCs w:val="20"/>
                <w:color w:val="auto"/>
              </w:rPr>
            </w:pPr>
            <w:r>
              <w:rPr>
                <w:rFonts w:ascii="Arial" w:cs="Arial" w:eastAsia="Arial" w:hAnsi="Arial"/>
                <w:sz w:val="18"/>
                <w:szCs w:val="18"/>
                <w:color w:val="auto"/>
              </w:rPr>
              <w:t>$ 10,532</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400" w:type="dxa"/>
            <w:vAlign w:val="bottom"/>
          </w:tcPr>
          <w:p>
            <w:pPr>
              <w:jc w:val="right"/>
              <w:ind w:right="378"/>
              <w:spacing w:after="0"/>
              <w:rPr>
                <w:sz w:val="20"/>
                <w:szCs w:val="20"/>
                <w:color w:val="auto"/>
              </w:rPr>
            </w:pPr>
            <w:r>
              <w:rPr>
                <w:rFonts w:ascii="Arial" w:cs="Arial" w:eastAsia="Arial" w:hAnsi="Arial"/>
                <w:sz w:val="18"/>
                <w:szCs w:val="18"/>
                <w:color w:val="auto"/>
              </w:rPr>
              <w:t>2,418</w:t>
            </w:r>
          </w:p>
        </w:tc>
        <w:tc>
          <w:tcPr>
            <w:tcW w:w="300" w:type="dxa"/>
            <w:vAlign w:val="bottom"/>
          </w:tcPr>
          <w:p>
            <w:pPr>
              <w:spacing w:after="0"/>
              <w:rPr>
                <w:sz w:val="18"/>
                <w:szCs w:val="18"/>
                <w:color w:val="auto"/>
              </w:rPr>
            </w:pPr>
          </w:p>
        </w:tc>
        <w:tc>
          <w:tcPr>
            <w:tcW w:w="1140" w:type="dxa"/>
            <w:vAlign w:val="bottom"/>
            <w:gridSpan w:val="2"/>
          </w:tcPr>
          <w:p>
            <w:pPr>
              <w:ind w:left="3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(1)</w:t>
            </w:r>
          </w:p>
        </w:tc>
        <w:tc>
          <w:tcPr>
            <w:tcW w:w="1420" w:type="dxa"/>
            <w:vAlign w:val="bottom"/>
          </w:tcPr>
          <w:p>
            <w:pPr>
              <w:jc w:val="right"/>
              <w:ind w:right="438"/>
              <w:spacing w:after="0"/>
              <w:rPr>
                <w:sz w:val="20"/>
                <w:szCs w:val="20"/>
                <w:color w:val="auto"/>
              </w:rPr>
            </w:pPr>
            <w:r>
              <w:rPr>
                <w:rFonts w:ascii="Arial" w:cs="Arial" w:eastAsia="Arial" w:hAnsi="Arial"/>
                <w:sz w:val="18"/>
                <w:szCs w:val="18"/>
                <w:color w:val="auto"/>
              </w:rPr>
              <w:t>$  261</w:t>
            </w:r>
          </w:p>
        </w:tc>
        <w:tc>
          <w:tcPr>
            <w:tcW w:w="1520" w:type="dxa"/>
            <w:vAlign w:val="bottom"/>
            <w:gridSpan w:val="2"/>
          </w:tcPr>
          <w:p>
            <w:pPr>
              <w:jc w:val="right"/>
              <w:ind w:right="292"/>
              <w:spacing w:after="0"/>
              <w:rPr>
                <w:sz w:val="20"/>
                <w:szCs w:val="20"/>
                <w:color w:val="auto"/>
              </w:rPr>
            </w:pPr>
            <w:r>
              <w:rPr>
                <w:rFonts w:ascii="Arial" w:cs="Arial" w:eastAsia="Arial" w:hAnsi="Arial"/>
                <w:sz w:val="18"/>
                <w:szCs w:val="18"/>
                <w:color w:val="auto"/>
              </w:rPr>
              <w:t>2,679</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760" w:type="dxa"/>
            <w:vAlign w:val="bottom"/>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1400" w:type="dxa"/>
            <w:vAlign w:val="bottom"/>
            <w:shd w:val="clear" w:color="auto" w:fill="EEEEEE"/>
          </w:tcPr>
          <w:p>
            <w:pPr>
              <w:jc w:val="right"/>
              <w:ind w:right="378"/>
              <w:spacing w:after="0"/>
              <w:rPr>
                <w:sz w:val="20"/>
                <w:szCs w:val="20"/>
                <w:color w:val="auto"/>
              </w:rPr>
            </w:pPr>
            <w:r>
              <w:rPr>
                <w:rFonts w:ascii="Arial" w:cs="Arial" w:eastAsia="Arial" w:hAnsi="Arial"/>
                <w:sz w:val="18"/>
                <w:szCs w:val="18"/>
                <w:color w:val="auto"/>
              </w:rPr>
              <w:t>8</w:t>
            </w:r>
          </w:p>
        </w:tc>
        <w:tc>
          <w:tcPr>
            <w:tcW w:w="3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5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EEEEEE"/>
          </w:tcPr>
          <w:p>
            <w:pPr>
              <w:jc w:val="right"/>
              <w:ind w:right="438"/>
              <w:spacing w:after="0"/>
              <w:rPr>
                <w:sz w:val="20"/>
                <w:szCs w:val="20"/>
                <w:color w:val="auto"/>
              </w:rPr>
            </w:pPr>
            <w:r>
              <w:rPr>
                <w:rFonts w:ascii="Arial" w:cs="Arial" w:eastAsia="Arial" w:hAnsi="Arial"/>
                <w:sz w:val="18"/>
                <w:szCs w:val="18"/>
                <w:color w:val="auto"/>
              </w:rPr>
              <w:t>2,897</w:t>
            </w:r>
          </w:p>
        </w:tc>
        <w:tc>
          <w:tcPr>
            <w:tcW w:w="1520" w:type="dxa"/>
            <w:vAlign w:val="bottom"/>
            <w:gridSpan w:val="2"/>
            <w:shd w:val="clear" w:color="auto" w:fill="EEEEEE"/>
          </w:tcPr>
          <w:p>
            <w:pPr>
              <w:jc w:val="right"/>
              <w:ind w:right="292"/>
              <w:spacing w:after="0"/>
              <w:rPr>
                <w:sz w:val="20"/>
                <w:szCs w:val="20"/>
                <w:color w:val="auto"/>
              </w:rPr>
            </w:pPr>
            <w:r>
              <w:rPr>
                <w:rFonts w:ascii="Arial" w:cs="Arial" w:eastAsia="Arial" w:hAnsi="Arial"/>
                <w:sz w:val="18"/>
                <w:szCs w:val="18"/>
                <w:color w:val="auto"/>
              </w:rPr>
              <w:t>2,905</w:t>
            </w:r>
          </w:p>
        </w:tc>
        <w:tc>
          <w:tcPr>
            <w:tcW w:w="1440" w:type="dxa"/>
            <w:vAlign w:val="bottom"/>
          </w:tcPr>
          <w:p>
            <w:pPr>
              <w:spacing w:after="0"/>
              <w:rPr>
                <w:sz w:val="18"/>
                <w:szCs w:val="18"/>
                <w:color w:val="auto"/>
              </w:rPr>
            </w:pPr>
          </w:p>
        </w:tc>
      </w:tr>
      <w:tr>
        <w:trPr>
          <w:trHeight w:val="257"/>
        </w:trPr>
        <w:tc>
          <w:tcPr>
            <w:tcW w:w="1440" w:type="dxa"/>
            <w:vAlign w:val="bottom"/>
          </w:tcPr>
          <w:p>
            <w:pPr>
              <w:spacing w:after="0"/>
              <w:rPr>
                <w:sz w:val="22"/>
                <w:szCs w:val="22"/>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Net (loss) income</w:t>
            </w:r>
          </w:p>
        </w:tc>
        <w:tc>
          <w:tcPr>
            <w:tcW w:w="1400" w:type="dxa"/>
            <w:vAlign w:val="bottom"/>
          </w:tcPr>
          <w:p>
            <w:pPr>
              <w:jc w:val="right"/>
              <w:ind w:right="318"/>
              <w:spacing w:after="0"/>
              <w:rPr>
                <w:sz w:val="20"/>
                <w:szCs w:val="20"/>
                <w:color w:val="auto"/>
              </w:rPr>
            </w:pPr>
            <w:r>
              <w:rPr>
                <w:rFonts w:ascii="Arial" w:cs="Arial" w:eastAsia="Arial" w:hAnsi="Arial"/>
                <w:sz w:val="18"/>
                <w:szCs w:val="18"/>
                <w:color w:val="auto"/>
              </w:rPr>
              <w:t>(27,439)</w:t>
            </w:r>
          </w:p>
        </w:tc>
        <w:tc>
          <w:tcPr>
            <w:tcW w:w="1140" w:type="dxa"/>
            <w:vAlign w:val="bottom"/>
            <w:gridSpan w:val="2"/>
          </w:tcPr>
          <w:p>
            <w:pPr>
              <w:jc w:val="right"/>
              <w:ind w:right="202"/>
              <w:spacing w:after="0"/>
              <w:rPr>
                <w:sz w:val="20"/>
                <w:szCs w:val="20"/>
                <w:color w:val="auto"/>
              </w:rPr>
            </w:pPr>
            <w:r>
              <w:rPr>
                <w:rFonts w:ascii="Arial" w:cs="Arial" w:eastAsia="Arial" w:hAnsi="Arial"/>
                <w:sz w:val="18"/>
                <w:szCs w:val="18"/>
                <w:color w:val="auto"/>
              </w:rPr>
              <w:t>499</w:t>
            </w:r>
          </w:p>
        </w:tc>
        <w:tc>
          <w:tcPr>
            <w:tcW w:w="300" w:type="dxa"/>
            <w:vAlign w:val="bottom"/>
          </w:tcPr>
          <w:p>
            <w:pPr>
              <w:spacing w:after="0"/>
              <w:rPr>
                <w:sz w:val="22"/>
                <w:szCs w:val="22"/>
                <w:color w:val="auto"/>
              </w:rPr>
            </w:pPr>
          </w:p>
        </w:tc>
        <w:tc>
          <w:tcPr>
            <w:tcW w:w="1420" w:type="dxa"/>
            <w:vAlign w:val="bottom"/>
          </w:tcPr>
          <w:p>
            <w:pPr>
              <w:jc w:val="right"/>
              <w:ind w:right="218"/>
              <w:spacing w:after="0" w:line="256" w:lineRule="exact"/>
              <w:rPr>
                <w:sz w:val="20"/>
                <w:szCs w:val="20"/>
                <w:color w:val="auto"/>
              </w:rPr>
            </w:pPr>
            <w:r>
              <w:rPr>
                <w:rFonts w:ascii="Arial" w:cs="Arial" w:eastAsia="Arial" w:hAnsi="Arial"/>
                <w:sz w:val="18"/>
                <w:szCs w:val="18"/>
                <w:color w:val="auto"/>
              </w:rPr>
              <w:t>(1,796)</w:t>
            </w:r>
            <w:r>
              <w:rPr>
                <w:rFonts w:ascii="Arial" w:cs="Arial" w:eastAsia="Arial" w:hAnsi="Arial"/>
                <w:sz w:val="29"/>
                <w:szCs w:val="29"/>
                <w:color w:val="auto"/>
                <w:vertAlign w:val="superscript"/>
              </w:rPr>
              <w:t>(2)</w:t>
            </w:r>
          </w:p>
        </w:tc>
        <w:tc>
          <w:tcPr>
            <w:tcW w:w="1520" w:type="dxa"/>
            <w:vAlign w:val="bottom"/>
            <w:gridSpan w:val="2"/>
          </w:tcPr>
          <w:p>
            <w:pPr>
              <w:jc w:val="right"/>
              <w:ind w:right="232"/>
              <w:spacing w:after="0"/>
              <w:rPr>
                <w:sz w:val="20"/>
                <w:szCs w:val="20"/>
                <w:color w:val="auto"/>
              </w:rPr>
            </w:pPr>
            <w:r>
              <w:rPr>
                <w:rFonts w:ascii="Arial" w:cs="Arial" w:eastAsia="Arial" w:hAnsi="Arial"/>
                <w:sz w:val="18"/>
                <w:szCs w:val="18"/>
                <w:color w:val="auto"/>
              </w:rPr>
              <w:t>(28,736)</w:t>
            </w:r>
          </w:p>
        </w:tc>
        <w:tc>
          <w:tcPr>
            <w:tcW w:w="1440" w:type="dxa"/>
            <w:vAlign w:val="bottom"/>
          </w:tcPr>
          <w:p>
            <w:pPr>
              <w:spacing w:after="0"/>
              <w:rPr>
                <w:sz w:val="22"/>
                <w:szCs w:val="22"/>
                <w:color w:val="auto"/>
              </w:rPr>
            </w:pPr>
          </w:p>
        </w:tc>
      </w:tr>
      <w:tr>
        <w:trPr>
          <w:trHeight w:val="216"/>
        </w:trPr>
        <w:tc>
          <w:tcPr>
            <w:tcW w:w="1440" w:type="dxa"/>
            <w:vAlign w:val="bottom"/>
          </w:tcPr>
          <w:p>
            <w:pPr>
              <w:spacing w:after="0"/>
              <w:rPr>
                <w:sz w:val="18"/>
                <w:szCs w:val="18"/>
                <w:color w:val="auto"/>
              </w:rPr>
            </w:pPr>
          </w:p>
        </w:tc>
        <w:tc>
          <w:tcPr>
            <w:tcW w:w="2760" w:type="dxa"/>
            <w:vAlign w:val="bottom"/>
            <w:shd w:val="clear" w:color="auto" w:fill="EEEEEE"/>
          </w:tcPr>
          <w:p>
            <w:pPr>
              <w:spacing w:after="0"/>
              <w:rPr>
                <w:sz w:val="20"/>
                <w:szCs w:val="20"/>
                <w:color w:val="auto"/>
              </w:rPr>
            </w:pPr>
            <w:r>
              <w:rPr>
                <w:rFonts w:ascii="Arial" w:cs="Arial" w:eastAsia="Arial" w:hAnsi="Arial"/>
                <w:sz w:val="18"/>
                <w:szCs w:val="18"/>
                <w:color w:val="auto"/>
              </w:rPr>
              <w:t>Capital expenditures</w:t>
            </w:r>
          </w:p>
        </w:tc>
        <w:tc>
          <w:tcPr>
            <w:tcW w:w="1400" w:type="dxa"/>
            <w:vAlign w:val="bottom"/>
            <w:shd w:val="clear" w:color="auto" w:fill="EEEEEE"/>
          </w:tcPr>
          <w:p>
            <w:pPr>
              <w:jc w:val="right"/>
              <w:ind w:right="378"/>
              <w:spacing w:after="0"/>
              <w:rPr>
                <w:sz w:val="20"/>
                <w:szCs w:val="20"/>
                <w:color w:val="auto"/>
              </w:rPr>
            </w:pPr>
            <w:r>
              <w:rPr>
                <w:rFonts w:ascii="Arial" w:cs="Arial" w:eastAsia="Arial" w:hAnsi="Arial"/>
                <w:sz w:val="18"/>
                <w:szCs w:val="18"/>
                <w:color w:val="auto"/>
              </w:rPr>
              <w:t>4,722</w:t>
            </w:r>
          </w:p>
        </w:tc>
        <w:tc>
          <w:tcPr>
            <w:tcW w:w="3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5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EEEEEE"/>
          </w:tcPr>
          <w:p>
            <w:pPr>
              <w:jc w:val="right"/>
              <w:ind w:right="438"/>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292"/>
              <w:spacing w:after="0"/>
              <w:rPr>
                <w:sz w:val="20"/>
                <w:szCs w:val="20"/>
                <w:color w:val="auto"/>
              </w:rPr>
            </w:pPr>
            <w:r>
              <w:rPr>
                <w:rFonts w:ascii="Arial" w:cs="Arial" w:eastAsia="Arial" w:hAnsi="Arial"/>
                <w:sz w:val="18"/>
                <w:szCs w:val="18"/>
                <w:color w:val="auto"/>
              </w:rPr>
              <w:t>4,722</w:t>
            </w:r>
          </w:p>
        </w:tc>
        <w:tc>
          <w:tcPr>
            <w:tcW w:w="1440" w:type="dxa"/>
            <w:vAlign w:val="bottom"/>
          </w:tcPr>
          <w:p>
            <w:pPr>
              <w:spacing w:after="0"/>
              <w:rPr>
                <w:sz w:val="18"/>
                <w:szCs w:val="18"/>
                <w:color w:val="auto"/>
              </w:rPr>
            </w:pPr>
          </w:p>
        </w:tc>
      </w:tr>
      <w:tr>
        <w:trPr>
          <w:trHeight w:val="430"/>
        </w:trPr>
        <w:tc>
          <w:tcPr>
            <w:tcW w:w="14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tcPr>
          <w:p>
            <w:pPr>
              <w:jc w:val="right"/>
              <w:ind w:right="12"/>
              <w:spacing w:after="0"/>
              <w:rPr>
                <w:sz w:val="20"/>
                <w:szCs w:val="20"/>
                <w:color w:val="auto"/>
              </w:rPr>
            </w:pPr>
            <w:r>
              <w:rPr>
                <w:rFonts w:ascii="Arial" w:cs="Arial" w:eastAsia="Arial" w:hAnsi="Arial"/>
                <w:sz w:val="18"/>
                <w:szCs w:val="18"/>
                <w:color w:val="auto"/>
                <w:w w:val="89"/>
              </w:rPr>
              <w:t>14</w:t>
            </w: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28"/>
        </w:trPr>
        <w:tc>
          <w:tcPr>
            <w:tcW w:w="1440" w:type="dxa"/>
            <w:vAlign w:val="bottom"/>
            <w:tcBorders>
              <w:bottom w:val="single" w:sz="8" w:color="808080"/>
            </w:tcBorders>
          </w:tcPr>
          <w:p>
            <w:pPr>
              <w:spacing w:after="0"/>
              <w:rPr>
                <w:sz w:val="19"/>
                <w:szCs w:val="19"/>
                <w:color w:val="auto"/>
              </w:rPr>
            </w:pPr>
          </w:p>
        </w:tc>
        <w:tc>
          <w:tcPr>
            <w:tcW w:w="276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258"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2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40" w:type="dxa"/>
            <w:vAlign w:val="bottom"/>
            <w:gridSpan w:val="5"/>
          </w:tcPr>
          <w:p>
            <w:pPr>
              <w:jc w:val="right"/>
              <w:ind w:right="254"/>
              <w:spacing w:after="0"/>
              <w:rPr>
                <w:sz w:val="20"/>
                <w:szCs w:val="20"/>
                <w:color w:val="auto"/>
              </w:rPr>
            </w:pPr>
            <w:r>
              <w:rPr>
                <w:rFonts w:ascii="Arial" w:cs="Arial" w:eastAsia="Arial" w:hAnsi="Arial"/>
                <w:sz w:val="14"/>
                <w:szCs w:val="14"/>
                <w:b w:val="1"/>
                <w:bCs w:val="1"/>
                <w:color w:val="auto"/>
                <w:w w:val="93"/>
              </w:rPr>
              <w:t>Three Months Ended June 30, 2002</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95"/>
        </w:trPr>
        <w:tc>
          <w:tcPr>
            <w:tcW w:w="2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gridSpan w:val="2"/>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r>
      <w:tr>
        <w:trPr>
          <w:trHeight w:val="237"/>
        </w:trPr>
        <w:tc>
          <w:tcPr>
            <w:tcW w:w="2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Research &amp;</w:t>
            </w:r>
          </w:p>
        </w:tc>
        <w:tc>
          <w:tcPr>
            <w:tcW w:w="300" w:type="dxa"/>
            <w:vAlign w:val="bottom"/>
          </w:tcPr>
          <w:p>
            <w:pPr>
              <w:spacing w:after="0"/>
              <w:rPr>
                <w:sz w:val="20"/>
                <w:szCs w:val="20"/>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Contract</w:t>
            </w:r>
          </w:p>
        </w:tc>
        <w:tc>
          <w:tcPr>
            <w:tcW w:w="300" w:type="dxa"/>
            <w:vAlign w:val="bottom"/>
          </w:tcPr>
          <w:p>
            <w:pPr>
              <w:spacing w:after="0"/>
              <w:rPr>
                <w:sz w:val="20"/>
                <w:szCs w:val="20"/>
                <w:color w:val="auto"/>
              </w:rPr>
            </w:pPr>
          </w:p>
        </w:tc>
        <w:tc>
          <w:tcPr>
            <w:tcW w:w="1120" w:type="dxa"/>
            <w:vAlign w:val="bottom"/>
            <w:gridSpan w:val="2"/>
          </w:tcPr>
          <w:p>
            <w:pPr>
              <w:ind w:left="220"/>
              <w:spacing w:after="0"/>
              <w:rPr>
                <w:sz w:val="20"/>
                <w:szCs w:val="20"/>
                <w:color w:val="auto"/>
              </w:rPr>
            </w:pPr>
            <w:r>
              <w:rPr>
                <w:rFonts w:ascii="Arial" w:cs="Arial" w:eastAsia="Arial" w:hAnsi="Arial"/>
                <w:sz w:val="14"/>
                <w:szCs w:val="14"/>
                <w:b w:val="1"/>
                <w:bCs w:val="1"/>
                <w:color w:val="auto"/>
              </w:rPr>
              <w:t>Reconciling</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174"/>
        </w:trPr>
        <w:tc>
          <w:tcPr>
            <w:tcW w:w="2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Development</w:t>
            </w:r>
          </w:p>
        </w:tc>
        <w:tc>
          <w:tcPr>
            <w:tcW w:w="300" w:type="dxa"/>
            <w:vAlign w:val="bottom"/>
          </w:tcPr>
          <w:p>
            <w:pPr>
              <w:spacing w:after="0"/>
              <w:rPr>
                <w:sz w:val="15"/>
                <w:szCs w:val="15"/>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Manufacturing</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ind w:right="314"/>
              <w:spacing w:after="0"/>
              <w:rPr>
                <w:sz w:val="20"/>
                <w:szCs w:val="20"/>
                <w:color w:val="auto"/>
              </w:rPr>
            </w:pPr>
            <w:r>
              <w:rPr>
                <w:rFonts w:ascii="Arial" w:cs="Arial" w:eastAsia="Arial" w:hAnsi="Arial"/>
                <w:sz w:val="14"/>
                <w:szCs w:val="14"/>
                <w:b w:val="1"/>
                <w:bCs w:val="1"/>
                <w:color w:val="auto"/>
              </w:rPr>
              <w:t>Items</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jc w:val="right"/>
              <w:ind w:right="375"/>
              <w:spacing w:after="0"/>
              <w:rPr>
                <w:sz w:val="20"/>
                <w:szCs w:val="20"/>
                <w:color w:val="auto"/>
              </w:rPr>
            </w:pPr>
            <w:r>
              <w:rPr>
                <w:rFonts w:ascii="Arial" w:cs="Arial" w:eastAsia="Arial" w:hAnsi="Arial"/>
                <w:sz w:val="14"/>
                <w:szCs w:val="14"/>
                <w:b w:val="1"/>
                <w:bCs w:val="1"/>
                <w:color w:val="auto"/>
              </w:rPr>
              <w:t>Total</w:t>
            </w:r>
          </w:p>
        </w:tc>
      </w:tr>
      <w:tr>
        <w:trPr>
          <w:trHeight w:val="95"/>
        </w:trPr>
        <w:tc>
          <w:tcPr>
            <w:tcW w:w="2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r>
      <w:tr>
        <w:trPr>
          <w:trHeight w:val="102"/>
        </w:trPr>
        <w:tc>
          <w:tcPr>
            <w:tcW w:w="2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216"/>
        </w:trPr>
        <w:tc>
          <w:tcPr>
            <w:tcW w:w="2480" w:type="dxa"/>
            <w:vAlign w:val="bottom"/>
            <w:shd w:val="clear" w:color="auto" w:fill="EEEEEE"/>
          </w:tcPr>
          <w:p>
            <w:pPr>
              <w:spacing w:after="0"/>
              <w:rPr>
                <w:sz w:val="20"/>
                <w:szCs w:val="20"/>
                <w:color w:val="auto"/>
              </w:rPr>
            </w:pPr>
            <w:r>
              <w:rPr>
                <w:rFonts w:ascii="Arial" w:cs="Arial" w:eastAsia="Arial" w:hAnsi="Arial"/>
                <w:sz w:val="18"/>
                <w:szCs w:val="18"/>
                <w:color w:val="auto"/>
              </w:rPr>
              <w:t>Revenues</w:t>
            </w:r>
          </w:p>
        </w:tc>
        <w:tc>
          <w:tcPr>
            <w:tcW w:w="1380" w:type="dxa"/>
            <w:vAlign w:val="bottom"/>
            <w:gridSpan w:val="2"/>
            <w:shd w:val="clear" w:color="auto" w:fill="EEEEEE"/>
          </w:tcPr>
          <w:p>
            <w:pPr>
              <w:jc w:val="right"/>
              <w:ind w:right="72"/>
              <w:spacing w:after="0"/>
              <w:rPr>
                <w:sz w:val="20"/>
                <w:szCs w:val="20"/>
                <w:color w:val="auto"/>
              </w:rPr>
            </w:pPr>
            <w:r>
              <w:rPr>
                <w:rFonts w:ascii="Arial" w:cs="Arial" w:eastAsia="Arial" w:hAnsi="Arial"/>
                <w:sz w:val="18"/>
                <w:szCs w:val="18"/>
                <w:color w:val="auto"/>
              </w:rPr>
              <w:t>$  2,745</w:t>
            </w:r>
          </w:p>
        </w:tc>
        <w:tc>
          <w:tcPr>
            <w:tcW w:w="2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82"/>
              <w:spacing w:after="0"/>
              <w:rPr>
                <w:sz w:val="20"/>
                <w:szCs w:val="20"/>
                <w:color w:val="auto"/>
              </w:rPr>
            </w:pPr>
            <w:r>
              <w:rPr>
                <w:rFonts w:ascii="Arial" w:cs="Arial" w:eastAsia="Arial" w:hAnsi="Arial"/>
                <w:sz w:val="18"/>
                <w:szCs w:val="18"/>
                <w:color w:val="auto"/>
              </w:rPr>
              <w:t>$2,824</w:t>
            </w: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00" w:type="dxa"/>
            <w:vAlign w:val="bottom"/>
            <w:shd w:val="clear" w:color="auto" w:fill="EEEEEE"/>
          </w:tcPr>
          <w:p>
            <w:pPr>
              <w:jc w:val="right"/>
              <w:ind w:right="334"/>
              <w:spacing w:after="0"/>
              <w:rPr>
                <w:sz w:val="20"/>
                <w:szCs w:val="20"/>
                <w:color w:val="auto"/>
              </w:rPr>
            </w:pPr>
            <w:r>
              <w:rPr>
                <w:rFonts w:ascii="Arial" w:cs="Arial" w:eastAsia="Arial" w:hAnsi="Arial"/>
                <w:sz w:val="18"/>
                <w:szCs w:val="18"/>
                <w:color w:val="auto"/>
              </w:rPr>
              <w:t>—</w:t>
            </w:r>
          </w:p>
        </w:tc>
        <w:tc>
          <w:tcPr>
            <w:tcW w:w="6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EEEEE"/>
          </w:tcPr>
          <w:p>
            <w:pPr>
              <w:jc w:val="right"/>
              <w:ind w:right="275"/>
              <w:spacing w:after="0"/>
              <w:rPr>
                <w:sz w:val="20"/>
                <w:szCs w:val="20"/>
                <w:color w:val="auto"/>
              </w:rPr>
            </w:pPr>
            <w:r>
              <w:rPr>
                <w:rFonts w:ascii="Arial" w:cs="Arial" w:eastAsia="Arial" w:hAnsi="Arial"/>
                <w:sz w:val="18"/>
                <w:szCs w:val="18"/>
                <w:color w:val="auto"/>
              </w:rPr>
              <w:t>5,569</w:t>
            </w: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380" w:type="dxa"/>
            <w:vAlign w:val="bottom"/>
            <w:gridSpan w:val="2"/>
          </w:tcPr>
          <w:p>
            <w:pPr>
              <w:jc w:val="right"/>
              <w:ind w:right="72"/>
              <w:spacing w:after="0"/>
              <w:rPr>
                <w:sz w:val="20"/>
                <w:szCs w:val="20"/>
                <w:color w:val="auto"/>
              </w:rPr>
            </w:pPr>
            <w:r>
              <w:rPr>
                <w:rFonts w:ascii="Arial" w:cs="Arial" w:eastAsia="Arial" w:hAnsi="Arial"/>
                <w:sz w:val="18"/>
                <w:szCs w:val="18"/>
                <w:color w:val="auto"/>
              </w:rPr>
              <w:t>1,967</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(1)</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34"/>
              <w:spacing w:after="0"/>
              <w:rPr>
                <w:sz w:val="20"/>
                <w:szCs w:val="20"/>
                <w:color w:val="auto"/>
              </w:rPr>
            </w:pPr>
            <w:r>
              <w:rPr>
                <w:rFonts w:ascii="Arial" w:cs="Arial" w:eastAsia="Arial" w:hAnsi="Arial"/>
                <w:sz w:val="18"/>
                <w:szCs w:val="18"/>
                <w:color w:val="auto"/>
              </w:rPr>
              <w:t>261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ind w:right="275"/>
              <w:spacing w:after="0"/>
              <w:rPr>
                <w:sz w:val="20"/>
                <w:szCs w:val="20"/>
                <w:color w:val="auto"/>
              </w:rPr>
            </w:pPr>
            <w:r>
              <w:rPr>
                <w:rFonts w:ascii="Arial" w:cs="Arial" w:eastAsia="Arial" w:hAnsi="Arial"/>
                <w:sz w:val="18"/>
                <w:szCs w:val="18"/>
                <w:color w:val="auto"/>
              </w:rPr>
              <w:t>2,228</w:t>
            </w:r>
          </w:p>
        </w:tc>
      </w:tr>
      <w:tr>
        <w:trPr>
          <w:trHeight w:val="216"/>
        </w:trPr>
        <w:tc>
          <w:tcPr>
            <w:tcW w:w="2480" w:type="dxa"/>
            <w:vAlign w:val="bottom"/>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1380" w:type="dxa"/>
            <w:vAlign w:val="bottom"/>
            <w:gridSpan w:val="2"/>
            <w:shd w:val="clear" w:color="auto" w:fill="EEEEEE"/>
          </w:tcPr>
          <w:p>
            <w:pPr>
              <w:jc w:val="right"/>
              <w:ind w:right="72"/>
              <w:spacing w:after="0"/>
              <w:rPr>
                <w:sz w:val="20"/>
                <w:szCs w:val="20"/>
                <w:color w:val="auto"/>
              </w:rPr>
            </w:pPr>
            <w:r>
              <w:rPr>
                <w:rFonts w:ascii="Arial" w:cs="Arial" w:eastAsia="Arial" w:hAnsi="Arial"/>
                <w:sz w:val="18"/>
                <w:szCs w:val="18"/>
                <w:color w:val="auto"/>
              </w:rPr>
              <w:t>15</w:t>
            </w:r>
          </w:p>
        </w:tc>
        <w:tc>
          <w:tcPr>
            <w:tcW w:w="2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82"/>
              <w:spacing w:after="0"/>
              <w:rPr>
                <w:sz w:val="20"/>
                <w:szCs w:val="20"/>
                <w:color w:val="auto"/>
              </w:rPr>
            </w:pPr>
            <w:r>
              <w:rPr>
                <w:rFonts w:ascii="Arial" w:cs="Arial" w:eastAsia="Arial" w:hAnsi="Arial"/>
                <w:sz w:val="18"/>
                <w:szCs w:val="18"/>
                <w:color w:val="auto"/>
              </w:rPr>
              <w:t>1</w:t>
            </w: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00" w:type="dxa"/>
            <w:vAlign w:val="bottom"/>
            <w:shd w:val="clear" w:color="auto" w:fill="EEEEEE"/>
          </w:tcPr>
          <w:p>
            <w:pPr>
              <w:jc w:val="right"/>
              <w:ind w:right="334"/>
              <w:spacing w:after="0"/>
              <w:rPr>
                <w:sz w:val="20"/>
                <w:szCs w:val="20"/>
                <w:color w:val="auto"/>
              </w:rPr>
            </w:pPr>
            <w:r>
              <w:rPr>
                <w:rFonts w:ascii="Arial" w:cs="Arial" w:eastAsia="Arial" w:hAnsi="Arial"/>
                <w:sz w:val="18"/>
                <w:szCs w:val="18"/>
                <w:color w:val="auto"/>
                <w:w w:val="79"/>
              </w:rPr>
              <w:t>3,011</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00" w:type="dxa"/>
            <w:vAlign w:val="bottom"/>
            <w:shd w:val="clear" w:color="auto" w:fill="EEEEEE"/>
          </w:tcPr>
          <w:p>
            <w:pPr>
              <w:jc w:val="right"/>
              <w:ind w:right="275"/>
              <w:spacing w:after="0"/>
              <w:rPr>
                <w:sz w:val="20"/>
                <w:szCs w:val="20"/>
                <w:color w:val="auto"/>
              </w:rPr>
            </w:pPr>
            <w:r>
              <w:rPr>
                <w:rFonts w:ascii="Arial" w:cs="Arial" w:eastAsia="Arial" w:hAnsi="Arial"/>
                <w:sz w:val="18"/>
                <w:szCs w:val="18"/>
                <w:color w:val="auto"/>
              </w:rPr>
              <w:t>3,027</w:t>
            </w:r>
          </w:p>
        </w:tc>
      </w:tr>
      <w:tr>
        <w:trPr>
          <w:trHeight w:val="257"/>
        </w:trPr>
        <w:tc>
          <w:tcPr>
            <w:tcW w:w="2480" w:type="dxa"/>
            <w:vAlign w:val="bottom"/>
          </w:tcPr>
          <w:p>
            <w:pPr>
              <w:spacing w:after="0"/>
              <w:rPr>
                <w:sz w:val="20"/>
                <w:szCs w:val="20"/>
                <w:color w:val="auto"/>
              </w:rPr>
            </w:pPr>
            <w:r>
              <w:rPr>
                <w:rFonts w:ascii="Arial" w:cs="Arial" w:eastAsia="Arial" w:hAnsi="Arial"/>
                <w:sz w:val="18"/>
                <w:szCs w:val="18"/>
                <w:color w:val="auto"/>
              </w:rPr>
              <w:t>Net (loss) income</w:t>
            </w:r>
          </w:p>
        </w:tc>
        <w:tc>
          <w:tcPr>
            <w:tcW w:w="1380" w:type="dxa"/>
            <w:vAlign w:val="bottom"/>
            <w:gridSpan w:val="2"/>
          </w:tcPr>
          <w:p>
            <w:pPr>
              <w:jc w:val="right"/>
              <w:ind w:right="12"/>
              <w:spacing w:after="0"/>
              <w:rPr>
                <w:sz w:val="20"/>
                <w:szCs w:val="20"/>
                <w:color w:val="auto"/>
              </w:rPr>
            </w:pPr>
            <w:r>
              <w:rPr>
                <w:rFonts w:ascii="Arial" w:cs="Arial" w:eastAsia="Arial" w:hAnsi="Arial"/>
                <w:sz w:val="18"/>
                <w:szCs w:val="18"/>
                <w:color w:val="auto"/>
              </w:rPr>
              <w:t>(30,927)</w:t>
            </w: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60" w:type="dxa"/>
            <w:vAlign w:val="bottom"/>
            <w:gridSpan w:val="2"/>
          </w:tcPr>
          <w:p>
            <w:pPr>
              <w:jc w:val="right"/>
              <w:ind w:right="82"/>
              <w:spacing w:after="0"/>
              <w:rPr>
                <w:sz w:val="20"/>
                <w:szCs w:val="20"/>
                <w:color w:val="auto"/>
              </w:rPr>
            </w:pPr>
            <w:r>
              <w:rPr>
                <w:rFonts w:ascii="Arial" w:cs="Arial" w:eastAsia="Arial" w:hAnsi="Arial"/>
                <w:sz w:val="18"/>
                <w:szCs w:val="18"/>
                <w:color w:val="auto"/>
              </w:rPr>
              <w:t>962</w:t>
            </w: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94"/>
              <w:spacing w:after="0" w:line="256" w:lineRule="exact"/>
              <w:rPr>
                <w:sz w:val="20"/>
                <w:szCs w:val="20"/>
                <w:color w:val="auto"/>
              </w:rPr>
            </w:pPr>
            <w:r>
              <w:rPr>
                <w:rFonts w:ascii="Arial" w:cs="Arial" w:eastAsia="Arial" w:hAnsi="Arial"/>
                <w:sz w:val="18"/>
                <w:szCs w:val="18"/>
                <w:color w:val="auto"/>
                <w:w w:val="91"/>
              </w:rPr>
              <w:t>(458)</w:t>
            </w:r>
            <w:r>
              <w:rPr>
                <w:rFonts w:ascii="Arial" w:cs="Arial" w:eastAsia="Arial" w:hAnsi="Arial"/>
                <w:sz w:val="29"/>
                <w:szCs w:val="29"/>
                <w:color w:val="auto"/>
                <w:w w:val="91"/>
                <w:vertAlign w:val="superscript"/>
              </w:rPr>
              <w:t>(2)</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jc w:val="right"/>
              <w:ind w:right="215"/>
              <w:spacing w:after="0"/>
              <w:rPr>
                <w:sz w:val="20"/>
                <w:szCs w:val="20"/>
                <w:color w:val="auto"/>
              </w:rPr>
            </w:pPr>
            <w:r>
              <w:rPr>
                <w:rFonts w:ascii="Arial" w:cs="Arial" w:eastAsia="Arial" w:hAnsi="Arial"/>
                <w:sz w:val="18"/>
                <w:szCs w:val="18"/>
                <w:color w:val="auto"/>
                <w:w w:val="86"/>
              </w:rPr>
              <w:t>(30,423)</w:t>
            </w:r>
          </w:p>
        </w:tc>
      </w:tr>
      <w:tr>
        <w:trPr>
          <w:trHeight w:val="216"/>
        </w:trPr>
        <w:tc>
          <w:tcPr>
            <w:tcW w:w="2480" w:type="dxa"/>
            <w:vAlign w:val="bottom"/>
            <w:shd w:val="clear" w:color="auto" w:fill="EEEEEE"/>
          </w:tcPr>
          <w:p>
            <w:pPr>
              <w:spacing w:after="0"/>
              <w:rPr>
                <w:sz w:val="20"/>
                <w:szCs w:val="20"/>
                <w:color w:val="auto"/>
              </w:rPr>
            </w:pPr>
            <w:r>
              <w:rPr>
                <w:rFonts w:ascii="Arial" w:cs="Arial" w:eastAsia="Arial" w:hAnsi="Arial"/>
                <w:sz w:val="18"/>
                <w:szCs w:val="18"/>
                <w:color w:val="auto"/>
              </w:rPr>
              <w:t>Capital expenditures</w:t>
            </w:r>
          </w:p>
        </w:tc>
        <w:tc>
          <w:tcPr>
            <w:tcW w:w="1380" w:type="dxa"/>
            <w:vAlign w:val="bottom"/>
            <w:gridSpan w:val="2"/>
            <w:shd w:val="clear" w:color="auto" w:fill="EEEEEE"/>
          </w:tcPr>
          <w:p>
            <w:pPr>
              <w:jc w:val="right"/>
              <w:ind w:right="72"/>
              <w:spacing w:after="0"/>
              <w:rPr>
                <w:sz w:val="20"/>
                <w:szCs w:val="20"/>
                <w:color w:val="auto"/>
              </w:rPr>
            </w:pPr>
            <w:r>
              <w:rPr>
                <w:rFonts w:ascii="Arial" w:cs="Arial" w:eastAsia="Arial" w:hAnsi="Arial"/>
                <w:sz w:val="18"/>
                <w:szCs w:val="18"/>
                <w:color w:val="auto"/>
              </w:rPr>
              <w:t>7,656</w:t>
            </w:r>
          </w:p>
        </w:tc>
        <w:tc>
          <w:tcPr>
            <w:tcW w:w="2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82"/>
              <w:spacing w:after="0"/>
              <w:rPr>
                <w:sz w:val="20"/>
                <w:szCs w:val="20"/>
                <w:color w:val="auto"/>
              </w:rPr>
            </w:pPr>
            <w:r>
              <w:rPr>
                <w:rFonts w:ascii="Arial" w:cs="Arial" w:eastAsia="Arial" w:hAnsi="Arial"/>
                <w:sz w:val="18"/>
                <w:szCs w:val="18"/>
                <w:color w:val="auto"/>
              </w:rPr>
              <w:t>14</w:t>
            </w: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00" w:type="dxa"/>
            <w:vAlign w:val="bottom"/>
            <w:shd w:val="clear" w:color="auto" w:fill="EEEEEE"/>
          </w:tcPr>
          <w:p>
            <w:pPr>
              <w:jc w:val="right"/>
              <w:ind w:right="334"/>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00" w:type="dxa"/>
            <w:vAlign w:val="bottom"/>
            <w:shd w:val="clear" w:color="auto" w:fill="EEEEEE"/>
          </w:tcPr>
          <w:p>
            <w:pPr>
              <w:jc w:val="right"/>
              <w:ind w:right="275"/>
              <w:spacing w:after="0"/>
              <w:rPr>
                <w:sz w:val="20"/>
                <w:szCs w:val="20"/>
                <w:color w:val="auto"/>
              </w:rPr>
            </w:pPr>
            <w:r>
              <w:rPr>
                <w:rFonts w:ascii="Arial" w:cs="Arial" w:eastAsia="Arial" w:hAnsi="Arial"/>
                <w:sz w:val="18"/>
                <w:szCs w:val="18"/>
                <w:color w:val="auto"/>
              </w:rPr>
              <w:t>7,670</w:t>
            </w:r>
          </w:p>
        </w:tc>
      </w:tr>
      <w:tr>
        <w:trPr>
          <w:trHeight w:val="405"/>
        </w:trPr>
        <w:tc>
          <w:tcPr>
            <w:tcW w:w="2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gridSpan w:val="5"/>
          </w:tcPr>
          <w:p>
            <w:pPr>
              <w:jc w:val="right"/>
              <w:ind w:right="474"/>
              <w:spacing w:after="0"/>
              <w:rPr>
                <w:sz w:val="20"/>
                <w:szCs w:val="20"/>
                <w:color w:val="auto"/>
              </w:rPr>
            </w:pPr>
            <w:r>
              <w:rPr>
                <w:rFonts w:ascii="Arial" w:cs="Arial" w:eastAsia="Arial" w:hAnsi="Arial"/>
                <w:sz w:val="14"/>
                <w:szCs w:val="14"/>
                <w:b w:val="1"/>
                <w:bCs w:val="1"/>
                <w:color w:val="auto"/>
                <w:w w:val="90"/>
              </w:rPr>
              <w:t>Six Months Ended June 30, 2003</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95"/>
        </w:trPr>
        <w:tc>
          <w:tcPr>
            <w:tcW w:w="24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gridSpan w:val="2"/>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gridSpan w:val="2"/>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r>
      <w:tr>
        <w:trPr>
          <w:trHeight w:val="237"/>
        </w:trPr>
        <w:tc>
          <w:tcPr>
            <w:tcW w:w="2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88"/>
              </w:rPr>
              <w:t>Research &amp;</w:t>
            </w:r>
          </w:p>
        </w:tc>
        <w:tc>
          <w:tcPr>
            <w:tcW w:w="14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0"/>
              </w:rPr>
              <w:t>Contract</w:t>
            </w:r>
          </w:p>
        </w:tc>
        <w:tc>
          <w:tcPr>
            <w:tcW w:w="300" w:type="dxa"/>
            <w:vAlign w:val="bottom"/>
          </w:tcPr>
          <w:p>
            <w:pPr>
              <w:spacing w:after="0"/>
              <w:rPr>
                <w:sz w:val="20"/>
                <w:szCs w:val="20"/>
                <w:color w:val="auto"/>
              </w:rPr>
            </w:pPr>
          </w:p>
        </w:tc>
        <w:tc>
          <w:tcPr>
            <w:tcW w:w="1120" w:type="dxa"/>
            <w:vAlign w:val="bottom"/>
            <w:gridSpan w:val="2"/>
          </w:tcPr>
          <w:p>
            <w:pPr>
              <w:jc w:val="center"/>
              <w:ind w:right="194"/>
              <w:spacing w:after="0"/>
              <w:rPr>
                <w:sz w:val="20"/>
                <w:szCs w:val="20"/>
                <w:color w:val="auto"/>
              </w:rPr>
            </w:pPr>
            <w:r>
              <w:rPr>
                <w:rFonts w:ascii="Arial" w:cs="Arial" w:eastAsia="Arial" w:hAnsi="Arial"/>
                <w:sz w:val="14"/>
                <w:szCs w:val="14"/>
                <w:b w:val="1"/>
                <w:bCs w:val="1"/>
                <w:color w:val="auto"/>
                <w:w w:val="85"/>
              </w:rPr>
              <w:t>Reconciling</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174"/>
        </w:trPr>
        <w:tc>
          <w:tcPr>
            <w:tcW w:w="2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86"/>
              </w:rPr>
              <w:t>Development</w:t>
            </w:r>
          </w:p>
        </w:tc>
        <w:tc>
          <w:tcPr>
            <w:tcW w:w="14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Manufacturing</w:t>
            </w:r>
          </w:p>
        </w:tc>
        <w:tc>
          <w:tcPr>
            <w:tcW w:w="300" w:type="dxa"/>
            <w:vAlign w:val="bottom"/>
          </w:tcPr>
          <w:p>
            <w:pPr>
              <w:spacing w:after="0"/>
              <w:rPr>
                <w:sz w:val="15"/>
                <w:szCs w:val="15"/>
                <w:color w:val="auto"/>
              </w:rPr>
            </w:pPr>
          </w:p>
        </w:tc>
        <w:tc>
          <w:tcPr>
            <w:tcW w:w="1120" w:type="dxa"/>
            <w:vAlign w:val="bottom"/>
            <w:gridSpan w:val="2"/>
          </w:tcPr>
          <w:p>
            <w:pPr>
              <w:jc w:val="center"/>
              <w:ind w:right="194"/>
              <w:spacing w:after="0"/>
              <w:rPr>
                <w:sz w:val="20"/>
                <w:szCs w:val="20"/>
                <w:color w:val="auto"/>
              </w:rPr>
            </w:pPr>
            <w:r>
              <w:rPr>
                <w:rFonts w:ascii="Arial" w:cs="Arial" w:eastAsia="Arial" w:hAnsi="Arial"/>
                <w:sz w:val="14"/>
                <w:szCs w:val="14"/>
                <w:b w:val="1"/>
                <w:bCs w:val="1"/>
                <w:color w:val="auto"/>
                <w:w w:val="87"/>
              </w:rPr>
              <w:t>Items</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jc w:val="right"/>
              <w:ind w:right="375"/>
              <w:spacing w:after="0"/>
              <w:rPr>
                <w:sz w:val="20"/>
                <w:szCs w:val="20"/>
                <w:color w:val="auto"/>
              </w:rPr>
            </w:pPr>
            <w:r>
              <w:rPr>
                <w:rFonts w:ascii="Arial" w:cs="Arial" w:eastAsia="Arial" w:hAnsi="Arial"/>
                <w:sz w:val="14"/>
                <w:szCs w:val="14"/>
                <w:b w:val="1"/>
                <w:bCs w:val="1"/>
                <w:color w:val="auto"/>
              </w:rPr>
              <w:t>Total</w:t>
            </w:r>
          </w:p>
        </w:tc>
      </w:tr>
      <w:tr>
        <w:trPr>
          <w:trHeight w:val="95"/>
        </w:trPr>
        <w:tc>
          <w:tcPr>
            <w:tcW w:w="2480" w:type="dxa"/>
            <w:vAlign w:val="bottom"/>
          </w:tcPr>
          <w:p>
            <w:pPr>
              <w:spacing w:after="0"/>
              <w:rPr>
                <w:sz w:val="8"/>
                <w:szCs w:val="8"/>
                <w:color w:val="auto"/>
              </w:rPr>
            </w:pPr>
          </w:p>
        </w:tc>
        <w:tc>
          <w:tcPr>
            <w:tcW w:w="1380" w:type="dxa"/>
            <w:vAlign w:val="bottom"/>
            <w:tcBorders>
              <w:bottom w:val="single" w:sz="8" w:color="808080"/>
            </w:tcBorders>
            <w:gridSpan w:val="2"/>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gridSpan w:val="2"/>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00" w:type="dxa"/>
            <w:vAlign w:val="bottom"/>
            <w:gridSpan w:val="2"/>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r>
      <w:tr>
        <w:trPr>
          <w:trHeight w:val="102"/>
        </w:trPr>
        <w:tc>
          <w:tcPr>
            <w:tcW w:w="2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216"/>
        </w:trPr>
        <w:tc>
          <w:tcPr>
            <w:tcW w:w="2480" w:type="dxa"/>
            <w:vAlign w:val="bottom"/>
            <w:shd w:val="clear" w:color="auto" w:fill="EEEEEE"/>
          </w:tcPr>
          <w:p>
            <w:pPr>
              <w:spacing w:after="0"/>
              <w:rPr>
                <w:sz w:val="20"/>
                <w:szCs w:val="20"/>
                <w:color w:val="auto"/>
              </w:rPr>
            </w:pPr>
            <w:r>
              <w:rPr>
                <w:rFonts w:ascii="Arial" w:cs="Arial" w:eastAsia="Arial" w:hAnsi="Arial"/>
                <w:sz w:val="18"/>
                <w:szCs w:val="18"/>
                <w:color w:val="auto"/>
              </w:rPr>
              <w:t>Revenues</w:t>
            </w:r>
          </w:p>
        </w:tc>
        <w:tc>
          <w:tcPr>
            <w:tcW w:w="1380" w:type="dxa"/>
            <w:vAlign w:val="bottom"/>
            <w:gridSpan w:val="2"/>
            <w:shd w:val="clear" w:color="auto" w:fill="EEEEEE"/>
          </w:tcPr>
          <w:p>
            <w:pPr>
              <w:jc w:val="right"/>
              <w:ind w:right="392"/>
              <w:spacing w:after="0"/>
              <w:rPr>
                <w:sz w:val="20"/>
                <w:szCs w:val="20"/>
                <w:color w:val="auto"/>
              </w:rPr>
            </w:pPr>
            <w:r>
              <w:rPr>
                <w:rFonts w:ascii="Arial" w:cs="Arial" w:eastAsia="Arial" w:hAnsi="Arial"/>
                <w:sz w:val="18"/>
                <w:szCs w:val="18"/>
                <w:color w:val="auto"/>
              </w:rPr>
              <w:t>$ 19,198</w:t>
            </w:r>
          </w:p>
        </w:tc>
        <w:tc>
          <w:tcPr>
            <w:tcW w:w="2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362"/>
              <w:spacing w:after="0"/>
              <w:rPr>
                <w:sz w:val="20"/>
                <w:szCs w:val="20"/>
                <w:color w:val="auto"/>
              </w:rPr>
            </w:pPr>
            <w:r>
              <w:rPr>
                <w:rFonts w:ascii="Arial" w:cs="Arial" w:eastAsia="Arial" w:hAnsi="Arial"/>
                <w:sz w:val="18"/>
                <w:szCs w:val="18"/>
                <w:color w:val="auto"/>
              </w:rPr>
              <w:t>$ 1,470</w:t>
            </w: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00" w:type="dxa"/>
            <w:vAlign w:val="bottom"/>
            <w:shd w:val="clear" w:color="auto" w:fill="EEEEEE"/>
          </w:tcPr>
          <w:p>
            <w:pPr>
              <w:jc w:val="right"/>
              <w:ind w:right="334"/>
              <w:spacing w:after="0"/>
              <w:rPr>
                <w:sz w:val="20"/>
                <w:szCs w:val="20"/>
                <w:color w:val="auto"/>
              </w:rPr>
            </w:pPr>
            <w:r>
              <w:rPr>
                <w:rFonts w:ascii="Arial" w:cs="Arial" w:eastAsia="Arial" w:hAnsi="Arial"/>
                <w:sz w:val="18"/>
                <w:szCs w:val="18"/>
                <w:color w:val="auto"/>
              </w:rPr>
              <w:t>—</w:t>
            </w:r>
          </w:p>
        </w:tc>
        <w:tc>
          <w:tcPr>
            <w:tcW w:w="6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EEEEE"/>
          </w:tcPr>
          <w:p>
            <w:pPr>
              <w:jc w:val="right"/>
              <w:ind w:right="235"/>
              <w:spacing w:after="0"/>
              <w:rPr>
                <w:sz w:val="20"/>
                <w:szCs w:val="20"/>
                <w:color w:val="auto"/>
              </w:rPr>
            </w:pPr>
            <w:r>
              <w:rPr>
                <w:rFonts w:ascii="Arial" w:cs="Arial" w:eastAsia="Arial" w:hAnsi="Arial"/>
                <w:sz w:val="18"/>
                <w:szCs w:val="18"/>
                <w:color w:val="auto"/>
              </w:rPr>
              <w:t>20,668</w:t>
            </w: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380" w:type="dxa"/>
            <w:vAlign w:val="bottom"/>
            <w:gridSpan w:val="2"/>
          </w:tcPr>
          <w:p>
            <w:pPr>
              <w:jc w:val="right"/>
              <w:ind w:right="392"/>
              <w:spacing w:after="0"/>
              <w:rPr>
                <w:sz w:val="20"/>
                <w:szCs w:val="20"/>
                <w:color w:val="auto"/>
              </w:rPr>
            </w:pPr>
            <w:r>
              <w:rPr>
                <w:rFonts w:ascii="Arial" w:cs="Arial" w:eastAsia="Arial" w:hAnsi="Arial"/>
                <w:sz w:val="18"/>
                <w:szCs w:val="18"/>
                <w:color w:val="auto"/>
              </w:rPr>
              <w:t>4,445</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(1)</w:t>
            </w:r>
          </w:p>
        </w:tc>
        <w:tc>
          <w:tcPr>
            <w:tcW w:w="62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34"/>
              <w:spacing w:after="0"/>
              <w:rPr>
                <w:sz w:val="20"/>
                <w:szCs w:val="20"/>
                <w:color w:val="auto"/>
              </w:rPr>
            </w:pPr>
            <w:r>
              <w:rPr>
                <w:rFonts w:ascii="Arial" w:cs="Arial" w:eastAsia="Arial" w:hAnsi="Arial"/>
                <w:sz w:val="18"/>
                <w:szCs w:val="18"/>
                <w:color w:val="auto"/>
              </w:rPr>
              <w:t>522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ind w:right="235"/>
              <w:spacing w:after="0"/>
              <w:rPr>
                <w:sz w:val="20"/>
                <w:szCs w:val="20"/>
                <w:color w:val="auto"/>
              </w:rPr>
            </w:pPr>
            <w:r>
              <w:rPr>
                <w:rFonts w:ascii="Arial" w:cs="Arial" w:eastAsia="Arial" w:hAnsi="Arial"/>
                <w:sz w:val="18"/>
                <w:szCs w:val="18"/>
                <w:color w:val="auto"/>
              </w:rPr>
              <w:t>4,967</w:t>
            </w:r>
          </w:p>
        </w:tc>
      </w:tr>
      <w:tr>
        <w:trPr>
          <w:trHeight w:val="216"/>
        </w:trPr>
        <w:tc>
          <w:tcPr>
            <w:tcW w:w="2480" w:type="dxa"/>
            <w:vAlign w:val="bottom"/>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1380" w:type="dxa"/>
            <w:vAlign w:val="bottom"/>
            <w:gridSpan w:val="2"/>
            <w:shd w:val="clear" w:color="auto" w:fill="EEEEEE"/>
          </w:tcPr>
          <w:p>
            <w:pPr>
              <w:jc w:val="right"/>
              <w:ind w:right="392"/>
              <w:spacing w:after="0"/>
              <w:rPr>
                <w:sz w:val="20"/>
                <w:szCs w:val="20"/>
                <w:color w:val="auto"/>
              </w:rPr>
            </w:pPr>
            <w:r>
              <w:rPr>
                <w:rFonts w:ascii="Arial" w:cs="Arial" w:eastAsia="Arial" w:hAnsi="Arial"/>
                <w:sz w:val="18"/>
                <w:szCs w:val="18"/>
                <w:color w:val="auto"/>
              </w:rPr>
              <w:t>8</w:t>
            </w:r>
          </w:p>
        </w:tc>
        <w:tc>
          <w:tcPr>
            <w:tcW w:w="2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70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EEEEEE"/>
          </w:tcPr>
          <w:p>
            <w:pPr>
              <w:jc w:val="right"/>
              <w:ind w:right="334"/>
              <w:spacing w:after="0"/>
              <w:rPr>
                <w:sz w:val="20"/>
                <w:szCs w:val="20"/>
                <w:color w:val="auto"/>
              </w:rPr>
            </w:pPr>
            <w:r>
              <w:rPr>
                <w:rFonts w:ascii="Arial" w:cs="Arial" w:eastAsia="Arial" w:hAnsi="Arial"/>
                <w:sz w:val="18"/>
                <w:szCs w:val="18"/>
                <w:color w:val="auto"/>
              </w:rPr>
              <w:t>5,836</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00" w:type="dxa"/>
            <w:vAlign w:val="bottom"/>
            <w:shd w:val="clear" w:color="auto" w:fill="EEEEEE"/>
          </w:tcPr>
          <w:p>
            <w:pPr>
              <w:jc w:val="right"/>
              <w:ind w:right="235"/>
              <w:spacing w:after="0"/>
              <w:rPr>
                <w:sz w:val="20"/>
                <w:szCs w:val="20"/>
                <w:color w:val="auto"/>
              </w:rPr>
            </w:pPr>
            <w:r>
              <w:rPr>
                <w:rFonts w:ascii="Arial" w:cs="Arial" w:eastAsia="Arial" w:hAnsi="Arial"/>
                <w:sz w:val="18"/>
                <w:szCs w:val="18"/>
                <w:color w:val="auto"/>
              </w:rPr>
              <w:t>5,844</w:t>
            </w:r>
          </w:p>
        </w:tc>
      </w:tr>
      <w:tr>
        <w:trPr>
          <w:trHeight w:val="257"/>
        </w:trPr>
        <w:tc>
          <w:tcPr>
            <w:tcW w:w="2480" w:type="dxa"/>
            <w:vAlign w:val="bottom"/>
          </w:tcPr>
          <w:p>
            <w:pPr>
              <w:spacing w:after="0"/>
              <w:rPr>
                <w:sz w:val="20"/>
                <w:szCs w:val="20"/>
                <w:color w:val="auto"/>
              </w:rPr>
            </w:pPr>
            <w:r>
              <w:rPr>
                <w:rFonts w:ascii="Arial" w:cs="Arial" w:eastAsia="Arial" w:hAnsi="Arial"/>
                <w:sz w:val="18"/>
                <w:szCs w:val="18"/>
                <w:color w:val="auto"/>
              </w:rPr>
              <w:t>Net (loss) income</w:t>
            </w:r>
          </w:p>
        </w:tc>
        <w:tc>
          <w:tcPr>
            <w:tcW w:w="1380" w:type="dxa"/>
            <w:vAlign w:val="bottom"/>
            <w:gridSpan w:val="2"/>
          </w:tcPr>
          <w:p>
            <w:pPr>
              <w:jc w:val="right"/>
              <w:ind w:right="332"/>
              <w:spacing w:after="0"/>
              <w:rPr>
                <w:sz w:val="20"/>
                <w:szCs w:val="20"/>
                <w:color w:val="auto"/>
              </w:rPr>
            </w:pPr>
            <w:r>
              <w:rPr>
                <w:rFonts w:ascii="Arial" w:cs="Arial" w:eastAsia="Arial" w:hAnsi="Arial"/>
                <w:sz w:val="18"/>
                <w:szCs w:val="18"/>
                <w:color w:val="auto"/>
              </w:rPr>
              <w:t>(55,864)</w:t>
            </w: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60" w:type="dxa"/>
            <w:vAlign w:val="bottom"/>
            <w:gridSpan w:val="2"/>
          </w:tcPr>
          <w:p>
            <w:pPr>
              <w:jc w:val="right"/>
              <w:ind w:right="362"/>
              <w:spacing w:after="0"/>
              <w:rPr>
                <w:sz w:val="20"/>
                <w:szCs w:val="20"/>
                <w:color w:val="auto"/>
              </w:rPr>
            </w:pPr>
            <w:r>
              <w:rPr>
                <w:rFonts w:ascii="Arial" w:cs="Arial" w:eastAsia="Arial" w:hAnsi="Arial"/>
                <w:sz w:val="18"/>
                <w:szCs w:val="18"/>
                <w:color w:val="auto"/>
              </w:rPr>
              <w:t>545</w:t>
            </w:r>
          </w:p>
        </w:tc>
        <w:tc>
          <w:tcPr>
            <w:tcW w:w="260" w:type="dxa"/>
            <w:vAlign w:val="bottom"/>
          </w:tcPr>
          <w:p>
            <w:pPr>
              <w:spacing w:after="0"/>
              <w:rPr>
                <w:sz w:val="22"/>
                <w:szCs w:val="22"/>
                <w:color w:val="auto"/>
              </w:rPr>
            </w:pPr>
          </w:p>
        </w:tc>
        <w:tc>
          <w:tcPr>
            <w:tcW w:w="1420" w:type="dxa"/>
            <w:vAlign w:val="bottom"/>
            <w:gridSpan w:val="3"/>
          </w:tcPr>
          <w:p>
            <w:pPr>
              <w:jc w:val="right"/>
              <w:ind w:right="114"/>
              <w:spacing w:after="0" w:line="256" w:lineRule="exact"/>
              <w:rPr>
                <w:sz w:val="20"/>
                <w:szCs w:val="20"/>
                <w:color w:val="auto"/>
              </w:rPr>
            </w:pPr>
            <w:r>
              <w:rPr>
                <w:rFonts w:ascii="Arial" w:cs="Arial" w:eastAsia="Arial" w:hAnsi="Arial"/>
                <w:sz w:val="18"/>
                <w:szCs w:val="18"/>
                <w:color w:val="auto"/>
              </w:rPr>
              <w:t>(3,527)</w:t>
            </w:r>
            <w:r>
              <w:rPr>
                <w:rFonts w:ascii="Arial" w:cs="Arial" w:eastAsia="Arial" w:hAnsi="Arial"/>
                <w:sz w:val="29"/>
                <w:szCs w:val="29"/>
                <w:color w:val="auto"/>
                <w:vertAlign w:val="superscript"/>
              </w:rPr>
              <w:t>(2)</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jc w:val="right"/>
              <w:ind w:right="195"/>
              <w:spacing w:after="0"/>
              <w:rPr>
                <w:sz w:val="20"/>
                <w:szCs w:val="20"/>
                <w:color w:val="auto"/>
              </w:rPr>
            </w:pPr>
            <w:r>
              <w:rPr>
                <w:rFonts w:ascii="Arial" w:cs="Arial" w:eastAsia="Arial" w:hAnsi="Arial"/>
                <w:sz w:val="18"/>
                <w:szCs w:val="18"/>
                <w:color w:val="auto"/>
                <w:w w:val="89"/>
              </w:rPr>
              <w:t>(58,846)</w:t>
            </w:r>
          </w:p>
        </w:tc>
      </w:tr>
      <w:tr>
        <w:trPr>
          <w:trHeight w:val="216"/>
        </w:trPr>
        <w:tc>
          <w:tcPr>
            <w:tcW w:w="2480" w:type="dxa"/>
            <w:vAlign w:val="bottom"/>
            <w:shd w:val="clear" w:color="auto" w:fill="EEEEEE"/>
          </w:tcPr>
          <w:p>
            <w:pPr>
              <w:spacing w:after="0"/>
              <w:rPr>
                <w:sz w:val="20"/>
                <w:szCs w:val="20"/>
                <w:color w:val="auto"/>
              </w:rPr>
            </w:pPr>
            <w:r>
              <w:rPr>
                <w:rFonts w:ascii="Arial" w:cs="Arial" w:eastAsia="Arial" w:hAnsi="Arial"/>
                <w:sz w:val="18"/>
                <w:szCs w:val="18"/>
                <w:color w:val="auto"/>
              </w:rPr>
              <w:t>Capital expenditures</w:t>
            </w:r>
          </w:p>
        </w:tc>
        <w:tc>
          <w:tcPr>
            <w:tcW w:w="1380" w:type="dxa"/>
            <w:vAlign w:val="bottom"/>
            <w:gridSpan w:val="2"/>
            <w:shd w:val="clear" w:color="auto" w:fill="EEEEEE"/>
          </w:tcPr>
          <w:p>
            <w:pPr>
              <w:jc w:val="right"/>
              <w:ind w:right="392"/>
              <w:spacing w:after="0"/>
              <w:rPr>
                <w:sz w:val="20"/>
                <w:szCs w:val="20"/>
                <w:color w:val="auto"/>
              </w:rPr>
            </w:pPr>
            <w:r>
              <w:rPr>
                <w:rFonts w:ascii="Arial" w:cs="Arial" w:eastAsia="Arial" w:hAnsi="Arial"/>
                <w:sz w:val="18"/>
                <w:szCs w:val="18"/>
                <w:color w:val="auto"/>
              </w:rPr>
              <w:t>12,854</w:t>
            </w:r>
          </w:p>
        </w:tc>
        <w:tc>
          <w:tcPr>
            <w:tcW w:w="2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70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00" w:type="dxa"/>
            <w:vAlign w:val="bottom"/>
            <w:shd w:val="clear" w:color="auto" w:fill="EEEEEE"/>
          </w:tcPr>
          <w:p>
            <w:pPr>
              <w:jc w:val="right"/>
              <w:ind w:right="334"/>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00" w:type="dxa"/>
            <w:vAlign w:val="bottom"/>
            <w:shd w:val="clear" w:color="auto" w:fill="EEEEEE"/>
          </w:tcPr>
          <w:p>
            <w:pPr>
              <w:jc w:val="right"/>
              <w:ind w:right="235"/>
              <w:spacing w:after="0"/>
              <w:rPr>
                <w:sz w:val="20"/>
                <w:szCs w:val="20"/>
                <w:color w:val="auto"/>
              </w:rPr>
            </w:pPr>
            <w:r>
              <w:rPr>
                <w:rFonts w:ascii="Arial" w:cs="Arial" w:eastAsia="Arial" w:hAnsi="Arial"/>
                <w:sz w:val="18"/>
                <w:szCs w:val="18"/>
                <w:color w:val="auto"/>
              </w:rPr>
              <w:t>12,854</w:t>
            </w:r>
          </w:p>
        </w:tc>
      </w:tr>
      <w:tr>
        <w:trPr>
          <w:trHeight w:val="222"/>
        </w:trPr>
        <w:tc>
          <w:tcPr>
            <w:tcW w:w="2480" w:type="dxa"/>
            <w:vAlign w:val="bottom"/>
          </w:tcPr>
          <w:p>
            <w:pPr>
              <w:spacing w:after="0"/>
              <w:rPr>
                <w:sz w:val="20"/>
                <w:szCs w:val="20"/>
                <w:color w:val="auto"/>
              </w:rPr>
            </w:pPr>
            <w:r>
              <w:rPr>
                <w:rFonts w:ascii="Arial" w:cs="Arial" w:eastAsia="Arial" w:hAnsi="Arial"/>
                <w:sz w:val="18"/>
                <w:szCs w:val="18"/>
                <w:color w:val="auto"/>
              </w:rPr>
              <w:t>Total assets</w:t>
            </w:r>
          </w:p>
        </w:tc>
        <w:tc>
          <w:tcPr>
            <w:tcW w:w="1380" w:type="dxa"/>
            <w:vAlign w:val="bottom"/>
            <w:gridSpan w:val="2"/>
          </w:tcPr>
          <w:p>
            <w:pPr>
              <w:jc w:val="right"/>
              <w:ind w:right="392"/>
              <w:spacing w:after="0"/>
              <w:rPr>
                <w:sz w:val="20"/>
                <w:szCs w:val="20"/>
                <w:color w:val="auto"/>
              </w:rPr>
            </w:pPr>
            <w:r>
              <w:rPr>
                <w:rFonts w:ascii="Arial" w:cs="Arial" w:eastAsia="Arial" w:hAnsi="Arial"/>
                <w:sz w:val="18"/>
                <w:szCs w:val="18"/>
                <w:color w:val="auto"/>
              </w:rPr>
              <w:t>88,860</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gridSpan w:val="2"/>
          </w:tcPr>
          <w:p>
            <w:pPr>
              <w:jc w:val="right"/>
              <w:ind w:right="362"/>
              <w:spacing w:after="0"/>
              <w:rPr>
                <w:sz w:val="20"/>
                <w:szCs w:val="20"/>
                <w:color w:val="auto"/>
              </w:rPr>
            </w:pPr>
            <w:r>
              <w:rPr>
                <w:rFonts w:ascii="Arial" w:cs="Arial" w:eastAsia="Arial" w:hAnsi="Arial"/>
                <w:sz w:val="18"/>
                <w:szCs w:val="18"/>
                <w:color w:val="auto"/>
              </w:rPr>
              <w:t>14,023</w:t>
            </w:r>
          </w:p>
        </w:tc>
        <w:tc>
          <w:tcPr>
            <w:tcW w:w="260" w:type="dxa"/>
            <w:vAlign w:val="bottom"/>
          </w:tcPr>
          <w:p>
            <w:pPr>
              <w:spacing w:after="0"/>
              <w:rPr>
                <w:sz w:val="19"/>
                <w:szCs w:val="19"/>
                <w:color w:val="auto"/>
              </w:rPr>
            </w:pPr>
          </w:p>
        </w:tc>
        <w:tc>
          <w:tcPr>
            <w:tcW w:w="1420" w:type="dxa"/>
            <w:vAlign w:val="bottom"/>
            <w:gridSpan w:val="3"/>
          </w:tcPr>
          <w:p>
            <w:pPr>
              <w:jc w:val="right"/>
              <w:ind w:right="174"/>
              <w:spacing w:after="0"/>
              <w:rPr>
                <w:sz w:val="20"/>
                <w:szCs w:val="20"/>
                <w:color w:val="auto"/>
              </w:rPr>
            </w:pPr>
            <w:r>
              <w:rPr>
                <w:rFonts w:ascii="Arial" w:cs="Arial" w:eastAsia="Arial" w:hAnsi="Arial"/>
                <w:sz w:val="18"/>
                <w:szCs w:val="18"/>
                <w:color w:val="auto"/>
              </w:rPr>
              <w:t>292,664</w:t>
            </w:r>
            <w:r>
              <w:rPr>
                <w:rFonts w:ascii="Arial" w:cs="Arial" w:eastAsia="Arial" w:hAnsi="Arial"/>
                <w:sz w:val="14"/>
                <w:szCs w:val="14"/>
                <w:color w:val="auto"/>
              </w:rPr>
              <w:t>(3)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ind w:right="235"/>
              <w:spacing w:after="0"/>
              <w:rPr>
                <w:sz w:val="20"/>
                <w:szCs w:val="20"/>
                <w:color w:val="auto"/>
              </w:rPr>
            </w:pPr>
            <w:r>
              <w:rPr>
                <w:rFonts w:ascii="Arial" w:cs="Arial" w:eastAsia="Arial" w:hAnsi="Arial"/>
                <w:sz w:val="18"/>
                <w:szCs w:val="18"/>
                <w:color w:val="auto"/>
                <w:w w:val="86"/>
              </w:rPr>
              <w:t>395,547</w:t>
            </w:r>
          </w:p>
        </w:tc>
      </w:tr>
      <w:tr>
        <w:trPr>
          <w:trHeight w:val="398"/>
        </w:trPr>
        <w:tc>
          <w:tcPr>
            <w:tcW w:w="2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gridSpan w:val="5"/>
          </w:tcPr>
          <w:p>
            <w:pPr>
              <w:jc w:val="right"/>
              <w:ind w:right="474"/>
              <w:spacing w:after="0"/>
              <w:rPr>
                <w:sz w:val="20"/>
                <w:szCs w:val="20"/>
                <w:color w:val="auto"/>
              </w:rPr>
            </w:pPr>
            <w:r>
              <w:rPr>
                <w:rFonts w:ascii="Arial" w:cs="Arial" w:eastAsia="Arial" w:hAnsi="Arial"/>
                <w:sz w:val="14"/>
                <w:szCs w:val="14"/>
                <w:b w:val="1"/>
                <w:bCs w:val="1"/>
                <w:color w:val="auto"/>
                <w:w w:val="90"/>
              </w:rPr>
              <w:t>Six Months Ended June 30, 2002</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95"/>
        </w:trPr>
        <w:tc>
          <w:tcPr>
            <w:tcW w:w="24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400" w:type="dxa"/>
            <w:vAlign w:val="bottom"/>
            <w:tcBorders>
              <w:bottom w:val="single" w:sz="8" w:color="808080"/>
            </w:tcBorders>
            <w:gridSpan w:val="3"/>
          </w:tcPr>
          <w:p>
            <w:pPr>
              <w:spacing w:after="0"/>
              <w:rPr>
                <w:sz w:val="8"/>
                <w:szCs w:val="8"/>
                <w:color w:val="auto"/>
              </w:rPr>
            </w:pPr>
          </w:p>
        </w:tc>
        <w:tc>
          <w:tcPr>
            <w:tcW w:w="1420" w:type="dxa"/>
            <w:vAlign w:val="bottom"/>
            <w:tcBorders>
              <w:bottom w:val="single" w:sz="8" w:color="808080"/>
            </w:tcBorders>
            <w:gridSpan w:val="3"/>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gridSpan w:val="2"/>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r>
      <w:tr>
        <w:trPr>
          <w:trHeight w:val="237"/>
        </w:trPr>
        <w:tc>
          <w:tcPr>
            <w:tcW w:w="2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88"/>
              </w:rPr>
              <w:t>Research &amp;</w:t>
            </w:r>
          </w:p>
        </w:tc>
        <w:tc>
          <w:tcPr>
            <w:tcW w:w="14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0"/>
              </w:rPr>
              <w:t>Contract</w:t>
            </w:r>
          </w:p>
        </w:tc>
        <w:tc>
          <w:tcPr>
            <w:tcW w:w="300" w:type="dxa"/>
            <w:vAlign w:val="bottom"/>
          </w:tcPr>
          <w:p>
            <w:pPr>
              <w:spacing w:after="0"/>
              <w:rPr>
                <w:sz w:val="20"/>
                <w:szCs w:val="20"/>
                <w:color w:val="auto"/>
              </w:rPr>
            </w:pPr>
          </w:p>
        </w:tc>
        <w:tc>
          <w:tcPr>
            <w:tcW w:w="1120" w:type="dxa"/>
            <w:vAlign w:val="bottom"/>
            <w:gridSpan w:val="2"/>
          </w:tcPr>
          <w:p>
            <w:pPr>
              <w:jc w:val="center"/>
              <w:ind w:right="194"/>
              <w:spacing w:after="0"/>
              <w:rPr>
                <w:sz w:val="20"/>
                <w:szCs w:val="20"/>
                <w:color w:val="auto"/>
              </w:rPr>
            </w:pPr>
            <w:r>
              <w:rPr>
                <w:rFonts w:ascii="Arial" w:cs="Arial" w:eastAsia="Arial" w:hAnsi="Arial"/>
                <w:sz w:val="14"/>
                <w:szCs w:val="14"/>
                <w:b w:val="1"/>
                <w:bCs w:val="1"/>
                <w:color w:val="auto"/>
                <w:w w:val="85"/>
              </w:rPr>
              <w:t>Reconciling</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174"/>
        </w:trPr>
        <w:tc>
          <w:tcPr>
            <w:tcW w:w="2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86"/>
              </w:rPr>
              <w:t>Development</w:t>
            </w:r>
          </w:p>
        </w:tc>
        <w:tc>
          <w:tcPr>
            <w:tcW w:w="14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Manufacturing</w:t>
            </w:r>
          </w:p>
        </w:tc>
        <w:tc>
          <w:tcPr>
            <w:tcW w:w="300" w:type="dxa"/>
            <w:vAlign w:val="bottom"/>
          </w:tcPr>
          <w:p>
            <w:pPr>
              <w:spacing w:after="0"/>
              <w:rPr>
                <w:sz w:val="15"/>
                <w:szCs w:val="15"/>
                <w:color w:val="auto"/>
              </w:rPr>
            </w:pPr>
          </w:p>
        </w:tc>
        <w:tc>
          <w:tcPr>
            <w:tcW w:w="1120" w:type="dxa"/>
            <w:vAlign w:val="bottom"/>
            <w:gridSpan w:val="2"/>
          </w:tcPr>
          <w:p>
            <w:pPr>
              <w:jc w:val="center"/>
              <w:ind w:right="194"/>
              <w:spacing w:after="0"/>
              <w:rPr>
                <w:sz w:val="20"/>
                <w:szCs w:val="20"/>
                <w:color w:val="auto"/>
              </w:rPr>
            </w:pPr>
            <w:r>
              <w:rPr>
                <w:rFonts w:ascii="Arial" w:cs="Arial" w:eastAsia="Arial" w:hAnsi="Arial"/>
                <w:sz w:val="14"/>
                <w:szCs w:val="14"/>
                <w:b w:val="1"/>
                <w:bCs w:val="1"/>
                <w:color w:val="auto"/>
                <w:w w:val="87"/>
              </w:rPr>
              <w:t>Items</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jc w:val="right"/>
              <w:ind w:right="375"/>
              <w:spacing w:after="0"/>
              <w:rPr>
                <w:sz w:val="20"/>
                <w:szCs w:val="20"/>
                <w:color w:val="auto"/>
              </w:rPr>
            </w:pPr>
            <w:r>
              <w:rPr>
                <w:rFonts w:ascii="Arial" w:cs="Arial" w:eastAsia="Arial" w:hAnsi="Arial"/>
                <w:sz w:val="14"/>
                <w:szCs w:val="14"/>
                <w:b w:val="1"/>
                <w:bCs w:val="1"/>
                <w:color w:val="auto"/>
              </w:rPr>
              <w:t>Total</w:t>
            </w:r>
          </w:p>
        </w:tc>
      </w:tr>
      <w:tr>
        <w:trPr>
          <w:trHeight w:val="95"/>
        </w:trPr>
        <w:tc>
          <w:tcPr>
            <w:tcW w:w="2480" w:type="dxa"/>
            <w:vAlign w:val="bottom"/>
          </w:tcPr>
          <w:p>
            <w:pPr>
              <w:spacing w:after="0"/>
              <w:rPr>
                <w:sz w:val="8"/>
                <w:szCs w:val="8"/>
                <w:color w:val="auto"/>
              </w:rPr>
            </w:pPr>
          </w:p>
        </w:tc>
        <w:tc>
          <w:tcPr>
            <w:tcW w:w="1380" w:type="dxa"/>
            <w:vAlign w:val="bottom"/>
            <w:gridSpan w:val="2"/>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gridSpan w:val="2"/>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20" w:type="dxa"/>
            <w:vAlign w:val="bottom"/>
            <w:gridSpan w:val="4"/>
          </w:tcPr>
          <w:p>
            <w:pPr>
              <w:spacing w:after="0"/>
              <w:rPr>
                <w:sz w:val="8"/>
                <w:szCs w:val="8"/>
                <w:color w:val="auto"/>
              </w:rPr>
            </w:pPr>
          </w:p>
        </w:tc>
        <w:tc>
          <w:tcPr>
            <w:tcW w:w="900" w:type="dxa"/>
            <w:vAlign w:val="bottom"/>
          </w:tcPr>
          <w:p>
            <w:pPr>
              <w:spacing w:after="0"/>
              <w:rPr>
                <w:sz w:val="8"/>
                <w:szCs w:val="8"/>
                <w:color w:val="auto"/>
              </w:rPr>
            </w:pPr>
          </w:p>
        </w:tc>
      </w:tr>
      <w:tr>
        <w:trPr>
          <w:trHeight w:val="102"/>
        </w:trPr>
        <w:tc>
          <w:tcPr>
            <w:tcW w:w="2480" w:type="dxa"/>
            <w:vAlign w:val="bottom"/>
          </w:tcPr>
          <w:p>
            <w:pPr>
              <w:spacing w:after="0"/>
              <w:rPr>
                <w:sz w:val="8"/>
                <w:szCs w:val="8"/>
                <w:color w:val="auto"/>
              </w:rPr>
            </w:pPr>
          </w:p>
        </w:tc>
        <w:tc>
          <w:tcPr>
            <w:tcW w:w="300" w:type="dxa"/>
            <w:vAlign w:val="bottom"/>
            <w:tcBorders>
              <w:top w:val="single" w:sz="8" w:color="808080"/>
            </w:tcBorders>
          </w:tcPr>
          <w:p>
            <w:pPr>
              <w:spacing w:after="0"/>
              <w:rPr>
                <w:sz w:val="8"/>
                <w:szCs w:val="8"/>
                <w:color w:val="auto"/>
              </w:rPr>
            </w:pPr>
          </w:p>
        </w:tc>
        <w:tc>
          <w:tcPr>
            <w:tcW w:w="1080" w:type="dxa"/>
            <w:vAlign w:val="bottom"/>
            <w:tcBorders>
              <w:top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Borders>
              <w:top w:val="single" w:sz="8" w:color="808080"/>
            </w:tcBorders>
          </w:tcPr>
          <w:p>
            <w:pPr>
              <w:spacing w:after="0"/>
              <w:rPr>
                <w:sz w:val="8"/>
                <w:szCs w:val="8"/>
                <w:color w:val="auto"/>
              </w:rPr>
            </w:pPr>
          </w:p>
        </w:tc>
        <w:tc>
          <w:tcPr>
            <w:tcW w:w="300" w:type="dxa"/>
            <w:vAlign w:val="bottom"/>
            <w:tcBorders>
              <w:top w:val="single" w:sz="8" w:color="808080"/>
            </w:tcBorders>
          </w:tcPr>
          <w:p>
            <w:pPr>
              <w:spacing w:after="0"/>
              <w:rPr>
                <w:sz w:val="8"/>
                <w:szCs w:val="8"/>
                <w:color w:val="auto"/>
              </w:rPr>
            </w:pPr>
          </w:p>
        </w:tc>
        <w:tc>
          <w:tcPr>
            <w:tcW w:w="860" w:type="dxa"/>
            <w:vAlign w:val="bottom"/>
            <w:tcBorders>
              <w:top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Borders>
              <w:top w:val="single" w:sz="8" w:color="808080"/>
            </w:tcBorders>
          </w:tcPr>
          <w:p>
            <w:pPr>
              <w:spacing w:after="0"/>
              <w:rPr>
                <w:sz w:val="8"/>
                <w:szCs w:val="8"/>
                <w:color w:val="auto"/>
              </w:rPr>
            </w:pPr>
          </w:p>
        </w:tc>
        <w:tc>
          <w:tcPr>
            <w:tcW w:w="320" w:type="dxa"/>
            <w:vAlign w:val="bottom"/>
            <w:tcBorders>
              <w:top w:val="single" w:sz="8" w:color="808080"/>
            </w:tcBorders>
          </w:tcPr>
          <w:p>
            <w:pPr>
              <w:spacing w:after="0"/>
              <w:rPr>
                <w:sz w:val="8"/>
                <w:szCs w:val="8"/>
                <w:color w:val="auto"/>
              </w:rPr>
            </w:pPr>
          </w:p>
        </w:tc>
        <w:tc>
          <w:tcPr>
            <w:tcW w:w="800" w:type="dxa"/>
            <w:vAlign w:val="bottom"/>
            <w:tcBorders>
              <w:top w:val="single" w:sz="8" w:color="808080"/>
            </w:tcBorders>
          </w:tcPr>
          <w:p>
            <w:pPr>
              <w:spacing w:after="0"/>
              <w:rPr>
                <w:sz w:val="8"/>
                <w:szCs w:val="8"/>
                <w:color w:val="auto"/>
              </w:rPr>
            </w:pPr>
          </w:p>
        </w:tc>
        <w:tc>
          <w:tcPr>
            <w:tcW w:w="20" w:type="dxa"/>
            <w:vAlign w:val="bottom"/>
            <w:tcBorders>
              <w:top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Borders>
              <w:top w:val="single" w:sz="8" w:color="808080"/>
            </w:tcBorders>
          </w:tcPr>
          <w:p>
            <w:pPr>
              <w:spacing w:after="0"/>
              <w:rPr>
                <w:sz w:val="8"/>
                <w:szCs w:val="8"/>
                <w:color w:val="auto"/>
              </w:rPr>
            </w:pPr>
          </w:p>
        </w:tc>
        <w:tc>
          <w:tcPr>
            <w:tcW w:w="900" w:type="dxa"/>
            <w:vAlign w:val="bottom"/>
            <w:tcBorders>
              <w:top w:val="single" w:sz="8" w:color="808080"/>
            </w:tcBorders>
          </w:tcPr>
          <w:p>
            <w:pPr>
              <w:spacing w:after="0"/>
              <w:rPr>
                <w:sz w:val="8"/>
                <w:szCs w:val="8"/>
                <w:color w:val="auto"/>
              </w:rPr>
            </w:pPr>
          </w:p>
        </w:tc>
      </w:tr>
      <w:tr>
        <w:trPr>
          <w:trHeight w:val="216"/>
        </w:trPr>
        <w:tc>
          <w:tcPr>
            <w:tcW w:w="2480" w:type="dxa"/>
            <w:vAlign w:val="bottom"/>
            <w:shd w:val="clear" w:color="auto" w:fill="EEEEEE"/>
          </w:tcPr>
          <w:p>
            <w:pPr>
              <w:spacing w:after="0"/>
              <w:rPr>
                <w:sz w:val="20"/>
                <w:szCs w:val="20"/>
                <w:color w:val="auto"/>
              </w:rPr>
            </w:pPr>
            <w:r>
              <w:rPr>
                <w:rFonts w:ascii="Arial" w:cs="Arial" w:eastAsia="Arial" w:hAnsi="Arial"/>
                <w:sz w:val="18"/>
                <w:szCs w:val="18"/>
                <w:color w:val="auto"/>
              </w:rPr>
              <w:t>Revenues</w:t>
            </w:r>
          </w:p>
        </w:tc>
        <w:tc>
          <w:tcPr>
            <w:tcW w:w="1380" w:type="dxa"/>
            <w:vAlign w:val="bottom"/>
            <w:gridSpan w:val="2"/>
            <w:shd w:val="clear" w:color="auto" w:fill="EEEEEE"/>
          </w:tcPr>
          <w:p>
            <w:pPr>
              <w:jc w:val="right"/>
              <w:ind w:right="392"/>
              <w:spacing w:after="0"/>
              <w:rPr>
                <w:sz w:val="20"/>
                <w:szCs w:val="20"/>
                <w:color w:val="auto"/>
              </w:rPr>
            </w:pPr>
            <w:r>
              <w:rPr>
                <w:rFonts w:ascii="Arial" w:cs="Arial" w:eastAsia="Arial" w:hAnsi="Arial"/>
                <w:sz w:val="18"/>
                <w:szCs w:val="18"/>
                <w:color w:val="auto"/>
              </w:rPr>
              <w:t>$  5,435</w:t>
            </w:r>
          </w:p>
        </w:tc>
        <w:tc>
          <w:tcPr>
            <w:tcW w:w="2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362"/>
              <w:spacing w:after="0"/>
              <w:rPr>
                <w:sz w:val="20"/>
                <w:szCs w:val="20"/>
                <w:color w:val="auto"/>
              </w:rPr>
            </w:pPr>
            <w:r>
              <w:rPr>
                <w:rFonts w:ascii="Arial" w:cs="Arial" w:eastAsia="Arial" w:hAnsi="Arial"/>
                <w:sz w:val="18"/>
                <w:szCs w:val="18"/>
                <w:color w:val="auto"/>
              </w:rPr>
              <w:t>$ 5,075</w:t>
            </w: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00" w:type="dxa"/>
            <w:vAlign w:val="bottom"/>
            <w:shd w:val="clear" w:color="auto" w:fill="EEEEEE"/>
          </w:tcPr>
          <w:p>
            <w:pPr>
              <w:jc w:val="right"/>
              <w:ind w:right="334"/>
              <w:spacing w:after="0"/>
              <w:rPr>
                <w:sz w:val="20"/>
                <w:szCs w:val="20"/>
                <w:color w:val="auto"/>
              </w:rPr>
            </w:pPr>
            <w:r>
              <w:rPr>
                <w:rFonts w:ascii="Arial" w:cs="Arial" w:eastAsia="Arial" w:hAnsi="Arial"/>
                <w:sz w:val="18"/>
                <w:szCs w:val="18"/>
                <w:color w:val="auto"/>
              </w:rPr>
              <w:t>—</w:t>
            </w:r>
          </w:p>
        </w:tc>
        <w:tc>
          <w:tcPr>
            <w:tcW w:w="6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EEEEE"/>
          </w:tcPr>
          <w:p>
            <w:pPr>
              <w:jc w:val="right"/>
              <w:ind w:right="235"/>
              <w:spacing w:after="0"/>
              <w:rPr>
                <w:sz w:val="20"/>
                <w:szCs w:val="20"/>
                <w:color w:val="auto"/>
              </w:rPr>
            </w:pPr>
            <w:r>
              <w:rPr>
                <w:rFonts w:ascii="Arial" w:cs="Arial" w:eastAsia="Arial" w:hAnsi="Arial"/>
                <w:sz w:val="18"/>
                <w:szCs w:val="18"/>
                <w:color w:val="auto"/>
              </w:rPr>
              <w:t>10,510</w:t>
            </w: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380" w:type="dxa"/>
            <w:vAlign w:val="bottom"/>
            <w:gridSpan w:val="2"/>
          </w:tcPr>
          <w:p>
            <w:pPr>
              <w:jc w:val="right"/>
              <w:ind w:right="392"/>
              <w:spacing w:after="0"/>
              <w:rPr>
                <w:sz w:val="20"/>
                <w:szCs w:val="20"/>
                <w:color w:val="auto"/>
              </w:rPr>
            </w:pPr>
            <w:r>
              <w:rPr>
                <w:rFonts w:ascii="Arial" w:cs="Arial" w:eastAsia="Arial" w:hAnsi="Arial"/>
                <w:sz w:val="18"/>
                <w:szCs w:val="18"/>
                <w:color w:val="auto"/>
              </w:rPr>
              <w:t>3,714</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(1)</w:t>
            </w:r>
          </w:p>
        </w:tc>
        <w:tc>
          <w:tcPr>
            <w:tcW w:w="62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34"/>
              <w:spacing w:after="0"/>
              <w:rPr>
                <w:sz w:val="20"/>
                <w:szCs w:val="20"/>
                <w:color w:val="auto"/>
              </w:rPr>
            </w:pPr>
            <w:r>
              <w:rPr>
                <w:rFonts w:ascii="Arial" w:cs="Arial" w:eastAsia="Arial" w:hAnsi="Arial"/>
                <w:sz w:val="18"/>
                <w:szCs w:val="18"/>
                <w:color w:val="auto"/>
              </w:rPr>
              <w:t>522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ind w:right="235"/>
              <w:spacing w:after="0"/>
              <w:rPr>
                <w:sz w:val="20"/>
                <w:szCs w:val="20"/>
                <w:color w:val="auto"/>
              </w:rPr>
            </w:pPr>
            <w:r>
              <w:rPr>
                <w:rFonts w:ascii="Arial" w:cs="Arial" w:eastAsia="Arial" w:hAnsi="Arial"/>
                <w:sz w:val="18"/>
                <w:szCs w:val="18"/>
                <w:color w:val="auto"/>
              </w:rPr>
              <w:t>4,236</w:t>
            </w:r>
          </w:p>
        </w:tc>
      </w:tr>
      <w:tr>
        <w:trPr>
          <w:trHeight w:val="216"/>
        </w:trPr>
        <w:tc>
          <w:tcPr>
            <w:tcW w:w="2480" w:type="dxa"/>
            <w:vAlign w:val="bottom"/>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1380" w:type="dxa"/>
            <w:vAlign w:val="bottom"/>
            <w:gridSpan w:val="2"/>
            <w:shd w:val="clear" w:color="auto" w:fill="EEEEEE"/>
          </w:tcPr>
          <w:p>
            <w:pPr>
              <w:jc w:val="right"/>
              <w:ind w:right="392"/>
              <w:spacing w:after="0"/>
              <w:rPr>
                <w:sz w:val="20"/>
                <w:szCs w:val="20"/>
                <w:color w:val="auto"/>
              </w:rPr>
            </w:pPr>
            <w:r>
              <w:rPr>
                <w:rFonts w:ascii="Arial" w:cs="Arial" w:eastAsia="Arial" w:hAnsi="Arial"/>
                <w:sz w:val="18"/>
                <w:szCs w:val="18"/>
                <w:color w:val="auto"/>
              </w:rPr>
              <w:t>26</w:t>
            </w:r>
          </w:p>
        </w:tc>
        <w:tc>
          <w:tcPr>
            <w:tcW w:w="2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362"/>
              <w:spacing w:after="0"/>
              <w:rPr>
                <w:sz w:val="20"/>
                <w:szCs w:val="20"/>
                <w:color w:val="auto"/>
              </w:rPr>
            </w:pPr>
            <w:r>
              <w:rPr>
                <w:rFonts w:ascii="Arial" w:cs="Arial" w:eastAsia="Arial" w:hAnsi="Arial"/>
                <w:sz w:val="18"/>
                <w:szCs w:val="18"/>
                <w:color w:val="auto"/>
              </w:rPr>
              <w:t>2</w:t>
            </w:r>
          </w:p>
        </w:tc>
        <w:tc>
          <w:tcPr>
            <w:tcW w:w="260" w:type="dxa"/>
            <w:vAlign w:val="bottom"/>
            <w:shd w:val="clear" w:color="auto" w:fill="EEEEEE"/>
          </w:tcPr>
          <w:p>
            <w:pPr>
              <w:spacing w:after="0"/>
              <w:rPr>
                <w:sz w:val="18"/>
                <w:szCs w:val="18"/>
                <w:color w:val="auto"/>
              </w:rPr>
            </w:pPr>
          </w:p>
        </w:tc>
        <w:tc>
          <w:tcPr>
            <w:tcW w:w="1420" w:type="dxa"/>
            <w:vAlign w:val="bottom"/>
            <w:gridSpan w:val="3"/>
            <w:shd w:val="clear" w:color="auto" w:fill="EEEEEE"/>
          </w:tcPr>
          <w:p>
            <w:pPr>
              <w:jc w:val="right"/>
              <w:ind w:right="334"/>
              <w:spacing w:after="0"/>
              <w:rPr>
                <w:sz w:val="20"/>
                <w:szCs w:val="20"/>
                <w:color w:val="auto"/>
              </w:rPr>
            </w:pPr>
            <w:r>
              <w:rPr>
                <w:rFonts w:ascii="Arial" w:cs="Arial" w:eastAsia="Arial" w:hAnsi="Arial"/>
                <w:sz w:val="18"/>
                <w:szCs w:val="18"/>
                <w:color w:val="auto"/>
              </w:rPr>
              <w:t>6,021</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00" w:type="dxa"/>
            <w:vAlign w:val="bottom"/>
            <w:shd w:val="clear" w:color="auto" w:fill="EEEEEE"/>
          </w:tcPr>
          <w:p>
            <w:pPr>
              <w:jc w:val="right"/>
              <w:ind w:right="235"/>
              <w:spacing w:after="0"/>
              <w:rPr>
                <w:sz w:val="20"/>
                <w:szCs w:val="20"/>
                <w:color w:val="auto"/>
              </w:rPr>
            </w:pPr>
            <w:r>
              <w:rPr>
                <w:rFonts w:ascii="Arial" w:cs="Arial" w:eastAsia="Arial" w:hAnsi="Arial"/>
                <w:sz w:val="18"/>
                <w:szCs w:val="18"/>
                <w:color w:val="auto"/>
              </w:rPr>
              <w:t>6,049</w:t>
            </w:r>
          </w:p>
        </w:tc>
      </w:tr>
      <w:tr>
        <w:trPr>
          <w:trHeight w:val="257"/>
        </w:trPr>
        <w:tc>
          <w:tcPr>
            <w:tcW w:w="2480" w:type="dxa"/>
            <w:vAlign w:val="bottom"/>
          </w:tcPr>
          <w:p>
            <w:pPr>
              <w:spacing w:after="0"/>
              <w:rPr>
                <w:sz w:val="20"/>
                <w:szCs w:val="20"/>
                <w:color w:val="auto"/>
              </w:rPr>
            </w:pPr>
            <w:r>
              <w:rPr>
                <w:rFonts w:ascii="Arial" w:cs="Arial" w:eastAsia="Arial" w:hAnsi="Arial"/>
                <w:sz w:val="18"/>
                <w:szCs w:val="18"/>
                <w:color w:val="auto"/>
              </w:rPr>
              <w:t>Net (loss) income</w:t>
            </w:r>
          </w:p>
        </w:tc>
        <w:tc>
          <w:tcPr>
            <w:tcW w:w="1380" w:type="dxa"/>
            <w:vAlign w:val="bottom"/>
            <w:gridSpan w:val="2"/>
          </w:tcPr>
          <w:p>
            <w:pPr>
              <w:jc w:val="right"/>
              <w:ind w:right="332"/>
              <w:spacing w:after="0"/>
              <w:rPr>
                <w:sz w:val="20"/>
                <w:szCs w:val="20"/>
                <w:color w:val="auto"/>
              </w:rPr>
            </w:pPr>
            <w:r>
              <w:rPr>
                <w:rFonts w:ascii="Arial" w:cs="Arial" w:eastAsia="Arial" w:hAnsi="Arial"/>
                <w:sz w:val="18"/>
                <w:szCs w:val="18"/>
                <w:color w:val="auto"/>
              </w:rPr>
              <w:t>(57,125)</w:t>
            </w: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60" w:type="dxa"/>
            <w:vAlign w:val="bottom"/>
            <w:gridSpan w:val="2"/>
          </w:tcPr>
          <w:p>
            <w:pPr>
              <w:jc w:val="right"/>
              <w:ind w:right="362"/>
              <w:spacing w:after="0"/>
              <w:rPr>
                <w:sz w:val="20"/>
                <w:szCs w:val="20"/>
                <w:color w:val="auto"/>
              </w:rPr>
            </w:pPr>
            <w:r>
              <w:rPr>
                <w:rFonts w:ascii="Arial" w:cs="Arial" w:eastAsia="Arial" w:hAnsi="Arial"/>
                <w:sz w:val="18"/>
                <w:szCs w:val="18"/>
                <w:color w:val="auto"/>
              </w:rPr>
              <w:t>1,953</w:t>
            </w: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114"/>
              <w:spacing w:after="0" w:line="256" w:lineRule="exact"/>
              <w:rPr>
                <w:sz w:val="20"/>
                <w:szCs w:val="20"/>
                <w:color w:val="auto"/>
              </w:rPr>
            </w:pPr>
            <w:r>
              <w:rPr>
                <w:rFonts w:ascii="Arial" w:cs="Arial" w:eastAsia="Arial" w:hAnsi="Arial"/>
                <w:sz w:val="18"/>
                <w:szCs w:val="18"/>
                <w:color w:val="auto"/>
                <w:w w:val="88"/>
              </w:rPr>
              <w:t>(696)</w:t>
            </w:r>
            <w:r>
              <w:rPr>
                <w:rFonts w:ascii="Arial" w:cs="Arial" w:eastAsia="Arial" w:hAnsi="Arial"/>
                <w:sz w:val="29"/>
                <w:szCs w:val="29"/>
                <w:color w:val="auto"/>
                <w:w w:val="88"/>
                <w:vertAlign w:val="superscript"/>
              </w:rPr>
              <w:t>(2)</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jc w:val="right"/>
              <w:ind w:right="195"/>
              <w:spacing w:after="0"/>
              <w:rPr>
                <w:sz w:val="20"/>
                <w:szCs w:val="20"/>
                <w:color w:val="auto"/>
              </w:rPr>
            </w:pPr>
            <w:r>
              <w:rPr>
                <w:rFonts w:ascii="Arial" w:cs="Arial" w:eastAsia="Arial" w:hAnsi="Arial"/>
                <w:sz w:val="18"/>
                <w:szCs w:val="18"/>
                <w:color w:val="auto"/>
                <w:w w:val="89"/>
              </w:rPr>
              <w:t>(55,868)</w:t>
            </w:r>
          </w:p>
        </w:tc>
      </w:tr>
      <w:tr>
        <w:trPr>
          <w:trHeight w:val="216"/>
        </w:trPr>
        <w:tc>
          <w:tcPr>
            <w:tcW w:w="2480" w:type="dxa"/>
            <w:vAlign w:val="bottom"/>
            <w:shd w:val="clear" w:color="auto" w:fill="EEEEEE"/>
          </w:tcPr>
          <w:p>
            <w:pPr>
              <w:spacing w:after="0"/>
              <w:rPr>
                <w:sz w:val="20"/>
                <w:szCs w:val="20"/>
                <w:color w:val="auto"/>
              </w:rPr>
            </w:pPr>
            <w:r>
              <w:rPr>
                <w:rFonts w:ascii="Arial" w:cs="Arial" w:eastAsia="Arial" w:hAnsi="Arial"/>
                <w:sz w:val="18"/>
                <w:szCs w:val="18"/>
                <w:color w:val="auto"/>
              </w:rPr>
              <w:t>Capital expenditures</w:t>
            </w:r>
          </w:p>
        </w:tc>
        <w:tc>
          <w:tcPr>
            <w:tcW w:w="1380" w:type="dxa"/>
            <w:vAlign w:val="bottom"/>
            <w:gridSpan w:val="2"/>
            <w:shd w:val="clear" w:color="auto" w:fill="EEEEEE"/>
          </w:tcPr>
          <w:p>
            <w:pPr>
              <w:jc w:val="right"/>
              <w:ind w:right="392"/>
              <w:spacing w:after="0"/>
              <w:rPr>
                <w:sz w:val="20"/>
                <w:szCs w:val="20"/>
                <w:color w:val="auto"/>
              </w:rPr>
            </w:pPr>
            <w:r>
              <w:rPr>
                <w:rFonts w:ascii="Arial" w:cs="Arial" w:eastAsia="Arial" w:hAnsi="Arial"/>
                <w:sz w:val="18"/>
                <w:szCs w:val="18"/>
                <w:color w:val="auto"/>
              </w:rPr>
              <w:t>12,258</w:t>
            </w:r>
          </w:p>
        </w:tc>
        <w:tc>
          <w:tcPr>
            <w:tcW w:w="2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362"/>
              <w:spacing w:after="0"/>
              <w:rPr>
                <w:sz w:val="20"/>
                <w:szCs w:val="20"/>
                <w:color w:val="auto"/>
              </w:rPr>
            </w:pPr>
            <w:r>
              <w:rPr>
                <w:rFonts w:ascii="Arial" w:cs="Arial" w:eastAsia="Arial" w:hAnsi="Arial"/>
                <w:sz w:val="18"/>
                <w:szCs w:val="18"/>
                <w:color w:val="auto"/>
              </w:rPr>
              <w:t>35</w:t>
            </w: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00" w:type="dxa"/>
            <w:vAlign w:val="bottom"/>
            <w:shd w:val="clear" w:color="auto" w:fill="EEEEEE"/>
          </w:tcPr>
          <w:p>
            <w:pPr>
              <w:jc w:val="right"/>
              <w:ind w:right="334"/>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00" w:type="dxa"/>
            <w:vAlign w:val="bottom"/>
            <w:shd w:val="clear" w:color="auto" w:fill="EEEEEE"/>
          </w:tcPr>
          <w:p>
            <w:pPr>
              <w:jc w:val="right"/>
              <w:ind w:right="235"/>
              <w:spacing w:after="0"/>
              <w:rPr>
                <w:sz w:val="20"/>
                <w:szCs w:val="20"/>
                <w:color w:val="auto"/>
              </w:rPr>
            </w:pPr>
            <w:r>
              <w:rPr>
                <w:rFonts w:ascii="Arial" w:cs="Arial" w:eastAsia="Arial" w:hAnsi="Arial"/>
                <w:sz w:val="18"/>
                <w:szCs w:val="18"/>
                <w:color w:val="auto"/>
              </w:rPr>
              <w:t>12,293</w:t>
            </w:r>
          </w:p>
        </w:tc>
      </w:tr>
      <w:tr>
        <w:trPr>
          <w:trHeight w:val="222"/>
        </w:trPr>
        <w:tc>
          <w:tcPr>
            <w:tcW w:w="2480" w:type="dxa"/>
            <w:vAlign w:val="bottom"/>
          </w:tcPr>
          <w:p>
            <w:pPr>
              <w:spacing w:after="0"/>
              <w:rPr>
                <w:sz w:val="20"/>
                <w:szCs w:val="20"/>
                <w:color w:val="auto"/>
              </w:rPr>
            </w:pPr>
            <w:r>
              <w:rPr>
                <w:rFonts w:ascii="Arial" w:cs="Arial" w:eastAsia="Arial" w:hAnsi="Arial"/>
                <w:sz w:val="18"/>
                <w:szCs w:val="18"/>
                <w:color w:val="auto"/>
              </w:rPr>
              <w:t>Total assets</w:t>
            </w:r>
          </w:p>
        </w:tc>
        <w:tc>
          <w:tcPr>
            <w:tcW w:w="1380" w:type="dxa"/>
            <w:vAlign w:val="bottom"/>
            <w:gridSpan w:val="2"/>
          </w:tcPr>
          <w:p>
            <w:pPr>
              <w:jc w:val="right"/>
              <w:ind w:right="392"/>
              <w:spacing w:after="0"/>
              <w:rPr>
                <w:sz w:val="20"/>
                <w:szCs w:val="20"/>
                <w:color w:val="auto"/>
              </w:rPr>
            </w:pPr>
            <w:r>
              <w:rPr>
                <w:rFonts w:ascii="Arial" w:cs="Arial" w:eastAsia="Arial" w:hAnsi="Arial"/>
                <w:sz w:val="18"/>
                <w:szCs w:val="18"/>
                <w:color w:val="auto"/>
              </w:rPr>
              <w:t>45,271</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gridSpan w:val="2"/>
          </w:tcPr>
          <w:p>
            <w:pPr>
              <w:jc w:val="right"/>
              <w:ind w:right="362"/>
              <w:spacing w:after="0"/>
              <w:rPr>
                <w:sz w:val="20"/>
                <w:szCs w:val="20"/>
                <w:color w:val="auto"/>
              </w:rPr>
            </w:pPr>
            <w:r>
              <w:rPr>
                <w:rFonts w:ascii="Arial" w:cs="Arial" w:eastAsia="Arial" w:hAnsi="Arial"/>
                <w:sz w:val="18"/>
                <w:szCs w:val="18"/>
                <w:color w:val="auto"/>
              </w:rPr>
              <w:t>10,545</w:t>
            </w:r>
          </w:p>
        </w:tc>
        <w:tc>
          <w:tcPr>
            <w:tcW w:w="260" w:type="dxa"/>
            <w:vAlign w:val="bottom"/>
          </w:tcPr>
          <w:p>
            <w:pPr>
              <w:spacing w:after="0"/>
              <w:rPr>
                <w:sz w:val="19"/>
                <w:szCs w:val="19"/>
                <w:color w:val="auto"/>
              </w:rPr>
            </w:pPr>
          </w:p>
        </w:tc>
        <w:tc>
          <w:tcPr>
            <w:tcW w:w="1420" w:type="dxa"/>
            <w:vAlign w:val="bottom"/>
            <w:gridSpan w:val="3"/>
          </w:tcPr>
          <w:p>
            <w:pPr>
              <w:jc w:val="right"/>
              <w:ind w:right="174"/>
              <w:spacing w:after="0"/>
              <w:rPr>
                <w:sz w:val="20"/>
                <w:szCs w:val="20"/>
                <w:color w:val="auto"/>
              </w:rPr>
            </w:pPr>
            <w:r>
              <w:rPr>
                <w:rFonts w:ascii="Arial" w:cs="Arial" w:eastAsia="Arial" w:hAnsi="Arial"/>
                <w:sz w:val="18"/>
                <w:szCs w:val="18"/>
                <w:color w:val="auto"/>
              </w:rPr>
              <w:t>384,635</w:t>
            </w:r>
            <w:r>
              <w:rPr>
                <w:rFonts w:ascii="Arial" w:cs="Arial" w:eastAsia="Arial" w:hAnsi="Arial"/>
                <w:sz w:val="14"/>
                <w:szCs w:val="14"/>
                <w:color w:val="auto"/>
              </w:rPr>
              <w:t>(3)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ind w:right="235"/>
              <w:spacing w:after="0"/>
              <w:rPr>
                <w:sz w:val="20"/>
                <w:szCs w:val="20"/>
                <w:color w:val="auto"/>
              </w:rPr>
            </w:pPr>
            <w:r>
              <w:rPr>
                <w:rFonts w:ascii="Arial" w:cs="Arial" w:eastAsia="Arial" w:hAnsi="Arial"/>
                <w:sz w:val="18"/>
                <w:szCs w:val="18"/>
                <w:color w:val="auto"/>
                <w:w w:val="86"/>
              </w:rPr>
              <w:t>440,451</w:t>
            </w:r>
          </w:p>
        </w:tc>
      </w:tr>
    </w:tbl>
    <w:p>
      <w:pPr>
        <w:spacing w:after="0" w:line="201" w:lineRule="exact"/>
        <w:rPr>
          <w:sz w:val="20"/>
          <w:szCs w:val="20"/>
          <w:color w:val="auto"/>
        </w:rPr>
      </w:pPr>
    </w:p>
    <w:p>
      <w:pPr>
        <w:ind w:left="460" w:hanging="330"/>
        <w:spacing w:after="0" w:line="194" w:lineRule="auto"/>
        <w:tabs>
          <w:tab w:leader="none" w:pos="460" w:val="left"/>
        </w:tabs>
        <w:numPr>
          <w:ilvl w:val="0"/>
          <w:numId w:val="12"/>
        </w:numPr>
        <w:rPr>
          <w:rFonts w:ascii="Arial" w:cs="Arial" w:eastAsia="Arial" w:hAnsi="Arial"/>
          <w:sz w:val="29"/>
          <w:szCs w:val="29"/>
          <w:color w:val="auto"/>
          <w:vertAlign w:val="superscript"/>
        </w:rPr>
      </w:pPr>
      <w:r>
        <w:rPr>
          <w:rFonts w:ascii="Arial" w:cs="Arial" w:eastAsia="Arial" w:hAnsi="Arial"/>
          <w:sz w:val="18"/>
          <w:szCs w:val="18"/>
          <w:color w:val="auto"/>
        </w:rPr>
        <w:t>Depreciation and amortization related to contract manufacturing is capitalized into inventory and included in contract manufacturing expense when the product is shipped.</w:t>
      </w:r>
    </w:p>
    <w:p>
      <w:pPr>
        <w:spacing w:after="0" w:line="100" w:lineRule="exact"/>
        <w:rPr>
          <w:rFonts w:ascii="Arial" w:cs="Arial" w:eastAsia="Arial" w:hAnsi="Arial"/>
          <w:sz w:val="29"/>
          <w:szCs w:val="29"/>
          <w:color w:val="auto"/>
          <w:vertAlign w:val="superscript"/>
        </w:rPr>
      </w:pPr>
    </w:p>
    <w:p>
      <w:pPr>
        <w:ind w:left="460" w:hanging="330"/>
        <w:spacing w:after="0"/>
        <w:tabs>
          <w:tab w:leader="none" w:pos="460" w:val="left"/>
        </w:tabs>
        <w:numPr>
          <w:ilvl w:val="0"/>
          <w:numId w:val="12"/>
        </w:numPr>
        <w:rPr>
          <w:rFonts w:ascii="Arial" w:cs="Arial" w:eastAsia="Arial" w:hAnsi="Arial"/>
          <w:sz w:val="29"/>
          <w:szCs w:val="29"/>
          <w:color w:val="auto"/>
          <w:vertAlign w:val="superscript"/>
        </w:rPr>
      </w:pPr>
      <w:r>
        <w:rPr>
          <w:rFonts w:ascii="Arial" w:cs="Arial" w:eastAsia="Arial" w:hAnsi="Arial"/>
          <w:sz w:val="18"/>
          <w:szCs w:val="18"/>
          <w:color w:val="auto"/>
        </w:rPr>
        <w:t>Represents investment income, net of interest expense related to convertible notes issued in October 2001.</w:t>
      </w:r>
    </w:p>
    <w:p>
      <w:pPr>
        <w:spacing w:after="0" w:line="160" w:lineRule="exact"/>
        <w:rPr>
          <w:rFonts w:ascii="Arial" w:cs="Arial" w:eastAsia="Arial" w:hAnsi="Arial"/>
          <w:sz w:val="29"/>
          <w:szCs w:val="29"/>
          <w:color w:val="auto"/>
          <w:vertAlign w:val="superscript"/>
        </w:rPr>
      </w:pPr>
    </w:p>
    <w:p>
      <w:pPr>
        <w:ind w:left="460" w:hanging="330"/>
        <w:spacing w:after="0" w:line="226" w:lineRule="auto"/>
        <w:tabs>
          <w:tab w:leader="none" w:pos="460" w:val="left"/>
        </w:tabs>
        <w:numPr>
          <w:ilvl w:val="0"/>
          <w:numId w:val="12"/>
        </w:numPr>
        <w:rPr>
          <w:rFonts w:ascii="Arial" w:cs="Arial" w:eastAsia="Arial" w:hAnsi="Arial"/>
          <w:sz w:val="25"/>
          <w:szCs w:val="25"/>
          <w:color w:val="auto"/>
          <w:vertAlign w:val="superscript"/>
        </w:rPr>
      </w:pPr>
      <w:r>
        <w:rPr>
          <w:rFonts w:ascii="Arial" w:cs="Arial" w:eastAsia="Arial" w:hAnsi="Arial"/>
          <w:sz w:val="15"/>
          <w:szCs w:val="15"/>
          <w:color w:val="auto"/>
        </w:rPr>
        <w:t>Includes cash and cash equivalents, marketable securities, restricted marketable securities, prepaid expenses and other current assets, and other assets.</w:t>
      </w:r>
    </w:p>
    <w:p>
      <w:pPr>
        <w:spacing w:after="0" w:line="210" w:lineRule="exact"/>
        <w:rPr>
          <w:rFonts w:ascii="Arial" w:cs="Arial" w:eastAsia="Arial" w:hAnsi="Arial"/>
          <w:sz w:val="25"/>
          <w:szCs w:val="25"/>
          <w:color w:val="auto"/>
          <w:vertAlign w:val="superscript"/>
        </w:rPr>
      </w:pPr>
    </w:p>
    <w:p>
      <w:pPr>
        <w:ind w:left="5620"/>
        <w:spacing w:after="0"/>
        <w:rPr>
          <w:rFonts w:ascii="Arial" w:cs="Arial" w:eastAsia="Arial" w:hAnsi="Arial"/>
          <w:sz w:val="25"/>
          <w:szCs w:val="25"/>
          <w:color w:val="auto"/>
          <w:vertAlign w:val="superscript"/>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419" w:right="5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13" w:lineRule="exact"/>
        <w:rPr>
          <w:sz w:val="20"/>
          <w:szCs w:val="20"/>
          <w:color w:val="auto"/>
        </w:rPr>
      </w:pPr>
    </w:p>
    <w:p>
      <w:pPr>
        <w:ind w:left="560" w:hanging="552"/>
        <w:spacing w:after="0"/>
        <w:tabs>
          <w:tab w:leader="none" w:pos="5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Legal Matters</w:t>
      </w:r>
    </w:p>
    <w:p>
      <w:pPr>
        <w:spacing w:after="0" w:line="231" w:lineRule="exact"/>
        <w:rPr>
          <w:rFonts w:ascii="Arial" w:cs="Arial" w:eastAsia="Arial" w:hAnsi="Arial"/>
          <w:sz w:val="18"/>
          <w:szCs w:val="18"/>
          <w:b w:val="1"/>
          <w:bCs w:val="1"/>
          <w:color w:val="auto"/>
        </w:rPr>
      </w:pPr>
    </w:p>
    <w:p>
      <w:pPr>
        <w:ind w:left="560" w:right="2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In May 2003, securities class action lawsuits were commenced against Regeneron and certain of the Company’s officers and directors in the United States District Court for the Southern District of New York. The complaints, which purport to be brought on behalf of a class consisting of investors in the Company’s publicly traded securities between March 28, 2000 and March 30, 2003, allege that the defendants misstated or omitted material information concerning the safety and efficacy of AXOKINE, in violation of Sections 10(b) and 20(a) of the Securities and Exchange Act of 1934, and Rule 10b-5 promulgated thereunder. Damages are sought in an unspecified amount. The Company’s management believes that the lawsuits are without merit. The ultimate outcome of these matters cannot presently be determined. Accordingly, no provision for any liability that may result upon the resolution of these matters has been made in the accompanying financial statements.</w:t>
      </w:r>
    </w:p>
    <w:p>
      <w:pPr>
        <w:spacing w:after="0" w:line="166" w:lineRule="exact"/>
        <w:rPr>
          <w:rFonts w:ascii="Arial" w:cs="Arial" w:eastAsia="Arial" w:hAnsi="Arial"/>
          <w:sz w:val="18"/>
          <w:szCs w:val="18"/>
          <w:b w:val="1"/>
          <w:bCs w:val="1"/>
          <w:color w:val="auto"/>
        </w:rPr>
      </w:pPr>
    </w:p>
    <w:p>
      <w:pPr>
        <w:ind w:left="560" w:hanging="552"/>
        <w:spacing w:after="0"/>
        <w:tabs>
          <w:tab w:leader="none" w:pos="5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31" w:lineRule="exact"/>
        <w:rPr>
          <w:rFonts w:ascii="Arial" w:cs="Arial" w:eastAsia="Arial" w:hAnsi="Arial"/>
          <w:sz w:val="18"/>
          <w:szCs w:val="18"/>
          <w:b w:val="1"/>
          <w:bCs w:val="1"/>
          <w:color w:val="auto"/>
        </w:rPr>
      </w:pPr>
    </w:p>
    <w:p>
      <w:pPr>
        <w:ind w:left="560" w:right="2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 xml:space="preserve">In November 2002, the Financial Accounting Standards Board issued FASB Interpretation No. 45 (“FIN 45”), </w:t>
      </w:r>
      <w:r>
        <w:rPr>
          <w:rFonts w:ascii="Arial" w:cs="Arial" w:eastAsia="Arial" w:hAnsi="Arial"/>
          <w:sz w:val="18"/>
          <w:szCs w:val="18"/>
          <w:i w:val="1"/>
          <w:iCs w:val="1"/>
          <w:color w:val="auto"/>
        </w:rPr>
        <w:t>Guarantor’s Accounting and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for Guarantees, including Indirect Guarantees of Indebtedness of Others, an interpretation of SFAS Nos. 5, 57 and 107 and Rescission of FASB Interpretation No. 34</w:t>
      </w:r>
      <w:r>
        <w:rPr>
          <w:rFonts w:ascii="Arial" w:cs="Arial" w:eastAsia="Arial" w:hAnsi="Arial"/>
          <w:sz w:val="18"/>
          <w:szCs w:val="18"/>
          <w:color w:val="auto"/>
        </w:rPr>
        <w:t>. FIN 45 clarifies the requirements of SFAS No. 5,</w:t>
      </w:r>
      <w:r>
        <w:rPr>
          <w:rFonts w:ascii="Arial" w:cs="Arial" w:eastAsia="Arial" w:hAnsi="Arial"/>
          <w:sz w:val="18"/>
          <w:szCs w:val="18"/>
          <w:i w:val="1"/>
          <w:iCs w:val="1"/>
          <w:color w:val="auto"/>
        </w:rPr>
        <w:t xml:space="preserve"> Accounting for Contingencies, </w:t>
      </w:r>
      <w:r>
        <w:rPr>
          <w:rFonts w:ascii="Arial" w:cs="Arial" w:eastAsia="Arial" w:hAnsi="Arial"/>
          <w:sz w:val="18"/>
          <w:szCs w:val="18"/>
          <w:color w:val="auto"/>
        </w:rPr>
        <w:t>relating to the guarantor’s accounting for,</w:t>
      </w:r>
      <w:r>
        <w:rPr>
          <w:rFonts w:ascii="Arial" w:cs="Arial" w:eastAsia="Arial" w:hAnsi="Arial"/>
          <w:sz w:val="18"/>
          <w:szCs w:val="18"/>
          <w:i w:val="1"/>
          <w:iCs w:val="1"/>
          <w:color w:val="auto"/>
        </w:rPr>
        <w:t xml:space="preserve"> </w:t>
      </w:r>
      <w:r>
        <w:rPr>
          <w:rFonts w:ascii="Arial" w:cs="Arial" w:eastAsia="Arial" w:hAnsi="Arial"/>
          <w:sz w:val="18"/>
          <w:szCs w:val="18"/>
          <w:color w:val="auto"/>
        </w:rPr>
        <w:t>and disclosure of, the issuance of certain types of guarantees. Adoption of FIN 45 did not have a material impact on either the operating results or financial position of the Company.</w:t>
      </w:r>
    </w:p>
    <w:p>
      <w:pPr>
        <w:spacing w:after="0" w:line="196" w:lineRule="exact"/>
        <w:rPr>
          <w:rFonts w:ascii="Arial" w:cs="Arial" w:eastAsia="Arial" w:hAnsi="Arial"/>
          <w:sz w:val="18"/>
          <w:szCs w:val="18"/>
          <w:b w:val="1"/>
          <w:bCs w:val="1"/>
          <w:color w:val="auto"/>
        </w:rPr>
      </w:pPr>
    </w:p>
    <w:p>
      <w:pPr>
        <w:ind w:left="56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The Company enters into indemnification provisions, normal and customary for companies in its industry sector, under its agreements with third parties in its ordinary course of business, typically with business partners, clinical sites, and suppliers. Pursuant to these agreements, the Company generally agrees to indemnify, holds harmless, and reimburse the indemnified parties for losses suffered or incurred by the indemnified parties with respect to the Company’s product candidates, use of such product candidates or other actions taken or omitted by the Company. The maximum potential amount of future payments the Company could be required to make under these indemnification provisions is unlimited. The Company has not incurred material costs to defend lawsuits or settle claims related to these indemnification provisions. As a result, the estimated fair value of these provisions is minimal. Accordingly, the Company has no liabilities recorded for these provisions as of June 30, 2003.</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13" w:lineRule="exact"/>
        <w:rPr>
          <w:sz w:val="20"/>
          <w:szCs w:val="20"/>
          <w:color w:val="auto"/>
        </w:rPr>
      </w:pPr>
    </w:p>
    <w:p>
      <w:pPr>
        <w:ind w:left="560" w:hanging="552"/>
        <w:spacing w:after="0"/>
        <w:tabs>
          <w:tab w:leader="none" w:pos="5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Future Impact of Recently Issued Accounting Standards</w:t>
      </w:r>
    </w:p>
    <w:p>
      <w:pPr>
        <w:spacing w:after="0" w:line="231" w:lineRule="exact"/>
        <w:rPr>
          <w:rFonts w:ascii="Arial" w:cs="Arial" w:eastAsia="Arial" w:hAnsi="Arial"/>
          <w:sz w:val="18"/>
          <w:szCs w:val="18"/>
          <w:b w:val="1"/>
          <w:bCs w:val="1"/>
          <w:color w:val="auto"/>
        </w:rPr>
      </w:pPr>
    </w:p>
    <w:p>
      <w:pPr>
        <w:ind w:left="56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 xml:space="preserve">In May 2003, the Financial Accounting Standards Board issued Statement No. 150 (“SFAS No. 150”), </w:t>
      </w:r>
      <w:r>
        <w:rPr>
          <w:rFonts w:ascii="Arial" w:cs="Arial" w:eastAsia="Arial" w:hAnsi="Arial"/>
          <w:sz w:val="16"/>
          <w:szCs w:val="16"/>
          <w:i w:val="1"/>
          <w:iCs w:val="1"/>
          <w:color w:val="auto"/>
        </w:rPr>
        <w:t>Accounting for Certain Financial Instruments with</w:t>
      </w:r>
      <w:r>
        <w:rPr>
          <w:rFonts w:ascii="Arial" w:cs="Arial" w:eastAsia="Arial" w:hAnsi="Arial"/>
          <w:sz w:val="16"/>
          <w:szCs w:val="16"/>
          <w:color w:val="auto"/>
        </w:rPr>
        <w:t xml:space="preserve"> </w:t>
      </w:r>
      <w:r>
        <w:rPr>
          <w:rFonts w:ascii="Arial" w:cs="Arial" w:eastAsia="Arial" w:hAnsi="Arial"/>
          <w:sz w:val="16"/>
          <w:szCs w:val="16"/>
          <w:i w:val="1"/>
          <w:iCs w:val="1"/>
          <w:color w:val="auto"/>
        </w:rPr>
        <w:t>Characteristics of Both Liabilities and Equity</w:t>
      </w:r>
      <w:r>
        <w:rPr>
          <w:rFonts w:ascii="Arial" w:cs="Arial" w:eastAsia="Arial" w:hAnsi="Arial"/>
          <w:sz w:val="16"/>
          <w:szCs w:val="16"/>
          <w:color w:val="auto"/>
        </w:rPr>
        <w:t>. SFAS No. 150 specifies that instruments within its scope embody obligations of the issuer and that,</w:t>
      </w:r>
    </w:p>
    <w:p>
      <w:pPr>
        <w:ind w:left="560" w:right="40"/>
        <w:spacing w:after="0" w:line="300" w:lineRule="auto"/>
        <w:rPr>
          <w:sz w:val="20"/>
          <w:szCs w:val="20"/>
          <w:color w:val="auto"/>
        </w:rPr>
      </w:pPr>
      <w:r>
        <w:rPr>
          <w:rFonts w:ascii="Arial" w:cs="Arial" w:eastAsia="Arial" w:hAnsi="Arial"/>
          <w:sz w:val="15"/>
          <w:szCs w:val="15"/>
          <w:color w:val="auto"/>
        </w:rPr>
        <w:t>therefore, the issuer must classify them as liabilities. SFAS No. 150 requires issuers to classify as liabilities the following three types of freestanding financial instruments: (1) mandatorily redeemable financial instruments; (2) obligations to repurchase the issuer’s equity shares by transferring assets and</w:t>
      </w:r>
    </w:p>
    <w:p>
      <w:pPr>
        <w:spacing w:after="0" w:line="1" w:lineRule="exact"/>
        <w:rPr>
          <w:sz w:val="20"/>
          <w:szCs w:val="20"/>
          <w:color w:val="auto"/>
        </w:rPr>
      </w:pPr>
    </w:p>
    <w:p>
      <w:pPr>
        <w:ind w:left="820" w:hanging="258"/>
        <w:spacing w:after="0"/>
        <w:tabs>
          <w:tab w:leader="none" w:pos="8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certain obligations to issue a variable number of shares. SFAS No. 150 defines a “freestanding financial instrument” as a financial instrument that</w:t>
      </w:r>
    </w:p>
    <w:p>
      <w:pPr>
        <w:spacing w:after="0" w:line="32" w:lineRule="exact"/>
        <w:rPr>
          <w:rFonts w:ascii="Arial" w:cs="Arial" w:eastAsia="Arial" w:hAnsi="Arial"/>
          <w:sz w:val="16"/>
          <w:szCs w:val="16"/>
          <w:color w:val="auto"/>
        </w:rPr>
      </w:pPr>
    </w:p>
    <w:p>
      <w:pPr>
        <w:ind w:left="560" w:right="60" w:firstLine="2"/>
        <w:spacing w:after="0" w:line="253" w:lineRule="auto"/>
        <w:tabs>
          <w:tab w:leader="none" w:pos="809"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 entered into separately and apart from any of the entity’s other financial instruments or equity transactions or (2) is entered into in conjunction with some other transaction and can be legally detached and exercised on a separate basis. For all financial instruments entered into or modified after May 31, 2003, SFAS No. 150 is effective immediately. For all other instruments of public companies, SFAS No. 150 goes into effect at the beginning of the first interim period beginning after June 15, 2003. The Company does not expect the adoption of SFAS No. 150 to have a material impact on its financial statements.</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General</w:t>
      </w:r>
    </w:p>
    <w:p>
      <w:pPr>
        <w:spacing w:after="0" w:line="225" w:lineRule="exact"/>
        <w:rPr>
          <w:sz w:val="20"/>
          <w:szCs w:val="20"/>
          <w:color w:val="auto"/>
        </w:rPr>
      </w:pPr>
    </w:p>
    <w:p>
      <w:pPr>
        <w:ind w:left="460" w:firstLine="219"/>
        <w:spacing w:after="0" w:line="290" w:lineRule="auto"/>
        <w:rPr>
          <w:sz w:val="20"/>
          <w:szCs w:val="20"/>
          <w:color w:val="auto"/>
        </w:rPr>
      </w:pPr>
      <w:r>
        <w:rPr>
          <w:rFonts w:ascii="Arial" w:cs="Arial" w:eastAsia="Arial" w:hAnsi="Arial"/>
          <w:sz w:val="16"/>
          <w:szCs w:val="16"/>
          <w:b w:val="1"/>
          <w:bCs w:val="1"/>
          <w:color w:val="auto"/>
        </w:rPr>
        <w:t xml:space="preserve">Overview. </w:t>
      </w:r>
      <w:r>
        <w:rPr>
          <w:rFonts w:ascii="Arial" w:cs="Arial" w:eastAsia="Arial" w:hAnsi="Arial"/>
          <w:sz w:val="16"/>
          <w:szCs w:val="16"/>
          <w:i w:val="1"/>
          <w:iCs w:val="1"/>
          <w:color w:val="auto"/>
        </w:rPr>
        <w:t>The discussion below contains forward-looking statements that involve risks and uncertainties relating to the future financial performance of</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Regeneron Pharmaceuticals, Inc. and actual events or results may differ materially. These statements concern, among other things, the possible therapeutic applications of our product candidates and research programs, the timing, nature, and success of the clinical and research programs now underway or planned, and the future uses of capital and our financial needs. These statements are made by us based on management’s current beliefs and judgment. In evaluating such statements, stockholders and potential investors should specifically consider the various factors identified under the caption “Factors That May Affect Future Operating Results” which could cause actual results to differ materially from those indicated by such forward-looking statements. We do not undertake any obligation to update publicly any forward-looking statement, whether as a result of new information, future events, or otherwise, except as required by law.</w:t>
      </w:r>
    </w:p>
    <w:p>
      <w:pPr>
        <w:spacing w:after="0" w:line="172" w:lineRule="exact"/>
        <w:rPr>
          <w:sz w:val="20"/>
          <w:szCs w:val="20"/>
          <w:color w:val="auto"/>
        </w:rPr>
      </w:pPr>
    </w:p>
    <w:p>
      <w:pPr>
        <w:ind w:left="460" w:right="80" w:firstLine="219"/>
        <w:spacing w:after="0" w:line="255" w:lineRule="auto"/>
        <w:rPr>
          <w:sz w:val="20"/>
          <w:szCs w:val="20"/>
          <w:color w:val="auto"/>
        </w:rPr>
      </w:pPr>
      <w:r>
        <w:rPr>
          <w:rFonts w:ascii="Arial" w:cs="Arial" w:eastAsia="Arial" w:hAnsi="Arial"/>
          <w:sz w:val="18"/>
          <w:szCs w:val="18"/>
          <w:color w:val="auto"/>
        </w:rPr>
        <w:t>Regeneron Pharmaceuticals, Inc. is a biopharmaceutical company that discovers, develops, and intends to commercialize therapeutic products for the treatment of serious medical conditions. Our clinical and pre-clinical pipeline includes product candidates for the treatment of obesity, rheumatoid arthritis and other inflammatory conditions, cancer and related disorders, allergies, asthma, and other diseases and disorders. Developing and commercializing new medicines entails risk and significant expense. Since inception, we have not generated any sales or profits from the commercialization of any of our product candidates.</w:t>
      </w:r>
    </w:p>
    <w:p>
      <w:pPr>
        <w:spacing w:after="0" w:line="197" w:lineRule="exact"/>
        <w:rPr>
          <w:sz w:val="20"/>
          <w:szCs w:val="20"/>
          <w:color w:val="auto"/>
        </w:rPr>
      </w:pPr>
    </w:p>
    <w:p>
      <w:pPr>
        <w:ind w:left="460" w:right="60" w:firstLine="219"/>
        <w:spacing w:after="0" w:line="290" w:lineRule="auto"/>
        <w:rPr>
          <w:sz w:val="20"/>
          <w:szCs w:val="20"/>
          <w:color w:val="auto"/>
        </w:rPr>
      </w:pPr>
      <w:r>
        <w:rPr>
          <w:rFonts w:ascii="Arial" w:cs="Arial" w:eastAsia="Arial" w:hAnsi="Arial"/>
          <w:sz w:val="16"/>
          <w:szCs w:val="16"/>
          <w:color w:val="auto"/>
        </w:rPr>
        <w:t>Our core business strategy is to combine our strong foundation in basic scientific research and discovery-enabling technology with our manufacturing and clinical development capabilities to build a successful, integrated biopharmaceutical company. Our efforts have yielded a diverse pipeline of product candidates that have the potential to address a variety of unmet medical needs. We believe that our ability to develop product candidates is enhanced by the application of our technology platforms. These platforms are designed to discover specific genes of therapeutic interest for a particular disease or cell type and validate targets through high-throughput production of mammalian models in which a specific gene is removed (referred to as “knock-out”) or is overproduced (referred to as “transgenic”). We continue to invest in the development of enabling technologies to assist in our efforts to identify, develop, and commercialize new product candidates.</w:t>
      </w:r>
    </w:p>
    <w:p>
      <w:pPr>
        <w:spacing w:after="0" w:line="172" w:lineRule="exact"/>
        <w:rPr>
          <w:sz w:val="20"/>
          <w:szCs w:val="20"/>
          <w:color w:val="auto"/>
        </w:rPr>
      </w:pPr>
    </w:p>
    <w:p>
      <w:pPr>
        <w:ind w:left="460" w:right="620" w:firstLine="219"/>
        <w:spacing w:after="0" w:line="268" w:lineRule="auto"/>
        <w:rPr>
          <w:sz w:val="20"/>
          <w:szCs w:val="20"/>
          <w:color w:val="auto"/>
        </w:rPr>
      </w:pPr>
      <w:r>
        <w:rPr>
          <w:rFonts w:ascii="Arial" w:cs="Arial" w:eastAsia="Arial" w:hAnsi="Arial"/>
          <w:sz w:val="18"/>
          <w:szCs w:val="18"/>
          <w:color w:val="auto"/>
        </w:rPr>
        <w:t>Below is a summary of our leading clinical and pre-clinical research programs. With the exception of the IL-1 Trap, which we are developing in collaboration with</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20"/>
        <w:spacing w:after="0" w:line="268" w:lineRule="auto"/>
        <w:rPr>
          <w:sz w:val="20"/>
          <w:szCs w:val="20"/>
          <w:color w:val="auto"/>
        </w:rPr>
      </w:pPr>
      <w:r>
        <w:rPr>
          <w:rFonts w:ascii="Arial" w:cs="Arial" w:eastAsia="Arial" w:hAnsi="Arial"/>
          <w:sz w:val="18"/>
          <w:szCs w:val="18"/>
          <w:color w:val="auto"/>
        </w:rPr>
        <w:t>Novartis Pharma AG, we retain sole ownership and marketing rights for each of these programs and currently are developing them independently of any corporate partners.</w:t>
      </w:r>
    </w:p>
    <w:p>
      <w:pPr>
        <w:spacing w:after="0" w:line="180" w:lineRule="exact"/>
        <w:rPr>
          <w:sz w:val="20"/>
          <w:szCs w:val="20"/>
          <w:color w:val="auto"/>
        </w:rPr>
      </w:pPr>
    </w:p>
    <w:p>
      <w:pPr>
        <w:ind w:left="1040" w:hanging="451"/>
        <w:spacing w:after="0" w:line="288" w:lineRule="auto"/>
        <w:tabs>
          <w:tab w:leader="none" w:pos="1040"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t xml:space="preserve">AXOKINE®: </w:t>
      </w:r>
      <w:r>
        <w:rPr>
          <w:rFonts w:ascii="Arial" w:cs="Arial" w:eastAsia="Arial" w:hAnsi="Arial"/>
          <w:sz w:val="16"/>
          <w:szCs w:val="16"/>
          <w:color w:val="auto"/>
        </w:rPr>
        <w:t>Acts on the brain region regulating food intake and energy expenditure and is being developed for the treatment of obesity. In</w:t>
      </w:r>
      <w:r>
        <w:rPr>
          <w:rFonts w:ascii="Arial" w:cs="Arial" w:eastAsia="Arial" w:hAnsi="Arial"/>
          <w:sz w:val="16"/>
          <w:szCs w:val="16"/>
          <w:b w:val="1"/>
          <w:bCs w:val="1"/>
          <w:color w:val="auto"/>
        </w:rPr>
        <w:t xml:space="preserve"> </w:t>
      </w:r>
      <w:r>
        <w:rPr>
          <w:rFonts w:ascii="Arial" w:cs="Arial" w:eastAsia="Arial" w:hAnsi="Arial"/>
          <w:sz w:val="16"/>
          <w:szCs w:val="16"/>
          <w:color w:val="auto"/>
        </w:rPr>
        <w:t>March 2003, we reported data from the 12-month treatment period of our initial Phase III pivotal trial of AXOKINE. This trial enrolled approximately 2000 patients and involved a 12-month treatment period in which subjects received daily subcutaneous self-injections of placebo or AXOKINE. The study demonstrated that subjects receiving AXOKINE experienced a greater average weight loss than those receiving placebo (6.2 lbs. vs. 2.6 lbs, p&lt;.001) and that a greater proportion of AXOKINE-treated subjects lost at least 5 percent of their initial body weight compared with placebo-treated subjects (25.1 percent vs. 17.6 percent, p&lt;.001). Although the Phase III study met its primary endpoints and many individuals achieved a medically meaningful weight loss, the average weight loss was small and limited by the development of antibodies. The study also showed that AXOKINE had a favorable safety and tolerability profile. The treatment period in this study is being followed by a twelve-month open-label extension phase, during which all study subjects receive AXOKINE. The extension phase is expected to be completed in the first quarter of 2004.</w:t>
      </w:r>
    </w:p>
    <w:p>
      <w:pPr>
        <w:spacing w:after="0" w:line="395" w:lineRule="exact"/>
        <w:rPr>
          <w:rFonts w:ascii="Arial" w:cs="Arial" w:eastAsia="Arial" w:hAnsi="Arial"/>
          <w:sz w:val="16"/>
          <w:szCs w:val="16"/>
          <w:color w:val="auto"/>
        </w:rPr>
      </w:pPr>
    </w:p>
    <w:p>
      <w:pPr>
        <w:ind w:left="1040" w:right="20"/>
        <w:spacing w:after="0" w:line="256" w:lineRule="auto"/>
        <w:rPr>
          <w:rFonts w:ascii="Arial" w:cs="Arial" w:eastAsia="Arial" w:hAnsi="Arial"/>
          <w:sz w:val="16"/>
          <w:szCs w:val="16"/>
          <w:color w:val="auto"/>
        </w:rPr>
      </w:pPr>
      <w:r>
        <w:rPr>
          <w:rFonts w:ascii="Arial" w:cs="Arial" w:eastAsia="Arial" w:hAnsi="Arial"/>
          <w:sz w:val="18"/>
          <w:szCs w:val="18"/>
          <w:color w:val="auto"/>
        </w:rPr>
        <w:t>In April 2003, we announced the results of a 12-week Phase II clinical trial to assess the safety and efficacy of AXOKINE in overweight and obese individuals with type 2 diabetes mellitus. The study showed that treatment with AXOKINE resulted in statistically significant and dose-dependent weight loss, which was in line with the weight loss observed in the Phase III pivotal trial at the same 12-week time point. This trial recently completed a 12-week open-label extension phase.</w:t>
      </w:r>
    </w:p>
    <w:p>
      <w:pPr>
        <w:spacing w:after="0" w:line="191" w:lineRule="exact"/>
        <w:rPr>
          <w:rFonts w:ascii="Arial" w:cs="Arial" w:eastAsia="Arial" w:hAnsi="Arial"/>
          <w:sz w:val="16"/>
          <w:szCs w:val="16"/>
          <w:color w:val="auto"/>
        </w:rPr>
      </w:pPr>
    </w:p>
    <w:p>
      <w:pPr>
        <w:ind w:left="1040" w:right="100" w:hanging="451"/>
        <w:spacing w:after="0" w:line="291" w:lineRule="auto"/>
        <w:tabs>
          <w:tab w:leader="none" w:pos="1040"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t xml:space="preserve">INTERLEUKIN-1 CYTOKINE TRAP (IL-1 Trap): </w:t>
      </w:r>
      <w:r>
        <w:rPr>
          <w:rFonts w:ascii="Arial" w:cs="Arial" w:eastAsia="Arial" w:hAnsi="Arial"/>
          <w:sz w:val="16"/>
          <w:szCs w:val="16"/>
          <w:color w:val="auto"/>
        </w:rPr>
        <w:t>Protein-based product candidate designed to bind the interleukin-1 (called IL-1) cytokine</w:t>
      </w:r>
      <w:r>
        <w:rPr>
          <w:rFonts w:ascii="Arial" w:cs="Arial" w:eastAsia="Arial" w:hAnsi="Arial"/>
          <w:sz w:val="16"/>
          <w:szCs w:val="16"/>
          <w:b w:val="1"/>
          <w:bCs w:val="1"/>
          <w:color w:val="auto"/>
        </w:rPr>
        <w:t xml:space="preserve"> </w:t>
      </w:r>
      <w:r>
        <w:rPr>
          <w:rFonts w:ascii="Arial" w:cs="Arial" w:eastAsia="Arial" w:hAnsi="Arial"/>
          <w:sz w:val="16"/>
          <w:szCs w:val="16"/>
          <w:color w:val="auto"/>
        </w:rPr>
        <w:t>and prevent its interaction with cell surface receptors. IL-1 is thought to play a major role in rheumatoid arthritis and other inflammatory diseases. In July 2002, we announced the initiation of a dose-ranging Phase II trial to study the safety and efficacy of the IL-1 Trap in approximately 200 people with rheumatoid arthritis. This trial was fully enrolled in the first quarter of 2003. Subjects in the study received, in a double-blind manner, either placebo or one of three different dose levels of the IL-1 Trap. The results from this trial are expected to be available in the second half of 2003. In March 2003, we entered into an agreement with Novartis to jointly develop and commercialize the IL-1 Trap throughout the world, with the exception of Japan, where product rights remain with Regeneron.</w:t>
      </w:r>
    </w:p>
    <w:p>
      <w:pPr>
        <w:spacing w:after="0" w:line="167" w:lineRule="exact"/>
        <w:rPr>
          <w:rFonts w:ascii="Arial" w:cs="Arial" w:eastAsia="Arial" w:hAnsi="Arial"/>
          <w:sz w:val="16"/>
          <w:szCs w:val="16"/>
          <w:color w:val="auto"/>
        </w:rPr>
      </w:pPr>
    </w:p>
    <w:p>
      <w:pPr>
        <w:ind w:left="1040" w:right="240" w:hanging="451"/>
        <w:spacing w:after="0" w:line="262"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VEGF TRAP: </w:t>
      </w:r>
      <w:r>
        <w:rPr>
          <w:rFonts w:ascii="Arial" w:cs="Arial" w:eastAsia="Arial" w:hAnsi="Arial"/>
          <w:sz w:val="18"/>
          <w:szCs w:val="18"/>
          <w:color w:val="auto"/>
        </w:rPr>
        <w:t>Protein-based therapeutic candidate designed to bind Vascular Endothelial Growth Factor (called VEGF, also known as Vascular</w:t>
      </w:r>
      <w:r>
        <w:rPr>
          <w:rFonts w:ascii="Arial" w:cs="Arial" w:eastAsia="Arial" w:hAnsi="Arial"/>
          <w:sz w:val="18"/>
          <w:szCs w:val="18"/>
          <w:b w:val="1"/>
          <w:bCs w:val="1"/>
          <w:color w:val="auto"/>
        </w:rPr>
        <w:t xml:space="preserve"> </w:t>
      </w:r>
      <w:r>
        <w:rPr>
          <w:rFonts w:ascii="Arial" w:cs="Arial" w:eastAsia="Arial" w:hAnsi="Arial"/>
          <w:sz w:val="18"/>
          <w:szCs w:val="18"/>
          <w:color w:val="auto"/>
        </w:rPr>
        <w:t>Permeability Factor or VPF) and prevent its interaction with cell surface receptors. VEGF is required for the growth of blood vessels that are needed for tumors to grow and is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40" w:right="20"/>
        <w:spacing w:after="0" w:line="291" w:lineRule="auto"/>
        <w:rPr>
          <w:sz w:val="20"/>
          <w:szCs w:val="20"/>
          <w:color w:val="auto"/>
        </w:rPr>
      </w:pPr>
      <w:r>
        <w:rPr>
          <w:rFonts w:ascii="Arial" w:cs="Arial" w:eastAsia="Arial" w:hAnsi="Arial"/>
          <w:sz w:val="16"/>
          <w:szCs w:val="16"/>
          <w:color w:val="auto"/>
        </w:rPr>
        <w:t>a potent regulator of vascular permeability and leak. In 2001, we initiated a dose-escalation Phase I clinical trial designed to assess the safety and tolerability of the VEGF Trap in subjects with solid tumor malignancies and/or non-Hodgkin’s lymphoma. This trial continues to test increasing doses of VEGF Trap delivered by subcutaneous injection as per the protocol and is expected to be completed in the first half of 2004. An additional study of VEGF Trap delivered intravenously is expected to begin by the end of this year and further studies of the VEGF Trap in cancer are being planned. We are also evaluating the VEGF Trap in pre-clinical studies as a potential treatment for diseases of the eye. Regeneron is considering a number of strategies, including possible collaborative arrangements, to accelerate development of the VEGF Trap.</w:t>
      </w:r>
    </w:p>
    <w:p>
      <w:pPr>
        <w:spacing w:after="0" w:line="168" w:lineRule="exact"/>
        <w:rPr>
          <w:sz w:val="20"/>
          <w:szCs w:val="20"/>
          <w:color w:val="auto"/>
        </w:rPr>
      </w:pPr>
    </w:p>
    <w:p>
      <w:pPr>
        <w:ind w:left="1040" w:right="40" w:hanging="451"/>
        <w:spacing w:after="0" w:line="293" w:lineRule="auto"/>
        <w:tabs>
          <w:tab w:leader="none" w:pos="1040" w:val="left"/>
        </w:tabs>
        <w:numPr>
          <w:ilvl w:val="0"/>
          <w:numId w:val="18"/>
        </w:numPr>
        <w:rPr>
          <w:rFonts w:ascii="Arial" w:cs="Arial" w:eastAsia="Arial" w:hAnsi="Arial"/>
          <w:sz w:val="16"/>
          <w:szCs w:val="16"/>
          <w:color w:val="auto"/>
        </w:rPr>
      </w:pPr>
      <w:r>
        <w:rPr>
          <w:rFonts w:ascii="Arial" w:cs="Arial" w:eastAsia="Arial" w:hAnsi="Arial"/>
          <w:sz w:val="16"/>
          <w:szCs w:val="16"/>
          <w:b w:val="1"/>
          <w:bCs w:val="1"/>
          <w:color w:val="auto"/>
        </w:rPr>
        <w:t xml:space="preserve">INTERLEUKIN-4/INTERLEUKIN-13 CYTOKINE TRAP (IL-4/13 Trap): </w:t>
      </w:r>
      <w:r>
        <w:rPr>
          <w:rFonts w:ascii="Arial" w:cs="Arial" w:eastAsia="Arial" w:hAnsi="Arial"/>
          <w:sz w:val="16"/>
          <w:szCs w:val="16"/>
          <w:color w:val="auto"/>
        </w:rPr>
        <w:t>Protein-based product candidate designed to bind the interleukin-4</w:t>
      </w:r>
      <w:r>
        <w:rPr>
          <w:rFonts w:ascii="Arial" w:cs="Arial" w:eastAsia="Arial" w:hAnsi="Arial"/>
          <w:sz w:val="16"/>
          <w:szCs w:val="16"/>
          <w:b w:val="1"/>
          <w:bCs w:val="1"/>
          <w:color w:val="auto"/>
        </w:rPr>
        <w:t xml:space="preserve"> </w:t>
      </w:r>
      <w:r>
        <w:rPr>
          <w:rFonts w:ascii="Arial" w:cs="Arial" w:eastAsia="Arial" w:hAnsi="Arial"/>
          <w:sz w:val="16"/>
          <w:szCs w:val="16"/>
          <w:color w:val="auto"/>
        </w:rPr>
        <w:t>and interleukin-13 (called IL-4 and IL-13) cytokines and prevent their interaction with cell surface receptors. IL-4 and IL-13 are thought to play a major role in diseases such as asthma, allergic disorders, and other inflammatory diseases. In October 2002, we initiated a Phase I trial for the IL-4/13 Trap in adult subjects with mild to moderate asthma. This placebo-controlled, double-blind, dose escalation study is designed to assess the safety and tolerability of the IL-4/13 Trap. The trial is expected to be completed in the second half of 2003. We are continuing our research on IL-4 and IL-13 in other inflammatory conditions beyond asthma, which may lead to new potential indications for the IL-4/13 Trap.</w:t>
      </w:r>
    </w:p>
    <w:p>
      <w:pPr>
        <w:spacing w:after="0" w:line="164" w:lineRule="exact"/>
        <w:rPr>
          <w:rFonts w:ascii="Arial" w:cs="Arial" w:eastAsia="Arial" w:hAnsi="Arial"/>
          <w:sz w:val="16"/>
          <w:szCs w:val="16"/>
          <w:color w:val="auto"/>
        </w:rPr>
      </w:pPr>
    </w:p>
    <w:p>
      <w:pPr>
        <w:ind w:left="1040" w:right="220" w:hanging="451"/>
        <w:spacing w:after="0" w:line="256"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ANGIOPOIETINS: </w:t>
      </w:r>
      <w:r>
        <w:rPr>
          <w:rFonts w:ascii="Arial" w:cs="Arial" w:eastAsia="Arial" w:hAnsi="Arial"/>
          <w:sz w:val="18"/>
          <w:szCs w:val="18"/>
          <w:color w:val="auto"/>
        </w:rPr>
        <w:t>A new family of growth factors that act specifically on the endothelium cells that line blood vessels. Angiopoietins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useful for growing blood vessels in diseased hearts and other tissues with decreased blood flow and for repairing blood vessel leaks that cause swelling and edema in many different diseases such as stroke, diabetic retinopathy, and inflammatory diseases. We have an active pre-clinical research program covering this family of growth factors. We have not yet selected a specific molecule to advance into clinical development or a specific indication for development.</w:t>
      </w:r>
    </w:p>
    <w:p>
      <w:pPr>
        <w:spacing w:after="0" w:line="199" w:lineRule="exact"/>
        <w:rPr>
          <w:sz w:val="20"/>
          <w:szCs w:val="20"/>
          <w:color w:val="auto"/>
        </w:rPr>
      </w:pPr>
    </w:p>
    <w:p>
      <w:pPr>
        <w:ind w:left="460" w:firstLine="219"/>
        <w:spacing w:after="0" w:line="255" w:lineRule="auto"/>
        <w:rPr>
          <w:sz w:val="20"/>
          <w:szCs w:val="20"/>
          <w:color w:val="auto"/>
        </w:rPr>
      </w:pPr>
      <w:r>
        <w:rPr>
          <w:rFonts w:ascii="Arial" w:cs="Arial" w:eastAsia="Arial" w:hAnsi="Arial"/>
          <w:sz w:val="18"/>
          <w:szCs w:val="18"/>
          <w:color w:val="auto"/>
        </w:rPr>
        <w:t>In addition, we have formed collaborations to advance other research and development efforts. We are conducting research with The Procter &amp; Gamble Company in muscle diseases and other fields. We are also collaborating with Medarex, Inc. to discover, develop, and commercialize certain human antibodies as therapeutics. In partnership with Amgen Inc., we have development rights to Neurotrophin-3, or NT-3, a clinical compound for the treatment of constipating conditions, although there are no ongoing development activities for NT-3 at this time. In all of these research collaborations, we retain 50% of the commercialization rights.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Discussion of Second Quarter 2003 Activities</w:t>
      </w:r>
    </w:p>
    <w:p>
      <w:pPr>
        <w:spacing w:after="0" w:line="225" w:lineRule="exact"/>
        <w:rPr>
          <w:sz w:val="20"/>
          <w:szCs w:val="20"/>
          <w:color w:val="auto"/>
        </w:rPr>
      </w:pPr>
    </w:p>
    <w:p>
      <w:pPr>
        <w:ind w:left="460" w:right="180" w:firstLine="219"/>
        <w:spacing w:after="0" w:line="268" w:lineRule="auto"/>
        <w:rPr>
          <w:sz w:val="20"/>
          <w:szCs w:val="20"/>
          <w:color w:val="auto"/>
        </w:rPr>
      </w:pPr>
      <w:r>
        <w:rPr>
          <w:rFonts w:ascii="Arial" w:cs="Arial" w:eastAsia="Arial" w:hAnsi="Arial"/>
          <w:sz w:val="18"/>
          <w:szCs w:val="18"/>
          <w:color w:val="auto"/>
        </w:rPr>
        <w:t>In July 2001, we initiated a Phase III clinical program of AXOKINE in overweight and obese subjects. The initial pivotal Phase III trial was a double-blind,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89" w:lineRule="auto"/>
        <w:rPr>
          <w:sz w:val="20"/>
          <w:szCs w:val="20"/>
          <w:color w:val="auto"/>
        </w:rPr>
      </w:pPr>
      <w:r>
        <w:rPr>
          <w:rFonts w:ascii="Arial" w:cs="Arial" w:eastAsia="Arial" w:hAnsi="Arial"/>
          <w:sz w:val="16"/>
          <w:szCs w:val="16"/>
          <w:color w:val="auto"/>
        </w:rPr>
        <w:t>randomized, placebo-controlled study that enrolled approximately 2,000 subjects at 65 sites across the United States. In March 2003, we reported data from the 12-month treatment period of the trial during which subjects received daily subcutaneous self-injections of placebo or AXOKINE at a dose of 1.0 microgram per kilogram of body weight (mcg/kg). The study demonstrated that subjects receiving AXOKINE experienced a greater average weight loss than those receiving placebo (6.2 pounds vs. 2.6 pounds, p&lt;.001) and that a greater proportion of AXOKINE-treated subjects lost at least 5 percent of their initial body weight compared with placebo-treated subjects (25.1 percent vs. 17.6 percent, p&lt;.001). AXOKINE also achieved statistically significant results in two of the three secondary endpoints, including the proportion of subjects losing at least 10% of their initial body weight. The study also showed that AXOKINE had a favorable safety and tolerability profile. The double-blind treatment period is being followed by a twelve-month open-label extension phase, during which all study subjects receive AXOKINE. As of June 30, 2003, the average treatment period for people in this trial was 20 months.</w:t>
      </w:r>
    </w:p>
    <w:p>
      <w:pPr>
        <w:spacing w:after="0" w:line="172" w:lineRule="exact"/>
        <w:rPr>
          <w:sz w:val="20"/>
          <w:szCs w:val="20"/>
          <w:color w:val="auto"/>
        </w:rPr>
      </w:pPr>
    </w:p>
    <w:p>
      <w:pPr>
        <w:ind w:left="460" w:firstLine="210"/>
        <w:spacing w:after="0" w:line="298" w:lineRule="auto"/>
        <w:rPr>
          <w:sz w:val="20"/>
          <w:szCs w:val="20"/>
          <w:color w:val="auto"/>
        </w:rPr>
      </w:pPr>
      <w:r>
        <w:rPr>
          <w:rFonts w:ascii="Arial" w:cs="Arial" w:eastAsia="Arial" w:hAnsi="Arial"/>
          <w:sz w:val="16"/>
          <w:szCs w:val="16"/>
          <w:color w:val="auto"/>
        </w:rPr>
        <w:t>Although the results of the Phase III study were statistically significant, the average weight loss for the entire treatment group was small. AXOKINE-associated weight loss was limited by the development of antibodies in approximately two-thirds of the AXOKINE-treated subjects. In the patients who did not become resistant to AXOKINE treatment through the development of antibodies, the weight loss appeared in line with currently available treatments for obesity. A more complete discussion of the results of this trial is contained in our Annual Report on Form 10-K for the year ended December 31, 2002.</w:t>
      </w:r>
    </w:p>
    <w:p>
      <w:pPr>
        <w:spacing w:after="0" w:line="167" w:lineRule="exact"/>
        <w:rPr>
          <w:sz w:val="20"/>
          <w:szCs w:val="20"/>
          <w:color w:val="auto"/>
        </w:rPr>
      </w:pPr>
    </w:p>
    <w:p>
      <w:pPr>
        <w:ind w:left="460" w:right="20" w:firstLine="219"/>
        <w:spacing w:after="0" w:line="291" w:lineRule="auto"/>
        <w:rPr>
          <w:sz w:val="20"/>
          <w:szCs w:val="20"/>
          <w:color w:val="auto"/>
        </w:rPr>
      </w:pPr>
      <w:r>
        <w:rPr>
          <w:rFonts w:ascii="Arial" w:cs="Arial" w:eastAsia="Arial" w:hAnsi="Arial"/>
          <w:sz w:val="16"/>
          <w:szCs w:val="16"/>
          <w:color w:val="auto"/>
        </w:rPr>
        <w:t>In April 2003, we announced the results of a 12-week Phase II clinical trial to assess the safety and efficacy of AXOKINE in 157 overweight and obese individuals with type 2 diabetes mellitus who were treated with placebo or AXOKINE at doses of 1.0 mcg/kg or 0.5 mcg/kg per day. Subjects who were treated with AXOKINE at the 1.0 mcg/kg dose with dietary counseling lost 6.5 pounds on average, while those treated with placebo and dietary counseling lost only 2.5 pounds (p&lt;.01). Trends toward improvements in blood glucose and other metabolic parameters were also observed during this small, short-term study. AXOKINE was generally well tolerated with no AXOKINE-related serious adverse events. Approximately 90 percent of study participants completed the 12-week study. This trial recently completed a 12-week open-label extension phase.</w:t>
      </w:r>
    </w:p>
    <w:p>
      <w:pPr>
        <w:spacing w:after="0" w:line="174" w:lineRule="exact"/>
        <w:rPr>
          <w:sz w:val="20"/>
          <w:szCs w:val="20"/>
          <w:color w:val="auto"/>
        </w:rPr>
      </w:pPr>
    </w:p>
    <w:p>
      <w:pPr>
        <w:ind w:left="460" w:right="100" w:firstLine="219"/>
        <w:spacing w:after="0" w:line="255" w:lineRule="auto"/>
        <w:rPr>
          <w:sz w:val="20"/>
          <w:szCs w:val="20"/>
          <w:color w:val="auto"/>
        </w:rPr>
      </w:pPr>
      <w:r>
        <w:rPr>
          <w:rFonts w:ascii="Arial" w:cs="Arial" w:eastAsia="Arial" w:hAnsi="Arial"/>
          <w:sz w:val="18"/>
          <w:szCs w:val="18"/>
          <w:color w:val="auto"/>
        </w:rPr>
        <w:t>In this trial in patients with type 2 diabetes, approximately one-third of the subjects who were treated with the 1.0 mcg/kg dose of AXOKINE had developed antibodies to AXOKINE at the twelve-week time point. In the recently completed Phase III study of AXOKINE in non-diabetic subjects, about half of AXOKINE-treated participants had developed antibodies at the 12-week time point. This lower incidence of antibodies observed in the Phase II study will need to be explored in a larger Phase III study in the diabetic population. In the Phase III one-year study, further weight loss beyond 12 weeks appeared to be limited in those people who developed antibodies.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firstLine="219"/>
        <w:spacing w:after="0" w:line="255" w:lineRule="auto"/>
        <w:rPr>
          <w:sz w:val="20"/>
          <w:szCs w:val="20"/>
          <w:color w:val="auto"/>
        </w:rPr>
      </w:pPr>
      <w:r>
        <w:rPr>
          <w:rFonts w:ascii="Arial" w:cs="Arial" w:eastAsia="Arial" w:hAnsi="Arial"/>
          <w:sz w:val="18"/>
          <w:szCs w:val="18"/>
          <w:color w:val="auto"/>
        </w:rPr>
        <w:t>In addition, in July 2002, we completed enrollment for two trials, each of which includes approximately 300 subjects, which are evaluating the safety of intermittent treatment with AXOKINE and studying maintenance of weight loss following short-term treatment regimens. Results from these trials are expected to be available in the first half of 2004. In January 2003, we announced that AXOKINE had received fast track designation from the FDA for the treatment of severely obese people who are unresponsive to, intolerant of, or unsuitable candidates for certain FDA-approved medicines for the long-term treatment of obesity.</w:t>
      </w:r>
    </w:p>
    <w:p>
      <w:pPr>
        <w:spacing w:after="0" w:line="197" w:lineRule="exact"/>
        <w:rPr>
          <w:sz w:val="20"/>
          <w:szCs w:val="20"/>
          <w:color w:val="auto"/>
        </w:rPr>
      </w:pPr>
    </w:p>
    <w:p>
      <w:pPr>
        <w:ind w:left="460" w:right="60" w:firstLine="219"/>
        <w:spacing w:after="0" w:line="256" w:lineRule="auto"/>
        <w:rPr>
          <w:sz w:val="20"/>
          <w:szCs w:val="20"/>
          <w:color w:val="auto"/>
        </w:rPr>
      </w:pPr>
      <w:r>
        <w:rPr>
          <w:rFonts w:ascii="Arial" w:cs="Arial" w:eastAsia="Arial" w:hAnsi="Arial"/>
          <w:sz w:val="18"/>
          <w:szCs w:val="18"/>
          <w:color w:val="auto"/>
        </w:rPr>
        <w:t>In July 2002, we announced the initiation of a dose-ranging Phase II study of the IL-1 Trap in subjects with rheumatoid arthritis. This trial enrolled approximately 200 subjects who received weekly self-injections of one of three fixed doses of IL-1 Trap or placebo for 12 weeks, followed by 10 weeks of off-treatment follow-up. The results from this trial are expected to be available in the second half of 2003. The IL-1 Trap is also being evaluated for potential uses in treating other inflammatory diseases.</w:t>
      </w:r>
    </w:p>
    <w:p>
      <w:pPr>
        <w:spacing w:after="0" w:line="197" w:lineRule="exact"/>
        <w:rPr>
          <w:sz w:val="20"/>
          <w:szCs w:val="20"/>
          <w:color w:val="auto"/>
        </w:rPr>
      </w:pPr>
    </w:p>
    <w:p>
      <w:pPr>
        <w:ind w:left="460" w:right="20" w:firstLine="219"/>
        <w:spacing w:after="0" w:line="291" w:lineRule="auto"/>
        <w:rPr>
          <w:sz w:val="20"/>
          <w:szCs w:val="20"/>
          <w:color w:val="auto"/>
        </w:rPr>
      </w:pPr>
      <w:r>
        <w:rPr>
          <w:rFonts w:ascii="Arial" w:cs="Arial" w:eastAsia="Arial" w:hAnsi="Arial"/>
          <w:sz w:val="16"/>
          <w:szCs w:val="16"/>
          <w:color w:val="auto"/>
        </w:rPr>
        <w:t>In March 2003, we entered into a Collaboration, License and Option Agreement with Novartis Pharma AG to jointly develop and commercialize the IL-1 Trap in rheumatoid arthritis and other indications throughout the world with the exception of Japan, where product rights remain with Regeneron. We and Novartis will share equally in all profits from future sales of the IL-1 Trap in North America and Europe. In other markets, Novartis will be entitled to receive 75 percent of the profits and we will be entitled to 25 percent of the profits. We may co-promote the IL-1 Trap in all territories under the agreement. As part of the agreement, Novartis purchased $48.0 million of Regeneron’s common stock and made a non-refundable up-front payment of $27.0 million. The agreement is described in greater detail in the section of this report titled “Liquidity and Capital Resources”.</w:t>
      </w:r>
    </w:p>
    <w:p>
      <w:pPr>
        <w:spacing w:after="0" w:line="174" w:lineRule="exact"/>
        <w:rPr>
          <w:sz w:val="20"/>
          <w:szCs w:val="20"/>
          <w:color w:val="auto"/>
        </w:rPr>
      </w:pPr>
    </w:p>
    <w:p>
      <w:pPr>
        <w:ind w:left="460" w:firstLine="210"/>
        <w:spacing w:after="0" w:line="254" w:lineRule="auto"/>
        <w:rPr>
          <w:sz w:val="20"/>
          <w:szCs w:val="20"/>
          <w:color w:val="auto"/>
        </w:rPr>
      </w:pPr>
      <w:r>
        <w:rPr>
          <w:rFonts w:ascii="Arial" w:cs="Arial" w:eastAsia="Arial" w:hAnsi="Arial"/>
          <w:sz w:val="18"/>
          <w:szCs w:val="18"/>
          <w:color w:val="auto"/>
        </w:rPr>
        <w:t>Antagonists for IL-4 and IL-13 may be therapeutically useful in a number of allergy and asthma-related conditions, including as an adjunct to vaccines where blocking IL-4 and IL-13 may help to elicit more of the desired type of immune response to the vaccine. We have developed both an IL-4 Trap and an IL-4/13 Trap, which is a single molecule that can block both interleukin-4 and interleukin-13. In October 2002, we initiated a Phase I clinical trial of a dual IL-4/13 Trap to assess the safety and tolerability of increasing dose levels in subjects with mild to moderate asthma. The Phase I trial is expected to end in the second half of 2003. We are continuing our research of IL-4 and IL-13 in other inflammatory conditions beyond asthma, which may lead to new potential indications for the IL-4/13 Trap.</w:t>
      </w:r>
    </w:p>
    <w:p>
      <w:pPr>
        <w:spacing w:after="0" w:line="198" w:lineRule="exact"/>
        <w:rPr>
          <w:sz w:val="20"/>
          <w:szCs w:val="20"/>
          <w:color w:val="auto"/>
        </w:rPr>
      </w:pPr>
    </w:p>
    <w:p>
      <w:pPr>
        <w:ind w:left="460" w:right="140" w:firstLine="219"/>
        <w:spacing w:after="0" w:line="298" w:lineRule="auto"/>
        <w:rPr>
          <w:sz w:val="20"/>
          <w:szCs w:val="20"/>
          <w:color w:val="auto"/>
        </w:rPr>
      </w:pPr>
      <w:r>
        <w:rPr>
          <w:rFonts w:ascii="Arial" w:cs="Arial" w:eastAsia="Arial" w:hAnsi="Arial"/>
          <w:sz w:val="16"/>
          <w:szCs w:val="16"/>
          <w:color w:val="auto"/>
        </w:rPr>
        <w:t>In November 2001, we initiated a Phase I clinical trial designed to assess the safety and tolerability of VEGF Trap in patients with solid tumor malignancies and subjects with non-Hodgkin’s lymphoma. The Phase I trial is an open-label study in subjects with advanced tumors and will evaluate the VEGF Trap in increasing dose levels. The study is being conducted at three clinical sites in the United States. Higher doses of VEGF Trap are expected to be studied as the trial progresses and we anticipate the study to end in the first half of 2004. An additional study of VEGF Trap delivered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40"/>
        <w:spacing w:after="0" w:line="259" w:lineRule="auto"/>
        <w:rPr>
          <w:sz w:val="20"/>
          <w:szCs w:val="20"/>
          <w:color w:val="auto"/>
        </w:rPr>
      </w:pPr>
      <w:r>
        <w:rPr>
          <w:rFonts w:ascii="Arial" w:cs="Arial" w:eastAsia="Arial" w:hAnsi="Arial"/>
          <w:sz w:val="18"/>
          <w:szCs w:val="18"/>
          <w:color w:val="auto"/>
        </w:rPr>
        <w:t>intravenously is expected to begin by the end of this year and further studies of the VEGF Trap in cancer are being planned. We are also evaluating the VEGF Trap in preclinical studies as a potential treatment for diseases of the eye. Regeneron is considering a number of strategies, including possible collaborative arrangements, to accelerate development of the VEGF Trap.</w:t>
      </w:r>
    </w:p>
    <w:p>
      <w:pPr>
        <w:spacing w:after="0" w:line="194" w:lineRule="exact"/>
        <w:rPr>
          <w:sz w:val="20"/>
          <w:szCs w:val="20"/>
          <w:color w:val="auto"/>
        </w:rPr>
      </w:pPr>
    </w:p>
    <w:p>
      <w:pPr>
        <w:ind w:left="460" w:right="20" w:firstLine="210"/>
        <w:spacing w:after="0" w:line="286" w:lineRule="auto"/>
        <w:rPr>
          <w:sz w:val="20"/>
          <w:szCs w:val="20"/>
          <w:color w:val="auto"/>
        </w:rPr>
      </w:pPr>
      <w:r>
        <w:rPr>
          <w:rFonts w:ascii="Arial" w:cs="Arial" w:eastAsia="Arial" w:hAnsi="Arial"/>
          <w:sz w:val="16"/>
          <w:szCs w:val="16"/>
          <w:color w:val="auto"/>
        </w:rPr>
        <w:t>A minority of all research and development programs ultimately results in commercially successful pharmaceutical drugs; it is not possible to predict whether any program will succeed until it actually produces a medicine that is commercially marketed for a significant period of time. In addition, in each of the areas of our independent and collaborative activities, other companies and entities are actively pursuing competitive paths toward similar objectives. The results of Regeneron’s and its collaborators’ past activities in connection with the research and development of AXOKINE, Cytokine Traps, Angiopoietins, cancer, abnormal bone growth, muscle atrophy, small molecules, NT-3, and other programs or areas of research or development do not necessarily predict the results or success of current or future activities including, but not limited to, any additional preclinical or clinical studies. We cannot predict whether, when, or under what conditions any of our research or product candidates, including without limitation AXOKINE, IL-1 Trap, VEGF Trap, or IL-4/13 Trap will be shown to be safe or effective to treat any human condition or be approved for marketing by any regulatory agency. The delay or failure of current or future studies to demonstrate the safety or efficacy of its product candidates to treat human conditions or to be approved for marketing could have a material adverse impact on Regeneron. We discuss the risks associated with pharmaceutical drug development in the section of this report titled “Factors That May Affect Future Operating Results.”</w:t>
      </w:r>
    </w:p>
    <w:p>
      <w:pPr>
        <w:spacing w:after="0" w:line="181" w:lineRule="exact"/>
        <w:rPr>
          <w:sz w:val="20"/>
          <w:szCs w:val="20"/>
          <w:color w:val="auto"/>
        </w:rPr>
      </w:pPr>
    </w:p>
    <w:p>
      <w:pPr>
        <w:ind w:left="460" w:right="120" w:firstLine="216"/>
        <w:spacing w:after="0" w:line="255" w:lineRule="auto"/>
        <w:rPr>
          <w:sz w:val="20"/>
          <w:szCs w:val="20"/>
          <w:color w:val="auto"/>
        </w:rPr>
      </w:pPr>
      <w:r>
        <w:rPr>
          <w:rFonts w:ascii="Arial" w:cs="Arial" w:eastAsia="Arial" w:hAnsi="Arial"/>
          <w:sz w:val="18"/>
          <w:szCs w:val="18"/>
          <w:color w:val="auto"/>
        </w:rPr>
        <w:t>We have not received revenue from the commercialization of our product candidates and may never receive such revenues. Before revenues from the commercialization of our product candidates can be realized, we (or our collaborators) must overcome a number of hurdles which include successfully completing our research and development efforts and obtaining regulatory approval from the FDA or regulatory authorities in other countries. In addition, the biotechnology and pharmaceutical industries are rapidly evolving and highly competitive, and new developments may render our products and technologies noncompetitive or obsolete.</w:t>
      </w:r>
    </w:p>
    <w:p>
      <w:pPr>
        <w:spacing w:after="0" w:line="197" w:lineRule="exact"/>
        <w:rPr>
          <w:sz w:val="20"/>
          <w:szCs w:val="20"/>
          <w:color w:val="auto"/>
        </w:rPr>
      </w:pPr>
    </w:p>
    <w:p>
      <w:pPr>
        <w:ind w:left="460" w:firstLine="219"/>
        <w:spacing w:after="0" w:line="294" w:lineRule="auto"/>
        <w:rPr>
          <w:sz w:val="20"/>
          <w:szCs w:val="20"/>
          <w:color w:val="auto"/>
        </w:rPr>
      </w:pPr>
      <w:r>
        <w:rPr>
          <w:rFonts w:ascii="Arial" w:cs="Arial" w:eastAsia="Arial" w:hAnsi="Arial"/>
          <w:sz w:val="16"/>
          <w:szCs w:val="16"/>
          <w:color w:val="auto"/>
        </w:rPr>
        <w:t>From inception on January 8, 1988 through June 30, 2003, we had a cumulative loss of $482.9 million. In the absence of revenues from the commercialization of our product candidates or other sources, the amount, timing, nature, or source of which cannot be predicted, our losses will continue as we conduct our research and development activities. Our activities may expand over time and may require additional resources and we expect our operating losses to be substantial over at least the next several years. Our losses may fluctuate from quarter to quarter and will depend, among other factors, on the timing of certain expenses and on the progress of our research and development efforts.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left="460" w:firstLine="219"/>
        <w:spacing w:after="0" w:line="288" w:lineRule="auto"/>
        <w:rPr>
          <w:sz w:val="20"/>
          <w:szCs w:val="20"/>
          <w:color w:val="auto"/>
        </w:rPr>
      </w:pPr>
      <w:r>
        <w:rPr>
          <w:rFonts w:ascii="Arial" w:cs="Arial" w:eastAsia="Arial" w:hAnsi="Arial"/>
          <w:sz w:val="16"/>
          <w:szCs w:val="16"/>
          <w:i w:val="1"/>
          <w:iCs w:val="1"/>
          <w:color w:val="auto"/>
        </w:rPr>
        <w:t xml:space="preserve">Three months ended June 30, 2003 and 2002. </w:t>
      </w:r>
      <w:r>
        <w:rPr>
          <w:rFonts w:ascii="Arial" w:cs="Arial" w:eastAsia="Arial" w:hAnsi="Arial"/>
          <w:sz w:val="16"/>
          <w:szCs w:val="16"/>
          <w:color w:val="auto"/>
        </w:rPr>
        <w:t>Our total revenue increased to $10.5 million for the second quarter of 2003 from $5.6 million for the same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period of 2002. Contract research and development revenue increased to $9.8 million for the second quarter of 2003 from $2.7 million for the same period of 2002, as we recognized $7.0 million of revenue related to our IL-1 Trap collaboration with Novartis. We recognize revenue in connection with the collaboration using the percentage of completion method in accordance with Staff Accounting Bulletin No. 101, </w:t>
      </w:r>
      <w:r>
        <w:rPr>
          <w:rFonts w:ascii="Arial" w:cs="Arial" w:eastAsia="Arial" w:hAnsi="Arial"/>
          <w:sz w:val="16"/>
          <w:szCs w:val="16"/>
          <w:i w:val="1"/>
          <w:iCs w:val="1"/>
          <w:color w:val="auto"/>
        </w:rPr>
        <w:t>Revenue Recognition in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Statements </w:t>
      </w:r>
      <w:r>
        <w:rPr>
          <w:rFonts w:ascii="Arial" w:cs="Arial" w:eastAsia="Arial" w:hAnsi="Arial"/>
          <w:sz w:val="16"/>
          <w:szCs w:val="16"/>
          <w:color w:val="auto"/>
        </w:rPr>
        <w:t>(SAB 101). In addition, we recognized $2.6 million of contract research and development revenue from Procter &amp; Gamble in both the second</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of 2003 and 2002 in connection with our long-term collaboration agreement. Contract manufacturing revenue, related to our long-term agreement with Merck &amp; Co., Inc. to manufacture a vaccine intermediate at our Rensselaer, New York facility, decreased to $0.8 million for the second quarter of 2003 from $2.8 million for the same period of 2002, because product in inventory was not shipped to Merck during the first half of 2003. Shipments resumed in July 2003. Contract manufacturing revenue and the related manufacturing expense are recognized as product is accepted and shipped.</w:t>
      </w:r>
    </w:p>
    <w:p>
      <w:pPr>
        <w:spacing w:after="0" w:line="174" w:lineRule="exact"/>
        <w:rPr>
          <w:sz w:val="20"/>
          <w:szCs w:val="20"/>
          <w:color w:val="auto"/>
        </w:rPr>
      </w:pPr>
    </w:p>
    <w:p>
      <w:pPr>
        <w:ind w:left="460" w:right="40" w:firstLine="219"/>
        <w:spacing w:after="0" w:line="289" w:lineRule="auto"/>
        <w:rPr>
          <w:sz w:val="20"/>
          <w:szCs w:val="20"/>
          <w:color w:val="auto"/>
        </w:rPr>
      </w:pPr>
      <w:r>
        <w:rPr>
          <w:rFonts w:ascii="Arial" w:cs="Arial" w:eastAsia="Arial" w:hAnsi="Arial"/>
          <w:sz w:val="16"/>
          <w:szCs w:val="16"/>
          <w:color w:val="auto"/>
        </w:rPr>
        <w:t>Our total operating expenses increased to $37.5 million for the second quarter of 2003 from $35.5 million for the same period of 2002. Research and development expenses increased to $33.7 million for the second quarter of 2003 from $30.7 million for the comparable period of 2002, as activity in our clinical research programs increased, especially related to our clinical programs for AXOKINE and the IL-1 Trap. Research and development expenses were 90% of total operating expenses in the second quarter of 2003, compared to 86% for the same period of 2002. Contract manufacturing expenses related to our long-term agreement with Merck decreased to $0.3 million for the second quarter of 2003 from $1.9 million for the same period of 2002, because product in inventory was not shipped to Merck during the first half of 2003. General and administrative expenses increased to $3.5 million in the second quarter of 2003 from $3.0 million for the same period of 2002, due primarily to increased administrative costs to support the Company’s expanding development pipeline, higher insurance costs, and higher fees paid to outside service providers.</w:t>
      </w:r>
    </w:p>
    <w:p>
      <w:pPr>
        <w:spacing w:after="0" w:line="172" w:lineRule="exact"/>
        <w:rPr>
          <w:sz w:val="20"/>
          <w:szCs w:val="20"/>
          <w:color w:val="auto"/>
        </w:rPr>
      </w:pPr>
    </w:p>
    <w:p>
      <w:pPr>
        <w:ind w:left="460" w:right="60" w:firstLine="219"/>
        <w:spacing w:after="0" w:line="298" w:lineRule="auto"/>
        <w:rPr>
          <w:sz w:val="20"/>
          <w:szCs w:val="20"/>
          <w:color w:val="auto"/>
        </w:rPr>
      </w:pPr>
      <w:r>
        <w:rPr>
          <w:rFonts w:ascii="Arial" w:cs="Arial" w:eastAsia="Arial" w:hAnsi="Arial"/>
          <w:sz w:val="16"/>
          <w:szCs w:val="16"/>
          <w:color w:val="auto"/>
        </w:rPr>
        <w:t>Investment income decreased to $1.1 million for the second quarter of 2003 from $2.6 million for the same period of 2002 due to lower effective interest rates on investment securities and lower levels of interest-bearing investments in the second quarter of 2003 as the Company funded its operations. Interest expense declined slightly to $2.9 million for the second quarter of 2003 from $3.0 million for the same period of 2002. Interest expense is attributable primarily to $200.0 million of convertible notes issued in October 2001, which mature in 2008 and bear interest at 5.5% per annum.</w:t>
      </w:r>
    </w:p>
    <w:p>
      <w:pPr>
        <w:spacing w:after="0" w:line="167" w:lineRule="exact"/>
        <w:rPr>
          <w:sz w:val="20"/>
          <w:szCs w:val="20"/>
          <w:color w:val="auto"/>
        </w:rPr>
      </w:pPr>
    </w:p>
    <w:p>
      <w:pPr>
        <w:ind w:left="460" w:right="180" w:firstLine="219"/>
        <w:spacing w:after="0" w:line="268" w:lineRule="auto"/>
        <w:rPr>
          <w:sz w:val="20"/>
          <w:szCs w:val="20"/>
          <w:color w:val="auto"/>
        </w:rPr>
      </w:pPr>
      <w:r>
        <w:rPr>
          <w:rFonts w:ascii="Arial" w:cs="Arial" w:eastAsia="Arial" w:hAnsi="Arial"/>
          <w:sz w:val="18"/>
          <w:szCs w:val="18"/>
          <w:color w:val="auto"/>
        </w:rPr>
        <w:t>Our net loss for the second quarter of 2003 was $28.7 million, or $0.58 per share (basic and diluted), compared to a net loss of $30.4 million, or $0.69 per share (basic and diluted), for the same period of 2002.</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89" w:lineRule="auto"/>
        <w:rPr>
          <w:sz w:val="20"/>
          <w:szCs w:val="20"/>
          <w:color w:val="auto"/>
        </w:rPr>
      </w:pPr>
      <w:r>
        <w:rPr>
          <w:rFonts w:ascii="Arial" w:cs="Arial" w:eastAsia="Arial" w:hAnsi="Arial"/>
          <w:sz w:val="16"/>
          <w:szCs w:val="16"/>
          <w:i w:val="1"/>
          <w:iCs w:val="1"/>
          <w:color w:val="auto"/>
        </w:rPr>
        <w:t xml:space="preserve">Six months ended June 30, 2003 and 2002. </w:t>
      </w:r>
      <w:r>
        <w:rPr>
          <w:rFonts w:ascii="Arial" w:cs="Arial" w:eastAsia="Arial" w:hAnsi="Arial"/>
          <w:sz w:val="16"/>
          <w:szCs w:val="16"/>
          <w:color w:val="auto"/>
        </w:rPr>
        <w:t>Our total revenue increased to $20.7 million for the six months ended June 30, 2003 from $10.5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period in 2002. Contract research and development revenue increased to $19.2 million for the six months ended June 30, 2003 from $5.4 million for the same period of 2002, as we recognized $13.7 million of revenue related to our IL-1 Trap collaboration with Novartis. We recognize revenue in connection with the collaboration using the percentage of completion method in accordance with SAB 101. In addition, we recognized $5.3 million and $5.2 million of contract research and development revenue from Procter &amp; Gamble in the first six months of 2003 and 2002, respectively, in connection with our long-term collaboration agreement. Contract manufacturing revenue, related to our long-term agreement with Merck, decreased to $1.5 million for the first half of 2003 from $5.1 million for the same period of 2002, because product in inventory was not shipped to Merck during the first half of 2003. Shipments resumed in July 2003.</w:t>
      </w:r>
    </w:p>
    <w:p>
      <w:pPr>
        <w:spacing w:after="0" w:line="172" w:lineRule="exact"/>
        <w:rPr>
          <w:sz w:val="20"/>
          <w:szCs w:val="20"/>
          <w:color w:val="auto"/>
        </w:rPr>
      </w:pPr>
    </w:p>
    <w:p>
      <w:pPr>
        <w:ind w:left="460" w:right="200" w:firstLine="219"/>
        <w:spacing w:after="0" w:line="283" w:lineRule="auto"/>
        <w:rPr>
          <w:sz w:val="20"/>
          <w:szCs w:val="20"/>
          <w:color w:val="auto"/>
        </w:rPr>
      </w:pPr>
      <w:r>
        <w:rPr>
          <w:rFonts w:ascii="Arial" w:cs="Arial" w:eastAsia="Arial" w:hAnsi="Arial"/>
          <w:sz w:val="16"/>
          <w:szCs w:val="16"/>
          <w:color w:val="auto"/>
        </w:rPr>
        <w:t>Our total operating expenses increased to $76.0 million for the six months ended June 30, 2003 from $65.7 million for the same period of 2002. Research and development expenses increased to $68.1 million for the first six months of 2003 from $56.2 million for the comparable period of 2002, as activity in our clinical research programs increased, especially related to our clinical programs for AXOKINE and the IL-1 Trap. Research and development expenses were 90% of total operating expenses in the first six months of 2003, compared to 86% for the same period of 2002. Contract manufacturing expenses related to our long-term agreement with Merck decreased to $0.9 million for the six months ended June 30, 2003 from</w:t>
      </w:r>
    </w:p>
    <w:p>
      <w:pPr>
        <w:spacing w:after="0" w:line="2" w:lineRule="exact"/>
        <w:rPr>
          <w:sz w:val="20"/>
          <w:szCs w:val="20"/>
          <w:color w:val="auto"/>
        </w:rPr>
      </w:pPr>
    </w:p>
    <w:p>
      <w:pPr>
        <w:ind w:left="460" w:right="20"/>
        <w:spacing w:after="0" w:line="302" w:lineRule="auto"/>
        <w:rPr>
          <w:sz w:val="20"/>
          <w:szCs w:val="20"/>
          <w:color w:val="auto"/>
        </w:rPr>
      </w:pPr>
      <w:r>
        <w:rPr>
          <w:rFonts w:ascii="Arial" w:cs="Arial" w:eastAsia="Arial" w:hAnsi="Arial"/>
          <w:sz w:val="16"/>
          <w:szCs w:val="16"/>
          <w:color w:val="auto"/>
        </w:rPr>
        <w:t>$3.1 million for the same period of 2002, because product in inventory was not shipped to Merck during the first half of 2003. General and administrative expenses increased to $6.9 million for the first six months of 2003 from $6.4 million for the same period of 2002, due primarily to increased administrative costs to support the Company’s expanding development pipeline, higher insurance costs, and higher fees paid to outside service providers.</w:t>
      </w:r>
    </w:p>
    <w:p>
      <w:pPr>
        <w:spacing w:after="0" w:line="163" w:lineRule="exact"/>
        <w:rPr>
          <w:sz w:val="20"/>
          <w:szCs w:val="20"/>
          <w:color w:val="auto"/>
        </w:rPr>
      </w:pPr>
    </w:p>
    <w:p>
      <w:pPr>
        <w:ind w:left="460" w:right="60" w:firstLine="219"/>
        <w:spacing w:after="0" w:line="298" w:lineRule="auto"/>
        <w:rPr>
          <w:sz w:val="20"/>
          <w:szCs w:val="20"/>
          <w:color w:val="auto"/>
        </w:rPr>
      </w:pPr>
      <w:r>
        <w:rPr>
          <w:rFonts w:ascii="Arial" w:cs="Arial" w:eastAsia="Arial" w:hAnsi="Arial"/>
          <w:sz w:val="16"/>
          <w:szCs w:val="16"/>
          <w:color w:val="auto"/>
        </w:rPr>
        <w:t>Investment income decreased to $2.3 million for the six months ended June 30, 2003 from $5.3 million for the same period of 2002 due to lower effective interest rates on investment securities and lower levels of interest-bearing investments in the first half of 2003 as the Company funded its operations. Interest expense declined slightly to $5.8 million for the first six months of 2003 from $6.0 million for the same period of 2002. Interest expense is attributable primarily to $200.0 million of convertible notes issued in October 2001, which mature in 2008 and bear interest at 5.5% per annum.</w:t>
      </w:r>
    </w:p>
    <w:p>
      <w:pPr>
        <w:spacing w:after="0" w:line="167" w:lineRule="exact"/>
        <w:rPr>
          <w:sz w:val="20"/>
          <w:szCs w:val="20"/>
          <w:color w:val="auto"/>
        </w:rPr>
      </w:pPr>
    </w:p>
    <w:p>
      <w:pPr>
        <w:ind w:left="460" w:right="160" w:firstLine="219"/>
        <w:spacing w:after="0" w:line="268" w:lineRule="auto"/>
        <w:rPr>
          <w:sz w:val="20"/>
          <w:szCs w:val="20"/>
          <w:color w:val="auto"/>
        </w:rPr>
      </w:pPr>
      <w:r>
        <w:rPr>
          <w:rFonts w:ascii="Arial" w:cs="Arial" w:eastAsia="Arial" w:hAnsi="Arial"/>
          <w:sz w:val="18"/>
          <w:szCs w:val="18"/>
          <w:color w:val="auto"/>
        </w:rPr>
        <w:t>Our net loss for the six months ended June 30, 2003 was $58.8 million, or $1.25 per share (basic and diluted), compared to a net loss of $55.9 million, or $1.27 per share (basic and diluted), for the same period of 2002.</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left="460" w:right="180" w:firstLine="219"/>
        <w:spacing w:after="0" w:line="268" w:lineRule="auto"/>
        <w:rPr>
          <w:sz w:val="20"/>
          <w:szCs w:val="20"/>
          <w:color w:val="auto"/>
        </w:rPr>
      </w:pPr>
      <w:r>
        <w:rPr>
          <w:rFonts w:ascii="Arial" w:cs="Arial" w:eastAsia="Arial" w:hAnsi="Arial"/>
          <w:sz w:val="18"/>
          <w:szCs w:val="18"/>
          <w:color w:val="auto"/>
        </w:rPr>
        <w:t>Since our inception in 1988, we have financed our operations primarily through offerings of equity securities, a private placement of convertible debt, revenue earned under our agreements with Amgen, Sumitomo Chemical Co., Ltd., Sumitomo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Pharmaceuticals Company, Ltd., Merck, Procter &amp; Gamble, and Novartis, and investment income.</w:t>
      </w:r>
    </w:p>
    <w:p>
      <w:pPr>
        <w:spacing w:after="0" w:line="225" w:lineRule="exact"/>
        <w:rPr>
          <w:sz w:val="20"/>
          <w:szCs w:val="20"/>
          <w:color w:val="auto"/>
        </w:rPr>
      </w:pPr>
    </w:p>
    <w:p>
      <w:pPr>
        <w:ind w:left="460" w:right="380" w:firstLine="219"/>
        <w:spacing w:after="0" w:line="332" w:lineRule="auto"/>
        <w:rPr>
          <w:sz w:val="20"/>
          <w:szCs w:val="20"/>
          <w:color w:val="auto"/>
        </w:rPr>
      </w:pPr>
      <w:r>
        <w:rPr>
          <w:rFonts w:ascii="Arial" w:cs="Arial" w:eastAsia="Arial" w:hAnsi="Arial"/>
          <w:sz w:val="16"/>
          <w:szCs w:val="16"/>
          <w:color w:val="auto"/>
        </w:rPr>
        <w:t>In March 2003, we entered into a collaboration agreement with Novartis to jointly develop and commercialize the IL-1 Trap. Novartis made a non-refundable up-front payment of $27.0 million and purchased 7,527,050 newly issued unregistered shares of our common stock for $48.0 million.</w:t>
      </w:r>
    </w:p>
    <w:p>
      <w:pPr>
        <w:spacing w:after="0" w:line="139" w:lineRule="exact"/>
        <w:rPr>
          <w:sz w:val="20"/>
          <w:szCs w:val="20"/>
          <w:color w:val="auto"/>
        </w:rPr>
      </w:pPr>
    </w:p>
    <w:p>
      <w:pPr>
        <w:ind w:left="460" w:right="300" w:firstLine="219"/>
        <w:spacing w:after="0" w:line="298" w:lineRule="auto"/>
        <w:rPr>
          <w:sz w:val="20"/>
          <w:szCs w:val="20"/>
          <w:color w:val="auto"/>
        </w:rPr>
      </w:pPr>
      <w:r>
        <w:rPr>
          <w:rFonts w:ascii="Arial" w:cs="Arial" w:eastAsia="Arial" w:hAnsi="Arial"/>
          <w:sz w:val="16"/>
          <w:szCs w:val="16"/>
          <w:color w:val="auto"/>
        </w:rPr>
        <w:t>Development expenses incurred during 2003 will be shared equally by Regeneron and Novartis. We may fund our share of 2003 expenses through a loan from Novartis that will be forgiven, together with accrued interest, should certain pre-clinical and clinical milestones be reached and is otherwise payable on July 1, 2004. As of June 30, 2003, we have drawn $5.1 million against this loan facility. In addition, at June 30, 2003, $4.3 million was receivable from Novartis for their share of IL-1 Trap development expenses incurred by Regeneron during the second quarter of 2003.</w:t>
      </w:r>
    </w:p>
    <w:p>
      <w:pPr>
        <w:spacing w:after="0" w:line="167" w:lineRule="exact"/>
        <w:rPr>
          <w:sz w:val="20"/>
          <w:szCs w:val="20"/>
          <w:color w:val="auto"/>
        </w:rPr>
      </w:pPr>
    </w:p>
    <w:p>
      <w:pPr>
        <w:ind w:left="460" w:right="80" w:firstLine="210"/>
        <w:spacing w:after="0" w:line="253" w:lineRule="auto"/>
        <w:rPr>
          <w:sz w:val="20"/>
          <w:szCs w:val="20"/>
          <w:color w:val="auto"/>
        </w:rPr>
      </w:pPr>
      <w:r>
        <w:rPr>
          <w:rFonts w:ascii="Arial" w:cs="Arial" w:eastAsia="Arial" w:hAnsi="Arial"/>
          <w:sz w:val="18"/>
          <w:szCs w:val="18"/>
          <w:color w:val="auto"/>
        </w:rPr>
        <w:t>After 2003, Novartis will be responsible for any additional pre-Phase III development expenses, and the companies will share Phase III development expenses and pre-launch expenses. Our share of these expenses may be funded through two additional loans from Novartis. The loan and accrued interest for our share of Phase III development expenses is repayable in full five years after the initial product launch of the IL-1 Trap or five years after termination of Novartis’ rights to the IL-1 Trap under the agreement, whichever occurs first. The loan and accrued interest for our share of pre-launch expenses is repayable in full three years after the initial product launch of the IL-1 Trap or three years after termination of Novartis’ rights to the IL-1 Trap under the agreement, whichever occurs first. Novartis has the right to terminate the collaboration agreement without cause with at least nine months advance notice.</w:t>
      </w:r>
    </w:p>
    <w:p>
      <w:pPr>
        <w:spacing w:after="0" w:line="201" w:lineRule="exact"/>
        <w:rPr>
          <w:sz w:val="20"/>
          <w:szCs w:val="20"/>
          <w:color w:val="auto"/>
        </w:rPr>
      </w:pPr>
    </w:p>
    <w:p>
      <w:pPr>
        <w:ind w:left="460" w:firstLine="216"/>
        <w:spacing w:after="0" w:line="254" w:lineRule="auto"/>
        <w:rPr>
          <w:sz w:val="20"/>
          <w:szCs w:val="20"/>
          <w:color w:val="auto"/>
        </w:rPr>
      </w:pPr>
      <w:r>
        <w:rPr>
          <w:rFonts w:ascii="Arial" w:cs="Arial" w:eastAsia="Arial" w:hAnsi="Arial"/>
          <w:sz w:val="18"/>
          <w:szCs w:val="18"/>
          <w:color w:val="auto"/>
        </w:rPr>
        <w:t>We and Novartis will share co-promotion rights and profit on sales, if any, of the IL-1 Trap. In addition, we may receive up to $275.0 million in milestone payments upon receipt of specified regulatory approvals in the United States and the European Union and the achievement of certain product revenues targets. Under the agreement, each company also has the right to elect to collaborate on the development and commercialization of certain other pre-clinical/early development IL-1 antagonists that we and Novartis currently are developing independently. Regeneron will continue to manufacture clinical supplies of the IL-1 Trap at our plant in Rensselaer, New York. Novartis will be responsible for providing commercial scale manufacturing capacity for the IL-1 Trap.</w:t>
      </w:r>
    </w:p>
    <w:p>
      <w:pPr>
        <w:spacing w:after="0" w:line="198" w:lineRule="exact"/>
        <w:rPr>
          <w:sz w:val="20"/>
          <w:szCs w:val="20"/>
          <w:color w:val="auto"/>
        </w:rPr>
      </w:pPr>
    </w:p>
    <w:p>
      <w:pPr>
        <w:ind w:left="460" w:right="140" w:firstLine="219"/>
        <w:spacing w:after="0" w:line="268" w:lineRule="auto"/>
        <w:rPr>
          <w:sz w:val="20"/>
          <w:szCs w:val="20"/>
          <w:color w:val="auto"/>
        </w:rPr>
      </w:pPr>
      <w:r>
        <w:rPr>
          <w:rFonts w:ascii="Arial" w:cs="Arial" w:eastAsia="Arial" w:hAnsi="Arial"/>
          <w:sz w:val="18"/>
          <w:szCs w:val="18"/>
          <w:color w:val="auto"/>
        </w:rPr>
        <w:t>Under a long-term collaboration agreement, Procter &amp; Gamble provides funding through December 2005 of $2.5 million per quarter, plus adjustments for inflation, in support of our research efforts.</w:t>
      </w:r>
    </w:p>
    <w:p>
      <w:pPr>
        <w:spacing w:after="0" w:line="186" w:lineRule="exact"/>
        <w:rPr>
          <w:sz w:val="20"/>
          <w:szCs w:val="20"/>
          <w:color w:val="auto"/>
        </w:rPr>
      </w:pPr>
    </w:p>
    <w:p>
      <w:pPr>
        <w:jc w:val="both"/>
        <w:ind w:left="460" w:right="180" w:firstLine="210"/>
        <w:spacing w:after="0" w:line="259" w:lineRule="auto"/>
        <w:rPr>
          <w:sz w:val="20"/>
          <w:szCs w:val="20"/>
          <w:color w:val="auto"/>
        </w:rPr>
      </w:pPr>
      <w:r>
        <w:rPr>
          <w:rFonts w:ascii="Arial" w:cs="Arial" w:eastAsia="Arial" w:hAnsi="Arial"/>
          <w:sz w:val="18"/>
          <w:szCs w:val="18"/>
          <w:color w:val="auto"/>
        </w:rPr>
        <w:t>At June 30, 2003, we had $283.4 million in cash, cash equivalents, marketable securities, and restricted marketable securities. We have no off-balance sheet financing arrangements and do not guarantee the obligations of any other entity. As of June 30, 2003, we had no established banking arrangements through which we could obtain short-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40"/>
        <w:spacing w:after="0" w:line="332" w:lineRule="auto"/>
        <w:rPr>
          <w:sz w:val="20"/>
          <w:szCs w:val="20"/>
          <w:color w:val="auto"/>
        </w:rPr>
      </w:pPr>
      <w:r>
        <w:rPr>
          <w:rFonts w:ascii="Arial" w:cs="Arial" w:eastAsia="Arial" w:hAnsi="Arial"/>
          <w:sz w:val="16"/>
          <w:szCs w:val="16"/>
          <w:color w:val="auto"/>
        </w:rPr>
        <w:t>term financing or a line of credit. We may seek additional funding through, among other things, future collaboration agreements and public or private financing. We cannot assure you that additional financing will be available to us or, if available, that it will be available on acceptable terms.</w:t>
      </w:r>
    </w:p>
    <w:p>
      <w:pPr>
        <w:spacing w:after="0" w:line="13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Our additions to property, plant, and equipment totaled $12.9 million and $12.3 million for the first six months of 2003 and 2002, respectively.</w:t>
      </w:r>
    </w:p>
    <w:p>
      <w:pPr>
        <w:spacing w:after="0" w:line="248" w:lineRule="exact"/>
        <w:rPr>
          <w:sz w:val="20"/>
          <w:szCs w:val="20"/>
          <w:color w:val="auto"/>
        </w:rPr>
      </w:pPr>
    </w:p>
    <w:p>
      <w:pPr>
        <w:ind w:left="460" w:firstLine="216"/>
        <w:spacing w:after="0" w:line="289" w:lineRule="auto"/>
        <w:rPr>
          <w:sz w:val="20"/>
          <w:szCs w:val="20"/>
          <w:color w:val="auto"/>
        </w:rPr>
      </w:pPr>
      <w:r>
        <w:rPr>
          <w:rFonts w:ascii="Arial" w:cs="Arial" w:eastAsia="Arial" w:hAnsi="Arial"/>
          <w:sz w:val="16"/>
          <w:szCs w:val="16"/>
          <w:color w:val="auto"/>
        </w:rPr>
        <w:t>We expect to incur substantial funding requirements for, among other things, research and development activities (including preclinical and clinical testing), expansion and validation of manufacturing facilities, and the acquisition of equipment. We currently anticipate that for the remainder of 2003, approximately 30-50% of our expenditures will be directed toward the pre-clinical and clinical development of product candidates, including AXOKINE, IL-1 Trap, IL-4/13 Trap, VEGF Trap, and the angiopoietins; approximately 5-15% of our expenditures will be invested in expansion of our manufacturing facilities; approximately 10-20% of our expenditures will cover our basic research activities; approximately 5-15% of our expenditures will be directed toward the continued development of our novel technology platforms, including potential efforts to commercialize these technologies; and the remainder of our expenditures will be for general corporate purposes, including working capital. For the remainder of 2003, we expect to incur approximately $10 million in capital expenditures for our expanded manufacturing and research and development activities.</w:t>
      </w:r>
    </w:p>
    <w:p>
      <w:pPr>
        <w:spacing w:after="0" w:line="172" w:lineRule="exact"/>
        <w:rPr>
          <w:sz w:val="20"/>
          <w:szCs w:val="20"/>
          <w:color w:val="auto"/>
        </w:rPr>
      </w:pPr>
    </w:p>
    <w:p>
      <w:pPr>
        <w:ind w:left="460" w:right="140" w:firstLine="216"/>
        <w:spacing w:after="0" w:line="268" w:lineRule="auto"/>
        <w:rPr>
          <w:sz w:val="20"/>
          <w:szCs w:val="20"/>
          <w:color w:val="auto"/>
        </w:rPr>
      </w:pPr>
      <w:r>
        <w:rPr>
          <w:rFonts w:ascii="Arial" w:cs="Arial" w:eastAsia="Arial" w:hAnsi="Arial"/>
          <w:sz w:val="18"/>
          <w:szCs w:val="18"/>
          <w:color w:val="auto"/>
        </w:rPr>
        <w:t>We expect that expenses related to the filing, prosecution, defense, and enforcement of patent and other intellectual property claims will continue to be substantial as a result of patent filings and prosecutions in the United States and foreign countries.</w:t>
      </w:r>
    </w:p>
    <w:p>
      <w:pPr>
        <w:spacing w:after="0" w:line="186" w:lineRule="exact"/>
        <w:rPr>
          <w:sz w:val="20"/>
          <w:szCs w:val="20"/>
          <w:color w:val="auto"/>
        </w:rPr>
      </w:pPr>
    </w:p>
    <w:p>
      <w:pPr>
        <w:ind w:left="460" w:right="40" w:firstLine="216"/>
        <w:spacing w:after="0" w:line="289" w:lineRule="auto"/>
        <w:rPr>
          <w:sz w:val="20"/>
          <w:szCs w:val="20"/>
          <w:color w:val="auto"/>
        </w:rPr>
      </w:pPr>
      <w:r>
        <w:rPr>
          <w:rFonts w:ascii="Arial" w:cs="Arial" w:eastAsia="Arial" w:hAnsi="Arial"/>
          <w:sz w:val="16"/>
          <w:szCs w:val="16"/>
          <w:color w:val="auto"/>
        </w:rPr>
        <w:t>The amount we need to fund operations will depend on various factors, including the status of competitive products, the success of our research and development programs, the potential future need to expand our professional and support staff and facilities, the status of patents and other intellectual property rights, the delay or failure of a clinical trial of any of our drug candidates, and the continuation, extent, and success of any collaborative research arrangements (including those with Procter &amp; Gamble, Novartis, Medarex, Emisphere Technologies, Inc., and Amgen). Clinical trial costs are dependent, among other things, on the size and duration of trials, fees charged for services provided by clinical trial investigators and other third parties, the costs for manufacturing the product candidate for use in the trials, supplies, laboratory tests, and other expenses. The amount of funding that will be required for our clinical programs depends upon the results of our research and preclinical programs and early-stage clinical trials, regulatory requirements, the clinical trials underway plus additional clinical trials that we decide to initiate, and the various factors that affect the cost of each trial as described above.</w:t>
      </w:r>
    </w:p>
    <w:p>
      <w:pPr>
        <w:spacing w:after="0" w:line="172" w:lineRule="exact"/>
        <w:rPr>
          <w:sz w:val="20"/>
          <w:szCs w:val="20"/>
          <w:color w:val="auto"/>
        </w:rPr>
      </w:pPr>
    </w:p>
    <w:p>
      <w:pPr>
        <w:ind w:left="460" w:right="60" w:firstLine="260"/>
        <w:spacing w:after="0" w:line="259" w:lineRule="auto"/>
        <w:rPr>
          <w:sz w:val="20"/>
          <w:szCs w:val="20"/>
          <w:color w:val="auto"/>
        </w:rPr>
      </w:pPr>
      <w:r>
        <w:rPr>
          <w:rFonts w:ascii="Arial" w:cs="Arial" w:eastAsia="Arial" w:hAnsi="Arial"/>
          <w:sz w:val="18"/>
          <w:szCs w:val="18"/>
          <w:color w:val="auto"/>
        </w:rPr>
        <w:t>We believe that our existing capital resources will enable us to meet operating needs through at least the end of 2004. However, this is a forward-looking statement based on our current operating plan, and we cannot assure you that there will be no change in projected revenues or expenses that would lead to our capital being</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spacing w:after="0" w:line="290" w:lineRule="auto"/>
        <w:rPr>
          <w:sz w:val="20"/>
          <w:szCs w:val="20"/>
          <w:color w:val="auto"/>
        </w:rPr>
      </w:pPr>
      <w:r>
        <w:rPr>
          <w:rFonts w:ascii="Arial" w:cs="Arial" w:eastAsia="Arial" w:hAnsi="Arial"/>
          <w:sz w:val="16"/>
          <w:szCs w:val="16"/>
          <w:color w:val="auto"/>
        </w:rPr>
        <w:t>consumed significantly before such time. If there is insufficient capital to fund all of our planned operations and activities, we believe we would prioritize available capital to fund preclinical and clinical development of our product candidates. In the event we need additional financing for the operation of our business, we will consider collaborative arrangements and additional public or private financing, including additional equity financing. Factors influencing the availability of additional financing include our progress in product development, investor perception of our prospects, and the general condition of the financial markets. We may not be able to secure the necessary funding through new collaborative arrangements or additional public or private offerings. If we cannot raise adequate funds to satisfy our capital requirements, we may have to delay, scale-back, or eliminate certain of our research and development activities or future operations. This could harm our business.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Future Impact of Recently Issued Accounting Standards</w:t>
      </w:r>
    </w:p>
    <w:p>
      <w:pPr>
        <w:spacing w:after="0" w:line="231" w:lineRule="exact"/>
        <w:rPr>
          <w:sz w:val="20"/>
          <w:szCs w:val="20"/>
          <w:color w:val="auto"/>
        </w:rPr>
      </w:pPr>
    </w:p>
    <w:p>
      <w:pPr>
        <w:ind w:left="460" w:right="120" w:firstLine="219"/>
        <w:spacing w:after="0" w:line="302" w:lineRule="auto"/>
        <w:rPr>
          <w:sz w:val="20"/>
          <w:szCs w:val="20"/>
          <w:color w:val="auto"/>
        </w:rPr>
      </w:pPr>
      <w:r>
        <w:rPr>
          <w:rFonts w:ascii="Arial" w:cs="Arial" w:eastAsia="Arial" w:hAnsi="Arial"/>
          <w:sz w:val="15"/>
          <w:szCs w:val="15"/>
          <w:color w:val="auto"/>
        </w:rPr>
        <w:t xml:space="preserve">In May 2003, the Financial Accounting Standards Board issued Statement No. 150 (“SFAS No. 150”), </w:t>
      </w:r>
      <w:r>
        <w:rPr>
          <w:rFonts w:ascii="Arial" w:cs="Arial" w:eastAsia="Arial" w:hAnsi="Arial"/>
          <w:sz w:val="15"/>
          <w:szCs w:val="15"/>
          <w:i w:val="1"/>
          <w:iCs w:val="1"/>
          <w:color w:val="auto"/>
        </w:rPr>
        <w:t>Accounting for Certain Financial Instruments</w:t>
      </w:r>
      <w:r>
        <w:rPr>
          <w:rFonts w:ascii="Arial" w:cs="Arial" w:eastAsia="Arial" w:hAnsi="Arial"/>
          <w:sz w:val="15"/>
          <w:szCs w:val="15"/>
          <w:color w:val="auto"/>
        </w:rPr>
        <w:t xml:space="preserve"> </w:t>
      </w:r>
      <w:r>
        <w:rPr>
          <w:rFonts w:ascii="Arial" w:cs="Arial" w:eastAsia="Arial" w:hAnsi="Arial"/>
          <w:sz w:val="15"/>
          <w:szCs w:val="15"/>
          <w:i w:val="1"/>
          <w:iCs w:val="1"/>
          <w:color w:val="auto"/>
        </w:rPr>
        <w:t>with Characteristics of Both Liabilities and Equity</w:t>
      </w:r>
      <w:r>
        <w:rPr>
          <w:rFonts w:ascii="Arial" w:cs="Arial" w:eastAsia="Arial" w:hAnsi="Arial"/>
          <w:sz w:val="15"/>
          <w:szCs w:val="15"/>
          <w:color w:val="auto"/>
        </w:rPr>
        <w:t>. SFAS No. 150 specifies that instruments within its scope embody obligations of the issuer and that,</w:t>
      </w:r>
      <w:r>
        <w:rPr>
          <w:rFonts w:ascii="Arial" w:cs="Arial" w:eastAsia="Arial" w:hAnsi="Arial"/>
          <w:sz w:val="15"/>
          <w:szCs w:val="15"/>
          <w:i w:val="1"/>
          <w:iCs w:val="1"/>
          <w:color w:val="auto"/>
        </w:rPr>
        <w:t xml:space="preserve"> </w:t>
      </w:r>
      <w:r>
        <w:rPr>
          <w:rFonts w:ascii="Arial" w:cs="Arial" w:eastAsia="Arial" w:hAnsi="Arial"/>
          <w:sz w:val="15"/>
          <w:szCs w:val="15"/>
          <w:color w:val="auto"/>
        </w:rPr>
        <w:t>therefore, the issuer must classify them as liabilities. SFAS No. 150 requires issuers to classify as liabilities the following three types of freestanding financial instruments: (1) mandatorily redeemable financial instruments; (2) obligations to repurchase the issuer’s equity shares by transferring assets and</w:t>
      </w:r>
    </w:p>
    <w:p>
      <w:pPr>
        <w:spacing w:after="0" w:line="3" w:lineRule="exact"/>
        <w:rPr>
          <w:sz w:val="20"/>
          <w:szCs w:val="20"/>
          <w:color w:val="auto"/>
        </w:rPr>
      </w:pPr>
    </w:p>
    <w:p>
      <w:pPr>
        <w:ind w:left="460" w:firstLine="7"/>
        <w:spacing w:after="0" w:line="292" w:lineRule="auto"/>
        <w:tabs>
          <w:tab w:leader="none" w:pos="709" w:val="left"/>
        </w:tabs>
        <w:numPr>
          <w:ilvl w:val="0"/>
          <w:numId w:val="19"/>
        </w:numPr>
        <w:rPr>
          <w:rFonts w:ascii="Arial" w:cs="Arial" w:eastAsia="Arial" w:hAnsi="Arial"/>
          <w:sz w:val="16"/>
          <w:szCs w:val="16"/>
          <w:color w:val="auto"/>
        </w:rPr>
      </w:pPr>
      <w:r>
        <w:rPr>
          <w:rFonts w:ascii="Arial" w:cs="Arial" w:eastAsia="Arial" w:hAnsi="Arial"/>
          <w:sz w:val="16"/>
          <w:szCs w:val="16"/>
          <w:color w:val="auto"/>
        </w:rPr>
        <w:t>certain obligations to issue a variable number of shares. SFAS No. 150 defines a “freestanding financial instrument” as a financial instrument that (1) is entered into separately and apart from any of the entity’s other financial instruments or equity transactions or (2) is entered into in conjunction with some other transaction and can be legally detached and exercised on a separate basis. For all financial instruments entered into or modified after May 31, 2003, SFAS No. 150 is effective immediately. For all other instruments of public companies, SFAS No. 150 goes into effect at the beginning of the first interim period beginning after June 15, 2003. We do not expect the adoption of SFAS No. 150 to have a material impact on our financial statements.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Factors That May Affect Future Operating Results</w:t>
      </w:r>
    </w:p>
    <w:p>
      <w:pPr>
        <w:spacing w:after="0" w:line="231" w:lineRule="exact"/>
        <w:rPr>
          <w:sz w:val="20"/>
          <w:szCs w:val="20"/>
          <w:color w:val="auto"/>
        </w:rPr>
      </w:pPr>
    </w:p>
    <w:p>
      <w:pPr>
        <w:ind w:left="460" w:right="40" w:firstLine="216"/>
        <w:spacing w:after="0" w:line="255" w:lineRule="auto"/>
        <w:rPr>
          <w:sz w:val="20"/>
          <w:szCs w:val="20"/>
          <w:color w:val="auto"/>
        </w:rPr>
      </w:pPr>
      <w:r>
        <w:rPr>
          <w:rFonts w:ascii="Arial" w:cs="Arial" w:eastAsia="Arial" w:hAnsi="Arial"/>
          <w:sz w:val="18"/>
          <w:szCs w:val="18"/>
          <w:color w:val="auto"/>
        </w:rPr>
        <w:t>We caution shareholders and potential investors that the following important factors, among others, in some cases have affected, and in the future could affect, our actual results and could cause our actual results to differ materially from those expressed in any forward-looking statements made by, or on behalf of, us. The statements under this caption are intended to serve as cautionary statements within the meaning of the Private Securities Litigation Reform Act of 1995. The following information is not intended to limit in any way the characterization of other statements or information under other captions as cautionary statements for such purpose:</w:t>
      </w:r>
    </w:p>
    <w:p>
      <w:pPr>
        <w:spacing w:after="0" w:line="197" w:lineRule="exact"/>
        <w:rPr>
          <w:sz w:val="20"/>
          <w:szCs w:val="20"/>
          <w:color w:val="auto"/>
        </w:rPr>
      </w:pPr>
    </w:p>
    <w:p>
      <w:pPr>
        <w:ind w:left="1040" w:hanging="451"/>
        <w:spacing w:after="0" w:line="268"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 difficulty, or failure of a clinical trial of any of our product candidates, including clinical trials of our product candidates AXOKINE and the IL-1 Trap. If either or both of these product candidates fail to advance in the clinic, our</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40" w:right="80"/>
        <w:spacing w:after="0" w:line="301" w:lineRule="auto"/>
        <w:rPr>
          <w:sz w:val="20"/>
          <w:szCs w:val="20"/>
          <w:color w:val="auto"/>
        </w:rPr>
      </w:pPr>
      <w:r>
        <w:rPr>
          <w:rFonts w:ascii="Arial" w:cs="Arial" w:eastAsia="Arial" w:hAnsi="Arial"/>
          <w:sz w:val="15"/>
          <w:szCs w:val="15"/>
          <w:color w:val="auto"/>
        </w:rPr>
        <w:t>business will be severely harmed and our stock price will be adversely affected. A clinical trial can fail or be delayed as a result of many causes, including, among others, failure of the product candidate to demonstrate safety or efficacy, the development of serious or life-threatening adverse events (side effects) caused by or connected with exposure to the product candidate, difficulty in enrolling and maintaining subjects, lack of sufficient supplies of the product candidate, and the failure of clinical investigators, trial monitors and other consultants, or trial subjects to comply with the trial plan or protocol. A clinical trial may also fail because it did not include a sufficient number of patients to detect the endpoint being measured. For example, the pending trials studying the maintenance of weight loss following short-term treatment regimens with AXOKINE may not have enrolled enough patients to detect statistically significant differences between patients treated with AXOKINE and those taking placebo following the post-treatment maintenance periods. These trials were designed before we had access to the data from the recently completed Phase</w:t>
      </w:r>
    </w:p>
    <w:p>
      <w:pPr>
        <w:spacing w:after="0" w:line="4" w:lineRule="exact"/>
        <w:rPr>
          <w:sz w:val="20"/>
          <w:szCs w:val="20"/>
          <w:color w:val="auto"/>
        </w:rPr>
      </w:pPr>
    </w:p>
    <w:p>
      <w:pPr>
        <w:ind w:left="1040"/>
        <w:spacing w:after="0" w:line="261" w:lineRule="auto"/>
        <w:rPr>
          <w:sz w:val="20"/>
          <w:szCs w:val="20"/>
          <w:color w:val="auto"/>
        </w:rPr>
      </w:pPr>
      <w:r>
        <w:rPr>
          <w:rFonts w:ascii="Arial" w:cs="Arial" w:eastAsia="Arial" w:hAnsi="Arial"/>
          <w:sz w:val="18"/>
          <w:szCs w:val="18"/>
          <w:color w:val="auto"/>
        </w:rPr>
        <w:t>III trial, which demonstrated that the magnitude of the average difference in weight loss observed between all AXOKINE-treated subjects and those taking placebo was small.</w:t>
      </w:r>
    </w:p>
    <w:p>
      <w:pPr>
        <w:spacing w:after="0" w:line="191" w:lineRule="exact"/>
        <w:rPr>
          <w:sz w:val="20"/>
          <w:szCs w:val="20"/>
          <w:color w:val="auto"/>
        </w:rPr>
      </w:pPr>
    </w:p>
    <w:p>
      <w:pPr>
        <w:ind w:left="1040" w:right="20" w:hanging="451"/>
        <w:spacing w:after="0" w:line="290" w:lineRule="auto"/>
        <w:tabs>
          <w:tab w:leader="none" w:pos="10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addition to the safety, efficacy, manufacturing, and regulatory hurdles faced by our pharmaceutical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 react with the patient’s own proteins, resulting in an “auto-immune type” disease. Whether antibodies will be created can often not be predicted from preclinical experiments and their appearance is often delayed, so that there can be no assurance that neutralizing antibodies will not be created at a later date — in some cases even after pivotal clinical trials have been successfully completed. Subjects who have received AXOKINE and the IL-1 Trap in clinical trials have developed antibodies.</w:t>
      </w:r>
    </w:p>
    <w:p>
      <w:pPr>
        <w:spacing w:after="0" w:line="172" w:lineRule="exact"/>
        <w:rPr>
          <w:rFonts w:ascii="Arial" w:cs="Arial" w:eastAsia="Arial" w:hAnsi="Arial"/>
          <w:sz w:val="16"/>
          <w:szCs w:val="16"/>
          <w:color w:val="auto"/>
        </w:rPr>
      </w:pPr>
    </w:p>
    <w:p>
      <w:pPr>
        <w:ind w:left="1040" w:right="40" w:hanging="451"/>
        <w:spacing w:after="0" w:line="268"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 difficulty, or failure in obtaining regulatory approval for our products, including delays or difficulties in development because of insufficient proof of safety or efficacy or the failure to manufacture product candidates in accordance with FDA requirements.</w:t>
      </w:r>
    </w:p>
    <w:p>
      <w:pPr>
        <w:spacing w:after="0" w:line="185" w:lineRule="exact"/>
        <w:rPr>
          <w:rFonts w:ascii="Arial" w:cs="Arial" w:eastAsia="Arial" w:hAnsi="Arial"/>
          <w:sz w:val="18"/>
          <w:szCs w:val="18"/>
          <w:color w:val="auto"/>
        </w:rPr>
      </w:pPr>
    </w:p>
    <w:p>
      <w:pPr>
        <w:ind w:left="1040" w:right="600" w:hanging="451"/>
        <w:spacing w:after="0" w:line="268"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 difficulty, or failure of our research and development programs to produce product candidates that are scientifically or commercially appropriate for further development by us or others.</w:t>
      </w:r>
    </w:p>
    <w:p>
      <w:pPr>
        <w:spacing w:after="0" w:line="185" w:lineRule="exact"/>
        <w:rPr>
          <w:rFonts w:ascii="Arial" w:cs="Arial" w:eastAsia="Arial" w:hAnsi="Arial"/>
          <w:sz w:val="18"/>
          <w:szCs w:val="18"/>
          <w:color w:val="auto"/>
        </w:rPr>
      </w:pPr>
    </w:p>
    <w:p>
      <w:pPr>
        <w:ind w:left="1040" w:right="180" w:hanging="451"/>
        <w:spacing w:after="0" w:line="370" w:lineRule="auto"/>
        <w:tabs>
          <w:tab w:leader="none" w:pos="10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Cancellation or termination of material collaborative or licensing agreements (including in particular, but not limited to, our agreements with Procter &amp; Gamble and Novartis) and the resulting loss of research or other funding could have a material adverse effect on us and our operations.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40" w:right="120" w:hanging="451"/>
        <w:spacing w:after="0" w:line="268"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and irregular costs of development, manufacture, regulatory approval, sales, and marketing associated with the introduction of products in the late stage of development.</w:t>
      </w:r>
    </w:p>
    <w:p>
      <w:pPr>
        <w:spacing w:after="0" w:line="185" w:lineRule="exact"/>
        <w:rPr>
          <w:rFonts w:ascii="Arial" w:cs="Arial" w:eastAsia="Arial" w:hAnsi="Arial"/>
          <w:sz w:val="18"/>
          <w:szCs w:val="18"/>
          <w:color w:val="auto"/>
        </w:rPr>
      </w:pPr>
    </w:p>
    <w:p>
      <w:pPr>
        <w:ind w:left="1040" w:hanging="451"/>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Competitive or market factors that may cause use of our products to be limited or otherwise fail to achieve broad acceptance.</w:t>
      </w:r>
    </w:p>
    <w:p>
      <w:pPr>
        <w:spacing w:after="0" w:line="225" w:lineRule="exact"/>
        <w:rPr>
          <w:rFonts w:ascii="Arial" w:cs="Arial" w:eastAsia="Arial" w:hAnsi="Arial"/>
          <w:sz w:val="18"/>
          <w:szCs w:val="18"/>
          <w:color w:val="auto"/>
        </w:rPr>
      </w:pPr>
    </w:p>
    <w:p>
      <w:pPr>
        <w:ind w:left="1040" w:right="460" w:hanging="451"/>
        <w:spacing w:after="0" w:line="268"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to obtain, maintain, and prosecute intellectual property rights and the cost of acquiring in-process technology and other necessary intellectual property rights, either by license, collaboration, or purchase of another entity.</w:t>
      </w:r>
    </w:p>
    <w:p>
      <w:pPr>
        <w:spacing w:after="0" w:line="185" w:lineRule="exact"/>
        <w:rPr>
          <w:rFonts w:ascii="Arial" w:cs="Arial" w:eastAsia="Arial" w:hAnsi="Arial"/>
          <w:sz w:val="18"/>
          <w:szCs w:val="18"/>
          <w:color w:val="auto"/>
        </w:rPr>
      </w:pPr>
    </w:p>
    <w:p>
      <w:pPr>
        <w:ind w:left="1040" w:right="200" w:hanging="451"/>
        <w:spacing w:after="0" w:line="268"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or high costs of obtaining adequate financing to fund the cost of developing and manufacturing product candidates through public or private offerings or collaborative arrangements.</w:t>
      </w:r>
    </w:p>
    <w:p>
      <w:pPr>
        <w:spacing w:after="0" w:line="185" w:lineRule="exact"/>
        <w:rPr>
          <w:rFonts w:ascii="Arial" w:cs="Arial" w:eastAsia="Arial" w:hAnsi="Arial"/>
          <w:sz w:val="18"/>
          <w:szCs w:val="18"/>
          <w:color w:val="auto"/>
        </w:rPr>
      </w:pPr>
    </w:p>
    <w:p>
      <w:pPr>
        <w:ind w:left="1040" w:hanging="451"/>
        <w:spacing w:after="0" w:line="268"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 and rate of growth of our general and administrative expenses, and the impact of unusual charges resulting from our ongoing evaluation of our business strategies and organizational structure.</w:t>
      </w:r>
    </w:p>
    <w:p>
      <w:pPr>
        <w:spacing w:after="0" w:line="185" w:lineRule="exact"/>
        <w:rPr>
          <w:rFonts w:ascii="Arial" w:cs="Arial" w:eastAsia="Arial" w:hAnsi="Arial"/>
          <w:sz w:val="18"/>
          <w:szCs w:val="18"/>
          <w:color w:val="auto"/>
        </w:rPr>
      </w:pPr>
    </w:p>
    <w:p>
      <w:pPr>
        <w:ind w:left="1040" w:right="100" w:hanging="451"/>
        <w:spacing w:after="0" w:line="332" w:lineRule="auto"/>
        <w:tabs>
          <w:tab w:leader="none" w:pos="10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Failure of corporate partners to develop or commercialize successfully our products or to retain and expand the markets served by the commercial collaborations; conflicts of interest, priorities, and commercial strategies which may arise between our corporate partners and us.</w:t>
      </w:r>
    </w:p>
    <w:p>
      <w:pPr>
        <w:spacing w:after="0" w:line="139" w:lineRule="exact"/>
        <w:rPr>
          <w:rFonts w:ascii="Arial" w:cs="Arial" w:eastAsia="Arial" w:hAnsi="Arial"/>
          <w:sz w:val="16"/>
          <w:szCs w:val="16"/>
          <w:color w:val="auto"/>
        </w:rPr>
      </w:pPr>
    </w:p>
    <w:p>
      <w:pPr>
        <w:ind w:left="1040" w:right="480" w:hanging="451"/>
        <w:spacing w:after="0" w:line="259"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or difficulties in developing and acquiring production technology and technical and managerial personnel to manufacture novel biotechnology products in commercial quantities at reasonable costs and in compliance with applicable quality assurance and environmental regulations and governmental permitting requirements.</w:t>
      </w:r>
    </w:p>
    <w:p>
      <w:pPr>
        <w:spacing w:after="0" w:line="194" w:lineRule="exact"/>
        <w:rPr>
          <w:rFonts w:ascii="Arial" w:cs="Arial" w:eastAsia="Arial" w:hAnsi="Arial"/>
          <w:sz w:val="18"/>
          <w:szCs w:val="18"/>
          <w:color w:val="auto"/>
        </w:rPr>
      </w:pPr>
    </w:p>
    <w:p>
      <w:pPr>
        <w:ind w:left="1040" w:hanging="451"/>
        <w:spacing w:after="0" w:line="289" w:lineRule="auto"/>
        <w:tabs>
          <w:tab w:leader="none" w:pos="10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Difficulties in manufacturing sufficient amounts of our product candidates suitable for clinical testing or commercialization. Changes in product formulations and manufacturing processes may be required as product candidates progress in clinical development and are ultimately commercialized. If we are unable to develop suitable product formulations or manufacturing processes to support large scale clinical testing of our product candidates, including AXOKINE, IL-1 Trap, IL-4/13 Trap, and VEGF Trap, we may be unable to supply necessary materials for our clinical trials, which would delay the development of our product candidates. Similarly, if we are unable to supply sufficient quantities of product or develop product formulations suitable for commercial use, we will not be able to successfully commercialize our product candidates. For example, AXOKINE currently is formulated for delivery in single use vials. We are in the process of developing a formulation that may be used in multiple use vials. If we are unable to develop this multiple use vial formulation, potential future AXOKINE sales and profitability may be limited.</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40" w:hanging="451"/>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in obtaining key raw materials and supplies for the manufacture of our product candidates.</w:t>
      </w:r>
    </w:p>
    <w:p>
      <w:pPr>
        <w:spacing w:after="0" w:line="225" w:lineRule="exact"/>
        <w:rPr>
          <w:rFonts w:ascii="Arial" w:cs="Arial" w:eastAsia="Arial" w:hAnsi="Arial"/>
          <w:sz w:val="18"/>
          <w:szCs w:val="18"/>
          <w:color w:val="auto"/>
        </w:rPr>
      </w:pPr>
    </w:p>
    <w:p>
      <w:pPr>
        <w:ind w:left="1040" w:right="80" w:hanging="451"/>
        <w:spacing w:after="0" w:line="259"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of service providers upon whom we rely to carry out our clinical development programs, such as contract research organizations and third parties who fill and label our clinical supplies, to perform their contractual responsibilities. These failures could lead to delays in our clinical development programs.</w:t>
      </w:r>
    </w:p>
    <w:p>
      <w:pPr>
        <w:spacing w:after="0" w:line="194" w:lineRule="exact"/>
        <w:rPr>
          <w:rFonts w:ascii="Arial" w:cs="Arial" w:eastAsia="Arial" w:hAnsi="Arial"/>
          <w:sz w:val="18"/>
          <w:szCs w:val="18"/>
          <w:color w:val="auto"/>
        </w:rPr>
      </w:pPr>
    </w:p>
    <w:p>
      <w:pPr>
        <w:jc w:val="both"/>
        <w:ind w:left="1040" w:hanging="451"/>
        <w:spacing w:after="0" w:line="306" w:lineRule="auto"/>
        <w:tabs>
          <w:tab w:leader="none" w:pos="10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costs and other effects of legal and administrative cases and proceedings (whether civil litigation, such as the pending shareholder class action lawsuits, product liability, intellectual property, commercial, employment-related, or environmental claims, or criminal litigation), settlements, and investigations could result in losses to the Company that severely harm our business.</w:t>
      </w:r>
    </w:p>
    <w:p>
      <w:pPr>
        <w:spacing w:after="0" w:line="160" w:lineRule="exact"/>
        <w:rPr>
          <w:rFonts w:ascii="Arial" w:cs="Arial" w:eastAsia="Arial" w:hAnsi="Arial"/>
          <w:sz w:val="16"/>
          <w:szCs w:val="16"/>
          <w:color w:val="auto"/>
        </w:rPr>
      </w:pPr>
    </w:p>
    <w:p>
      <w:pPr>
        <w:jc w:val="both"/>
        <w:ind w:left="1040" w:right="340" w:hanging="451"/>
        <w:spacing w:after="0" w:line="259"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issuance and use of patents and proprietary technology by us and our competitors, including the possible negative effect on our ability to develop, manufacture, and sell our products in circumstances where we are unable to obtain licenses to patents which may be required for our products.</w:t>
      </w:r>
    </w:p>
    <w:p>
      <w:pPr>
        <w:spacing w:after="0" w:line="194" w:lineRule="exact"/>
        <w:rPr>
          <w:rFonts w:ascii="Arial" w:cs="Arial" w:eastAsia="Arial" w:hAnsi="Arial"/>
          <w:sz w:val="18"/>
          <w:szCs w:val="18"/>
          <w:color w:val="auto"/>
        </w:rPr>
      </w:pPr>
    </w:p>
    <w:p>
      <w:pPr>
        <w:ind w:left="1040" w:right="120" w:hanging="451"/>
        <w:spacing w:after="0" w:line="332" w:lineRule="auto"/>
        <w:tabs>
          <w:tab w:leader="none" w:pos="10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Underutilization of our existing or new manufacturing facilities or of any facility expansions, resulting in inefficiencies and higher costs; start-up costs, inefficiencies, delays, and increased depreciation costs in connection with the start of production in new plants and expansions.</w:t>
      </w:r>
    </w:p>
    <w:p>
      <w:pPr>
        <w:spacing w:after="0" w:line="139" w:lineRule="exact"/>
        <w:rPr>
          <w:rFonts w:ascii="Arial" w:cs="Arial" w:eastAsia="Arial" w:hAnsi="Arial"/>
          <w:sz w:val="16"/>
          <w:szCs w:val="16"/>
          <w:color w:val="auto"/>
        </w:rPr>
      </w:pPr>
    </w:p>
    <w:p>
      <w:pPr>
        <w:ind w:left="1040" w:right="520" w:hanging="451"/>
        <w:spacing w:after="0" w:line="332" w:lineRule="auto"/>
        <w:tabs>
          <w:tab w:leader="none" w:pos="10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Failure to have sufficient manufacturing capacity to make clinical supplies or commercial product in a timely and cost-competitive manner. Insufficient manufacturing capacity could delay clinical trials or limit commercial sale of marketed products.</w:t>
      </w:r>
    </w:p>
    <w:p>
      <w:pPr>
        <w:spacing w:after="0" w:line="139" w:lineRule="exact"/>
        <w:rPr>
          <w:rFonts w:ascii="Arial" w:cs="Arial" w:eastAsia="Arial" w:hAnsi="Arial"/>
          <w:sz w:val="16"/>
          <w:szCs w:val="16"/>
          <w:color w:val="auto"/>
        </w:rPr>
      </w:pPr>
    </w:p>
    <w:p>
      <w:pPr>
        <w:ind w:left="1040" w:hanging="451"/>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Health care reform, including reductions or changes in reimbursement available for prescription medications or other reforms.</w:t>
      </w:r>
    </w:p>
    <w:p>
      <w:pPr>
        <w:spacing w:after="0" w:line="225" w:lineRule="exact"/>
        <w:rPr>
          <w:rFonts w:ascii="Arial" w:cs="Arial" w:eastAsia="Arial" w:hAnsi="Arial"/>
          <w:sz w:val="18"/>
          <w:szCs w:val="18"/>
          <w:color w:val="auto"/>
        </w:rPr>
      </w:pPr>
    </w:p>
    <w:p>
      <w:pPr>
        <w:ind w:left="1040" w:hanging="451"/>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in attracting and retaining key personnel, especially in areas such as manufacturing, sales, and marketing.</w:t>
      </w:r>
    </w:p>
    <w:p>
      <w:pPr>
        <w:spacing w:after="0" w:line="225" w:lineRule="exact"/>
        <w:rPr>
          <w:sz w:val="20"/>
          <w:szCs w:val="20"/>
          <w:color w:val="auto"/>
        </w:rPr>
      </w:pPr>
    </w:p>
    <w:p>
      <w:pPr>
        <w:ind w:left="460" w:right="380" w:firstLine="210"/>
        <w:spacing w:after="0" w:line="259" w:lineRule="auto"/>
        <w:rPr>
          <w:sz w:val="20"/>
          <w:szCs w:val="20"/>
          <w:color w:val="auto"/>
        </w:rPr>
      </w:pPr>
      <w:r>
        <w:rPr>
          <w:rFonts w:ascii="Arial" w:cs="Arial" w:eastAsia="Arial" w:hAnsi="Arial"/>
          <w:sz w:val="18"/>
          <w:szCs w:val="18"/>
          <w:color w:val="auto"/>
        </w:rPr>
        <w:t>As our scientific efforts lead to potentially promising new directions, both outside of recombinant protein therapies and into conditions or diseases outside of our current areas of experience and expertise, we will require additional internal expertise or external collaborations in areas in which we currently do not have substantial resources and personnel.</w:t>
      </w:r>
    </w:p>
    <w:p>
      <w:pPr>
        <w:spacing w:after="0" w:line="194" w:lineRule="exact"/>
        <w:rPr>
          <w:sz w:val="20"/>
          <w:szCs w:val="20"/>
          <w:color w:val="auto"/>
        </w:rPr>
      </w:pPr>
    </w:p>
    <w:p>
      <w:pPr>
        <w:ind w:left="460" w:firstLine="219"/>
        <w:spacing w:after="0" w:line="259" w:lineRule="auto"/>
        <w:rPr>
          <w:sz w:val="20"/>
          <w:szCs w:val="20"/>
          <w:color w:val="auto"/>
        </w:rPr>
      </w:pPr>
      <w:r>
        <w:rPr>
          <w:rFonts w:ascii="Arial" w:cs="Arial" w:eastAsia="Arial" w:hAnsi="Arial"/>
          <w:sz w:val="18"/>
          <w:szCs w:val="18"/>
          <w:color w:val="auto"/>
        </w:rPr>
        <w:t>Other parties could allege to have blocking patents covering any of our product candidates in clinical and/or pre-clinical development. For example, we are aware of certain United States and foreign patents held by third parties relating to particular IL-4 and IL-13 receptors. In addition, we are aware of issued United States and European</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patents that pertain to the use of Ciliary Neurotrophic Factor, or CNTF, for the treatment of obesity. AXOKINE is a modified form of CNTF.</w:t>
      </w:r>
    </w:p>
    <w:p>
      <w:pPr>
        <w:spacing w:after="0" w:line="225" w:lineRule="exact"/>
        <w:rPr>
          <w:sz w:val="20"/>
          <w:szCs w:val="20"/>
          <w:color w:val="auto"/>
        </w:rPr>
      </w:pPr>
    </w:p>
    <w:p>
      <w:pPr>
        <w:ind w:right="100" w:firstLine="216"/>
        <w:spacing w:after="0" w:line="259" w:lineRule="auto"/>
        <w:rPr>
          <w:sz w:val="20"/>
          <w:szCs w:val="20"/>
          <w:color w:val="auto"/>
        </w:rPr>
      </w:pPr>
      <w:r>
        <w:rPr>
          <w:rFonts w:ascii="Arial" w:cs="Arial" w:eastAsia="Arial" w:hAnsi="Arial"/>
          <w:sz w:val="18"/>
          <w:szCs w:val="18"/>
          <w:color w:val="auto"/>
        </w:rPr>
        <w:t>We seek to obtain licenses to patents when, in our judgment, such licenses are needed. If any licenses are required, we may not be able to obtain such licenses on commercially reasonable terms, if at all. The failure to obtain any such license could prevent us from developing or commercializing one or more of our product candidates, which could severely harm our business.</w:t>
      </w:r>
    </w:p>
    <w:p>
      <w:pPr>
        <w:spacing w:after="0" w:line="194" w:lineRule="exact"/>
        <w:rPr>
          <w:sz w:val="20"/>
          <w:szCs w:val="20"/>
          <w:color w:val="auto"/>
        </w:rPr>
      </w:pPr>
    </w:p>
    <w:p>
      <w:pPr>
        <w:ind w:right="100" w:firstLine="220"/>
        <w:spacing w:after="0" w:line="306" w:lineRule="auto"/>
        <w:rPr>
          <w:sz w:val="20"/>
          <w:szCs w:val="20"/>
          <w:color w:val="auto"/>
        </w:rPr>
      </w:pPr>
      <w:r>
        <w:rPr>
          <w:rFonts w:ascii="Arial" w:cs="Arial" w:eastAsia="Arial" w:hAnsi="Arial"/>
          <w:sz w:val="16"/>
          <w:szCs w:val="16"/>
          <w:color w:val="auto"/>
        </w:rPr>
        <w:t>Defense and enforcement of our intellectual property rights can be expensive and time consuming, even if the outcome is favorable to us. It is possible that patents issued or licensed to us will be successfully challenged, that a court may find that we are infringing validly issued patents of third parties, or that we may have to alter or discontinue the development of our products or pay license fees or royalties to take into account patent rights of third parties.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231" w:lineRule="exact"/>
        <w:rPr>
          <w:sz w:val="20"/>
          <w:szCs w:val="20"/>
          <w:color w:val="auto"/>
        </w:rPr>
      </w:pPr>
    </w:p>
    <w:p>
      <w:pPr>
        <w:ind w:right="80" w:firstLine="220"/>
        <w:spacing w:after="0" w:line="298" w:lineRule="auto"/>
        <w:rPr>
          <w:sz w:val="20"/>
          <w:szCs w:val="20"/>
          <w:color w:val="auto"/>
        </w:rPr>
      </w:pPr>
      <w:r>
        <w:rPr>
          <w:rFonts w:ascii="Arial" w:cs="Arial" w:eastAsia="Arial" w:hAnsi="Arial"/>
          <w:sz w:val="16"/>
          <w:szCs w:val="16"/>
          <w:color w:val="auto"/>
        </w:rPr>
        <w:t>Our earnings and cash flows are subject to fluctuations due to changes in interest rates primarily from our investment of available cash balances in investment grade corporate and U.S. government securities. We do not believe we are materially exposed to changes in interest rates. Under our current policies, we do not use interest rate derivative instruments to manage exposure to interest rate changes. We estimate that a one percent change in interest rates would result in an approximately $0.5 million change in the fair market value of our investment portfolio at June 30, 2003.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31" w:lineRule="exact"/>
        <w:rPr>
          <w:sz w:val="20"/>
          <w:szCs w:val="20"/>
          <w:color w:val="auto"/>
        </w:rPr>
      </w:pPr>
    </w:p>
    <w:p>
      <w:pPr>
        <w:ind w:firstLine="228"/>
        <w:spacing w:after="0" w:line="318" w:lineRule="auto"/>
        <w:tabs>
          <w:tab w:leader="none" w:pos="502" w:val="left"/>
        </w:tabs>
        <w:numPr>
          <w:ilvl w:val="0"/>
          <w:numId w:val="24"/>
        </w:numPr>
        <w:rPr>
          <w:rFonts w:ascii="Arial" w:cs="Arial" w:eastAsia="Arial" w:hAnsi="Arial"/>
          <w:sz w:val="15"/>
          <w:szCs w:val="15"/>
          <w:color w:val="auto"/>
        </w:rPr>
      </w:pPr>
      <w:r>
        <w:rPr>
          <w:rFonts w:ascii="Arial" w:cs="Arial" w:eastAsia="Arial" w:hAnsi="Arial"/>
          <w:sz w:val="15"/>
          <w:szCs w:val="15"/>
          <w:color w:val="auto"/>
        </w:rPr>
        <w:t>Disclosure Controls and Procedures. Our management, with the participation of our President and Chief Executive Officer and Chief Financial Officer, has evaluated the effectiveness of the design and operation of our disclosure controls and procedures as such term is defined in Rules 13a-15(e) and 15d-15(e) of the Securities Exchange Act of 1934, as amended (the “Exchange Act”) as of the end of the period covered by this report. Based upon the evaluation, our President and Chief Executive Officer along with our Chief Financial Officer concluded that, as of the end of such period, our disclosure controls and procedures are effective in timely alerting them to material information relating to Regeneron required to be included in our reports filed or submitted under the Exchange Act.</w:t>
      </w:r>
    </w:p>
    <w:p>
      <w:pPr>
        <w:spacing w:after="0" w:line="153" w:lineRule="exact"/>
        <w:rPr>
          <w:rFonts w:ascii="Arial" w:cs="Arial" w:eastAsia="Arial" w:hAnsi="Arial"/>
          <w:sz w:val="15"/>
          <w:szCs w:val="15"/>
          <w:color w:val="auto"/>
        </w:rPr>
      </w:pPr>
    </w:p>
    <w:p>
      <w:pPr>
        <w:ind w:right="60" w:firstLine="228"/>
        <w:spacing w:after="0" w:line="259" w:lineRule="auto"/>
        <w:tabs>
          <w:tab w:leader="none" w:pos="512"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Internal Control over Financial Reporting. There have not been any changes in our internal controls over financial reporting (as such term is defined in Rules 13a-15(f) and 15d-15(f) under the Exchange Act) during the fiscal quarter to which this report relates that have materially affected, or are reasonably likely to materially affect, our internal control over financial reporting.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1" w:lineRule="exact"/>
        <w:rPr>
          <w:sz w:val="20"/>
          <w:szCs w:val="20"/>
          <w:color w:val="auto"/>
        </w:rPr>
      </w:pPr>
    </w:p>
    <w:p>
      <w:pPr>
        <w:ind w:right="20" w:firstLine="220"/>
        <w:spacing w:after="0" w:line="294" w:lineRule="auto"/>
        <w:rPr>
          <w:sz w:val="20"/>
          <w:szCs w:val="20"/>
          <w:color w:val="auto"/>
        </w:rPr>
      </w:pPr>
      <w:r>
        <w:rPr>
          <w:rFonts w:ascii="Arial" w:cs="Arial" w:eastAsia="Arial" w:hAnsi="Arial"/>
          <w:sz w:val="16"/>
          <w:szCs w:val="16"/>
          <w:color w:val="auto"/>
        </w:rPr>
        <w:t>In May 2003, securities class action lawsuits were commenced against Regeneron and certain of its officers and directors in the United States District Court for the Southern District of New York. The complaints, which purport to be brought on behalf of a class consisting of investors in the Company’s publicly traded securities between March 28, 2000 and March 30, 2003, allege that the defendants misstated or omitted material information concerning the safety and efficacy of AXOKINE, in violation of Sections 10(b) and 20(a) of the Securities and Exchange Act of 1934, and Rule 10b-5 promulgated thereunder. Damages are sought in an unspecified amount. We believe that the lawsuits are without merit.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31" w:lineRule="exact"/>
        <w:rPr>
          <w:sz w:val="20"/>
          <w:szCs w:val="20"/>
          <w:color w:val="auto"/>
        </w:rPr>
      </w:pPr>
    </w:p>
    <w:p>
      <w:pPr>
        <w:ind w:right="600" w:firstLine="220"/>
        <w:spacing w:after="0" w:line="268" w:lineRule="auto"/>
        <w:rPr>
          <w:sz w:val="20"/>
          <w:szCs w:val="20"/>
          <w:color w:val="auto"/>
        </w:rPr>
      </w:pPr>
      <w:r>
        <w:rPr>
          <w:rFonts w:ascii="Arial" w:cs="Arial" w:eastAsia="Arial" w:hAnsi="Arial"/>
          <w:sz w:val="18"/>
          <w:szCs w:val="18"/>
          <w:color w:val="auto"/>
        </w:rPr>
        <w:t>On June 13, 2003, we conducted our Annual Meeting of Shareholders pursuant to due notice. A quorum being present either in person or by proxy, the shareholders voted on the following matters:</w:t>
      </w:r>
    </w:p>
    <w:p>
      <w:pPr>
        <w:spacing w:after="0" w:line="186" w:lineRule="exact"/>
        <w:rPr>
          <w:sz w:val="20"/>
          <w:szCs w:val="20"/>
          <w:color w:val="auto"/>
        </w:rPr>
      </w:pPr>
    </w:p>
    <w:p>
      <w:pPr>
        <w:ind w:left="580" w:hanging="352"/>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elect four Directors to hold office for a three-year term as Class III directors, and until their successors are duly elected and qualified.</w:t>
      </w:r>
    </w:p>
    <w:p>
      <w:pPr>
        <w:spacing w:after="0" w:line="225" w:lineRule="exact"/>
        <w:rPr>
          <w:rFonts w:ascii="Arial" w:cs="Arial" w:eastAsia="Arial" w:hAnsi="Arial"/>
          <w:sz w:val="18"/>
          <w:szCs w:val="18"/>
          <w:color w:val="auto"/>
        </w:rPr>
      </w:pPr>
    </w:p>
    <w:p>
      <w:pPr>
        <w:ind w:left="220" w:right="1540" w:firstLine="8"/>
        <w:spacing w:after="0" w:line="519" w:lineRule="auto"/>
        <w:tabs>
          <w:tab w:leader="none" w:pos="56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approve the selection of PricewaterhouseCoopers LLP as independent accountants for our fiscal year ending December 31, 2003. No other matters were voted on. The number of votes cast was:</w:t>
      </w:r>
    </w:p>
    <w:p>
      <w:pPr>
        <w:spacing w:after="0" w:line="195"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tcPr>
          <w:p>
            <w:pPr>
              <w:jc w:val="right"/>
              <w:ind w:right="412"/>
              <w:spacing w:after="0"/>
              <w:rPr>
                <w:sz w:val="20"/>
                <w:szCs w:val="20"/>
                <w:color w:val="auto"/>
              </w:rPr>
            </w:pPr>
            <w:r>
              <w:rPr>
                <w:rFonts w:ascii="Arial" w:cs="Arial" w:eastAsia="Arial" w:hAnsi="Arial"/>
                <w:sz w:val="14"/>
                <w:szCs w:val="14"/>
                <w:b w:val="1"/>
                <w:bCs w:val="1"/>
                <w:color w:val="auto"/>
              </w:rPr>
              <w:t>Withheld</w:t>
            </w:r>
          </w:p>
        </w:tc>
        <w:tc>
          <w:tcPr>
            <w:tcW w:w="0" w:type="dxa"/>
            <w:vAlign w:val="bottom"/>
          </w:tcPr>
          <w:p>
            <w:pPr>
              <w:spacing w:after="0"/>
              <w:rPr>
                <w:sz w:val="1"/>
                <w:szCs w:val="1"/>
                <w:color w:val="auto"/>
              </w:rPr>
            </w:pPr>
          </w:p>
        </w:tc>
      </w:tr>
      <w:tr>
        <w:trPr>
          <w:trHeight w:val="174"/>
        </w:trPr>
        <w:tc>
          <w:tcPr>
            <w:tcW w:w="3940" w:type="dxa"/>
            <w:vAlign w:val="bottom"/>
          </w:tcPr>
          <w:p>
            <w:pPr>
              <w:spacing w:after="0"/>
              <w:rPr>
                <w:sz w:val="15"/>
                <w:szCs w:val="15"/>
                <w:color w:val="auto"/>
              </w:rPr>
            </w:pPr>
          </w:p>
        </w:tc>
        <w:tc>
          <w:tcPr>
            <w:tcW w:w="1680" w:type="dxa"/>
            <w:vAlign w:val="bottom"/>
          </w:tcPr>
          <w:p>
            <w:pPr>
              <w:jc w:val="right"/>
              <w:ind w:right="656"/>
              <w:spacing w:after="0"/>
              <w:rPr>
                <w:sz w:val="20"/>
                <w:szCs w:val="20"/>
                <w:color w:val="auto"/>
              </w:rPr>
            </w:pPr>
            <w:r>
              <w:rPr>
                <w:rFonts w:ascii="Arial" w:cs="Arial" w:eastAsia="Arial" w:hAnsi="Arial"/>
                <w:sz w:val="14"/>
                <w:szCs w:val="14"/>
                <w:b w:val="1"/>
                <w:bCs w:val="1"/>
                <w:color w:val="auto"/>
              </w:rPr>
              <w:t>For</w:t>
            </w:r>
          </w:p>
        </w:tc>
        <w:tc>
          <w:tcPr>
            <w:tcW w:w="320" w:type="dxa"/>
            <w:vAlign w:val="bottom"/>
          </w:tcPr>
          <w:p>
            <w:pPr>
              <w:spacing w:after="0"/>
              <w:rPr>
                <w:sz w:val="15"/>
                <w:szCs w:val="15"/>
                <w:color w:val="auto"/>
              </w:rPr>
            </w:pPr>
          </w:p>
        </w:tc>
        <w:tc>
          <w:tcPr>
            <w:tcW w:w="1480" w:type="dxa"/>
            <w:vAlign w:val="bottom"/>
          </w:tcPr>
          <w:p>
            <w:pPr>
              <w:jc w:val="right"/>
              <w:ind w:right="392"/>
              <w:spacing w:after="0"/>
              <w:rPr>
                <w:sz w:val="20"/>
                <w:szCs w:val="20"/>
                <w:color w:val="auto"/>
              </w:rPr>
            </w:pPr>
            <w:r>
              <w:rPr>
                <w:rFonts w:ascii="Arial" w:cs="Arial" w:eastAsia="Arial" w:hAnsi="Arial"/>
                <w:sz w:val="14"/>
                <w:szCs w:val="14"/>
                <w:b w:val="1"/>
                <w:bCs w:val="1"/>
                <w:color w:val="auto"/>
              </w:rPr>
              <w:t>Authority</w:t>
            </w:r>
          </w:p>
        </w:tc>
        <w:tc>
          <w:tcPr>
            <w:tcW w:w="0" w:type="dxa"/>
            <w:vAlign w:val="bottom"/>
          </w:tcPr>
          <w:p>
            <w:pPr>
              <w:spacing w:after="0"/>
              <w:rPr>
                <w:sz w:val="1"/>
                <w:szCs w:val="1"/>
                <w:color w:val="auto"/>
              </w:rPr>
            </w:pPr>
          </w:p>
        </w:tc>
      </w:tr>
      <w:tr>
        <w:trPr>
          <w:trHeight w:val="95"/>
        </w:trPr>
        <w:tc>
          <w:tcPr>
            <w:tcW w:w="3940" w:type="dxa"/>
            <w:vAlign w:val="bottom"/>
            <w:vMerge w:val="restart"/>
          </w:tcPr>
          <w:p>
            <w:pPr>
              <w:spacing w:after="0"/>
              <w:rPr>
                <w:sz w:val="20"/>
                <w:szCs w:val="20"/>
                <w:color w:val="auto"/>
              </w:rPr>
            </w:pPr>
            <w:r>
              <w:rPr>
                <w:rFonts w:ascii="Arial" w:cs="Arial" w:eastAsia="Arial" w:hAnsi="Arial"/>
                <w:sz w:val="18"/>
                <w:szCs w:val="18"/>
                <w:color w:val="auto"/>
              </w:rPr>
              <w:t>1. Election of Class II Directors</w:t>
            </w:r>
          </w:p>
        </w:tc>
        <w:tc>
          <w:tcPr>
            <w:tcW w:w="16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394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340"/>
              <w:spacing w:after="0"/>
              <w:rPr>
                <w:sz w:val="20"/>
                <w:szCs w:val="20"/>
                <w:color w:val="auto"/>
              </w:rPr>
            </w:pPr>
            <w:r>
              <w:rPr>
                <w:rFonts w:ascii="Arial" w:cs="Arial" w:eastAsia="Arial" w:hAnsi="Arial"/>
                <w:sz w:val="18"/>
                <w:szCs w:val="18"/>
                <w:color w:val="auto"/>
              </w:rPr>
              <w:t>Charles A. Baker</w:t>
            </w:r>
          </w:p>
        </w:tc>
        <w:tc>
          <w:tcPr>
            <w:tcW w:w="1680" w:type="dxa"/>
            <w:vAlign w:val="bottom"/>
          </w:tcPr>
          <w:p>
            <w:pPr>
              <w:jc w:val="right"/>
              <w:ind w:right="376"/>
              <w:spacing w:after="0"/>
              <w:rPr>
                <w:sz w:val="20"/>
                <w:szCs w:val="20"/>
                <w:color w:val="auto"/>
              </w:rPr>
            </w:pPr>
            <w:r>
              <w:rPr>
                <w:rFonts w:ascii="Arial" w:cs="Arial" w:eastAsia="Arial" w:hAnsi="Arial"/>
                <w:sz w:val="18"/>
                <w:szCs w:val="18"/>
                <w:color w:val="auto"/>
              </w:rPr>
              <w:t>62,988,454</w:t>
            </w:r>
          </w:p>
        </w:tc>
        <w:tc>
          <w:tcPr>
            <w:tcW w:w="1800" w:type="dxa"/>
            <w:vAlign w:val="bottom"/>
            <w:gridSpan w:val="2"/>
          </w:tcPr>
          <w:p>
            <w:pPr>
              <w:jc w:val="right"/>
              <w:ind w:right="352"/>
              <w:spacing w:after="0"/>
              <w:rPr>
                <w:sz w:val="20"/>
                <w:szCs w:val="20"/>
                <w:color w:val="auto"/>
              </w:rPr>
            </w:pPr>
            <w:r>
              <w:rPr>
                <w:rFonts w:ascii="Arial" w:cs="Arial" w:eastAsia="Arial" w:hAnsi="Arial"/>
                <w:sz w:val="18"/>
                <w:szCs w:val="18"/>
                <w:color w:val="auto"/>
              </w:rPr>
              <w:t>1,672,741</w:t>
            </w:r>
          </w:p>
        </w:tc>
        <w:tc>
          <w:tcPr>
            <w:tcW w:w="0" w:type="dxa"/>
            <w:vAlign w:val="bottom"/>
          </w:tcPr>
          <w:p>
            <w:pPr>
              <w:spacing w:after="0"/>
              <w:rPr>
                <w:sz w:val="1"/>
                <w:szCs w:val="1"/>
                <w:color w:val="auto"/>
              </w:rPr>
            </w:pPr>
          </w:p>
        </w:tc>
      </w:tr>
      <w:tr>
        <w:trPr>
          <w:trHeight w:val="216"/>
        </w:trPr>
        <w:tc>
          <w:tcPr>
            <w:tcW w:w="3940" w:type="dxa"/>
            <w:vAlign w:val="bottom"/>
          </w:tcPr>
          <w:p>
            <w:pPr>
              <w:ind w:left="340"/>
              <w:spacing w:after="0"/>
              <w:rPr>
                <w:sz w:val="20"/>
                <w:szCs w:val="20"/>
                <w:color w:val="auto"/>
              </w:rPr>
            </w:pPr>
            <w:r>
              <w:rPr>
                <w:rFonts w:ascii="Arial" w:cs="Arial" w:eastAsia="Arial" w:hAnsi="Arial"/>
                <w:sz w:val="18"/>
                <w:szCs w:val="18"/>
                <w:color w:val="auto"/>
              </w:rPr>
              <w:t>Michael S. Brown, M.D.</w:t>
            </w:r>
          </w:p>
        </w:tc>
        <w:tc>
          <w:tcPr>
            <w:tcW w:w="1680" w:type="dxa"/>
            <w:vAlign w:val="bottom"/>
          </w:tcPr>
          <w:p>
            <w:pPr>
              <w:jc w:val="right"/>
              <w:ind w:right="376"/>
              <w:spacing w:after="0"/>
              <w:rPr>
                <w:sz w:val="20"/>
                <w:szCs w:val="20"/>
                <w:color w:val="auto"/>
              </w:rPr>
            </w:pPr>
            <w:r>
              <w:rPr>
                <w:rFonts w:ascii="Arial" w:cs="Arial" w:eastAsia="Arial" w:hAnsi="Arial"/>
                <w:sz w:val="18"/>
                <w:szCs w:val="18"/>
                <w:color w:val="auto"/>
              </w:rPr>
              <w:t>64,282,679</w:t>
            </w:r>
          </w:p>
        </w:tc>
        <w:tc>
          <w:tcPr>
            <w:tcW w:w="1800" w:type="dxa"/>
            <w:vAlign w:val="bottom"/>
            <w:gridSpan w:val="2"/>
          </w:tcPr>
          <w:p>
            <w:pPr>
              <w:jc w:val="right"/>
              <w:ind w:right="352"/>
              <w:spacing w:after="0"/>
              <w:rPr>
                <w:sz w:val="20"/>
                <w:szCs w:val="20"/>
                <w:color w:val="auto"/>
              </w:rPr>
            </w:pPr>
            <w:r>
              <w:rPr>
                <w:rFonts w:ascii="Arial" w:cs="Arial" w:eastAsia="Arial" w:hAnsi="Arial"/>
                <w:sz w:val="18"/>
                <w:szCs w:val="18"/>
                <w:color w:val="auto"/>
              </w:rPr>
              <w:t>378,516</w:t>
            </w:r>
          </w:p>
        </w:tc>
        <w:tc>
          <w:tcPr>
            <w:tcW w:w="0" w:type="dxa"/>
            <w:vAlign w:val="bottom"/>
          </w:tcPr>
          <w:p>
            <w:pPr>
              <w:spacing w:after="0"/>
              <w:rPr>
                <w:sz w:val="1"/>
                <w:szCs w:val="1"/>
                <w:color w:val="auto"/>
              </w:rPr>
            </w:pPr>
          </w:p>
        </w:tc>
      </w:tr>
      <w:tr>
        <w:trPr>
          <w:trHeight w:val="216"/>
        </w:trPr>
        <w:tc>
          <w:tcPr>
            <w:tcW w:w="3940" w:type="dxa"/>
            <w:vAlign w:val="bottom"/>
          </w:tcPr>
          <w:p>
            <w:pPr>
              <w:ind w:left="340"/>
              <w:spacing w:after="0"/>
              <w:rPr>
                <w:sz w:val="20"/>
                <w:szCs w:val="20"/>
                <w:color w:val="auto"/>
              </w:rPr>
            </w:pPr>
            <w:r>
              <w:rPr>
                <w:rFonts w:ascii="Arial" w:cs="Arial" w:eastAsia="Arial" w:hAnsi="Arial"/>
                <w:sz w:val="18"/>
                <w:szCs w:val="18"/>
                <w:color w:val="auto"/>
              </w:rPr>
              <w:t>George L. Sing</w:t>
            </w:r>
          </w:p>
        </w:tc>
        <w:tc>
          <w:tcPr>
            <w:tcW w:w="1680" w:type="dxa"/>
            <w:vAlign w:val="bottom"/>
          </w:tcPr>
          <w:p>
            <w:pPr>
              <w:jc w:val="right"/>
              <w:ind w:right="376"/>
              <w:spacing w:after="0"/>
              <w:rPr>
                <w:sz w:val="20"/>
                <w:szCs w:val="20"/>
                <w:color w:val="auto"/>
              </w:rPr>
            </w:pPr>
            <w:r>
              <w:rPr>
                <w:rFonts w:ascii="Arial" w:cs="Arial" w:eastAsia="Arial" w:hAnsi="Arial"/>
                <w:sz w:val="18"/>
                <w:szCs w:val="18"/>
                <w:color w:val="auto"/>
              </w:rPr>
              <w:t>64,282,679</w:t>
            </w:r>
          </w:p>
        </w:tc>
        <w:tc>
          <w:tcPr>
            <w:tcW w:w="1800" w:type="dxa"/>
            <w:vAlign w:val="bottom"/>
            <w:gridSpan w:val="2"/>
          </w:tcPr>
          <w:p>
            <w:pPr>
              <w:jc w:val="right"/>
              <w:ind w:right="352"/>
              <w:spacing w:after="0"/>
              <w:rPr>
                <w:sz w:val="20"/>
                <w:szCs w:val="20"/>
                <w:color w:val="auto"/>
              </w:rPr>
            </w:pPr>
            <w:r>
              <w:rPr>
                <w:rFonts w:ascii="Arial" w:cs="Arial" w:eastAsia="Arial" w:hAnsi="Arial"/>
                <w:sz w:val="18"/>
                <w:szCs w:val="18"/>
                <w:color w:val="auto"/>
              </w:rPr>
              <w:t>378,516</w:t>
            </w:r>
          </w:p>
        </w:tc>
        <w:tc>
          <w:tcPr>
            <w:tcW w:w="0" w:type="dxa"/>
            <w:vAlign w:val="bottom"/>
          </w:tcPr>
          <w:p>
            <w:pPr>
              <w:spacing w:after="0"/>
              <w:rPr>
                <w:sz w:val="1"/>
                <w:szCs w:val="1"/>
                <w:color w:val="auto"/>
              </w:rPr>
            </w:pPr>
          </w:p>
        </w:tc>
      </w:tr>
      <w:tr>
        <w:trPr>
          <w:trHeight w:val="222"/>
        </w:trPr>
        <w:tc>
          <w:tcPr>
            <w:tcW w:w="3940" w:type="dxa"/>
            <w:vAlign w:val="bottom"/>
          </w:tcPr>
          <w:p>
            <w:pPr>
              <w:ind w:left="320"/>
              <w:spacing w:after="0"/>
              <w:rPr>
                <w:sz w:val="20"/>
                <w:szCs w:val="20"/>
                <w:color w:val="auto"/>
              </w:rPr>
            </w:pPr>
            <w:r>
              <w:rPr>
                <w:rFonts w:ascii="Arial" w:cs="Arial" w:eastAsia="Arial" w:hAnsi="Arial"/>
                <w:sz w:val="18"/>
                <w:szCs w:val="18"/>
                <w:color w:val="auto"/>
              </w:rPr>
              <w:t>Arthur F. Ryan</w:t>
            </w:r>
          </w:p>
        </w:tc>
        <w:tc>
          <w:tcPr>
            <w:tcW w:w="1680" w:type="dxa"/>
            <w:vAlign w:val="bottom"/>
          </w:tcPr>
          <w:p>
            <w:pPr>
              <w:jc w:val="right"/>
              <w:ind w:right="376"/>
              <w:spacing w:after="0"/>
              <w:rPr>
                <w:sz w:val="20"/>
                <w:szCs w:val="20"/>
                <w:color w:val="auto"/>
              </w:rPr>
            </w:pPr>
            <w:r>
              <w:rPr>
                <w:rFonts w:ascii="Arial" w:cs="Arial" w:eastAsia="Arial" w:hAnsi="Arial"/>
                <w:sz w:val="18"/>
                <w:szCs w:val="18"/>
                <w:color w:val="auto"/>
              </w:rPr>
              <w:t>62,934,374</w:t>
            </w:r>
          </w:p>
        </w:tc>
        <w:tc>
          <w:tcPr>
            <w:tcW w:w="1800" w:type="dxa"/>
            <w:vAlign w:val="bottom"/>
            <w:gridSpan w:val="2"/>
          </w:tcPr>
          <w:p>
            <w:pPr>
              <w:jc w:val="right"/>
              <w:ind w:right="352"/>
              <w:spacing w:after="0"/>
              <w:rPr>
                <w:sz w:val="20"/>
                <w:szCs w:val="20"/>
                <w:color w:val="auto"/>
              </w:rPr>
            </w:pPr>
            <w:r>
              <w:rPr>
                <w:rFonts w:ascii="Arial" w:cs="Arial" w:eastAsia="Arial" w:hAnsi="Arial"/>
                <w:sz w:val="18"/>
                <w:szCs w:val="18"/>
                <w:color w:val="auto"/>
              </w:rPr>
              <w:t>1,726,821</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500" w:firstLine="216"/>
        <w:spacing w:after="0" w:line="268" w:lineRule="auto"/>
        <w:rPr>
          <w:sz w:val="20"/>
          <w:szCs w:val="20"/>
          <w:color w:val="auto"/>
        </w:rPr>
      </w:pPr>
      <w:r>
        <w:rPr>
          <w:rFonts w:ascii="Arial" w:cs="Arial" w:eastAsia="Arial" w:hAnsi="Arial"/>
          <w:sz w:val="18"/>
          <w:szCs w:val="18"/>
          <w:color w:val="auto"/>
        </w:rPr>
        <w:t>The terms of office of Leonard S. Schleifer, M.D., Ph.D., Eric M. Shooter, Ph.D., George D. Yancopoulos, M.D., Ph.D., Alfred G. Gilman, M.D., Ph.D., Joseph L. Goldstein, M.D., and P. Roy Vagelos, M.D. continued after the meeting.</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36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280" w:type="dxa"/>
            <w:vAlign w:val="bottom"/>
          </w:tcPr>
          <w:p>
            <w:pPr>
              <w:spacing w:after="0"/>
              <w:rPr>
                <w:sz w:val="15"/>
                <w:szCs w:val="15"/>
                <w:color w:val="auto"/>
              </w:rPr>
            </w:pPr>
          </w:p>
        </w:tc>
        <w:tc>
          <w:tcPr>
            <w:tcW w:w="1100" w:type="dxa"/>
            <w:vAlign w:val="bottom"/>
          </w:tcPr>
          <w:p>
            <w:pPr>
              <w:jc w:val="right"/>
              <w:ind w:right="272"/>
              <w:spacing w:after="0"/>
              <w:rPr>
                <w:sz w:val="20"/>
                <w:szCs w:val="20"/>
                <w:color w:val="auto"/>
              </w:rPr>
            </w:pPr>
            <w:r>
              <w:rPr>
                <w:rFonts w:ascii="Arial" w:cs="Arial" w:eastAsia="Arial" w:hAnsi="Arial"/>
                <w:sz w:val="14"/>
                <w:szCs w:val="14"/>
                <w:b w:val="1"/>
                <w:bCs w:val="1"/>
                <w:color w:val="auto"/>
              </w:rPr>
              <w:t>Against</w:t>
            </w:r>
          </w:p>
        </w:tc>
        <w:tc>
          <w:tcPr>
            <w:tcW w:w="280" w:type="dxa"/>
            <w:vAlign w:val="bottom"/>
          </w:tcPr>
          <w:p>
            <w:pPr>
              <w:spacing w:after="0"/>
              <w:rPr>
                <w:sz w:val="15"/>
                <w:szCs w:val="15"/>
                <w:color w:val="auto"/>
              </w:rPr>
            </w:pPr>
          </w:p>
        </w:tc>
        <w:tc>
          <w:tcPr>
            <w:tcW w:w="700" w:type="dxa"/>
            <w:vAlign w:val="bottom"/>
          </w:tcPr>
          <w:p>
            <w:pPr>
              <w:ind w:left="120"/>
              <w:spacing w:after="0"/>
              <w:rPr>
                <w:sz w:val="20"/>
                <w:szCs w:val="20"/>
                <w:color w:val="auto"/>
              </w:rPr>
            </w:pPr>
            <w:r>
              <w:rPr>
                <w:rFonts w:ascii="Arial" w:cs="Arial" w:eastAsia="Arial" w:hAnsi="Arial"/>
                <w:sz w:val="14"/>
                <w:szCs w:val="14"/>
                <w:b w:val="1"/>
                <w:bCs w:val="1"/>
                <w:color w:val="auto"/>
              </w:rPr>
              <w:t>Abstain</w:t>
            </w:r>
          </w:p>
        </w:tc>
        <w:tc>
          <w:tcPr>
            <w:tcW w:w="2000" w:type="dxa"/>
            <w:vAlign w:val="bottom"/>
          </w:tcPr>
          <w:p>
            <w:pPr>
              <w:spacing w:after="0"/>
              <w:rPr>
                <w:sz w:val="15"/>
                <w:szCs w:val="15"/>
                <w:color w:val="auto"/>
              </w:rPr>
            </w:pPr>
          </w:p>
        </w:tc>
      </w:tr>
      <w:tr>
        <w:trPr>
          <w:trHeight w:val="95"/>
        </w:trPr>
        <w:tc>
          <w:tcPr>
            <w:tcW w:w="5360" w:type="dxa"/>
            <w:vAlign w:val="bottom"/>
          </w:tcPr>
          <w:p>
            <w:pPr>
              <w:spacing w:after="0"/>
              <w:rPr>
                <w:sz w:val="8"/>
                <w:szCs w:val="8"/>
                <w:color w:val="auto"/>
              </w:rPr>
            </w:pPr>
          </w:p>
        </w:tc>
        <w:tc>
          <w:tcPr>
            <w:tcW w:w="17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00" w:type="dxa"/>
            <w:vAlign w:val="bottom"/>
          </w:tcPr>
          <w:p>
            <w:pPr>
              <w:spacing w:after="0"/>
              <w:rPr>
                <w:sz w:val="8"/>
                <w:szCs w:val="8"/>
                <w:color w:val="auto"/>
              </w:rPr>
            </w:pPr>
          </w:p>
        </w:tc>
      </w:tr>
      <w:tr>
        <w:trPr>
          <w:trHeight w:val="316"/>
        </w:trPr>
        <w:tc>
          <w:tcPr>
            <w:tcW w:w="5360" w:type="dxa"/>
            <w:vAlign w:val="bottom"/>
          </w:tcPr>
          <w:p>
            <w:pPr>
              <w:ind w:left="2000"/>
              <w:spacing w:after="0"/>
              <w:rPr>
                <w:sz w:val="20"/>
                <w:szCs w:val="20"/>
                <w:color w:val="auto"/>
              </w:rPr>
            </w:pPr>
            <w:r>
              <w:rPr>
                <w:rFonts w:ascii="Arial" w:cs="Arial" w:eastAsia="Arial" w:hAnsi="Arial"/>
                <w:sz w:val="18"/>
                <w:szCs w:val="18"/>
                <w:color w:val="auto"/>
              </w:rPr>
              <w:t>2. Approval of accountants</w:t>
            </w:r>
          </w:p>
        </w:tc>
        <w:tc>
          <w:tcPr>
            <w:tcW w:w="1700" w:type="dxa"/>
            <w:vAlign w:val="bottom"/>
          </w:tcPr>
          <w:p>
            <w:pPr>
              <w:jc w:val="right"/>
              <w:ind w:right="359"/>
              <w:spacing w:after="0"/>
              <w:rPr>
                <w:sz w:val="20"/>
                <w:szCs w:val="20"/>
                <w:color w:val="auto"/>
              </w:rPr>
            </w:pPr>
            <w:r>
              <w:rPr>
                <w:rFonts w:ascii="Arial" w:cs="Arial" w:eastAsia="Arial" w:hAnsi="Arial"/>
                <w:sz w:val="18"/>
                <w:szCs w:val="18"/>
                <w:color w:val="auto"/>
              </w:rPr>
              <w:t>64,229,439</w:t>
            </w:r>
          </w:p>
        </w:tc>
        <w:tc>
          <w:tcPr>
            <w:tcW w:w="1380" w:type="dxa"/>
            <w:vAlign w:val="bottom"/>
            <w:gridSpan w:val="2"/>
          </w:tcPr>
          <w:p>
            <w:pPr>
              <w:jc w:val="right"/>
              <w:ind w:right="212"/>
              <w:spacing w:after="0"/>
              <w:rPr>
                <w:sz w:val="20"/>
                <w:szCs w:val="20"/>
                <w:color w:val="auto"/>
              </w:rPr>
            </w:pPr>
            <w:r>
              <w:rPr>
                <w:rFonts w:ascii="Arial" w:cs="Arial" w:eastAsia="Arial" w:hAnsi="Arial"/>
                <w:sz w:val="18"/>
                <w:szCs w:val="18"/>
                <w:color w:val="auto"/>
              </w:rPr>
              <w:t>423,818</w:t>
            </w:r>
          </w:p>
        </w:tc>
        <w:tc>
          <w:tcPr>
            <w:tcW w:w="980" w:type="dxa"/>
            <w:vAlign w:val="bottom"/>
            <w:gridSpan w:val="2"/>
          </w:tcPr>
          <w:p>
            <w:pPr>
              <w:ind w:left="420"/>
              <w:spacing w:after="0"/>
              <w:rPr>
                <w:sz w:val="20"/>
                <w:szCs w:val="20"/>
                <w:color w:val="auto"/>
              </w:rPr>
            </w:pPr>
            <w:r>
              <w:rPr>
                <w:rFonts w:ascii="Arial" w:cs="Arial" w:eastAsia="Arial" w:hAnsi="Arial"/>
                <w:sz w:val="18"/>
                <w:szCs w:val="18"/>
                <w:color w:val="auto"/>
              </w:rPr>
              <w:t>7,765</w:t>
            </w:r>
          </w:p>
        </w:tc>
        <w:tc>
          <w:tcPr>
            <w:tcW w:w="2000" w:type="dxa"/>
            <w:vAlign w:val="bottom"/>
          </w:tcPr>
          <w:p>
            <w:pPr>
              <w:spacing w:after="0"/>
              <w:rPr>
                <w:sz w:val="24"/>
                <w:szCs w:val="24"/>
                <w:color w:val="auto"/>
              </w:rPr>
            </w:pPr>
          </w:p>
        </w:tc>
      </w:tr>
      <w:tr>
        <w:trPr>
          <w:trHeight w:val="432"/>
        </w:trPr>
        <w:tc>
          <w:tcPr>
            <w:tcW w:w="5360" w:type="dxa"/>
            <w:vAlign w:val="bottom"/>
          </w:tcPr>
          <w:p>
            <w:pPr>
              <w:spacing w:after="0"/>
              <w:rPr>
                <w:sz w:val="24"/>
                <w:szCs w:val="24"/>
                <w:color w:val="auto"/>
              </w:rPr>
            </w:pPr>
          </w:p>
        </w:tc>
        <w:tc>
          <w:tcPr>
            <w:tcW w:w="1700" w:type="dxa"/>
            <w:vAlign w:val="bottom"/>
          </w:tcPr>
          <w:p>
            <w:pPr>
              <w:jc w:val="right"/>
              <w:ind w:right="1179"/>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28"/>
        </w:trPr>
        <w:tc>
          <w:tcPr>
            <w:tcW w:w="536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0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 and Reports on Form 8-K</w:t>
      </w:r>
    </w:p>
    <w:p>
      <w:pPr>
        <w:spacing w:after="0" w:line="231" w:lineRule="exact"/>
        <w:rPr>
          <w:sz w:val="20"/>
          <w:szCs w:val="20"/>
          <w:color w:val="auto"/>
        </w:rPr>
      </w:pPr>
    </w:p>
    <w:p>
      <w:pPr>
        <w:ind w:left="540" w:hanging="532"/>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880" w:hanging="318"/>
        <w:spacing w:after="0"/>
        <w:tabs>
          <w:tab w:leader="none" w:pos="8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  Certification of CEO and CFO pursuant to Rule 13a-14(a) under the Securities Exchange Act of 1934.</w:t>
      </w:r>
    </w:p>
    <w:p>
      <w:pPr>
        <w:spacing w:after="0" w:line="225" w:lineRule="exact"/>
        <w:rPr>
          <w:rFonts w:ascii="Arial" w:cs="Arial" w:eastAsia="Arial" w:hAnsi="Arial"/>
          <w:sz w:val="18"/>
          <w:szCs w:val="18"/>
          <w:color w:val="auto"/>
        </w:rPr>
      </w:pPr>
    </w:p>
    <w:p>
      <w:pPr>
        <w:ind w:left="880" w:hanging="318"/>
        <w:spacing w:after="0"/>
        <w:tabs>
          <w:tab w:leader="none" w:pos="8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  Certification of CEO and CFO pursuant to 18 U.S.C. Section 1350.</w:t>
      </w:r>
    </w:p>
    <w:p>
      <w:pPr>
        <w:spacing w:after="0" w:line="225" w:lineRule="exact"/>
        <w:rPr>
          <w:rFonts w:ascii="Arial" w:cs="Arial" w:eastAsia="Arial" w:hAnsi="Arial"/>
          <w:sz w:val="18"/>
          <w:szCs w:val="18"/>
          <w:color w:val="auto"/>
        </w:rPr>
      </w:pPr>
    </w:p>
    <w:p>
      <w:pPr>
        <w:ind w:left="540" w:hanging="532"/>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Reports</w:t>
      </w:r>
    </w:p>
    <w:p>
      <w:pPr>
        <w:spacing w:after="0" w:line="225"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5"/>
          <w:szCs w:val="15"/>
          <w:color w:val="auto"/>
        </w:rPr>
        <w:t>Form 8-K, filed August 1, 2003: On August 1, 2003, we issued a press release announcing our second quarter 2003 financial and operating results.</w:t>
      </w:r>
    </w:p>
    <w:p>
      <w:pPr>
        <w:spacing w:after="0" w:line="2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9" w:right="7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spacing w:after="0"/>
        <w:tabs>
          <w:tab w:leader="none" w:pos="6520" w:val="left"/>
        </w:tabs>
        <w:rPr>
          <w:sz w:val="20"/>
          <w:szCs w:val="20"/>
          <w:color w:val="auto"/>
        </w:rPr>
      </w:pPr>
      <w:r>
        <w:rPr>
          <w:rFonts w:ascii="Arial" w:cs="Arial" w:eastAsia="Arial" w:hAnsi="Arial"/>
          <w:sz w:val="18"/>
          <w:szCs w:val="18"/>
          <w:color w:val="auto"/>
        </w:rPr>
        <w:t>Date: August 14, 2003</w:t>
      </w:r>
      <w:r>
        <w:rPr>
          <w:sz w:val="20"/>
          <w:szCs w:val="20"/>
          <w:color w:val="auto"/>
        </w:rPr>
        <w:tab/>
      </w:r>
      <w:r>
        <w:rPr>
          <w:rFonts w:ascii="Arial" w:cs="Arial" w:eastAsia="Arial" w:hAnsi="Arial"/>
          <w:sz w:val="16"/>
          <w:szCs w:val="16"/>
          <w:color w:val="auto"/>
        </w:rPr>
        <w:t>By: /s/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80010</wp:posOffset>
            </wp:positionV>
            <wp:extent cx="28727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21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Murray A. Goldberg</w:t>
      </w:r>
    </w:p>
    <w:p>
      <w:pPr>
        <w:spacing w:after="0" w:line="1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Senior Vice President, Finance &amp; Administration,</w:t>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Financial Officer, Treasurer, and</w:t>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Assistant Secretary</w:t>
      </w:r>
    </w:p>
    <w:p>
      <w:pPr>
        <w:spacing w:after="0" w:line="21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240" w:top="419" w:right="65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t>Exhibit 31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Leonard S. Schleifer, certify that:</w:t>
      </w:r>
    </w:p>
    <w:p>
      <w:pPr>
        <w:spacing w:after="0" w:line="225"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225" w:lineRule="exact"/>
        <w:rPr>
          <w:rFonts w:ascii="Arial" w:cs="Arial" w:eastAsia="Arial" w:hAnsi="Arial"/>
          <w:sz w:val="18"/>
          <w:szCs w:val="18"/>
          <w:color w:val="auto"/>
        </w:rPr>
      </w:pPr>
    </w:p>
    <w:p>
      <w:pPr>
        <w:ind w:left="460" w:right="60" w:hanging="452"/>
        <w:spacing w:after="0" w:line="370" w:lineRule="auto"/>
        <w:tabs>
          <w:tab w:leader="none" w:pos="4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left="460" w:right="20" w:hanging="452"/>
        <w:spacing w:after="0" w:line="332"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left="460" w:right="200" w:hanging="452"/>
        <w:spacing w:after="0" w:line="259"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1620" w:right="20" w:hanging="491"/>
        <w:spacing w:after="0" w:line="259" w:lineRule="auto"/>
        <w:tabs>
          <w:tab w:leader="none" w:pos="16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the registrant, particularly during the period in which this quarterly report is being prepared;</w:t>
      </w:r>
    </w:p>
    <w:p>
      <w:pPr>
        <w:spacing w:after="0" w:line="194" w:lineRule="exact"/>
        <w:rPr>
          <w:rFonts w:ascii="Arial" w:cs="Arial" w:eastAsia="Arial" w:hAnsi="Arial"/>
          <w:sz w:val="18"/>
          <w:szCs w:val="18"/>
          <w:color w:val="auto"/>
        </w:rPr>
      </w:pPr>
    </w:p>
    <w:p>
      <w:pPr>
        <w:ind w:left="1620" w:right="160" w:hanging="491"/>
        <w:spacing w:after="0" w:line="259" w:lineRule="auto"/>
        <w:tabs>
          <w:tab w:leader="none" w:pos="16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jc w:val="both"/>
        <w:ind w:left="1620" w:right="320" w:hanging="491"/>
        <w:spacing w:after="0" w:line="370" w:lineRule="auto"/>
        <w:tabs>
          <w:tab w:leader="none" w:pos="1620" w:val="left"/>
        </w:tabs>
        <w:numPr>
          <w:ilvl w:val="1"/>
          <w:numId w:val="2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351790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38" w:name="page39"/>
    <w:bookmarkEnd w:id="38"/>
    <w:p>
      <w:pPr>
        <w:ind w:left="1620"/>
        <w:spacing w:after="0" w:line="259" w:lineRule="auto"/>
        <w:rPr>
          <w:sz w:val="20"/>
          <w:szCs w:val="20"/>
          <w:color w:val="auto"/>
        </w:rPr>
      </w:pPr>
      <w:r>
        <w:rPr>
          <w:rFonts w:ascii="Arial" w:cs="Arial" w:eastAsia="Arial" w:hAnsi="Arial"/>
          <w:sz w:val="18"/>
          <w:szCs w:val="18"/>
          <w:color w:val="auto"/>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94" w:lineRule="exact"/>
        <w:rPr>
          <w:sz w:val="20"/>
          <w:szCs w:val="20"/>
          <w:color w:val="auto"/>
        </w:rPr>
      </w:pPr>
    </w:p>
    <w:p>
      <w:pPr>
        <w:ind w:left="460" w:right="500" w:hanging="452"/>
        <w:spacing w:after="0" w:line="332"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39" w:lineRule="exact"/>
        <w:rPr>
          <w:rFonts w:ascii="Arial" w:cs="Arial" w:eastAsia="Arial" w:hAnsi="Arial"/>
          <w:sz w:val="16"/>
          <w:szCs w:val="16"/>
          <w:color w:val="auto"/>
        </w:rPr>
      </w:pPr>
    </w:p>
    <w:p>
      <w:pPr>
        <w:ind w:left="1620" w:right="440" w:hanging="491"/>
        <w:spacing w:after="0" w:line="332" w:lineRule="auto"/>
        <w:tabs>
          <w:tab w:leader="none" w:pos="162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Arial" w:cs="Arial" w:eastAsia="Arial" w:hAnsi="Arial"/>
          <w:sz w:val="16"/>
          <w:szCs w:val="16"/>
          <w:color w:val="auto"/>
        </w:rPr>
      </w:pPr>
    </w:p>
    <w:p>
      <w:pPr>
        <w:ind w:left="1620" w:right="120" w:hanging="491"/>
        <w:spacing w:after="0" w:line="268" w:lineRule="auto"/>
        <w:tabs>
          <w:tab w:leader="none" w:pos="16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9" w:lineRule="exact"/>
        <w:rPr>
          <w:sz w:val="20"/>
          <w:szCs w:val="20"/>
          <w:color w:val="auto"/>
        </w:rPr>
      </w:pPr>
    </w:p>
    <w:p>
      <w:pPr>
        <w:spacing w:after="0"/>
        <w:tabs>
          <w:tab w:leader="none" w:pos="7080" w:val="left"/>
        </w:tabs>
        <w:rPr>
          <w:sz w:val="20"/>
          <w:szCs w:val="20"/>
          <w:color w:val="auto"/>
        </w:rPr>
      </w:pPr>
      <w:r>
        <w:rPr>
          <w:rFonts w:ascii="Arial" w:cs="Arial" w:eastAsia="Arial" w:hAnsi="Arial"/>
          <w:sz w:val="18"/>
          <w:szCs w:val="18"/>
          <w:color w:val="auto"/>
        </w:rPr>
        <w:t>Date: August 14, 2003</w:t>
      </w:r>
      <w:r>
        <w:rPr>
          <w:sz w:val="20"/>
          <w:szCs w:val="20"/>
          <w:color w:val="auto"/>
        </w:rPr>
        <w:tab/>
      </w:r>
      <w:r>
        <w:rPr>
          <w:rFonts w:ascii="Arial" w:cs="Arial" w:eastAsia="Arial" w:hAnsi="Arial"/>
          <w:sz w:val="16"/>
          <w:szCs w:val="16"/>
          <w:color w:val="auto"/>
        </w:rPr>
        <w:t>By: /s/ Leonard S. Schleifer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4739005</wp:posOffset>
            </wp:positionH>
            <wp:positionV relativeFrom="paragraph">
              <wp:posOffset>80010</wp:posOffset>
            </wp:positionV>
            <wp:extent cx="25126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219"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Leonard S. Schleifer, M.D., Ph.D.</w:t>
      </w:r>
    </w:p>
    <w:p>
      <w:pPr>
        <w:spacing w:after="0" w:line="15"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416560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41"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I, Murray A. Goldberg, certify that:</w:t>
      </w:r>
    </w:p>
    <w:p>
      <w:pPr>
        <w:spacing w:after="0" w:line="225"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225" w:lineRule="exact"/>
        <w:rPr>
          <w:rFonts w:ascii="Arial" w:cs="Arial" w:eastAsia="Arial" w:hAnsi="Arial"/>
          <w:sz w:val="18"/>
          <w:szCs w:val="18"/>
          <w:color w:val="auto"/>
        </w:rPr>
      </w:pPr>
    </w:p>
    <w:p>
      <w:pPr>
        <w:ind w:left="460" w:right="40" w:hanging="452"/>
        <w:spacing w:after="0" w:line="370" w:lineRule="auto"/>
        <w:tabs>
          <w:tab w:leader="none" w:pos="4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left="460" w:hanging="452"/>
        <w:spacing w:after="0" w:line="332"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left="460" w:right="180" w:hanging="452"/>
        <w:spacing w:after="0" w:line="259"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1620" w:hanging="491"/>
        <w:spacing w:after="0" w:line="259" w:lineRule="auto"/>
        <w:tabs>
          <w:tab w:leader="none" w:pos="16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the registrant, particularly during the period in which this quarterly report is being prepared;</w:t>
      </w:r>
    </w:p>
    <w:p>
      <w:pPr>
        <w:spacing w:after="0" w:line="194" w:lineRule="exact"/>
        <w:rPr>
          <w:rFonts w:ascii="Arial" w:cs="Arial" w:eastAsia="Arial" w:hAnsi="Arial"/>
          <w:sz w:val="18"/>
          <w:szCs w:val="18"/>
          <w:color w:val="auto"/>
        </w:rPr>
      </w:pPr>
    </w:p>
    <w:p>
      <w:pPr>
        <w:ind w:left="1620" w:right="140" w:hanging="491"/>
        <w:spacing w:after="0" w:line="259" w:lineRule="auto"/>
        <w:tabs>
          <w:tab w:leader="none" w:pos="16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jc w:val="both"/>
        <w:ind w:left="1620" w:right="300" w:hanging="491"/>
        <w:spacing w:after="0" w:line="370" w:lineRule="auto"/>
        <w:tabs>
          <w:tab w:leader="none" w:pos="1620" w:val="left"/>
        </w:tabs>
        <w:numPr>
          <w:ilvl w:val="1"/>
          <w:numId w:val="3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5"/>
          <w:szCs w:val="15"/>
          <w:color w:val="auto"/>
        </w:rPr>
      </w:pPr>
    </w:p>
    <w:p>
      <w:pPr>
        <w:ind w:left="1620" w:right="160" w:hanging="491"/>
        <w:spacing w:after="0" w:line="259" w:lineRule="auto"/>
        <w:tabs>
          <w:tab w:leader="none" w:pos="16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460" w:right="600" w:hanging="452"/>
        <w:spacing w:after="0" w:line="332"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366395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40" w:name="page41"/>
    <w:bookmarkEnd w:id="40"/>
    <w:p>
      <w:pPr>
        <w:ind w:left="1620" w:right="320" w:hanging="491"/>
        <w:spacing w:after="0" w:line="332" w:lineRule="auto"/>
        <w:tabs>
          <w:tab w:leader="none" w:pos="16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Arial" w:cs="Arial" w:eastAsia="Arial" w:hAnsi="Arial"/>
          <w:sz w:val="16"/>
          <w:szCs w:val="16"/>
          <w:color w:val="auto"/>
        </w:rPr>
      </w:pPr>
    </w:p>
    <w:p>
      <w:pPr>
        <w:ind w:left="1620" w:hanging="491"/>
        <w:spacing w:after="0" w:line="268" w:lineRule="auto"/>
        <w:tabs>
          <w:tab w:leader="none" w:pos="1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9" w:lineRule="exact"/>
        <w:rPr>
          <w:sz w:val="20"/>
          <w:szCs w:val="20"/>
          <w:color w:val="auto"/>
        </w:rPr>
      </w:pPr>
    </w:p>
    <w:p>
      <w:pPr>
        <w:spacing w:after="0"/>
        <w:tabs>
          <w:tab w:leader="none" w:pos="5840" w:val="left"/>
        </w:tabs>
        <w:rPr>
          <w:sz w:val="20"/>
          <w:szCs w:val="20"/>
          <w:color w:val="auto"/>
        </w:rPr>
      </w:pPr>
      <w:r>
        <w:rPr>
          <w:rFonts w:ascii="Arial" w:cs="Arial" w:eastAsia="Arial" w:hAnsi="Arial"/>
          <w:sz w:val="18"/>
          <w:szCs w:val="18"/>
          <w:color w:val="auto"/>
        </w:rPr>
        <w:t>Date: August 14, 2003</w:t>
      </w:r>
      <w:r>
        <w:rPr>
          <w:sz w:val="20"/>
          <w:szCs w:val="20"/>
          <w:color w:val="auto"/>
        </w:rPr>
        <w:tab/>
      </w:r>
      <w:r>
        <w:rPr>
          <w:rFonts w:ascii="Arial" w:cs="Arial" w:eastAsia="Arial" w:hAnsi="Arial"/>
          <w:sz w:val="16"/>
          <w:szCs w:val="16"/>
          <w:color w:val="auto"/>
        </w:rPr>
        <w:t>By: /s/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80010</wp:posOffset>
            </wp:positionV>
            <wp:extent cx="329311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21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Murray A. Goldberg</w:t>
      </w:r>
    </w:p>
    <w:p>
      <w:pPr>
        <w:spacing w:after="0" w:line="1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Senior Vice President, Finance &amp;</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Administration, Chief Financial Officer,</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Treasurer, Assistant Secretary</w:t>
      </w:r>
    </w:p>
    <w:p>
      <w:pPr>
        <w:sectPr>
          <w:pgSz w:w="11900" w:h="16838" w:orient="portrait"/>
          <w:cols w:equalWidth="0" w:num="1">
            <w:col w:w="11180"/>
          </w:cols>
          <w:pgMar w:left="240" w:top="942" w:right="47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color w:val="auto"/>
        </w:rPr>
        <w:t>Exhibit 32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connection with the Quarterly Report of Regeneron Pharmaceuticals, Inc. (the “Company”) on Form 10-Q for the quarterly period ending June 30, 2003 as filed with the Securities and Exchange Commission on the date hereof (the “Report”), Leonard S. Schleifer, M.D., Ph.D., as Chief Executive Officer of the Company, and Murray A. Goldberg, as Chief Financial Officer of the Company, each hereby certifies, pursuant to 18 U.S.C. § 1350, as adopted pursuant to § 906 of the Sarbanes-Oxley Act of 2002, to the best of his knowledge, that:</w:t>
      </w:r>
    </w:p>
    <w:p>
      <w:pPr>
        <w:spacing w:after="0" w:line="197" w:lineRule="exact"/>
        <w:rPr>
          <w:sz w:val="20"/>
          <w:szCs w:val="20"/>
          <w:color w:val="auto"/>
        </w:rPr>
      </w:pPr>
    </w:p>
    <w:p>
      <w:pPr>
        <w:ind w:left="640" w:hanging="412"/>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40" w:hanging="412"/>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/s/ Leonard S. Schleifer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27596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Leonard S. Schleifer, M.D., Ph.D.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14, 2003</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2759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Murray A. Goldberg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14, 2003</w:t>
      </w:r>
    </w:p>
    <w:p>
      <w:pPr>
        <w:spacing w:after="0" w:line="21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This certification accompanies the Report pursuant to § 906 of the Sarbanes-Oxley Act of 2002 and shall not, except to the extent required by the Sarbanes-Oxley Act of 2002, be deemed filed by the Company for purposes of § 18 of the Securities Exchange Act of 1934, as amended.</w:t>
      </w:r>
    </w:p>
    <w:sectPr>
      <w:pgSz w:w="11900" w:h="16838" w:orient="portrait"/>
      <w:cols w:equalWidth="0" w:num="1">
        <w:col w:w="11420"/>
      </w:cols>
      <w:pgMar w:left="240" w:top="9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upperLetter"/>
      <w:start w:val="24"/>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3"/>
    </w:lvl>
  </w:abstractNum>
  <w:abstractNum w:abstractNumId="4">
    <w:nsid w:val="7C83E458"/>
    <w:multiLevelType w:val="hybridMultilevel"/>
    <w:lvl w:ilvl="0">
      <w:lvlJc w:val="left"/>
      <w:lvlText w:val="%1."/>
      <w:numFmt w:val="decimal"/>
      <w:start w:val="4"/>
    </w:lvl>
  </w:abstractNum>
  <w:abstractNum w:abstractNumId="5">
    <w:nsid w:val="257130A3"/>
    <w:multiLevelType w:val="hybridMultilevel"/>
    <w:lvl w:ilvl="0">
      <w:lvlJc w:val="left"/>
      <w:lvlText w:val="%1"/>
      <w:numFmt w:val="decimal"/>
      <w:start w:val="1"/>
    </w:lvl>
    <w:lvl w:ilvl="1">
      <w:lvlJc w:val="left"/>
      <w:lvlText w:val="(%2)"/>
      <w:numFmt w:val="decimal"/>
      <w:start w:val="1"/>
    </w:lvl>
  </w:abstractNum>
  <w:abstractNum w:abstractNumId="6">
    <w:nsid w:val="62BBD95A"/>
    <w:multiLevelType w:val="hybridMultilevel"/>
    <w:lvl w:ilvl="0">
      <w:lvlJc w:val="left"/>
      <w:lvlText w:val="%1."/>
      <w:numFmt w:val="decimal"/>
      <w:start w:val="5"/>
    </w:lvl>
    <w:lvl w:ilvl="1">
      <w:lvlJc w:val="left"/>
      <w:lvlText w:val="%2"/>
      <w:numFmt w:val="decimal"/>
      <w:start w:val="1"/>
    </w:lvl>
  </w:abstractNum>
  <w:abstractNum w:abstractNumId="7">
    <w:nsid w:val="436C6125"/>
    <w:multiLevelType w:val="hybridMultilevel"/>
    <w:lvl w:ilvl="0">
      <w:lvlJc w:val="left"/>
      <w:lvlText w:val="%1."/>
      <w:numFmt w:val="decimal"/>
      <w:start w:val="6"/>
    </w:lvl>
  </w:abstractNum>
  <w:abstractNum w:abstractNumId="8">
    <w:nsid w:val="628C895D"/>
    <w:multiLevelType w:val="hybridMultilevel"/>
    <w:lvl w:ilvl="0">
      <w:lvlJc w:val="left"/>
      <w:lvlText w:val="%1."/>
      <w:numFmt w:val="decimal"/>
      <w:start w:val="7"/>
    </w:lvl>
  </w:abstractNum>
  <w:abstractNum w:abstractNumId="9">
    <w:nsid w:val="333AB105"/>
    <w:multiLevelType w:val="hybridMultilevel"/>
    <w:lvl w:ilvl="0">
      <w:lvlJc w:val="left"/>
      <w:lvlText w:val="%1."/>
      <w:numFmt w:val="decimal"/>
      <w:start w:val="8"/>
    </w:lvl>
  </w:abstractNum>
  <w:abstractNum w:abstractNumId="10">
    <w:nsid w:val="721DA317"/>
    <w:multiLevelType w:val="hybridMultilevel"/>
    <w:lvl w:ilvl="0">
      <w:lvlJc w:val="left"/>
      <w:lvlText w:val="%1."/>
      <w:numFmt w:val="decimal"/>
      <w:start w:val="9"/>
    </w:lvl>
  </w:abstractNum>
  <w:abstractNum w:abstractNumId="11">
    <w:nsid w:val="2443A858"/>
    <w:multiLevelType w:val="hybridMultilevel"/>
    <w:lvl w:ilvl="0">
      <w:lvlJc w:val="left"/>
      <w:lvlText w:val="(%1)"/>
      <w:numFmt w:val="decimal"/>
      <w:start w:val="1"/>
    </w:lvl>
  </w:abstractNum>
  <w:abstractNum w:abstractNumId="12">
    <w:nsid w:val="2D1D5AE9"/>
    <w:multiLevelType w:val="hybridMultilevel"/>
    <w:lvl w:ilvl="0">
      <w:lvlJc w:val="left"/>
      <w:lvlText w:val="%1."/>
      <w:numFmt w:val="decimal"/>
      <w:start w:val="10"/>
    </w:lvl>
  </w:abstractNum>
  <w:abstractNum w:abstractNumId="13">
    <w:nsid w:val="6763845E"/>
    <w:multiLevelType w:val="hybridMultilevel"/>
    <w:lvl w:ilvl="0">
      <w:lvlJc w:val="left"/>
      <w:lvlText w:val="%1."/>
      <w:numFmt w:val="decimal"/>
      <w:start w:val="12"/>
    </w:lvl>
  </w:abstractNum>
  <w:abstractNum w:abstractNumId="14">
    <w:nsid w:val="75A2A8D4"/>
    <w:multiLevelType w:val="hybridMultilevel"/>
    <w:lvl w:ilvl="0">
      <w:lvlJc w:val="left"/>
      <w:lvlText w:val="(%1)"/>
      <w:numFmt w:val="decimal"/>
      <w:start w:val="3"/>
    </w:lvl>
  </w:abstractNum>
  <w:abstractNum w:abstractNumId="15">
    <w:nsid w:val="8EDBDAB"/>
    <w:multiLevelType w:val="hybridMultilevel"/>
    <w:lvl w:ilvl="0">
      <w:lvlJc w:val="left"/>
      <w:lvlText w:val="(%1)"/>
      <w:numFmt w:val="decimal"/>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1)"/>
      <w:numFmt w:val="decimal"/>
      <w:start w:val="3"/>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1)"/>
      <w:numFmt w:val="lowerLetter"/>
      <w:start w:val="1"/>
    </w:lvl>
  </w:abstractNum>
  <w:abstractNum w:abstractNumId="24">
    <w:nsid w:val="2901D82"/>
    <w:multiLevelType w:val="hybridMultilevel"/>
    <w:lvl w:ilvl="0">
      <w:lvlJc w:val="left"/>
      <w:lvlText w:val="%1."/>
      <w:numFmt w:val="decimal"/>
      <w:start w:val="1"/>
    </w:lvl>
  </w:abstractNum>
  <w:abstractNum w:abstractNumId="25">
    <w:nsid w:val="3A95F874"/>
    <w:multiLevelType w:val="hybridMultilevel"/>
    <w:lvl w:ilvl="0">
      <w:lvlJc w:val="left"/>
      <w:lvlText w:val="(%1)"/>
      <w:numFmt w:val="lowerLetter"/>
      <w:start w:val="1"/>
    </w:lvl>
  </w:abstractNum>
  <w:abstractNum w:abstractNumId="26">
    <w:nsid w:val="8138641"/>
    <w:multiLevelType w:val="hybridMultilevel"/>
    <w:lvl w:ilvl="0">
      <w:lvlJc w:val="left"/>
      <w:lvlText w:val="%1"/>
      <w:numFmt w:val="lowerLetter"/>
      <w:start w:val="1"/>
    </w:lvl>
    <w:lvl w:ilvl="1">
      <w:lvlJc w:val="left"/>
      <w:lvlText w:val="%2"/>
      <w:numFmt w:val="decimal"/>
      <w:start w:val="31"/>
    </w:lvl>
  </w:abstractNum>
  <w:abstractNum w:abstractNumId="27">
    <w:nsid w:val="1E7FF521"/>
    <w:multiLevelType w:val="hybridMultilevel"/>
    <w:lvl w:ilvl="0">
      <w:lvlJc w:val="left"/>
      <w:lvlText w:val="(%1)"/>
      <w:numFmt w:val="lowerLetter"/>
      <w:start w:val="2"/>
    </w:lvl>
    <w:lvl w:ilvl="1">
      <w:lvlJc w:val="left"/>
      <w:lvlText w:val="%2"/>
      <w:numFmt w:val="decimal"/>
      <w:start w:val="1"/>
    </w:lvl>
  </w:abstractNum>
  <w:abstractNum w:abstractNumId="28">
    <w:nsid w:val="7C3DBD3D"/>
    <w:multiLevelType w:val="hybridMultilevel"/>
    <w:lvl w:ilvl="0">
      <w:lvlJc w:val="left"/>
      <w:lvlText w:val="%1."/>
      <w:numFmt w:val="decimal"/>
      <w:start w:val="1"/>
    </w:lvl>
    <w:lvl w:ilvl="1">
      <w:lvlJc w:val="left"/>
      <w:lvlText w:val="%2)"/>
      <w:numFmt w:val="lowerLetter"/>
      <w:start w:val="1"/>
    </w:lvl>
  </w:abstractNum>
  <w:abstractNum w:abstractNumId="29">
    <w:nsid w:val="737B8DDC"/>
    <w:multiLevelType w:val="hybridMultilevel"/>
    <w:lvl w:ilvl="0">
      <w:lvlJc w:val="left"/>
      <w:lvlText w:val="%1."/>
      <w:numFmt w:val="decimal"/>
      <w:start w:val="5"/>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lowerLetter"/>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2019-12-20T01:59:12Z</dcterms:created>
  <dcterms:modified xsi:type="dcterms:W3CDTF">2019-12-20T01:59:12Z</dcterms:modified>
</cp:coreProperties>
</file>