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13, 2018</w:t>
      </w:r>
    </w:p>
    <w:p>
      <w:pPr>
        <w:spacing w:after="0" w:line="4" w:lineRule="exact"/>
        <w:rPr>
          <w:sz w:val="24"/>
          <w:szCs w:val="24"/>
          <w:color w:val="auto"/>
        </w:rPr>
      </w:pPr>
    </w:p>
    <w:p>
      <w:pPr>
        <w:ind w:left="97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Regeneron Pharmaceuticals,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New York</w:t>
      </w:r>
    </w:p>
    <w:p>
      <w:pPr>
        <w:spacing w:after="0" w:line="4" w:lineRule="exact"/>
        <w:rPr>
          <w:sz w:val="24"/>
          <w:szCs w:val="24"/>
          <w:color w:val="auto"/>
        </w:rPr>
      </w:pPr>
    </w:p>
    <w:p>
      <w:pPr>
        <w:jc w:val="center"/>
        <w:ind w:right="12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760"/>
        <w:spacing w:after="0"/>
        <w:rPr>
          <w:sz w:val="20"/>
          <w:szCs w:val="20"/>
          <w:color w:val="auto"/>
        </w:rPr>
      </w:pPr>
      <w:r>
        <w:rPr>
          <w:rFonts w:ascii="Arial" w:cs="Arial" w:eastAsia="Arial" w:hAnsi="Arial"/>
          <w:sz w:val="14"/>
          <w:szCs w:val="14"/>
          <w:b w:val="1"/>
          <w:bCs w:val="1"/>
          <w:color w:val="auto"/>
        </w:rPr>
        <w:t>13-3444607</w:t>
      </w:r>
    </w:p>
    <w:p>
      <w:pPr>
        <w:spacing w:after="0" w:line="4" w:lineRule="exact"/>
        <w:rPr>
          <w:sz w:val="24"/>
          <w:szCs w:val="24"/>
          <w:color w:val="auto"/>
        </w:rPr>
      </w:pPr>
    </w:p>
    <w:p>
      <w:pPr>
        <w:jc w:val="center"/>
        <w:ind w:right="1760"/>
        <w:spacing w:after="0"/>
        <w:rPr>
          <w:sz w:val="20"/>
          <w:szCs w:val="20"/>
          <w:color w:val="auto"/>
        </w:rPr>
      </w:pPr>
      <w:r>
        <w:rPr>
          <w:rFonts w:ascii="Arial" w:cs="Arial" w:eastAsia="Arial" w:hAnsi="Arial"/>
          <w:sz w:val="13"/>
          <w:szCs w:val="13"/>
          <w:color w:val="auto"/>
        </w:rPr>
        <w:t>(I.R.S. Employer Identification No.)</w:t>
      </w:r>
    </w:p>
    <w:p>
      <w:pPr>
        <w:spacing w:after="0" w:line="105" w:lineRule="exact"/>
        <w:rPr>
          <w:sz w:val="24"/>
          <w:szCs w:val="24"/>
          <w:color w:val="auto"/>
        </w:rPr>
      </w:pPr>
    </w:p>
    <w:p>
      <w:pPr>
        <w:sectPr>
          <w:pgSz w:w="11900" w:h="16838" w:orient="portrait"/>
          <w:cols w:equalWidth="0" w:num="2">
            <w:col w:w="6860" w:space="720"/>
            <w:col w:w="3840"/>
          </w:cols>
          <w:pgMar w:left="240" w:top="233" w:right="239" w:bottom="1440" w:gutter="0" w:footer="0" w:header="0"/>
          <w:type w:val="continuous"/>
        </w:sectPr>
      </w:pPr>
    </w:p>
    <w:p>
      <w:pPr>
        <w:ind w:left="4800"/>
        <w:spacing w:after="0"/>
        <w:rPr>
          <w:sz w:val="20"/>
          <w:szCs w:val="20"/>
          <w:color w:val="auto"/>
        </w:rPr>
      </w:pPr>
      <w:r>
        <w:rPr>
          <w:rFonts w:ascii="Arial" w:cs="Arial" w:eastAsia="Arial" w:hAnsi="Arial"/>
          <w:sz w:val="14"/>
          <w:szCs w:val="14"/>
          <w:b w:val="1"/>
          <w:bCs w:val="1"/>
          <w:color w:val="auto"/>
        </w:rPr>
        <w:t>777 Old Saw Mill River Road</w:t>
      </w:r>
    </w:p>
    <w:p>
      <w:pPr>
        <w:ind w:left="4660"/>
        <w:spacing w:after="0" w:line="226" w:lineRule="auto"/>
        <w:rPr>
          <w:sz w:val="20"/>
          <w:szCs w:val="20"/>
          <w:color w:val="auto"/>
        </w:rPr>
      </w:pPr>
      <w:r>
        <w:rPr>
          <w:rFonts w:ascii="Arial" w:cs="Arial" w:eastAsia="Arial" w:hAnsi="Arial"/>
          <w:sz w:val="14"/>
          <w:szCs w:val="14"/>
          <w:b w:val="1"/>
          <w:bCs w:val="1"/>
          <w:color w:val="auto"/>
        </w:rPr>
        <w:t>Tarrytown, New York 10591-6707</w:t>
      </w:r>
    </w:p>
    <w:p>
      <w:pPr>
        <w:ind w:left="5260"/>
        <w:spacing w:after="0" w:line="222" w:lineRule="auto"/>
        <w:rPr>
          <w:sz w:val="20"/>
          <w:szCs w:val="20"/>
          <w:color w:val="auto"/>
        </w:rPr>
      </w:pPr>
      <w:r>
        <w:rPr>
          <w:rFonts w:ascii="Arial" w:cs="Arial" w:eastAsia="Arial" w:hAnsi="Arial"/>
          <w:sz w:val="14"/>
          <w:szCs w:val="14"/>
          <w:b w:val="1"/>
          <w:bCs w:val="1"/>
          <w:color w:val="auto"/>
        </w:rPr>
        <w:t>(914) 847-7000</w:t>
      </w:r>
    </w:p>
    <w:p>
      <w:pPr>
        <w:ind w:left="222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Joseph J. LaRosa, Esq.</w:t>
      </w:r>
    </w:p>
    <w:p>
      <w:pPr>
        <w:jc w:val="center"/>
        <w:ind w:right="20"/>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ind w:right="20"/>
        <w:spacing w:after="0" w:line="222" w:lineRule="auto"/>
        <w:rPr>
          <w:sz w:val="20"/>
          <w:szCs w:val="20"/>
          <w:color w:val="auto"/>
        </w:rPr>
      </w:pPr>
      <w:r>
        <w:rPr>
          <w:rFonts w:ascii="Arial" w:cs="Arial" w:eastAsia="Arial" w:hAnsi="Arial"/>
          <w:sz w:val="14"/>
          <w:szCs w:val="14"/>
          <w:b w:val="1"/>
          <w:bCs w:val="1"/>
          <w:color w:val="auto"/>
        </w:rPr>
        <w:t>Regeneron Pharmaceuticals, Inc.</w:t>
      </w:r>
    </w:p>
    <w:p>
      <w:pPr>
        <w:jc w:val="center"/>
        <w:ind w:right="20"/>
        <w:spacing w:after="0" w:line="221" w:lineRule="auto"/>
        <w:rPr>
          <w:sz w:val="20"/>
          <w:szCs w:val="20"/>
          <w:color w:val="auto"/>
        </w:rPr>
      </w:pPr>
      <w:r>
        <w:rPr>
          <w:rFonts w:ascii="Arial" w:cs="Arial" w:eastAsia="Arial" w:hAnsi="Arial"/>
          <w:sz w:val="14"/>
          <w:szCs w:val="14"/>
          <w:b w:val="1"/>
          <w:bCs w:val="1"/>
          <w:color w:val="auto"/>
        </w:rPr>
        <w:t>777 Old Saw Mill River Road</w:t>
      </w:r>
    </w:p>
    <w:p>
      <w:pPr>
        <w:jc w:val="center"/>
        <w:ind w:right="20"/>
        <w:spacing w:after="0" w:line="222" w:lineRule="auto"/>
        <w:rPr>
          <w:sz w:val="20"/>
          <w:szCs w:val="20"/>
          <w:color w:val="auto"/>
        </w:rPr>
      </w:pPr>
      <w:r>
        <w:rPr>
          <w:rFonts w:ascii="Arial" w:cs="Arial" w:eastAsia="Arial" w:hAnsi="Arial"/>
          <w:sz w:val="14"/>
          <w:szCs w:val="14"/>
          <w:b w:val="1"/>
          <w:bCs w:val="1"/>
          <w:color w:val="auto"/>
        </w:rPr>
        <w:t>Tarrytown, New York 10591-6707</w:t>
      </w:r>
    </w:p>
    <w:p>
      <w:pPr>
        <w:jc w:val="center"/>
        <w:spacing w:after="0" w:line="221" w:lineRule="auto"/>
        <w:rPr>
          <w:sz w:val="20"/>
          <w:szCs w:val="20"/>
          <w:color w:val="auto"/>
        </w:rPr>
      </w:pPr>
      <w:r>
        <w:rPr>
          <w:rFonts w:ascii="Arial" w:cs="Arial" w:eastAsia="Arial" w:hAnsi="Arial"/>
          <w:sz w:val="14"/>
          <w:szCs w:val="14"/>
          <w:b w:val="1"/>
          <w:bCs w:val="1"/>
          <w:color w:val="auto"/>
        </w:rPr>
        <w:t>(914) 847-7000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a copy to:</w:t>
      </w:r>
    </w:p>
    <w:p>
      <w:pPr>
        <w:spacing w:after="0" w:line="136"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David J. Goldschmidt, Esq.</w:t>
      </w:r>
    </w:p>
    <w:p>
      <w:pPr>
        <w:ind w:left="4420"/>
        <w:spacing w:after="0" w:line="226" w:lineRule="auto"/>
        <w:rPr>
          <w:sz w:val="20"/>
          <w:szCs w:val="20"/>
          <w:color w:val="auto"/>
        </w:rPr>
      </w:pPr>
      <w:r>
        <w:rPr>
          <w:rFonts w:ascii="Arial" w:cs="Arial" w:eastAsia="Arial" w:hAnsi="Arial"/>
          <w:sz w:val="14"/>
          <w:szCs w:val="14"/>
          <w:color w:val="auto"/>
        </w:rPr>
        <w:t>Skadden, Arps, Slate, Meagher &amp; Flom LLP</w:t>
      </w:r>
    </w:p>
    <w:p>
      <w:pPr>
        <w:ind w:left="5140"/>
        <w:spacing w:after="0" w:line="222" w:lineRule="auto"/>
        <w:rPr>
          <w:sz w:val="20"/>
          <w:szCs w:val="20"/>
          <w:color w:val="auto"/>
        </w:rPr>
      </w:pPr>
      <w:r>
        <w:rPr>
          <w:rFonts w:ascii="Arial" w:cs="Arial" w:eastAsia="Arial" w:hAnsi="Arial"/>
          <w:sz w:val="14"/>
          <w:szCs w:val="14"/>
          <w:color w:val="auto"/>
        </w:rPr>
        <w:t>Four Times Square</w:t>
      </w:r>
    </w:p>
    <w:p>
      <w:pPr>
        <w:ind w:left="4900"/>
        <w:spacing w:after="0" w:line="221" w:lineRule="auto"/>
        <w:rPr>
          <w:sz w:val="20"/>
          <w:szCs w:val="20"/>
          <w:color w:val="auto"/>
        </w:rPr>
      </w:pPr>
      <w:r>
        <w:rPr>
          <w:rFonts w:ascii="Arial" w:cs="Arial" w:eastAsia="Arial" w:hAnsi="Arial"/>
          <w:sz w:val="14"/>
          <w:szCs w:val="14"/>
          <w:color w:val="auto"/>
        </w:rPr>
        <w:t>New York, New York 10036</w:t>
      </w:r>
    </w:p>
    <w:p>
      <w:pPr>
        <w:ind w:left="4900"/>
        <w:spacing w:after="0" w:line="222" w:lineRule="auto"/>
        <w:rPr>
          <w:sz w:val="20"/>
          <w:szCs w:val="20"/>
          <w:color w:val="auto"/>
        </w:rPr>
      </w:pPr>
      <w:r>
        <w:rPr>
          <w:rFonts w:ascii="Arial" w:cs="Arial" w:eastAsia="Arial" w:hAnsi="Arial"/>
          <w:sz w:val="14"/>
          <w:szCs w:val="14"/>
          <w:color w:val="auto"/>
        </w:rPr>
        <w:t>Telephone: (212) 735-3000</w:t>
      </w:r>
    </w:p>
    <w:p>
      <w:pPr>
        <w:ind w:left="4940"/>
        <w:spacing w:after="0"/>
        <w:rPr>
          <w:sz w:val="20"/>
          <w:szCs w:val="20"/>
          <w:color w:val="auto"/>
        </w:rPr>
      </w:pPr>
      <w:r>
        <w:rPr>
          <w:rFonts w:ascii="Arial" w:cs="Arial" w:eastAsia="Arial" w:hAnsi="Arial"/>
          <w:sz w:val="14"/>
          <w:szCs w:val="14"/>
          <w:color w:val="auto"/>
        </w:rPr>
        <w:t>Facsimile: (212) 735-2000</w:t>
      </w:r>
    </w:p>
    <w:p>
      <w:pPr>
        <w:spacing w:after="0" w:line="93" w:lineRule="exact"/>
        <w:rPr>
          <w:sz w:val="24"/>
          <w:szCs w:val="24"/>
          <w:color w:val="auto"/>
        </w:rPr>
      </w:pPr>
    </w:p>
    <w:p>
      <w:pPr>
        <w:ind w:right="920"/>
        <w:spacing w:after="0" w:line="405"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From time to time after the effective date of this registration statement as determined by the Registrant </w:t>
      </w: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1" w:lineRule="exact"/>
        <w:rPr>
          <w:sz w:val="24"/>
          <w:szCs w:val="24"/>
          <w:color w:val="auto"/>
        </w:rPr>
      </w:pPr>
    </w:p>
    <w:p>
      <w:pPr>
        <w:ind w:right="24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9"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79"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9" w:lineRule="exact"/>
        <w:rPr>
          <w:sz w:val="24"/>
          <w:szCs w:val="24"/>
          <w:color w:val="auto"/>
        </w:rPr>
      </w:pPr>
    </w:p>
    <w:p>
      <w:pPr>
        <w:ind w:right="70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79"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If this Form is a post-effective amendment to a registration to a registration statement filed pursuant to General Instruction I.D. filed to register additional securities or additional classes of securities pursuant to Rule 413(b) under the Securities Act, check the following box. o</w:t>
      </w:r>
    </w:p>
    <w:p>
      <w:pPr>
        <w:spacing w:after="0" w:line="79" w:lineRule="exact"/>
        <w:rPr>
          <w:sz w:val="24"/>
          <w:szCs w:val="24"/>
          <w:color w:val="auto"/>
        </w:rPr>
      </w:pPr>
    </w:p>
    <w:p>
      <w:pPr>
        <w:ind w:right="5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x</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rPr>
          <w:sz w:val="20"/>
          <w:szCs w:val="20"/>
          <w:color w:val="auto"/>
        </w:rPr>
      </w:pPr>
      <w:r>
        <w:rPr>
          <w:rFonts w:ascii="Arial" w:cs="Arial" w:eastAsia="Arial" w:hAnsi="Arial"/>
          <w:sz w:val="13"/>
          <w:szCs w:val="13"/>
          <w:color w:val="auto"/>
        </w:rPr>
        <w:t>Smaller reporting company o</w:t>
      </w:r>
    </w:p>
    <w:p>
      <w:pPr>
        <w:spacing w:after="0"/>
        <w:rPr>
          <w:sz w:val="20"/>
          <w:szCs w:val="20"/>
          <w:color w:val="auto"/>
        </w:rPr>
      </w:pPr>
      <w:r>
        <w:rPr>
          <w:rFonts w:ascii="Arial" w:cs="Arial" w:eastAsia="Arial" w:hAnsi="Arial"/>
          <w:sz w:val="13"/>
          <w:szCs w:val="13"/>
          <w:color w:val="auto"/>
        </w:rPr>
        <w:t>Emerging growth company o</w:t>
      </w:r>
    </w:p>
    <w:p>
      <w:pPr>
        <w:spacing w:after="0" w:line="109" w:lineRule="exact"/>
        <w:rPr>
          <w:sz w:val="24"/>
          <w:szCs w:val="24"/>
          <w:color w:val="auto"/>
        </w:rPr>
      </w:pPr>
    </w:p>
    <w:p>
      <w:pPr>
        <w:sectPr>
          <w:pgSz w:w="11900" w:h="16838" w:orient="portrait"/>
          <w:cols w:equalWidth="0" w:num="2">
            <w:col w:w="4560" w:space="720"/>
            <w:col w:w="6140"/>
          </w:cols>
          <w:pgMar w:left="240" w:top="233" w:right="239" w:bottom="1440" w:gutter="0" w:footer="0" w:header="0"/>
          <w:type w:val="continuous"/>
        </w:sectPr>
      </w:pPr>
    </w:p>
    <w:p>
      <w:pPr>
        <w:ind w:right="1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Securities Act. o</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39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1"/>
              </w:rPr>
              <w:t>Title of Each Class of Securities to be</w:t>
            </w:r>
          </w:p>
        </w:tc>
        <w:tc>
          <w:tcPr>
            <w:tcW w:w="1720" w:type="dxa"/>
            <w:vAlign w:val="bottom"/>
            <w:tcBorders>
              <w:top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3"/>
              </w:rPr>
              <w:t>Amount to be</w:t>
            </w:r>
          </w:p>
        </w:tc>
        <w:tc>
          <w:tcPr>
            <w:tcW w:w="20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4"/>
              </w:rPr>
              <w:t>Proposed Maximum</w:t>
            </w:r>
          </w:p>
        </w:tc>
        <w:tc>
          <w:tcPr>
            <w:tcW w:w="19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3"/>
              </w:rPr>
              <w:t>Proposed Maximum</w:t>
            </w:r>
          </w:p>
        </w:tc>
        <w:tc>
          <w:tcPr>
            <w:tcW w:w="182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Registered(1)</w:t>
            </w:r>
          </w:p>
        </w:tc>
        <w:tc>
          <w:tcPr>
            <w:tcW w:w="17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Registered</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Preferred Stock, Debt Securities, Warrants</w:t>
            </w:r>
          </w:p>
        </w:tc>
        <w:tc>
          <w:tcPr>
            <w:tcW w:w="172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rPr>
              <w:t>(2)</w:t>
            </w:r>
          </w:p>
        </w:tc>
        <w:tc>
          <w:tcPr>
            <w:tcW w:w="2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(2)</w:t>
            </w:r>
          </w:p>
        </w:tc>
        <w:tc>
          <w:tcPr>
            <w:tcW w:w="1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w:t>
            </w:r>
          </w:p>
        </w:tc>
        <w:tc>
          <w:tcPr>
            <w:tcW w:w="182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bl>
    <w:p>
      <w:pPr>
        <w:spacing w:after="0" w:line="8" w:lineRule="exact"/>
        <w:rPr>
          <w:sz w:val="24"/>
          <w:szCs w:val="24"/>
          <w:color w:val="auto"/>
        </w:rPr>
      </w:pPr>
    </w:p>
    <w:p>
      <w:pPr>
        <w:ind w:left="640" w:hanging="308"/>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Securities registered hereunder may be sold separately, together or as units with other securities registered hereunder.</w:t>
      </w:r>
    </w:p>
    <w:p>
      <w:pPr>
        <w:ind w:left="660" w:hanging="328"/>
        <w:spacing w:after="0" w:line="227" w:lineRule="auto"/>
        <w:tabs>
          <w:tab w:leader="none" w:pos="639"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are registering an indeterminate aggregate principal amount and number of securities of each identified class of securities, which may be offered from time to time in unspecified numbers and at indeterminate prices, and as may be issuable upon conversion, redemption, repurchase, exchange or exercise of any securities registered hereunder, including under any applicable anti-dilution provisions. Separate consideration may or may not be received for securities that are issuable on exercise, conversion or exchange of other securities. In accordance with Rules 456(b) and 457(r) under the Securities Act, the registrant is deferring payment of the entire registration fee. Registration fees will be paid subsequently on a pay-as-you-go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290830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225" w:lineRule="exact"/>
        <w:rPr>
          <w:sz w:val="20"/>
          <w:szCs w:val="20"/>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stock, preferred stock or debt securities.</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181"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157" w:lineRule="exact"/>
        <w:rPr>
          <w:sz w:val="20"/>
          <w:szCs w:val="20"/>
          <w:color w:val="auto"/>
        </w:rPr>
      </w:pPr>
    </w:p>
    <w:p>
      <w:pPr>
        <w:ind w:right="580" w:firstLine="648"/>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4 before you make your investment decision.</w:t>
      </w:r>
    </w:p>
    <w:p>
      <w:pPr>
        <w:spacing w:after="0" w:line="17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1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94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5"/>
        </w:trPr>
        <w:tc>
          <w:tcPr>
            <w:tcW w:w="1640" w:type="dxa"/>
            <w:vAlign w:val="bottom"/>
            <w:gridSpan w:val="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640" w:type="dxa"/>
            <w:vAlign w:val="bottom"/>
            <w:tcBorders>
              <w:bottom w:val="single" w:sz="8" w:color="0000EE"/>
            </w:tcBorders>
            <w:gridSpan w:val="7"/>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0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ii</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Regarding Forward-Looking Statements</w:t>
              </w:r>
            </w:hyperlink>
          </w:p>
        </w:tc>
        <w:tc>
          <w:tcPr>
            <w:tcW w:w="58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 Regarding Trademarks</w:t>
              </w:r>
            </w:hyperlink>
          </w:p>
        </w:tc>
        <w:tc>
          <w:tcPr>
            <w:tcW w:w="2460" w:type="dxa"/>
            <w:vAlign w:val="bottom"/>
            <w:gridSpan w:val="3"/>
          </w:tcPr>
          <w:p>
            <w:pPr>
              <w:spacing w:after="0"/>
              <w:rPr>
                <w:sz w:val="17"/>
                <w:szCs w:val="17"/>
                <w:color w:val="auto"/>
              </w:rPr>
            </w:pPr>
          </w:p>
        </w:tc>
        <w:tc>
          <w:tcPr>
            <w:tcW w:w="588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3600" w:type="dxa"/>
            <w:vAlign w:val="bottom"/>
            <w:gridSpan w:val="10"/>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3340" w:type="dxa"/>
            <w:vAlign w:val="bottom"/>
            <w:gridSpan w:val="8"/>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Description of Securities</w:t>
              </w:r>
            </w:hyperlink>
          </w:p>
        </w:tc>
        <w:tc>
          <w:tcPr>
            <w:tcW w:w="2720" w:type="dxa"/>
            <w:vAlign w:val="bottom"/>
            <w:gridSpan w:val="4"/>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Description of Debt Securities</w:t>
              </w:r>
            </w:hyperlink>
          </w:p>
        </w:tc>
        <w:tc>
          <w:tcPr>
            <w:tcW w:w="2320" w:type="dxa"/>
            <w:vAlign w:val="bottom"/>
            <w:gridSpan w:val="2"/>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Warrants</w:t>
              </w:r>
            </w:hyperlink>
          </w:p>
        </w:tc>
        <w:tc>
          <w:tcPr>
            <w:tcW w:w="2780" w:type="dxa"/>
            <w:vAlign w:val="bottom"/>
            <w:gridSpan w:val="5"/>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Plan of Distribution</w:t>
              </w:r>
            </w:hyperlink>
          </w:p>
        </w:tc>
        <w:tc>
          <w:tcPr>
            <w:tcW w:w="3080" w:type="dxa"/>
            <w:vAlign w:val="bottom"/>
            <w:gridSpan w:val="7"/>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Legal Matters</w:t>
              </w:r>
            </w:hyperlink>
          </w:p>
        </w:tc>
        <w:tc>
          <w:tcPr>
            <w:tcW w:w="3500" w:type="dxa"/>
            <w:vAlign w:val="bottom"/>
            <w:gridSpan w:val="9"/>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Experts</w:t>
              </w:r>
            </w:hyperlink>
          </w:p>
        </w:tc>
        <w:tc>
          <w:tcPr>
            <w:tcW w:w="3960" w:type="dxa"/>
            <w:vAlign w:val="bottom"/>
            <w:gridSpan w:val="12"/>
          </w:tcPr>
          <w:p>
            <w:pPr>
              <w:spacing w:after="0"/>
              <w:rPr>
                <w:sz w:val="17"/>
                <w:szCs w:val="17"/>
                <w:color w:val="auto"/>
              </w:rPr>
            </w:pPr>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52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694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68"/>
        </w:trPr>
        <w:tc>
          <w:tcPr>
            <w:tcW w:w="5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20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12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18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17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this prospectus, unless otherwise specified or the context requires otherwise, we use the terms “Regeneron,” “Company,” “we,” “us,” and “our” to refer to Regeneron Pharmaceuticals, Inc. References to “preferred stock” refer to shares of our preferred stock, par value $0.01 per share; references to “Common Stock” refer to shares of our common stock, par value $0.001 per share; references to “Class A Stock” refer to our Class A Stock, par value $0.001 per share; and references to “common shares” mean, collectively, shares of Common Stock and shares of Class A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This prospectus, any accompanying prospectus supplements, and the documents incorporated by reference contain forward-looking statements that involve risks and uncertainties relating to future events and our future financial performance,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(aflibercept) Injection, Dupixent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(dupilumab) Injection, Praluent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(alirocumab) Injection, Kevzara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(sarilumab) Injection, Libtayo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(cemiplimab) Injection (marketed as Libtayo (cemiplimab-rwlc) Injection in the United States), fasinumab and evinacumab;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and evinacumab;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EYLEA, Dupixent and Praluent. A list and description of risks, uncertainties, and other matters that should be considered in evaluating such forward-looking statements can be found in our Annual Report on Form 10-K for the fiscal year ended December 31, 2017 and in our Quarterly Report on Form 10-Q for the quarterly period ended September 30, 2018, in each case including in the sections thereof captioned “Item 1A. Risk Factors.” Any forward-looking statements are made by us based on management’s current beliefs and judgment, and the reader is cautioned not to rely on any such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 REGARDING TRADEMARKS</w:t>
      </w:r>
    </w:p>
    <w:p>
      <w:pPr>
        <w:spacing w:after="0" w:line="229" w:lineRule="exact"/>
        <w:rPr>
          <w:sz w:val="20"/>
          <w:szCs w:val="20"/>
          <w:color w:val="auto"/>
        </w:rPr>
      </w:pPr>
    </w:p>
    <w:p>
      <w:pPr>
        <w:jc w:val="both"/>
        <w:ind w:right="160" w:firstLine="648"/>
        <w:spacing w:after="0" w:line="216" w:lineRule="auto"/>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“Regeneron</w:t>
      </w:r>
      <w:r>
        <w:rPr>
          <w:rFonts w:ascii="Arial" w:cs="Arial" w:eastAsia="Arial" w:hAnsi="Arial"/>
          <w:sz w:val="23"/>
          <w:szCs w:val="23"/>
          <w:color w:val="auto"/>
          <w:vertAlign w:val="superscript"/>
        </w:rPr>
        <w:t>®</w:t>
      </w:r>
      <w:r>
        <w:rPr>
          <w:rFonts w:ascii="Arial" w:cs="Arial" w:eastAsia="Arial" w:hAnsi="Arial"/>
          <w:sz w:val="18"/>
          <w:szCs w:val="18"/>
          <w:color w:val="auto"/>
        </w:rPr>
        <w:t>”, “Regeneron Genetics Center</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3"/>
          <w:szCs w:val="23"/>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and “ZALTRAP</w:t>
      </w:r>
      <w:r>
        <w:rPr>
          <w:rFonts w:ascii="Arial" w:cs="Arial" w:eastAsia="Arial" w:hAnsi="Arial"/>
          <w:sz w:val="23"/>
          <w:szCs w:val="23"/>
          <w:color w:val="auto"/>
          <w:vertAlign w:val="superscript"/>
        </w:rPr>
        <w:t>®</w:t>
      </w:r>
      <w:r>
        <w:rPr>
          <w:rFonts w:ascii="Arial" w:cs="Arial" w:eastAsia="Arial" w:hAnsi="Arial"/>
          <w:sz w:val="18"/>
          <w:szCs w:val="18"/>
          <w:color w:val="auto"/>
        </w:rPr>
        <w:t>” are our trademarks. Trademarks and trade names of other companies appearing in this prospectus are, to our knowledge, the property of their respective owners.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neuromuscular diseases, infectious diseases and rare diseases.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seven products that have received marketing approval: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Territory</w:t>
            </w:r>
          </w:p>
        </w:tc>
        <w:tc>
          <w:tcPr>
            <w:tcW w:w="1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Certain other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countries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2"/>
                <w:szCs w:val="12"/>
                <w:color w:val="auto"/>
              </w:rPr>
            </w:pPr>
          </w:p>
        </w:tc>
        <w:tc>
          <w:tcPr>
            <w:tcW w:w="42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Disease Area</w:t>
            </w:r>
            <w:r>
              <w:rPr>
                <w:rFonts w:ascii="Arial" w:cs="Arial" w:eastAsia="Arial" w:hAnsi="Arial"/>
                <w:sz w:val="17"/>
                <w:szCs w:val="17"/>
                <w:b w:val="1"/>
                <w:bCs w:val="1"/>
                <w:color w:val="auto"/>
                <w:vertAlign w:val="superscript"/>
              </w:rPr>
              <w:t>(1)</w:t>
            </w:r>
          </w:p>
        </w:tc>
        <w:tc>
          <w:tcPr>
            <w:tcW w:w="24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EU</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Japan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outside the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7"/>
                <w:szCs w:val="17"/>
                <w:color w:val="auto"/>
              </w:rPr>
              <w:t>EYLEA (aflibercept) Injection</w:t>
            </w:r>
            <w:r>
              <w:rPr>
                <w:rFonts w:ascii="Arial" w:cs="Arial" w:eastAsia="Arial" w:hAnsi="Arial"/>
                <w:sz w:val="22"/>
                <w:szCs w:val="22"/>
                <w:color w:val="auto"/>
                <w:vertAlign w:val="superscript"/>
              </w:rPr>
              <w:t>(2)</w:t>
            </w:r>
          </w:p>
        </w:tc>
        <w:tc>
          <w:tcPr>
            <w:tcW w:w="22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   Neovascular age-related macular degeneration (wet</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AMD)</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Diabetic macular edema (DME)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Macular edema following retinal vein occlusion</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9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1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(RVO), which includes macular edema following</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central retinal vein occlusion (CRVO) and macular</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edema following branch retinal vein occlusion</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(BRVO)</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Myopic choroidal neovascularization (mCNV)</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   Diabetic retinopathy in patients with DME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4440" w:type="dxa"/>
            <w:vAlign w:val="bottom"/>
            <w:gridSpan w:val="2"/>
          </w:tcPr>
          <w:p>
            <w:pPr>
              <w:jc w:val="right"/>
              <w:ind w:right="10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Territory</w:t>
            </w: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Certain other</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countries</w:t>
            </w:r>
          </w:p>
        </w:tc>
        <w:tc>
          <w:tcPr>
            <w:tcW w:w="0" w:type="dxa"/>
            <w:vAlign w:val="bottom"/>
          </w:tcPr>
          <w:p>
            <w:pPr>
              <w:spacing w:after="0"/>
              <w:rPr>
                <w:sz w:val="1"/>
                <w:szCs w:val="1"/>
                <w:color w:val="auto"/>
              </w:rPr>
            </w:pPr>
          </w:p>
        </w:tc>
      </w:tr>
      <w:tr>
        <w:trPr>
          <w:trHeight w:val="14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0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Disease Area</w:t>
            </w:r>
            <w:r>
              <w:rPr>
                <w:rFonts w:ascii="Arial" w:cs="Arial" w:eastAsia="Arial" w:hAnsi="Arial"/>
                <w:sz w:val="17"/>
                <w:szCs w:val="17"/>
                <w:b w:val="1"/>
                <w:bCs w:val="1"/>
                <w:color w:val="auto"/>
                <w:vertAlign w:val="superscript"/>
              </w:rPr>
              <w:t>(1)</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EU</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Japan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outside the</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195"/>
        </w:trPr>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Dupixent (dupilumab)</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4060" w:type="dxa"/>
            <w:vAlign w:val="bottom"/>
            <w:tcBorders>
              <w:top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Atopic dermatitis (in adults)</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line="231" w:lineRule="exact"/>
              <w:rPr>
                <w:sz w:val="20"/>
                <w:szCs w:val="20"/>
                <w:color w:val="auto"/>
              </w:rPr>
            </w:pPr>
            <w:r>
              <w:rPr>
                <w:rFonts w:ascii="Arial" w:cs="Arial" w:eastAsia="Arial" w:hAnsi="Arial"/>
                <w:sz w:val="18"/>
                <w:szCs w:val="18"/>
                <w:color w:val="auto"/>
              </w:rPr>
              <w:t>Injection</w:t>
            </w:r>
            <w:r>
              <w:rPr>
                <w:rFonts w:ascii="Arial" w:cs="Arial" w:eastAsia="Arial" w:hAnsi="Arial"/>
                <w:sz w:val="23"/>
                <w:szCs w:val="23"/>
                <w:color w:val="auto"/>
                <w:vertAlign w:val="superscript"/>
              </w:rPr>
              <w:t>(3)</w:t>
            </w:r>
          </w:p>
        </w:tc>
        <w:tc>
          <w:tcPr>
            <w:tcW w:w="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3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Asthma (in adults and adolescents)</w:t>
            </w:r>
          </w:p>
        </w:tc>
        <w:tc>
          <w:tcPr>
            <w:tcW w:w="9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8"/>
                <w:szCs w:val="18"/>
                <w:color w:val="auto"/>
                <w:w w:val="79"/>
              </w:rPr>
              <w:t>a</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430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2" w:lineRule="exact"/>
              <w:rPr>
                <w:sz w:val="20"/>
                <w:szCs w:val="20"/>
                <w:color w:val="auto"/>
              </w:rPr>
            </w:pPr>
            <w:r>
              <w:rPr>
                <w:rFonts w:ascii="Arial" w:cs="Arial" w:eastAsia="Arial" w:hAnsi="Arial"/>
                <w:sz w:val="18"/>
                <w:szCs w:val="18"/>
                <w:color w:val="auto"/>
                <w:w w:val="91"/>
              </w:rPr>
              <w:t>Praluent (alirocumab) Injection</w:t>
            </w:r>
            <w:r>
              <w:rPr>
                <w:rFonts w:ascii="Arial" w:cs="Arial" w:eastAsia="Arial" w:hAnsi="Arial"/>
                <w:sz w:val="23"/>
                <w:szCs w:val="23"/>
                <w:color w:val="auto"/>
                <w:w w:val="91"/>
                <w:vertAlign w:val="superscript"/>
              </w:rPr>
              <w:t>(3)</w:t>
            </w:r>
          </w:p>
        </w:tc>
        <w:tc>
          <w:tcPr>
            <w:tcW w:w="3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3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Heterozygous familial hypercholesterolemia (HeFH)</w:t>
            </w:r>
          </w:p>
        </w:tc>
        <w:tc>
          <w:tcPr>
            <w:tcW w:w="9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9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1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or clinical atherosclerotic cardiovascular disease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(ASCVD) (in adults)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Kevzara (sarilumab) Solution for</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3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Rheumatoid arthritis (RA) (in adults)</w:t>
            </w:r>
          </w:p>
        </w:tc>
        <w:tc>
          <w:tcPr>
            <w:tcW w:w="9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9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1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line="231"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line="162" w:lineRule="exact"/>
              <w:rPr>
                <w:sz w:val="20"/>
                <w:szCs w:val="20"/>
                <w:color w:val="auto"/>
              </w:rPr>
            </w:pPr>
            <w:r>
              <w:rPr>
                <w:rFonts w:ascii="Arial" w:cs="Arial" w:eastAsia="Arial" w:hAnsi="Arial"/>
                <w:sz w:val="14"/>
                <w:szCs w:val="14"/>
                <w:color w:val="auto"/>
              </w:rPr>
              <w:t>Libtayo (cemiplimab) Injection</w:t>
            </w:r>
            <w:r>
              <w:rPr>
                <w:rFonts w:ascii="Arial" w:cs="Arial" w:eastAsia="Arial" w:hAnsi="Arial"/>
                <w:sz w:val="18"/>
                <w:szCs w:val="18"/>
                <w:color w:val="auto"/>
                <w:vertAlign w:val="superscript"/>
              </w:rPr>
              <w:t>(3)</w:t>
            </w:r>
          </w:p>
        </w:tc>
        <w:tc>
          <w:tcPr>
            <w:tcW w:w="380" w:type="dxa"/>
            <w:vAlign w:val="bottom"/>
            <w:gridSpan w:val="2"/>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4300" w:type="dxa"/>
            <w:vAlign w:val="bottom"/>
            <w:gridSpan w:val="2"/>
          </w:tcPr>
          <w:p>
            <w:pPr>
              <w:ind w:left="120"/>
              <w:spacing w:after="0" w:line="162" w:lineRule="exact"/>
              <w:rPr>
                <w:sz w:val="20"/>
                <w:szCs w:val="20"/>
                <w:color w:val="auto"/>
              </w:rPr>
            </w:pPr>
            <w:r>
              <w:rPr>
                <w:rFonts w:ascii="Arial" w:cs="Arial" w:eastAsia="Arial" w:hAnsi="Arial"/>
                <w:sz w:val="18"/>
                <w:szCs w:val="18"/>
                <w:color w:val="auto"/>
                <w:w w:val="99"/>
              </w:rPr>
              <w:t>Metastatic or locally advanced cutaneous squamous</w:t>
            </w: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8"/>
                <w:szCs w:val="18"/>
                <w:color w:val="auto"/>
                <w:w w:val="79"/>
              </w:rPr>
              <w:t>a</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20"/>
                <w:szCs w:val="20"/>
                <w:color w:val="auto"/>
              </w:rPr>
            </w:pPr>
            <w:r>
              <w:rPr>
                <w:rFonts w:ascii="Arial" w:cs="Arial" w:eastAsia="Arial" w:hAnsi="Arial"/>
                <w:sz w:val="12"/>
                <w:szCs w:val="12"/>
                <w:color w:val="auto"/>
              </w:rPr>
              <w:t>(5)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00" w:type="dxa"/>
            <w:vAlign w:val="bottom"/>
            <w:gridSpan w:val="2"/>
            <w:vMerge w:val="restart"/>
          </w:tcPr>
          <w:p>
            <w:pPr>
              <w:ind w:left="160"/>
              <w:spacing w:after="0"/>
              <w:rPr>
                <w:sz w:val="20"/>
                <w:szCs w:val="20"/>
                <w:color w:val="auto"/>
              </w:rPr>
            </w:pPr>
            <w:r>
              <w:rPr>
                <w:rFonts w:ascii="Arial" w:cs="Arial" w:eastAsia="Arial" w:hAnsi="Arial"/>
                <w:sz w:val="18"/>
                <w:szCs w:val="18"/>
                <w:color w:val="auto"/>
              </w:rPr>
              <w:t>cell carcinoma (CSCC)</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3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 xml:space="preserve">  (rilonacept)</w:t>
            </w:r>
          </w:p>
        </w:tc>
        <w:tc>
          <w:tcPr>
            <w:tcW w:w="3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3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Cryopyrin-Associated Periodic Syndromes (CAPS),</w:t>
            </w:r>
          </w:p>
        </w:tc>
        <w:tc>
          <w:tcPr>
            <w:tcW w:w="9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5"/>
              </w:rPr>
              <w:t>Injection for Subcutaneous Use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including Familial Cold Auto-inflammatory</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Syndrome (FCAS) and Muckle-Wells Syndrome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(MWS)</w:t>
            </w: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line="202"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 xml:space="preserve"> (ziv-aflibercept)</w:t>
            </w:r>
          </w:p>
        </w:tc>
        <w:tc>
          <w:tcPr>
            <w:tcW w:w="3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43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Metastatic colorectal cancer (mCRC)</w:t>
            </w:r>
          </w:p>
        </w:tc>
        <w:tc>
          <w:tcPr>
            <w:tcW w:w="9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92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79"/>
              </w:rPr>
              <w:t>a</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79"/>
              </w:rPr>
              <w:t>a</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Injection for Intravenous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420" w:type="dxa"/>
            <w:vAlign w:val="bottom"/>
          </w:tcPr>
          <w:p>
            <w:pPr>
              <w:spacing w:after="0"/>
              <w:rPr>
                <w:sz w:val="20"/>
                <w:szCs w:val="20"/>
                <w:color w:val="auto"/>
              </w:rPr>
            </w:pPr>
            <w:r>
              <w:rPr>
                <w:rFonts w:ascii="Arial" w:cs="Arial" w:eastAsia="Arial" w:hAnsi="Arial"/>
                <w:sz w:val="18"/>
                <w:szCs w:val="18"/>
                <w:color w:val="auto"/>
              </w:rPr>
              <w:t>Infusion</w:t>
            </w:r>
            <w:r>
              <w:rPr>
                <w:rFonts w:ascii="Arial" w:cs="Arial" w:eastAsia="Arial" w:hAnsi="Arial"/>
                <w:sz w:val="23"/>
                <w:szCs w:val="23"/>
                <w:color w:val="auto"/>
                <w:vertAlign w:val="superscript"/>
              </w:rPr>
              <w:t>(4)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8" w:lineRule="exact"/>
        <w:rPr>
          <w:sz w:val="20"/>
          <w:szCs w:val="20"/>
          <w:color w:val="auto"/>
        </w:rPr>
      </w:pPr>
    </w:p>
    <w:p>
      <w:pPr>
        <w:ind w:left="640" w:hanging="178"/>
        <w:spacing w:after="0"/>
        <w:tabs>
          <w:tab w:leader="none" w:pos="6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Refer to label information in each territory for specific indication</w:t>
      </w:r>
    </w:p>
    <w:p>
      <w:pPr>
        <w:spacing w:after="0" w:line="1" w:lineRule="exact"/>
        <w:rPr>
          <w:rFonts w:ascii="Arial" w:cs="Arial" w:eastAsia="Arial" w:hAnsi="Arial"/>
          <w:sz w:val="21"/>
          <w:szCs w:val="21"/>
          <w:color w:val="auto"/>
          <w:vertAlign w:val="superscript"/>
        </w:rPr>
      </w:pPr>
    </w:p>
    <w:p>
      <w:pPr>
        <w:ind w:left="640" w:hanging="178"/>
        <w:spacing w:after="0" w:line="213" w:lineRule="auto"/>
        <w:tabs>
          <w:tab w:leader="none" w:pos="6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 collaboration with Bayer (outside the United States)</w:t>
      </w:r>
    </w:p>
    <w:p>
      <w:pPr>
        <w:spacing w:after="0" w:line="1" w:lineRule="exact"/>
        <w:rPr>
          <w:rFonts w:ascii="Arial" w:cs="Arial" w:eastAsia="Arial" w:hAnsi="Arial"/>
          <w:sz w:val="21"/>
          <w:szCs w:val="21"/>
          <w:color w:val="auto"/>
          <w:vertAlign w:val="superscript"/>
        </w:rPr>
      </w:pPr>
    </w:p>
    <w:p>
      <w:pPr>
        <w:ind w:left="640" w:hanging="178"/>
        <w:spacing w:after="0" w:line="213" w:lineRule="auto"/>
        <w:tabs>
          <w:tab w:leader="none" w:pos="6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 collaboration with Sanofi</w:t>
      </w:r>
    </w:p>
    <w:p>
      <w:pPr>
        <w:spacing w:after="0" w:line="1" w:lineRule="exact"/>
        <w:rPr>
          <w:rFonts w:ascii="Arial" w:cs="Arial" w:eastAsia="Arial" w:hAnsi="Arial"/>
          <w:sz w:val="21"/>
          <w:szCs w:val="21"/>
          <w:color w:val="auto"/>
          <w:vertAlign w:val="superscript"/>
        </w:rPr>
      </w:pPr>
    </w:p>
    <w:p>
      <w:pPr>
        <w:ind w:left="460" w:right="760" w:firstLine="2"/>
        <w:spacing w:after="0" w:line="242" w:lineRule="auto"/>
        <w:tabs>
          <w:tab w:leader="none" w:pos="641"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Pursuant to a 2015 amended and restated ZALTRAP agreement, Sanofi is solely responsible for the development and commercialization of ZALTRAP, and Sanofi pays us a percentage of aggregate net sales of ZALTRAP</w:t>
      </w:r>
    </w:p>
    <w:p>
      <w:pPr>
        <w:spacing w:after="0" w:line="1" w:lineRule="exact"/>
        <w:rPr>
          <w:rFonts w:ascii="Arial" w:cs="Arial" w:eastAsia="Arial" w:hAnsi="Arial"/>
          <w:sz w:val="21"/>
          <w:szCs w:val="21"/>
          <w:color w:val="auto"/>
          <w:vertAlign w:val="superscript"/>
        </w:rPr>
      </w:pPr>
    </w:p>
    <w:p>
      <w:pPr>
        <w:ind w:left="640" w:hanging="178"/>
        <w:spacing w:after="0" w:line="214" w:lineRule="auto"/>
        <w:tabs>
          <w:tab w:leader="none" w:pos="6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Marketed as Libtayo (cemiplimab-rwlc) Injection in the United States</w:t>
      </w:r>
    </w:p>
    <w:p>
      <w:pPr>
        <w:spacing w:after="0" w:line="202" w:lineRule="exact"/>
        <w:rPr>
          <w:rFonts w:ascii="Arial" w:cs="Arial" w:eastAsia="Arial" w:hAnsi="Arial"/>
          <w:sz w:val="21"/>
          <w:szCs w:val="21"/>
          <w:color w:val="auto"/>
          <w:vertAlign w:val="superscript"/>
        </w:rPr>
      </w:pPr>
    </w:p>
    <w:p>
      <w:pPr>
        <w:ind w:left="660"/>
        <w:spacing w:after="0"/>
        <w:rPr>
          <w:rFonts w:ascii="Arial" w:cs="Arial" w:eastAsia="Arial" w:hAnsi="Arial"/>
          <w:sz w:val="21"/>
          <w:szCs w:val="21"/>
          <w:color w:val="auto"/>
          <w:vertAlign w:val="superscript"/>
        </w:rPr>
      </w:pPr>
      <w:r>
        <w:rPr>
          <w:rFonts w:ascii="Arial" w:cs="Arial" w:eastAsia="Arial" w:hAnsi="Arial"/>
          <w:sz w:val="18"/>
          <w:szCs w:val="18"/>
          <w:color w:val="auto"/>
        </w:rPr>
        <w:t>In addition, we currently have 20 product candidates in clinical development that were discovered in our research laboratories.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29" w:lineRule="exact"/>
        <w:rPr>
          <w:sz w:val="20"/>
          <w:szCs w:val="20"/>
          <w:color w:val="auto"/>
        </w:rPr>
      </w:pPr>
    </w:p>
    <w:p>
      <w:pPr>
        <w:ind w:right="40" w:firstLine="648"/>
        <w:spacing w:after="0" w:line="218"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antibody technology (</w:t>
      </w:r>
      <w:r>
        <w:rPr>
          <w:rFonts w:ascii="Arial" w:cs="Arial" w:eastAsia="Arial" w:hAnsi="Arial"/>
          <w:sz w:val="18"/>
          <w:szCs w:val="18"/>
          <w:i w:val="1"/>
          <w:iCs w:val="1"/>
          <w:color w:val="auto"/>
        </w:rPr>
        <w:t>VelocImmune</w:t>
      </w:r>
      <w:r>
        <w:rPr>
          <w:rFonts w:ascii="Arial" w:cs="Arial" w:eastAsia="Arial" w:hAnsi="Arial"/>
          <w:sz w:val="23"/>
          <w:szCs w:val="23"/>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0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have launched a human genetics initiative via a wholly owned subsidiary, Regeneron Genetics Center LLC (“RGC”). RGC leverages de-identified clinical, genomic, and molecular data from human volunteers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Our principal executive offices are located at 777 Old Saw Mill River Road, Tarrytown, New York 10591, and our telephone number at that address is (914) 847-7000. Our website address is </w:t>
      </w:r>
      <w:r>
        <w:rPr>
          <w:rFonts w:ascii="Arial" w:cs="Arial" w:eastAsia="Arial" w:hAnsi="Arial"/>
          <w:sz w:val="17"/>
          <w:szCs w:val="17"/>
          <w:i w:val="1"/>
          <w:iCs w:val="1"/>
          <w:color w:val="auto"/>
        </w:rPr>
        <w:t>www.regeneron.com</w:t>
      </w:r>
      <w:r>
        <w:rPr>
          <w:rFonts w:ascii="Arial" w:cs="Arial" w:eastAsia="Arial" w:hAnsi="Arial"/>
          <w:sz w:val="17"/>
          <w:szCs w:val="17"/>
          <w:color w:val="auto"/>
        </w:rPr>
        <w:t>. The information on, or accessible through, our website is not part of this prospectus and should not be relied upon in connection with making any investment decision with respect to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should consider the specific risks described in our Annual Report on Form 10-K for the fiscal year ended December 31, 2017 and our Quarterly Report on Form 10-Q for the quarterly period ended September 30, 2018,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19 of this prospectus.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authorized capital stock consists of 320,000,000 shares of Common Stock, par value $0.001 per share, of which 106,298,574 shares were issued and outstanding as of September 30, 2018, 40,000,000 shares of Class A Stock, par value $0.001 per share, of which 1,911,354 shares were issued and outstanding as of September 30, 2018, and 30,000,000 shares of preferred stock, par value $0.01 per share, none of which were issued and outstanding as of September 30, 2018.</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Class A Stock</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rights of holders of Common Stock and holders of Class A Stock are identical except for voting rights, conversion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on transferability.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Class A Stock are entitled to ten votes per share and the holders of Common Stock are entitled to one vote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Class A Stock is subject to certain limitations on transfer that do not apply to the Common Stock.</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Dividends and Liquidation</w:t>
      </w:r>
      <w:r>
        <w:rPr>
          <w:rFonts w:ascii="Arial" w:cs="Arial" w:eastAsia="Arial" w:hAnsi="Arial"/>
          <w:sz w:val="17"/>
          <w:szCs w:val="17"/>
          <w:color w:val="auto"/>
        </w:rPr>
        <w:t>. Except as described in this paragraph, holders of Class A Stock and holders of our Common Stock have an equal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Optional Conversion Rights</w:t>
      </w:r>
      <w:r>
        <w:rPr>
          <w:rFonts w:ascii="Arial" w:cs="Arial" w:eastAsia="Arial" w:hAnsi="Arial"/>
          <w:sz w:val="17"/>
          <w:szCs w:val="17"/>
          <w:color w:val="auto"/>
        </w:rPr>
        <w:t>. Each share of Class A Stock may, at any time and at the option of the holder, be converted into one fully paid and</w:t>
      </w:r>
      <w:r>
        <w:rPr>
          <w:rFonts w:ascii="Arial" w:cs="Arial" w:eastAsia="Arial" w:hAnsi="Arial"/>
          <w:sz w:val="17"/>
          <w:szCs w:val="17"/>
          <w:i w:val="1"/>
          <w:iCs w:val="1"/>
          <w:color w:val="auto"/>
        </w:rPr>
        <w:t xml:space="preserve"> </w:t>
      </w:r>
      <w:r>
        <w:rPr>
          <w:rFonts w:ascii="Arial" w:cs="Arial" w:eastAsia="Arial" w:hAnsi="Arial"/>
          <w:sz w:val="17"/>
          <w:szCs w:val="17"/>
          <w:color w:val="auto"/>
        </w:rPr>
        <w:t>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Other Provisions</w:t>
      </w:r>
      <w:r>
        <w:rPr>
          <w:rFonts w:ascii="Arial" w:cs="Arial" w:eastAsia="Arial" w:hAnsi="Arial"/>
          <w:sz w:val="18"/>
          <w:szCs w:val="18"/>
          <w:color w:val="auto"/>
        </w:rPr>
        <w:t>. Holders of Class A Stock and Common Stock have no preemptive rights to subscribe for any additional securities of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may issue and there are no redemption provisions or sinking fund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provisions applicable to either such class, nor are our shares of Class A Stock or the Common Stock subject to calls or assessments.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Our Common Stock is listed on The Nasdaq Global Select Market under the symbol “REGN.” Our Class A Stock is not listed on a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 as amended (“Certificate of Incorporation”).</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Certificate of Incorporation allows us to issue up to 30,000,000 shares of preferred stock in one or more series and as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As of September 30, 2018,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Certificate of Incorporation relating to such series. A prospectus supplement relating to such series will describe the terms of the preferred stock of the series, including the following:</w:t>
      </w:r>
    </w:p>
    <w:p>
      <w:pPr>
        <w:spacing w:after="0" w:line="178" w:lineRule="exact"/>
        <w:rPr>
          <w:sz w:val="20"/>
          <w:szCs w:val="20"/>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for that series by number, letter or title that shall distinguish the series from any other series of preferred stock;</w:t>
      </w:r>
    </w:p>
    <w:p>
      <w:pPr>
        <w:spacing w:after="0" w:line="225" w:lineRule="exact"/>
        <w:rPr>
          <w:rFonts w:ascii="Arial" w:cs="Arial" w:eastAsia="Arial" w:hAnsi="Arial"/>
          <w:sz w:val="18"/>
          <w:szCs w:val="18"/>
          <w:color w:val="auto"/>
        </w:rPr>
      </w:pPr>
    </w:p>
    <w:p>
      <w:pPr>
        <w:ind w:left="1300" w:right="720" w:hanging="320"/>
        <w:spacing w:after="0" w:line="277"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Permanent Global Preferred Securities</w:t>
      </w:r>
      <w:r>
        <w:rPr>
          <w:rFonts w:ascii="Arial" w:cs="Arial" w:eastAsia="Arial" w:hAnsi="Arial"/>
          <w:sz w:val="18"/>
          <w:szCs w:val="18"/>
          <w:color w:val="auto"/>
        </w:rPr>
        <w:t>. A series of preferred stock may be issued in whole or in part in the form of one or more global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each series of preferred stock will be set forth in the prospectus supplement.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Anti-Take-Over Effects</w:t>
      </w:r>
      <w:r>
        <w:rPr>
          <w:rFonts w:ascii="Arial" w:cs="Arial" w:eastAsia="Arial" w:hAnsi="Arial"/>
          <w:sz w:val="18"/>
          <w:szCs w:val="18"/>
          <w:color w:val="auto"/>
        </w:rPr>
        <w:t>. Our board of directors may authorize, without shareholder approval, the issuance of preferred stock with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One of our shareholders, Sanofi, has registration rights. Under the amended and restated investor agreement, as amended (the “Investor Agreement”), between us and such shareholder, such shareholder (and certain of its permitted transferees) may request that we file registration statements under the Securities Act and, upon such request and subject to minimum size and other conditions (such as the lock-up provisions set forth in the Investor Agreement),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For a description of anti-takeover effects of various provisions of our charter, by-laws, and the New York Business Corporation Law, please see “RISK FACTORS — Risks Related to Our Common Stock — </w:t>
      </w:r>
      <w:r>
        <w:rPr>
          <w:rFonts w:ascii="Arial" w:cs="Arial" w:eastAsia="Arial" w:hAnsi="Arial"/>
          <w:sz w:val="18"/>
          <w:szCs w:val="18"/>
          <w:i w:val="1"/>
          <w:iCs w:val="1"/>
          <w:color w:val="auto"/>
        </w:rPr>
        <w:t>The anti-takeover effects of provisions of our charter, by-laws, and of New York corporate law,</w:t>
      </w:r>
      <w:r>
        <w:rPr>
          <w:rFonts w:ascii="Arial" w:cs="Arial" w:eastAsia="Arial" w:hAnsi="Arial"/>
          <w:sz w:val="18"/>
          <w:szCs w:val="18"/>
          <w:color w:val="auto"/>
        </w:rPr>
        <w:t xml:space="preserve"> </w:t>
      </w:r>
      <w:r>
        <w:rPr>
          <w:rFonts w:ascii="Arial" w:cs="Arial" w:eastAsia="Arial" w:hAnsi="Arial"/>
          <w:sz w:val="18"/>
          <w:szCs w:val="18"/>
          <w:i w:val="1"/>
          <w:iCs w:val="1"/>
          <w:color w:val="auto"/>
        </w:rPr>
        <w:t>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r>
        <w:rPr>
          <w:rFonts w:ascii="Arial" w:cs="Arial" w:eastAsia="Arial" w:hAnsi="Arial"/>
          <w:sz w:val="18"/>
          <w:szCs w:val="18"/>
          <w:color w:val="auto"/>
        </w:rPr>
        <w:t>” in our Quarterly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10-Q for the quarterly period ended September 30, 2018.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of 1939, as amended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income tax considerations applicable to debt securities issued with original issue discount will be described in more detail in any applicable prospectus supplement.</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170" w:lineRule="exact"/>
        <w:rPr>
          <w:sz w:val="20"/>
          <w:szCs w:val="20"/>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225" w:lineRule="exact"/>
        <w:rPr>
          <w:rFonts w:ascii="Arial" w:cs="Arial" w:eastAsia="Arial" w:hAnsi="Arial"/>
          <w:sz w:val="18"/>
          <w:szCs w:val="18"/>
          <w:color w:val="auto"/>
        </w:rPr>
      </w:pPr>
    </w:p>
    <w:p>
      <w:pPr>
        <w:ind w:left="1300" w:right="100" w:hanging="320"/>
        <w:spacing w:after="0" w:line="308" w:lineRule="auto"/>
        <w:tabs>
          <w:tab w:leader="none" w:pos="1264"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146" w:lineRule="exact"/>
        <w:rPr>
          <w:rFonts w:ascii="Arial" w:cs="Arial" w:eastAsia="Arial" w:hAnsi="Arial"/>
          <w:sz w:val="17"/>
          <w:szCs w:val="17"/>
          <w:color w:val="auto"/>
        </w:rPr>
      </w:pPr>
    </w:p>
    <w:p>
      <w:pPr>
        <w:ind w:left="1300" w:right="220" w:hanging="320"/>
        <w:spacing w:after="0" w:line="342" w:lineRule="auto"/>
        <w:tabs>
          <w:tab w:leader="none" w:pos="12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123" w:lineRule="exact"/>
        <w:rPr>
          <w:rFonts w:ascii="Arial" w:cs="Arial" w:eastAsia="Arial" w:hAnsi="Arial"/>
          <w:sz w:val="16"/>
          <w:szCs w:val="16"/>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1300" w:right="180" w:hanging="320"/>
        <w:spacing w:after="0" w:line="342" w:lineRule="auto"/>
        <w:tabs>
          <w:tab w:leader="none" w:pos="126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123" w:lineRule="exact"/>
        <w:rPr>
          <w:rFonts w:ascii="Arial" w:cs="Arial" w:eastAsia="Arial" w:hAnsi="Arial"/>
          <w:sz w:val="16"/>
          <w:szCs w:val="16"/>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25" w:lineRule="exact"/>
        <w:rPr>
          <w:rFonts w:ascii="Arial" w:cs="Arial" w:eastAsia="Arial" w:hAnsi="Arial"/>
          <w:sz w:val="18"/>
          <w:szCs w:val="18"/>
          <w:color w:val="auto"/>
        </w:rPr>
      </w:pPr>
    </w:p>
    <w:p>
      <w:pPr>
        <w:ind w:left="1300" w:hanging="320"/>
        <w:spacing w:after="0" w:line="277"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 dividends, make distributions in respect of our capital stock and the capital stock of our subsidiaries or transfer assets;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248" w:lineRule="exact"/>
        <w:rPr>
          <w:rFonts w:ascii="Arial" w:cs="Arial" w:eastAsia="Arial" w:hAnsi="Arial"/>
          <w:sz w:val="16"/>
          <w:szCs w:val="16"/>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1300" w:right="500" w:hanging="320"/>
        <w:spacing w:after="0" w:line="277"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225" w:lineRule="exact"/>
        <w:rPr>
          <w:rFonts w:ascii="Arial" w:cs="Arial" w:eastAsia="Arial" w:hAnsi="Arial"/>
          <w:sz w:val="18"/>
          <w:szCs w:val="18"/>
          <w:color w:val="auto"/>
        </w:rPr>
      </w:pPr>
    </w:p>
    <w:p>
      <w:pPr>
        <w:ind w:left="1300" w:hanging="320"/>
        <w:spacing w:after="0" w:line="259"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18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170" w:lineRule="exact"/>
        <w:rPr>
          <w:sz w:val="20"/>
          <w:szCs w:val="20"/>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in respect of a series of debt securities, means any of the following:</w:t>
      </w:r>
    </w:p>
    <w:p>
      <w:pPr>
        <w:spacing w:after="0" w:line="170" w:lineRule="exact"/>
        <w:rPr>
          <w:sz w:val="20"/>
          <w:szCs w:val="20"/>
          <w:color w:val="auto"/>
        </w:rPr>
      </w:pPr>
    </w:p>
    <w:p>
      <w:pPr>
        <w:ind w:left="1300" w:right="380" w:hanging="320"/>
        <w:spacing w:after="0" w:line="277"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170" w:lineRule="exact"/>
        <w:rPr>
          <w:rFonts w:ascii="Arial" w:cs="Arial" w:eastAsia="Arial" w:hAnsi="Arial"/>
          <w:sz w:val="18"/>
          <w:szCs w:val="18"/>
          <w:color w:val="auto"/>
        </w:rPr>
      </w:pPr>
    </w:p>
    <w:p>
      <w:pPr>
        <w:ind w:left="5620" w:right="580" w:hanging="4640"/>
        <w:spacing w:after="0" w:line="528" w:lineRule="auto"/>
        <w:tabs>
          <w:tab w:leader="none" w:pos="1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payable and the time for payment has not been extended or delayed;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300" w:hanging="320"/>
        <w:spacing w:after="0" w:line="286" w:lineRule="auto"/>
        <w:tabs>
          <w:tab w:leader="none" w:pos="1264"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165" w:lineRule="exact"/>
        <w:rPr>
          <w:rFonts w:ascii="Arial" w:cs="Arial" w:eastAsia="Arial" w:hAnsi="Arial"/>
          <w:sz w:val="17"/>
          <w:szCs w:val="17"/>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225" w:lineRule="exact"/>
        <w:rPr>
          <w:rFonts w:ascii="Arial" w:cs="Arial" w:eastAsia="Arial" w:hAnsi="Arial"/>
          <w:sz w:val="18"/>
          <w:szCs w:val="18"/>
          <w:color w:val="auto"/>
        </w:rPr>
      </w:pPr>
    </w:p>
    <w:p>
      <w:pPr>
        <w:ind w:left="1300" w:right="340" w:hanging="320"/>
        <w:spacing w:after="0" w:line="277"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181"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3" w:lineRule="exact"/>
        <w:rPr>
          <w:sz w:val="20"/>
          <w:szCs w:val="20"/>
          <w:color w:val="auto"/>
        </w:rPr>
      </w:pPr>
    </w:p>
    <w:p>
      <w:pPr>
        <w:ind w:left="1260" w:hanging="280"/>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225" w:lineRule="exact"/>
        <w:rPr>
          <w:rFonts w:ascii="Arial" w:cs="Arial" w:eastAsia="Arial" w:hAnsi="Arial"/>
          <w:sz w:val="18"/>
          <w:szCs w:val="18"/>
          <w:color w:val="auto"/>
        </w:rPr>
      </w:pPr>
    </w:p>
    <w:p>
      <w:pPr>
        <w:ind w:left="1300" w:right="120" w:hanging="320"/>
        <w:spacing w:after="0" w:line="277" w:lineRule="auto"/>
        <w:tabs>
          <w:tab w:leader="none" w:pos="1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170" w:lineRule="exact"/>
        <w:rPr>
          <w:sz w:val="20"/>
          <w:szCs w:val="20"/>
          <w:color w:val="auto"/>
        </w:rPr>
      </w:pPr>
    </w:p>
    <w:p>
      <w:pPr>
        <w:ind w:left="1260" w:hanging="280"/>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1300" w:right="340" w:hanging="320"/>
        <w:spacing w:after="0" w:line="308" w:lineRule="auto"/>
        <w:tabs>
          <w:tab w:leader="none" w:pos="12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146" w:lineRule="exact"/>
        <w:rPr>
          <w:rFonts w:ascii="Arial" w:cs="Arial" w:eastAsia="Arial" w:hAnsi="Arial"/>
          <w:sz w:val="17"/>
          <w:szCs w:val="17"/>
          <w:color w:val="auto"/>
        </w:rPr>
      </w:pPr>
    </w:p>
    <w:p>
      <w:pPr>
        <w:ind w:left="1300" w:right="560" w:hanging="320"/>
        <w:spacing w:after="0" w:line="308" w:lineRule="auto"/>
        <w:tabs>
          <w:tab w:leader="none" w:pos="12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187" w:lineRule="exact"/>
        <w:rPr>
          <w:sz w:val="20"/>
          <w:szCs w:val="20"/>
          <w:color w:val="auto"/>
        </w:rPr>
      </w:pPr>
    </w:p>
    <w:p>
      <w:pPr>
        <w:ind w:left="1300" w:right="180" w:hanging="320"/>
        <w:spacing w:after="0" w:line="308" w:lineRule="auto"/>
        <w:tabs>
          <w:tab w:leader="none" w:pos="12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146" w:lineRule="exact"/>
        <w:rPr>
          <w:rFonts w:ascii="Arial" w:cs="Arial" w:eastAsia="Arial" w:hAnsi="Arial"/>
          <w:sz w:val="17"/>
          <w:szCs w:val="17"/>
          <w:color w:val="auto"/>
        </w:rPr>
      </w:pPr>
    </w:p>
    <w:p>
      <w:pPr>
        <w:ind w:left="1300" w:right="60" w:hanging="320"/>
        <w:spacing w:after="0" w:line="257" w:lineRule="auto"/>
        <w:tabs>
          <w:tab w:leader="none" w:pos="12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70" w:lineRule="exact"/>
        <w:rPr>
          <w:sz w:val="20"/>
          <w:szCs w:val="20"/>
          <w:color w:val="auto"/>
        </w:rPr>
      </w:pPr>
    </w:p>
    <w:p>
      <w:pPr>
        <w:ind w:left="1260" w:hanging="28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25" w:lineRule="exact"/>
        <w:rPr>
          <w:rFonts w:ascii="Arial" w:cs="Arial" w:eastAsia="Arial" w:hAnsi="Arial"/>
          <w:sz w:val="18"/>
          <w:szCs w:val="18"/>
          <w:color w:val="auto"/>
        </w:rPr>
      </w:pPr>
    </w:p>
    <w:p>
      <w:pPr>
        <w:ind w:left="5620" w:right="3680" w:hanging="4640"/>
        <w:spacing w:after="0" w:line="528" w:lineRule="auto"/>
        <w:tabs>
          <w:tab w:leader="none" w:pos="1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 Consolidation, Merger or Sale”;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rFonts w:ascii="Arial" w:cs="Arial" w:eastAsia="Arial" w:hAnsi="Arial"/>
          <w:sz w:val="18"/>
          <w:szCs w:val="18"/>
          <w:color w:val="auto"/>
        </w:rPr>
      </w:pPr>
    </w:p>
    <w:p>
      <w:pPr>
        <w:ind w:left="1300" w:right="620" w:hanging="320"/>
        <w:spacing w:after="0" w:line="277"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170" w:lineRule="exact"/>
        <w:rPr>
          <w:rFonts w:ascii="Arial" w:cs="Arial" w:eastAsia="Arial" w:hAnsi="Arial"/>
          <w:sz w:val="18"/>
          <w:szCs w:val="18"/>
          <w:color w:val="auto"/>
        </w:rPr>
      </w:pPr>
    </w:p>
    <w:p>
      <w:pPr>
        <w:ind w:left="1300" w:right="60" w:hanging="320"/>
        <w:spacing w:after="0" w:line="264" w:lineRule="auto"/>
        <w:tabs>
          <w:tab w:leader="none" w:pos="1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181" w:lineRule="exact"/>
        <w:rPr>
          <w:rFonts w:ascii="Arial" w:cs="Arial" w:eastAsia="Arial" w:hAnsi="Arial"/>
          <w:sz w:val="18"/>
          <w:szCs w:val="18"/>
          <w:color w:val="auto"/>
        </w:rPr>
      </w:pPr>
    </w:p>
    <w:p>
      <w:pPr>
        <w:ind w:left="1260" w:hanging="280"/>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166" w:lineRule="exact"/>
        <w:rPr>
          <w:sz w:val="20"/>
          <w:szCs w:val="20"/>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1300" w:right="4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supplemental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170"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225" w:lineRule="exact"/>
        <w:rPr>
          <w:rFonts w:ascii="Arial" w:cs="Arial" w:eastAsia="Arial" w:hAnsi="Arial"/>
          <w:sz w:val="18"/>
          <w:szCs w:val="18"/>
          <w:color w:val="auto"/>
        </w:rPr>
      </w:pPr>
    </w:p>
    <w:p>
      <w:pPr>
        <w:ind w:left="1300" w:right="30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1300" w:right="30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225" w:lineRule="exact"/>
        <w:rPr>
          <w:rFonts w:ascii="Arial" w:cs="Arial" w:eastAsia="Arial" w:hAnsi="Arial"/>
          <w:sz w:val="18"/>
          <w:szCs w:val="18"/>
          <w:color w:val="auto"/>
        </w:rPr>
      </w:pPr>
    </w:p>
    <w:p>
      <w:pPr>
        <w:ind w:left="1300" w:right="56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60" w:hanging="280"/>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17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w:t>
      </w:r>
    </w:p>
    <w:p>
      <w:pPr>
        <w:ind w:right="840"/>
        <w:spacing w:after="0" w:line="261" w:lineRule="auto"/>
        <w:rPr>
          <w:sz w:val="20"/>
          <w:szCs w:val="20"/>
          <w:color w:val="auto"/>
        </w:rPr>
      </w:pPr>
      <w:r>
        <w:rPr>
          <w:rFonts w:ascii="Arial" w:cs="Arial" w:eastAsia="Arial" w:hAnsi="Arial"/>
          <w:sz w:val="18"/>
          <w:szCs w:val="18"/>
          <w:color w:val="auto"/>
        </w:rPr>
        <w:t>page 19 of this prospectus. We urge you to read the applicable warrant certificate, the applicable warrant agreement, and any applicable prospectus supplement in their entirety.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the securities offered by this prospectus from time to time in one or more transactions, including without limitation:</w:t>
      </w:r>
    </w:p>
    <w:p>
      <w:pPr>
        <w:spacing w:after="0" w:line="225" w:lineRule="exact"/>
        <w:rPr>
          <w:sz w:val="20"/>
          <w:szCs w:val="20"/>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w:t>
      </w:r>
    </w:p>
    <w:p>
      <w:pPr>
        <w:spacing w:after="0" w:line="225" w:lineRule="exact"/>
        <w:rPr>
          <w:sz w:val="20"/>
          <w:szCs w:val="20"/>
          <w:color w:val="auto"/>
        </w:rPr>
      </w:pPr>
    </w:p>
    <w:p>
      <w:pPr>
        <w:ind w:left="1300" w:right="100" w:hanging="320"/>
        <w:spacing w:after="0" w:line="277" w:lineRule="auto"/>
        <w:tabs>
          <w:tab w:leader="none" w:pos="1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as agent, but may position or resell a portion of the block, as principal, in order to facilitate the transaction;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a broker solicits purchasers;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exchange for outstanding indebtedness;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225" w:lineRule="exact"/>
        <w:rPr>
          <w:sz w:val="20"/>
          <w:szCs w:val="20"/>
          <w:color w:val="auto"/>
        </w:rPr>
      </w:pPr>
    </w:p>
    <w:p>
      <w:pPr>
        <w:ind w:left="1300" w:right="180" w:hanging="320"/>
        <w:spacing w:after="0" w:line="277" w:lineRule="auto"/>
        <w:tabs>
          <w:tab w:leader="none" w:pos="1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prospectus, in which case such broker-dealer or affiliate may use shares of Common Stock received from us to close out its short positions;</w:t>
      </w:r>
    </w:p>
    <w:p>
      <w:pPr>
        <w:spacing w:after="0" w:line="248" w:lineRule="exact"/>
        <w:rPr>
          <w:sz w:val="20"/>
          <w:szCs w:val="20"/>
          <w:color w:val="auto"/>
        </w:rPr>
      </w:pPr>
    </w:p>
    <w:p>
      <w:pPr>
        <w:ind w:left="1260" w:hanging="28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225" w:lineRule="exact"/>
        <w:rPr>
          <w:rFonts w:ascii="Arial" w:cs="Arial" w:eastAsia="Arial" w:hAnsi="Arial"/>
          <w:sz w:val="18"/>
          <w:szCs w:val="18"/>
          <w:color w:val="auto"/>
        </w:rPr>
      </w:pPr>
    </w:p>
    <w:p>
      <w:pPr>
        <w:ind w:left="1300" w:right="220" w:hanging="320"/>
        <w:spacing w:after="0" w:line="277"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225" w:lineRule="exact"/>
        <w:rPr>
          <w:sz w:val="20"/>
          <w:szCs w:val="20"/>
          <w:color w:val="auto"/>
        </w:rPr>
      </w:pPr>
    </w:p>
    <w:p>
      <w:pPr>
        <w:ind w:left="1260" w:hanging="280"/>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name or names of any underwriters or agents and the amounts of securities underwritten or purchased by each of them, if any;</w:t>
      </w:r>
    </w:p>
    <w:p>
      <w:pPr>
        <w:spacing w:after="0" w:line="236" w:lineRule="exact"/>
        <w:rPr>
          <w:rFonts w:ascii="Arial" w:cs="Arial" w:eastAsia="Arial" w:hAnsi="Arial"/>
          <w:sz w:val="17"/>
          <w:szCs w:val="17"/>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70" w:lineRule="exact"/>
        <w:rPr>
          <w:sz w:val="20"/>
          <w:szCs w:val="20"/>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29"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quotation system; any such listing with respect to any particular debt securities, preferred stock, or warrants will be described in the applicable prospectus supplement or pricing supplement, as the case may be.</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18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under the Exchange Act. The SEC maintains an Internet site,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 including Regeneron Pharmaceuticals, Inc. Our SEC filings are also available on our website at </w:t>
      </w:r>
      <w:r>
        <w:rPr>
          <w:rFonts w:ascii="Arial" w:cs="Arial" w:eastAsia="Arial" w:hAnsi="Arial"/>
          <w:sz w:val="17"/>
          <w:szCs w:val="17"/>
          <w:i w:val="1"/>
          <w:iCs w:val="1"/>
          <w:color w:val="auto"/>
        </w:rPr>
        <w:t>www.regeneron.com</w:t>
      </w:r>
      <w:r>
        <w:rPr>
          <w:rFonts w:ascii="Arial" w:cs="Arial" w:eastAsia="Arial" w:hAnsi="Arial"/>
          <w:sz w:val="17"/>
          <w:szCs w:val="17"/>
          <w:color w:val="auto"/>
        </w:rPr>
        <w:t>. Other than as specifically incorporated by reference into this prospectus, the information on, or accessible through, our website is not part of this prospectus and should not be relied upon in connection with making any investment decision with respect to the securities offered by this prospectus.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193" w:lineRule="exact"/>
        <w:rPr>
          <w:sz w:val="20"/>
          <w:szCs w:val="20"/>
          <w:color w:val="auto"/>
        </w:rPr>
      </w:pPr>
    </w:p>
    <w:p>
      <w:pPr>
        <w:ind w:left="1260" w:hanging="280"/>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on February 8, 2018.</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Portions of our Definitive Proxy Statement on Schedule 14A filed on April 23, 2018 that are incorporated by reference into Part III of our Annual Report on Form 10-K for the fiscal year ended December 31, 2017, filed on February 8, 2018.</w:t>
      </w:r>
    </w:p>
    <w:p>
      <w:pPr>
        <w:spacing w:after="0" w:line="170" w:lineRule="exact"/>
        <w:rPr>
          <w:rFonts w:ascii="Arial" w:cs="Arial" w:eastAsia="Arial" w:hAnsi="Arial"/>
          <w:sz w:val="18"/>
          <w:szCs w:val="18"/>
          <w:color w:val="auto"/>
        </w:rPr>
      </w:pPr>
    </w:p>
    <w:p>
      <w:pPr>
        <w:ind w:left="1300" w:right="180" w:hanging="320"/>
        <w:spacing w:after="0" w:line="308"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Quarterly Reports on Form 10-Q for the quarterly period ended March 31, 2018, filed on May 3, 2018; for the quarterly period ended June 30, 2018, filed on August 2, 2018; and for the quarterly period ended September 30, 2018, filed on November 6, 2018.</w:t>
      </w:r>
    </w:p>
    <w:p>
      <w:pPr>
        <w:spacing w:after="0" w:line="146" w:lineRule="exact"/>
        <w:rPr>
          <w:rFonts w:ascii="Arial" w:cs="Arial" w:eastAsia="Arial" w:hAnsi="Arial"/>
          <w:sz w:val="17"/>
          <w:szCs w:val="17"/>
          <w:color w:val="auto"/>
        </w:rPr>
      </w:pPr>
    </w:p>
    <w:p>
      <w:pPr>
        <w:ind w:left="1300" w:right="32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Reports on Form 8-K filed on January 2, 2018; January 8, 2018 (solely as to Item 1.01 thereof); January 18, 2018; June 13, 2018; and October 12, 2018 (solely as to Item 8.01 thereof).</w:t>
      </w:r>
    </w:p>
    <w:p>
      <w:pPr>
        <w:spacing w:after="0" w:line="170" w:lineRule="exact"/>
        <w:rPr>
          <w:rFonts w:ascii="Arial" w:cs="Arial" w:eastAsia="Arial" w:hAnsi="Arial"/>
          <w:sz w:val="18"/>
          <w:szCs w:val="18"/>
          <w:color w:val="auto"/>
        </w:rPr>
      </w:pPr>
    </w:p>
    <w:p>
      <w:pPr>
        <w:ind w:left="1300" w:right="180" w:hanging="320"/>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set forth in a Registration Statement on Form 8-A, including any amendment or report filed for the purpose of updating such description (filing date October 15, 1996; Commission File No. 000-19034).</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580" w:hanging="428"/>
        <w:spacing w:after="0"/>
        <w:tabs>
          <w:tab w:leader="none" w:pos="5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847-7000</w:t>
      </w:r>
    </w:p>
    <w:p>
      <w:pPr>
        <w:spacing w:after="0" w:line="21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680" w:type="dxa"/>
            <w:vAlign w:val="bottom"/>
          </w:tcPr>
          <w:p>
            <w:pPr>
              <w:jc w:val="center"/>
              <w:ind w:left="90"/>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80" w:type="dxa"/>
            <w:vAlign w:val="bottom"/>
          </w:tcPr>
          <w:p>
            <w:pPr>
              <w:jc w:val="center"/>
              <w:ind w:left="90"/>
              <w:spacing w:after="0"/>
              <w:rPr>
                <w:sz w:val="20"/>
                <w:szCs w:val="20"/>
                <w:color w:val="auto"/>
              </w:rPr>
            </w:pPr>
            <w:r>
              <w:rPr>
                <w:rFonts w:ascii="Arial" w:cs="Arial" w:eastAsia="Arial" w:hAnsi="Arial"/>
                <w:sz w:val="18"/>
                <w:szCs w:val="18"/>
                <w:b w:val="1"/>
                <w:bCs w:val="1"/>
                <w:color w:val="auto"/>
              </w:rPr>
              <w:t>INFORMATION NOT REQUIRED IN PROSPECTUS</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3"/>
          </w:tcPr>
          <w:p>
            <w:pPr>
              <w:spacing w:after="0"/>
              <w:rPr>
                <w:sz w:val="20"/>
                <w:szCs w:val="20"/>
                <w:color w:val="auto"/>
              </w:rPr>
            </w:pPr>
            <w:r>
              <w:rPr>
                <w:rFonts w:ascii="Arial" w:cs="Arial" w:eastAsia="Arial" w:hAnsi="Arial"/>
                <w:sz w:val="18"/>
                <w:szCs w:val="18"/>
                <w:b w:val="1"/>
                <w:bCs w:val="1"/>
                <w:color w:val="auto"/>
              </w:rPr>
              <w:t>Item 14. Other Expenses of Issuance and Distribution.</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2"/>
          </w:tcPr>
          <w:p>
            <w:pPr>
              <w:ind w:left="640"/>
              <w:spacing w:after="0"/>
              <w:rPr>
                <w:sz w:val="20"/>
                <w:szCs w:val="20"/>
                <w:color w:val="auto"/>
              </w:rPr>
            </w:pPr>
            <w:r>
              <w:rPr>
                <w:rFonts w:ascii="Arial" w:cs="Arial" w:eastAsia="Arial" w:hAnsi="Arial"/>
                <w:sz w:val="18"/>
                <w:szCs w:val="18"/>
                <w:color w:val="auto"/>
              </w:rPr>
              <w:t>The expenses relating to the registration of the securities will be borne by the registrant.</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Trustees’ Fees and Expenses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Rating Agency Fees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Deferred in reliance on Rules 456(b) and 457(r) under the Securities Act.</w:t>
      </w:r>
    </w:p>
    <w:p>
      <w:pPr>
        <w:spacing w:after="0" w:line="23" w:lineRule="exact"/>
        <w:rPr>
          <w:sz w:val="20"/>
          <w:szCs w:val="20"/>
          <w:color w:val="auto"/>
        </w:rPr>
      </w:pPr>
    </w:p>
    <w:p>
      <w:pPr>
        <w:ind w:right="180" w:firstLine="8"/>
        <w:spacing w:after="0" w:line="261"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Since an indeterminate amount of securities is covered by this registration statement, the expenses in connection with the issuance and distribution of the securities are not currently determinable.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Article VII of 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Article IV of our Amended and Restated By-Laws provides that the directors and certain other personnel of our company shall be indemnified against expenses and certain other liabilities arising out of legal actions brought or threatened against them for their conduct on behalf of our company, subject to certain qualifications and provided that each such person acted in good faith and in a manner that they reasonably believed was in our best interest.</w:t>
      </w:r>
    </w:p>
    <w:p>
      <w:pPr>
        <w:spacing w:after="0" w:line="14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employment agreement with our President and Chief Executive Officer includes a provision indemnifying him to the fullest extent permitted by law in connection with his serving as an officer or director of the Company. Such indemnification is in addition to and not in lieu of other indemnification rights. We maintain directors’ and officers’ liability insurance which insures against liabilities that our directors or officers may incur in such capacities.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listed in the Index to Exhibits on page II-4 and are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(A)(1) To file, during any period in which offers or sales are being made, a post-effective amendment to this registration statement:</w:t>
      </w:r>
    </w:p>
    <w:p>
      <w:pPr>
        <w:spacing w:after="0" w:line="22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8"/>
        <w:spacing w:after="0" w:line="273" w:lineRule="auto"/>
        <w:tabs>
          <w:tab w:leader="none" w:pos="26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140" w:firstLine="8"/>
        <w:spacing w:after="0" w:line="277" w:lineRule="auto"/>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right="140" w:firstLine="8"/>
        <w:spacing w:after="0" w:line="342" w:lineRule="auto"/>
        <w:tabs>
          <w:tab w:leader="none" w:pos="2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23" w:lineRule="exact"/>
        <w:rPr>
          <w:rFonts w:ascii="Arial" w:cs="Arial" w:eastAsia="Arial" w:hAnsi="Arial"/>
          <w:sz w:val="16"/>
          <w:szCs w:val="16"/>
          <w:color w:val="auto"/>
        </w:rPr>
      </w:pPr>
    </w:p>
    <w:p>
      <w:pPr>
        <w:ind w:right="100" w:firstLine="8"/>
        <w:spacing w:after="0" w:line="277" w:lineRule="auto"/>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3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w:t>
      </w:r>
    </w:p>
    <w:p>
      <w:pPr>
        <w:spacing w:after="0" w:line="35"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0" w:lineRule="exact"/>
        <w:rPr>
          <w:sz w:val="20"/>
          <w:szCs w:val="20"/>
          <w:color w:val="auto"/>
        </w:rPr>
      </w:pPr>
    </w:p>
    <w:p>
      <w:pPr>
        <w:ind w:right="420" w:firstLine="8"/>
        <w:spacing w:after="0" w:line="277" w:lineRule="auto"/>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1" w:lineRule="exact"/>
        <w:rPr>
          <w:sz w:val="20"/>
          <w:szCs w:val="20"/>
          <w:color w:val="auto"/>
        </w:rPr>
      </w:pPr>
    </w:p>
    <w:p>
      <w:pPr>
        <w:ind w:left="860" w:hanging="204"/>
        <w:spacing w:after="0"/>
        <w:tabs>
          <w:tab w:leader="none" w:pos="8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60" w:right="840" w:hanging="4"/>
        <w:spacing w:after="0" w:line="277" w:lineRule="auto"/>
        <w:tabs>
          <w:tab w:leader="none" w:pos="9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60" w:right="200" w:hanging="4"/>
        <w:spacing w:after="0" w:line="277" w:lineRule="auto"/>
        <w:tabs>
          <w:tab w:leader="none" w:pos="97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302" w:lineRule="auto"/>
        <w:tabs>
          <w:tab w:leader="none" w:pos="282"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right="40" w:firstLine="8"/>
        <w:spacing w:after="0" w:line="272" w:lineRule="auto"/>
        <w:tabs>
          <w:tab w:leader="none" w:pos="2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60" w:type="dxa"/>
            <w:vAlign w:val="bottom"/>
            <w:gridSpan w:val="11"/>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5"/>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340" w:type="dxa"/>
            <w:vAlign w:val="bottom"/>
          </w:tcPr>
          <w:p>
            <w:pPr>
              <w:spacing w:after="0"/>
              <w:rPr>
                <w:sz w:val="24"/>
                <w:szCs w:val="24"/>
                <w:color w:val="auto"/>
              </w:rPr>
            </w:pPr>
          </w:p>
        </w:tc>
        <w:tc>
          <w:tcPr>
            <w:tcW w:w="9480" w:type="dxa"/>
            <w:vAlign w:val="bottom"/>
            <w:gridSpan w:val="13"/>
            <w:vMerge w:val="restart"/>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948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6"/>
                <w:szCs w:val="16"/>
                <w:color w:val="auto"/>
              </w:rPr>
            </w:pPr>
          </w:p>
        </w:tc>
        <w:tc>
          <w:tcPr>
            <w:tcW w:w="9480" w:type="dxa"/>
            <w:vAlign w:val="bottom"/>
            <w:gridSpan w:val="13"/>
          </w:tcPr>
          <w:p>
            <w:pPr>
              <w:spacing w:after="0" w:line="190"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Restated Certificate of Incorporation of Regeneron Pharmaceuticals, Inc., as amended (incorporated by reference to Exhibit 3.1 to</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the Form 10-Q for Regeneron Pharmaceuticals, Inc. for the quarter ended June 30, 2015, filed on August 4, 2015).</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9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By-Laws of Regeneron Pharmaceuticals, Inc. (incorporated by reference to Exhibit 3.2 to the Form 8-K for</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80" w:type="dxa"/>
            <w:vAlign w:val="bottom"/>
            <w:gridSpan w:val="13"/>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Regeneron Pharmaceuticals, Inc., filed on December 21, 2016.)</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9480" w:type="dxa"/>
            <w:vAlign w:val="bottom"/>
            <w:gridSpan w:val="1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Specimen Common Stock Certificate (incorporated by reference to Exhibit 4.16 to the Form S-3 for Regeneron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Pharmaceuticals, Inc., filed on February 9, 2005).</w:t>
              </w:r>
            </w:hyperlink>
          </w:p>
        </w:tc>
        <w:tc>
          <w:tcPr>
            <w:tcW w:w="4440" w:type="dxa"/>
            <w:vAlign w:val="bottom"/>
            <w:tcBorders>
              <w:top w:val="single" w:sz="8" w:color="0000EE"/>
            </w:tcBorders>
            <w:gridSpan w:val="5"/>
          </w:tcPr>
          <w:p>
            <w:pPr>
              <w:spacing w:after="0"/>
              <w:rPr>
                <w:sz w:val="17"/>
                <w:szCs w:val="17"/>
                <w:color w:val="auto"/>
              </w:rPr>
            </w:pPr>
          </w:p>
        </w:tc>
        <w:tc>
          <w:tcPr>
            <w:tcW w:w="14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9"/>
                <w:szCs w:val="19"/>
                <w:color w:val="auto"/>
              </w:rPr>
            </w:pPr>
          </w:p>
        </w:tc>
        <w:tc>
          <w:tcPr>
            <w:tcW w:w="9480" w:type="dxa"/>
            <w:vAlign w:val="bottom"/>
            <w:gridSpan w:val="13"/>
          </w:tcPr>
          <w:p>
            <w:pPr>
              <w:spacing w:after="0"/>
              <w:rPr>
                <w:sz w:val="20"/>
                <w:szCs w:val="20"/>
                <w:color w:val="auto"/>
              </w:rPr>
            </w:pPr>
            <w:r>
              <w:rPr>
                <w:rFonts w:ascii="Arial" w:cs="Arial" w:eastAsia="Arial" w:hAnsi="Arial"/>
                <w:sz w:val="18"/>
                <w:szCs w:val="18"/>
                <w:color w:val="auto"/>
                <w:w w:val="91"/>
              </w:rPr>
              <w:t>Specimen Preferred Stock Certificate and Form of Certificate of Designation, Preferences and Rights with respect to any series of</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13"/>
          </w:tcPr>
          <w:p>
            <w:pPr>
              <w:spacing w:after="0"/>
              <w:rPr>
                <w:sz w:val="20"/>
                <w:szCs w:val="20"/>
                <w:color w:val="auto"/>
              </w:rPr>
            </w:pPr>
            <w:r>
              <w:rPr>
                <w:rFonts w:ascii="Arial" w:cs="Arial" w:eastAsia="Arial" w:hAnsi="Arial"/>
                <w:sz w:val="18"/>
                <w:szCs w:val="18"/>
                <w:color w:val="auto"/>
              </w:rPr>
              <w:t>Preferred Stock issued hereunder.</w:t>
            </w:r>
          </w:p>
        </w:tc>
        <w:tc>
          <w:tcPr>
            <w:tcW w:w="0" w:type="dxa"/>
            <w:vAlign w:val="bottom"/>
          </w:tcPr>
          <w:p>
            <w:pPr>
              <w:spacing w:after="0"/>
              <w:rPr>
                <w:sz w:val="1"/>
                <w:szCs w:val="1"/>
                <w:color w:val="auto"/>
              </w:rPr>
            </w:pPr>
          </w:p>
        </w:tc>
      </w:tr>
      <w:tr>
        <w:trPr>
          <w:trHeight w:val="190"/>
        </w:trPr>
        <w:tc>
          <w:tcPr>
            <w:tcW w:w="1500" w:type="dxa"/>
            <w:vAlign w:val="bottom"/>
          </w:tcPr>
          <w:p>
            <w:pPr>
              <w:spacing w:after="0" w:line="190"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6"/>
                <w:szCs w:val="16"/>
                <w:color w:val="auto"/>
              </w:rPr>
            </w:pPr>
          </w:p>
        </w:tc>
        <w:tc>
          <w:tcPr>
            <w:tcW w:w="9480" w:type="dxa"/>
            <w:vAlign w:val="bottom"/>
            <w:gridSpan w:val="13"/>
          </w:tcPr>
          <w:p>
            <w:pPr>
              <w:spacing w:after="0" w:line="190" w:lineRule="exact"/>
              <w:rPr>
                <w:rFonts w:ascii="Arial" w:cs="Arial" w:eastAsia="Arial" w:hAnsi="Arial"/>
                <w:sz w:val="18"/>
                <w:szCs w:val="18"/>
                <w:color w:val="0000EE"/>
                <w:w w:val="98"/>
              </w:rPr>
            </w:pPr>
            <w:hyperlink r:id="rId52">
              <w:r>
                <w:rPr>
                  <w:rFonts w:ascii="Arial" w:cs="Arial" w:eastAsia="Arial" w:hAnsi="Arial"/>
                  <w:sz w:val="18"/>
                  <w:szCs w:val="18"/>
                  <w:color w:val="0000EE"/>
                  <w:w w:val="98"/>
                </w:rPr>
                <w:t>Form of Indenture (incorporated by reference to Exhibit 4.5 to the Form S-3 for Regeneron Pharmaceuticals, Inc., filed 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November 5, 2013).</w:t>
              </w:r>
            </w:hyperlink>
          </w:p>
        </w:tc>
        <w:tc>
          <w:tcPr>
            <w:tcW w:w="7340" w:type="dxa"/>
            <w:vAlign w:val="bottom"/>
            <w:tcBorders>
              <w:top w:val="single" w:sz="8" w:color="0000EE"/>
            </w:tcBorders>
            <w:gridSpan w:val="9"/>
          </w:tcPr>
          <w:p>
            <w:pPr>
              <w:spacing w:after="0"/>
              <w:rPr>
                <w:sz w:val="17"/>
                <w:szCs w:val="17"/>
                <w:color w:val="auto"/>
              </w:rPr>
            </w:pPr>
          </w:p>
        </w:tc>
        <w:tc>
          <w:tcPr>
            <w:tcW w:w="6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9480" w:type="dxa"/>
            <w:vAlign w:val="bottom"/>
            <w:gridSpan w:val="13"/>
          </w:tcPr>
          <w:p>
            <w:pPr>
              <w:spacing w:after="0"/>
              <w:rPr>
                <w:sz w:val="20"/>
                <w:szCs w:val="20"/>
                <w:color w:val="auto"/>
              </w:rPr>
            </w:pPr>
            <w:r>
              <w:rPr>
                <w:rFonts w:ascii="Arial" w:cs="Arial" w:eastAsia="Arial" w:hAnsi="Arial"/>
                <w:sz w:val="18"/>
                <w:szCs w:val="18"/>
                <w:color w:val="auto"/>
              </w:rPr>
              <w:t>Form of any Debt Security.</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9480" w:type="dxa"/>
            <w:vAlign w:val="bottom"/>
            <w:gridSpan w:val="13"/>
          </w:tcPr>
          <w:p>
            <w:pPr>
              <w:spacing w:after="0"/>
              <w:rPr>
                <w:sz w:val="20"/>
                <w:szCs w:val="20"/>
                <w:color w:val="auto"/>
              </w:rPr>
            </w:pPr>
            <w:r>
              <w:rPr>
                <w:rFonts w:ascii="Arial" w:cs="Arial" w:eastAsia="Arial" w:hAnsi="Arial"/>
                <w:sz w:val="18"/>
                <w:szCs w:val="18"/>
                <w:color w:val="auto"/>
              </w:rPr>
              <w:t>Form of Warrant Agreement (including form of Warrant Certificate).</w:t>
            </w:r>
          </w:p>
        </w:tc>
        <w:tc>
          <w:tcPr>
            <w:tcW w:w="0" w:type="dxa"/>
            <w:vAlign w:val="bottom"/>
          </w:tcPr>
          <w:p>
            <w:pPr>
              <w:spacing w:after="0"/>
              <w:rPr>
                <w:sz w:val="1"/>
                <w:szCs w:val="1"/>
                <w:color w:val="auto"/>
              </w:rPr>
            </w:pPr>
          </w:p>
        </w:tc>
      </w:tr>
      <w:tr>
        <w:trPr>
          <w:trHeight w:val="190"/>
        </w:trPr>
        <w:tc>
          <w:tcPr>
            <w:tcW w:w="1500" w:type="dxa"/>
            <w:vAlign w:val="bottom"/>
          </w:tcPr>
          <w:p>
            <w:pPr>
              <w:spacing w:after="0" w:line="190"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6"/>
                <w:szCs w:val="16"/>
                <w:color w:val="auto"/>
              </w:rPr>
            </w:pPr>
          </w:p>
        </w:tc>
        <w:tc>
          <w:tcPr>
            <w:tcW w:w="4080" w:type="dxa"/>
            <w:vAlign w:val="bottom"/>
            <w:tcBorders>
              <w:bottom w:val="single" w:sz="8" w:color="0000EE"/>
            </w:tcBorders>
            <w:gridSpan w:val="5"/>
          </w:tcPr>
          <w:p>
            <w:pPr>
              <w:spacing w:after="0" w:line="190"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Opinion of Skadden, Arps, Slate, Meagher &amp; Flom LLP.</w:t>
              </w:r>
            </w:hyperlink>
          </w:p>
        </w:tc>
        <w:tc>
          <w:tcPr>
            <w:tcW w:w="54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30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Consent of PricewaterhouseCoopers LLP.</w:t>
              </w:r>
            </w:hyperlink>
          </w:p>
        </w:tc>
        <w:tc>
          <w:tcPr>
            <w:tcW w:w="6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340" w:type="dxa"/>
            <w:vAlign w:val="bottom"/>
          </w:tcPr>
          <w:p>
            <w:pPr>
              <w:spacing w:after="0"/>
              <w:rPr>
                <w:sz w:val="17"/>
                <w:szCs w:val="17"/>
                <w:color w:val="auto"/>
              </w:rPr>
            </w:pPr>
          </w:p>
        </w:tc>
        <w:tc>
          <w:tcPr>
            <w:tcW w:w="9480" w:type="dxa"/>
            <w:vAlign w:val="bottom"/>
            <w:gridSpan w:val="13"/>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Consent of Skadden, Arps, Slate, Meagher &amp; Flom LLP (included in Exhibit 5.1).</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340" w:type="dxa"/>
            <w:vAlign w:val="bottom"/>
          </w:tcPr>
          <w:p>
            <w:pPr>
              <w:spacing w:after="0"/>
              <w:rPr>
                <w:sz w:val="17"/>
                <w:szCs w:val="17"/>
                <w:color w:val="auto"/>
              </w:rPr>
            </w:pPr>
          </w:p>
        </w:tc>
        <w:tc>
          <w:tcPr>
            <w:tcW w:w="5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Power of Attorney (included on signature page hereto).</w:t>
              </w:r>
            </w:hyperlink>
          </w:p>
        </w:tc>
        <w:tc>
          <w:tcPr>
            <w:tcW w:w="3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25.1</w:t>
            </w:r>
          </w:p>
        </w:tc>
        <w:tc>
          <w:tcPr>
            <w:tcW w:w="340" w:type="dxa"/>
            <w:vAlign w:val="bottom"/>
          </w:tcPr>
          <w:p>
            <w:pPr>
              <w:spacing w:after="0"/>
              <w:rPr>
                <w:sz w:val="17"/>
                <w:szCs w:val="17"/>
                <w:color w:val="auto"/>
              </w:rPr>
            </w:pPr>
          </w:p>
        </w:tc>
        <w:tc>
          <w:tcPr>
            <w:tcW w:w="94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Form T-1 Statement of Eligibility under the Trust Indenture Act of 1939, as amended, of U.S. Bank National Association, as trustee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under the Indenture.</w:t>
              </w:r>
            </w:hyperlink>
          </w:p>
        </w:tc>
        <w:tc>
          <w:tcPr>
            <w:tcW w:w="8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be filed by amendment or as an exhibit to a document to be incorporated by reference herein in connection with an offering of the offered securities.</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Town of Greenburgh, State of New York, on the 13th day of November, 2018.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E. Landry</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Robert E. Landry</w:t>
            </w:r>
          </w:p>
        </w:tc>
      </w:tr>
      <w:tr>
        <w:trPr>
          <w:trHeight w:val="216"/>
        </w:trPr>
        <w:tc>
          <w:tcPr>
            <w:tcW w:w="5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accordance with the requirements of the Securities Act of 1933, as amended, this Registration Statement has been signed by the following persons in the capacities and on the dates stated. Each person whose signature appears below constitutes and appoints each of Robert E. Landry, Christopher Fenimore,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on Form S-3, and to any registration statement filed under SEC Rule 462, and to file the same, with all exhibits thereto, and all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4"/>
                <w:szCs w:val="14"/>
                <w:color w:val="auto"/>
              </w:rPr>
            </w:pPr>
          </w:p>
        </w:tc>
        <w:tc>
          <w:tcPr>
            <w:tcW w:w="438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 (Principal</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ind w:left="60"/>
              <w:spacing w:after="0"/>
              <w:rPr>
                <w:sz w:val="20"/>
                <w:szCs w:val="20"/>
                <w:color w:val="auto"/>
              </w:rPr>
            </w:pPr>
            <w:r>
              <w:rPr>
                <w:rFonts w:ascii="Arial" w:cs="Arial" w:eastAsia="Arial" w:hAnsi="Arial"/>
                <w:sz w:val="18"/>
                <w:szCs w:val="18"/>
                <w:color w:val="auto"/>
              </w:rPr>
              <w:t>Leonard S. Schleifer, M.D., Ph.D.</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Executive Officer)</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Landry</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w w:val="98"/>
              </w:rPr>
              <w:t>Senior Vice President, Finance and Chief Financial Officer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E. Landry</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Fenimore</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Vice President, Controller (Principal Accounting Officer)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Christopher Fenimore</w:t>
            </w:r>
          </w:p>
        </w:tc>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 Yancopoulos</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President, Chief Scientific Officer, and 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 Roy Vagelos</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Chairman of the Board</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P. Roy Vagelos, M.D.</w:t>
            </w:r>
          </w:p>
        </w:tc>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Bonnie L. Bassler</w:t>
            </w:r>
          </w:p>
        </w:tc>
        <w:tc>
          <w:tcPr>
            <w:tcW w:w="490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Bonnie L. Bassler, Ph.D.</w:t>
            </w:r>
          </w:p>
        </w:tc>
        <w:tc>
          <w:tcPr>
            <w:tcW w:w="3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gridSpan w:val="2"/>
          </w:tcPr>
          <w:p>
            <w:pPr>
              <w:ind w:left="700"/>
              <w:spacing w:after="0"/>
              <w:rPr>
                <w:sz w:val="20"/>
                <w:szCs w:val="20"/>
                <w:color w:val="auto"/>
              </w:rPr>
            </w:pPr>
            <w:r>
              <w:rPr>
                <w:rFonts w:ascii="Arial" w:cs="Arial" w:eastAsia="Arial" w:hAnsi="Arial"/>
                <w:sz w:val="18"/>
                <w:szCs w:val="18"/>
                <w:color w:val="auto"/>
              </w:rPr>
              <w:t>II-5</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5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94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426"/>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Brown</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Michael S. Brown, M.D.</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 Anthony Coles</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N. Anthony Coles, M.D.</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Goldstein</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Joseph L. Goldstein, M.D.</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A. Poon</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Christine A. Poon</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F. Ryan</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Arthur F. Ryan</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L. Sing</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George L. Sing</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Tessier-Lavigne</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Marc Tessier-Lavigne, Ph.D.</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Huda Y. Zoghbi</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November 13, 2018</w:t>
            </w:r>
          </w:p>
        </w:tc>
        <w:tc>
          <w:tcPr>
            <w:tcW w:w="40" w:type="dxa"/>
            <w:vAlign w:val="bottom"/>
          </w:tcPr>
          <w:p>
            <w:pPr>
              <w:spacing w:after="0"/>
              <w:rPr>
                <w:sz w:val="24"/>
                <w:szCs w:val="24"/>
                <w:color w:val="auto"/>
              </w:rPr>
            </w:pPr>
          </w:p>
        </w:tc>
      </w:tr>
      <w:tr>
        <w:trPr>
          <w:trHeight w:val="224"/>
        </w:trPr>
        <w:tc>
          <w:tcPr>
            <w:tcW w:w="5060" w:type="dxa"/>
            <w:vAlign w:val="bottom"/>
          </w:tcPr>
          <w:p>
            <w:pPr>
              <w:spacing w:after="0"/>
              <w:rPr>
                <w:sz w:val="20"/>
                <w:szCs w:val="20"/>
                <w:color w:val="auto"/>
              </w:rPr>
            </w:pPr>
            <w:r>
              <w:rPr>
                <w:rFonts w:ascii="Arial" w:cs="Arial" w:eastAsia="Arial" w:hAnsi="Arial"/>
                <w:sz w:val="18"/>
                <w:szCs w:val="18"/>
                <w:color w:val="auto"/>
              </w:rPr>
              <w:t>Huda Y. Zoghbi, M.D.</w:t>
            </w:r>
          </w:p>
        </w:tc>
        <w:tc>
          <w:tcPr>
            <w:tcW w:w="2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gridSpan w:val="2"/>
          </w:tcPr>
          <w:p>
            <w:pPr>
              <w:ind w:left="280"/>
              <w:spacing w:after="0"/>
              <w:rPr>
                <w:sz w:val="20"/>
                <w:szCs w:val="20"/>
                <w:color w:val="auto"/>
              </w:rPr>
            </w:pPr>
            <w:r>
              <w:rPr>
                <w:rFonts w:ascii="Arial" w:cs="Arial" w:eastAsia="Arial" w:hAnsi="Arial"/>
                <w:sz w:val="18"/>
                <w:szCs w:val="18"/>
                <w:color w:val="auto"/>
              </w:rPr>
              <w:t>II-6</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November 13,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Re:</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96"/>
              </w:rPr>
              <w:t>Regeneron Pharmaceuticals, Inc.</w:t>
            </w:r>
          </w:p>
        </w:tc>
      </w:tr>
      <w:tr>
        <w:trPr>
          <w:trHeight w:val="190"/>
        </w:trPr>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Registration Statement on Form S-3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We have acted as special counsel to Regeneron Pharmaceuticals, Inc., a New York corporation (the “Company”), in connection with the registration statement on Form S-3 (the “Registration Statement”) to be filed on the date hereof by the Company with the Securities and Exchange Commission (the “Commission”) under the Securities Act of 1933, as amended (the “Securities Act”). The Registration Statement relates to the issuance and sale by the Company from time to time, pursuant to Rule 415 of the General Rules and Regulations of the Commission promulgated under the Securities Act (the “Rules and Regulations”), of (i) shares of common stock, par value $0.001 per share, of the Company (“Common Stock”), (ii) shares of preferred stock, par value $0.01 per share, of the Company (“Preferred Stock”), which may be issued in one or more series, (iii) debt securities of the Company (“Debt Securities”), which may be issued in one or more series under an indenture (the “Indenture”) proposed to be entered into between the Company and U.S. Bank National Association, as trustee, the form of which is filed as an exhibit to the Registration Statement, (iv) warrants to purchase shares of Common Stock, shares of Preferred Stock or Debt Securities (“Warrants”), which may be issued pursuant to one or more warrant agreements (each, a “Warrant Agreement”) proposed to be entered into by the Company and one or more warrant agents to be named therein and (v) such indeterminate number of shares of Common Stock or Preferred Stock and indeterminate amount of Debt Securities as may be issued upon conversion, exchange or exercise, as applicable, of any Preferred Stock, Debt Securities or Warrants, including such shares of Common Stock or Preferred Stock as may be issued pursuant to anti-dilution adjustments determined at the time of offering (collectively, “Indeterminate Securities”). The Common Stock, Preferred Stock, Indeterminate Securities, Debt Securities and Warrants offered pursuant to the Registration Statement are collectively referred to herein as the “Securities.”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opinion is being furnished in accordance with the requirements of Item 601(b)(5) of Regulation S-K under the Securities Act.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rendering the opinions stated herein, we have examined and relied upon the following:</w:t>
      </w:r>
    </w:p>
    <w:p>
      <w:pPr>
        <w:spacing w:after="0" w:line="225" w:lineRule="exact"/>
        <w:rPr>
          <w:sz w:val="20"/>
          <w:szCs w:val="20"/>
          <w:color w:val="auto"/>
        </w:rPr>
      </w:pPr>
    </w:p>
    <w:p>
      <w:pPr>
        <w:ind w:left="1940" w:hanging="635"/>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Indenture filed as an exhibit to the Registration Statement;</w:t>
      </w:r>
    </w:p>
    <w:p>
      <w:pPr>
        <w:spacing w:after="0" w:line="225" w:lineRule="exact"/>
        <w:rPr>
          <w:rFonts w:ascii="Arial" w:cs="Arial" w:eastAsia="Arial" w:hAnsi="Arial"/>
          <w:sz w:val="18"/>
          <w:szCs w:val="18"/>
          <w:color w:val="auto"/>
        </w:rPr>
      </w:pPr>
    </w:p>
    <w:p>
      <w:pPr>
        <w:ind w:right="340" w:firstLine="1305"/>
        <w:spacing w:after="0" w:line="27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executed copy of a certificate of Joseph J. LaRosa, Senior Vice President, General Counsel and Secretary of the Company, dated the date hereof (the “Secretary’s Certificate”);</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copy of the Company’s Certificate of Incorporation, as amended and in effect as of the date hereof, certified by the Department of State of the State of New York as of November 7, 2018, and certified pursuant to the Secretary’s Certificate;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copy of the Company’s By-Laws, as amended and in effect as of the date hereof and certified pursuant to the Secretary’s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Certificate; and</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November 9, 2018, certified pursuant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Secretary’s Certificate.</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81"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In our examination, we have assumed the genuineness of all signatures,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factual representations and warranties contained in the Secretary’s Certificate.</w:t>
      </w:r>
    </w:p>
    <w:p>
      <w:pPr>
        <w:spacing w:after="0" w:line="173"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laws of the State of New York, including the Business Corporation Law of the State of New York (“NYBCL”) (collectively, “Opined-on Law”).</w:t>
      </w:r>
    </w:p>
    <w:p>
      <w:pPr>
        <w:spacing w:after="0" w:line="170" w:lineRule="exact"/>
        <w:rPr>
          <w:sz w:val="20"/>
          <w:szCs w:val="20"/>
          <w:color w:val="auto"/>
        </w:rPr>
      </w:pPr>
    </w:p>
    <w:p>
      <w:pPr>
        <w:ind w:right="800" w:firstLine="1297"/>
        <w:spacing w:after="0" w:line="342" w:lineRule="auto"/>
        <w:rPr>
          <w:sz w:val="20"/>
          <w:szCs w:val="20"/>
          <w:color w:val="auto"/>
        </w:rPr>
      </w:pPr>
      <w:r>
        <w:rPr>
          <w:rFonts w:ascii="Arial" w:cs="Arial" w:eastAsia="Arial" w:hAnsi="Arial"/>
          <w:sz w:val="16"/>
          <w:szCs w:val="16"/>
          <w:color w:val="auto"/>
        </w:rPr>
        <w:t>As used herein, “Transaction Documents” means the Indenture and the supplemental indentures thereto and officer’s certificates establishing the terms of the Debt Securities pursuant thereto, any Warrant Agreement and any applicable underwriting or purchase agreement.</w:t>
      </w:r>
    </w:p>
    <w:p>
      <w:pPr>
        <w:spacing w:after="0" w:line="124"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The opinions stated in paragraphs 1 through 4 below presume that all of the following (collectively, the “general conditions”) shall have occurred prior to the issuance of the Securities referred to therein: (i) the Registration Statement, as finally amended (including all necessary post-effective amendments), has become effective under the Securities Act; (ii) an appropriate prospectus supplement or term sheet with respect to such Securities has been prepared, delivered and filed in compliance with the Securities Act and the applicable Rules and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Regulations; (iii) the applicable Transaction Documents shall have been duly authorized, executed and delivered by the Company and the other parties thereto, including, if such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Securities and related matters and appropriate officers of the Company shall have taken all related action as directed by or under the direction of the Board of Directors of the Company; and (v) the terms of the applicable Transaction Documents and the issuance and sale of such Securities have been duly established in conformity with the certificate of incorporation of the Company so as not to violate any applicable law, the certificate of incorporation of the Company or the by-laws of the Company, or result in a default under or breach of any agreement or instrument binding upon the Company, and so as to comply with any requirement or restriction imposed by any court or governmental body having jurisdiction over the Company.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w:t>
      </w:r>
    </w:p>
    <w:p>
      <w:pPr>
        <w:spacing w:after="0" w:line="225" w:lineRule="exact"/>
        <w:rPr>
          <w:sz w:val="20"/>
          <w:szCs w:val="20"/>
          <w:color w:val="auto"/>
        </w:rPr>
      </w:pPr>
    </w:p>
    <w:p>
      <w:pPr>
        <w:ind w:right="220" w:firstLine="1305"/>
        <w:spacing w:after="0" w:line="288" w:lineRule="auto"/>
        <w:tabs>
          <w:tab w:leader="none" w:pos="1945" w:val="left"/>
        </w:tabs>
        <w:numPr>
          <w:ilvl w:val="1"/>
          <w:numId w:val="35"/>
        </w:numPr>
        <w:rPr>
          <w:rFonts w:ascii="Arial" w:cs="Arial" w:eastAsia="Arial" w:hAnsi="Arial"/>
          <w:sz w:val="16"/>
          <w:szCs w:val="16"/>
          <w:color w:val="auto"/>
        </w:rPr>
      </w:pPr>
      <w:r>
        <w:rPr>
          <w:rFonts w:ascii="Arial" w:cs="Arial" w:eastAsia="Arial" w:hAnsi="Arial"/>
          <w:sz w:val="16"/>
          <w:szCs w:val="16"/>
          <w:color w:val="auto"/>
        </w:rPr>
        <w:t>With respect to any shares of Common Stock offered by the Company, including any Indeterminate Securities constituting Common Stock (the “Offered Common Stock”), when (a) the general conditions shall have been satisfied, (b) if the Offered Common Stock is to be certificated, certificates in the form required under the NYBCL representing the shares of Offered Common Stock are duly executed and countersigned and</w:t>
      </w:r>
    </w:p>
    <w:p>
      <w:pPr>
        <w:ind w:right="100" w:firstLine="8"/>
        <w:spacing w:after="0" w:line="254"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shares of Offered Common Stock are registered in the Company’s share registry and delivered upon payment of the agreed-upon consideration therefor, the shares of Offered Common Stock, when issued and sold or otherwise distributed in accordance with the provisions of the applicable Transaction Document, will be duly authorized by all requisite corporate action on the part of the Company under the NYBCL and validly issued, fully paid and nonassessable, provided that the consideration therefor is not less than $0.001 per share of Common Stock.</w:t>
      </w:r>
    </w:p>
    <w:p>
      <w:pPr>
        <w:spacing w:after="0" w:line="189" w:lineRule="exact"/>
        <w:rPr>
          <w:rFonts w:ascii="Arial" w:cs="Arial" w:eastAsia="Arial" w:hAnsi="Arial"/>
          <w:sz w:val="18"/>
          <w:szCs w:val="18"/>
          <w:color w:val="auto"/>
        </w:rPr>
      </w:pPr>
    </w:p>
    <w:p>
      <w:pPr>
        <w:ind w:right="220" w:firstLine="1305"/>
        <w:spacing w:after="0" w:line="289" w:lineRule="auto"/>
        <w:tabs>
          <w:tab w:leader="none" w:pos="19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With respect to the shares of any series of Preferred Stock offered by the Company, including any Indeterminate Securities constituting Preferred Stock of such series (the “Offered Preferred Stock”), when (a) the general conditions shall have been satisfied, (b) the Board of Directors of the Company, or a duly authorized committee thereof, has duly adopted a Certificate of Amendment to the Company’s certificate of incorporation for the Offered Preferred Stock in accordance with the NYBCL (the “Certificate of Amendment”), (c) the filing of the Certificate of Amendment with the Department of State of the State of New York has duly occurred, (d) if the Offered Preferred Stock is to be certificated, certificates in the form required under the NYBCL representing the shares of Offered Preferred Stock are duly executed and countersigned and (e) the shares of Offered Preferred Stock are registered in the Company’s share registry and delivered upon payment of the agreed-upon consideration therefor, the shares of Offered Preferred Stock, when issued and sold or otherwise distributed in accordance with the provisions of the applicable Transaction Documents, will be duly authorized by all requisite corporate action on the part of the Company under the NYBCL and validly issued, fully paid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nonassessable, provided that the consideration therefor is not less than $0.01 per share of Preferred Stock.</w:t>
      </w:r>
    </w:p>
    <w:p>
      <w:pPr>
        <w:spacing w:after="0" w:line="225" w:lineRule="exact"/>
        <w:rPr>
          <w:sz w:val="20"/>
          <w:szCs w:val="20"/>
          <w:color w:val="auto"/>
        </w:rPr>
      </w:pPr>
    </w:p>
    <w:p>
      <w:pPr>
        <w:ind w:firstLine="1305"/>
        <w:spacing w:after="0" w:line="271" w:lineRule="auto"/>
        <w:tabs>
          <w:tab w:leader="none" w:pos="19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 respect to any series of Debt Securities offered by the Company, including any Indeterminate Securities constituting Debt Securities of such series (the “Offered Debt Securities”), when (a) the general conditions shall have been satisfied, (b) the issuance, sale and terms of the Offered Debt Securities and related matters have been approved and established in conformity with the applicable Transaction Documents and (c)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terms under the laws of the State of New York.</w:t>
      </w:r>
    </w:p>
    <w:p>
      <w:pPr>
        <w:spacing w:after="0" w:line="178" w:lineRule="exact"/>
        <w:rPr>
          <w:rFonts w:ascii="Arial" w:cs="Arial" w:eastAsia="Arial" w:hAnsi="Arial"/>
          <w:sz w:val="17"/>
          <w:szCs w:val="17"/>
          <w:color w:val="auto"/>
        </w:rPr>
      </w:pPr>
    </w:p>
    <w:p>
      <w:pPr>
        <w:ind w:right="40" w:firstLine="1305"/>
        <w:spacing w:after="0" w:line="293" w:lineRule="auto"/>
        <w:tabs>
          <w:tab w:leader="none" w:pos="19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any Warrants offered by the Company (the “Offered Warrants”), when (a) the general conditions shall have been satisfied, (b) the Common Stock, Preferred Stock and/or Debt Securities for which the Offered Warrants are exercisable have been duly authorized for issuance by the Company and (c) certificates evidencing the Offered Warrants have been duly executed, delivered and countersigned in accordance with the provisions of the applicable Warrant Agreement, the Offered Warrants, when issued and sold or otherwise distributed in accordance with the provisions of the applicable Transaction Documents upon payment of the agreed-upon consideration therefor, will constitute valid and binding obligations of the Company, enforceable against the Company in accordance with their respective terms under the laws of the State of New York.</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opinions stated herein are subject to the following qualifications:</w:t>
      </w:r>
    </w:p>
    <w:p>
      <w:pPr>
        <w:spacing w:after="0" w:line="225" w:lineRule="exact"/>
        <w:rPr>
          <w:sz w:val="20"/>
          <w:szCs w:val="20"/>
          <w:color w:val="auto"/>
        </w:rPr>
      </w:pPr>
    </w:p>
    <w:p>
      <w:pPr>
        <w:ind w:right="380" w:firstLine="1305"/>
        <w:spacing w:after="0" w:line="264" w:lineRule="auto"/>
        <w:tabs>
          <w:tab w:leader="none" w:pos="19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opinions stated herein are limited by applicable bankruptcy, insolvency, reorganization, moratorium, fraudulent transfer, preference and other similar laws affecting creditors’ rights generally, and by general principles of equity (regardless of whether enforcement is sought in equity or at law);</w:t>
      </w:r>
    </w:p>
    <w:p>
      <w:pPr>
        <w:spacing w:after="0" w:line="181" w:lineRule="exact"/>
        <w:rPr>
          <w:rFonts w:ascii="Arial" w:cs="Arial" w:eastAsia="Arial" w:hAnsi="Arial"/>
          <w:sz w:val="18"/>
          <w:szCs w:val="18"/>
          <w:color w:val="auto"/>
        </w:rPr>
      </w:pPr>
    </w:p>
    <w:p>
      <w:pPr>
        <w:ind w:right="140" w:firstLine="1305"/>
        <w:spacing w:after="0" w:line="264" w:lineRule="auto"/>
        <w:tabs>
          <w:tab w:leader="none" w:pos="19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81" w:lineRule="exact"/>
        <w:rPr>
          <w:rFonts w:ascii="Arial" w:cs="Arial" w:eastAsia="Arial" w:hAnsi="Arial"/>
          <w:sz w:val="18"/>
          <w:szCs w:val="18"/>
          <w:color w:val="auto"/>
        </w:rPr>
      </w:pPr>
    </w:p>
    <w:p>
      <w:pPr>
        <w:ind w:right="260" w:firstLine="1305"/>
        <w:spacing w:after="0" w:line="342" w:lineRule="auto"/>
        <w:tabs>
          <w:tab w:leader="none" w:pos="19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both"/>
        <w:ind w:left="-40" w:right="280" w:firstLine="1305"/>
        <w:spacing w:after="0" w:line="259" w:lineRule="auto"/>
        <w:tabs>
          <w:tab w:leader="none" w:pos="19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however expressed, (i) limiting reliance on statements by a party, (ii) exculpating a party from liability, (iii) disclaiming, limiting, or extending a party’s liability, (iv) waiving, limiting, or excluding remedies, (v) providing for indemnification or contribution, or (vi) waiving, lengthening or shortening the period during which claims otherwise could be made under the applicable statute of limitations</w:t>
      </w:r>
    </w:p>
    <w:p>
      <w:pPr>
        <w:spacing w:after="0" w:line="186" w:lineRule="exact"/>
        <w:rPr>
          <w:rFonts w:ascii="Arial" w:cs="Arial" w:eastAsia="Arial" w:hAnsi="Arial"/>
          <w:sz w:val="18"/>
          <w:szCs w:val="18"/>
          <w:color w:val="auto"/>
        </w:rPr>
      </w:pPr>
    </w:p>
    <w:p>
      <w:pPr>
        <w:ind w:left="-40" w:right="120" w:firstLine="1305"/>
        <w:spacing w:after="0" w:line="277" w:lineRule="auto"/>
        <w:tabs>
          <w:tab w:leader="none" w:pos="19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of any Transaction Document to the extent that such section purports to bind the Company to the exclusive jurisdiction of any particular federal court or courts;</w:t>
      </w:r>
    </w:p>
    <w:p>
      <w:pPr>
        <w:spacing w:after="0" w:line="170" w:lineRule="exact"/>
        <w:rPr>
          <w:rFonts w:ascii="Arial" w:cs="Arial" w:eastAsia="Arial" w:hAnsi="Arial"/>
          <w:sz w:val="18"/>
          <w:szCs w:val="18"/>
          <w:color w:val="auto"/>
        </w:rPr>
      </w:pPr>
    </w:p>
    <w:p>
      <w:pPr>
        <w:ind w:left="-40" w:right="20" w:firstLine="1305"/>
        <w:spacing w:after="0" w:line="259" w:lineRule="auto"/>
        <w:tabs>
          <w:tab w:leader="none" w:pos="197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86" w:lineRule="exact"/>
        <w:rPr>
          <w:rFonts w:ascii="Arial" w:cs="Arial" w:eastAsia="Arial" w:hAnsi="Arial"/>
          <w:sz w:val="18"/>
          <w:szCs w:val="18"/>
          <w:color w:val="auto"/>
        </w:rPr>
      </w:pPr>
    </w:p>
    <w:p>
      <w:pPr>
        <w:ind w:left="-40" w:right="460" w:firstLine="1305"/>
        <w:spacing w:after="0" w:line="264" w:lineRule="auto"/>
        <w:tabs>
          <w:tab w:leader="none" w:pos="19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81" w:lineRule="exact"/>
        <w:rPr>
          <w:rFonts w:ascii="Arial" w:cs="Arial" w:eastAsia="Arial" w:hAnsi="Arial"/>
          <w:sz w:val="18"/>
          <w:szCs w:val="18"/>
          <w:color w:val="auto"/>
        </w:rPr>
      </w:pPr>
    </w:p>
    <w:p>
      <w:pPr>
        <w:ind w:left="-40" w:firstLine="1305"/>
        <w:spacing w:after="0" w:line="264" w:lineRule="auto"/>
        <w:tabs>
          <w:tab w:leader="none" w:pos="19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assumed that the choice of a currency other than U.S. dollars as the currency in which any Securities may be denominated does not contravene any exchange control or other laws of the jurisdiction of any such currency, and further we call to your attention that a court may not award a judgment in any currency other than U.S. dollars;</w:t>
      </w:r>
    </w:p>
    <w:p>
      <w:pPr>
        <w:spacing w:after="0" w:line="181" w:lineRule="exact"/>
        <w:rPr>
          <w:rFonts w:ascii="Arial" w:cs="Arial" w:eastAsia="Arial" w:hAnsi="Arial"/>
          <w:sz w:val="18"/>
          <w:szCs w:val="18"/>
          <w:color w:val="auto"/>
        </w:rPr>
      </w:pPr>
    </w:p>
    <w:p>
      <w:pPr>
        <w:ind w:left="-40" w:right="20" w:firstLine="1305"/>
        <w:spacing w:after="0" w:line="277" w:lineRule="auto"/>
        <w:tabs>
          <w:tab w:leader="none" w:pos="19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assumed that the laws of the State of New York will be chosen to govern any Warrant Agreements and that such choice is and will be a valid and legal provision;</w:t>
      </w:r>
    </w:p>
    <w:p>
      <w:pPr>
        <w:spacing w:after="0" w:line="170" w:lineRule="exact"/>
        <w:rPr>
          <w:rFonts w:ascii="Arial" w:cs="Arial" w:eastAsia="Arial" w:hAnsi="Arial"/>
          <w:sz w:val="18"/>
          <w:szCs w:val="18"/>
          <w:color w:val="auto"/>
        </w:rPr>
      </w:pPr>
    </w:p>
    <w:p>
      <w:pPr>
        <w:ind w:left="-40" w:right="20" w:firstLine="1305"/>
        <w:spacing w:after="0" w:line="264" w:lineRule="auto"/>
        <w:tabs>
          <w:tab w:leader="none" w:pos="19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assumed that the Indenture will be duly authorized, executed and delivered by the trustee in substantially the form reviewed by us, and that any Debt Securities and Warrants that may be issued will be manually authenticated, signed or countersigned, as the case may be, by duly authorized officers of any trustee and warrant agent, as the case may be;</w:t>
      </w:r>
    </w:p>
    <w:p>
      <w:pPr>
        <w:spacing w:after="0" w:line="181" w:lineRule="exact"/>
        <w:rPr>
          <w:rFonts w:ascii="Arial" w:cs="Arial" w:eastAsia="Arial" w:hAnsi="Arial"/>
          <w:sz w:val="18"/>
          <w:szCs w:val="18"/>
          <w:color w:val="auto"/>
        </w:rPr>
      </w:pPr>
    </w:p>
    <w:p>
      <w:pPr>
        <w:ind w:left="-40" w:firstLine="1305"/>
        <w:spacing w:after="0" w:line="286" w:lineRule="auto"/>
        <w:tabs>
          <w:tab w:leader="none" w:pos="19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that any opinion relates to the enforceability of the choice of New York law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 and</w:t>
      </w:r>
    </w:p>
    <w:p>
      <w:pPr>
        <w:spacing w:after="0" w:line="165" w:lineRule="exact"/>
        <w:rPr>
          <w:rFonts w:ascii="Arial" w:cs="Arial" w:eastAsia="Arial" w:hAnsi="Arial"/>
          <w:sz w:val="17"/>
          <w:szCs w:val="17"/>
          <w:color w:val="auto"/>
        </w:rPr>
      </w:pPr>
    </w:p>
    <w:p>
      <w:pPr>
        <w:ind w:left="-40" w:right="120" w:firstLine="1305"/>
        <w:spacing w:after="0" w:line="277" w:lineRule="auto"/>
        <w:tabs>
          <w:tab w:leader="none" w:pos="19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rendering the opinions set forth in paragraphs 1 and 2, we draw your attention to Section 630 of the NYBCL. Section 630 may impose liability for unpaid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36" w:name="page37"/>
    <w:bookmarkEnd w:id="36"/>
    <w:p>
      <w:pPr>
        <w:ind w:right="60"/>
        <w:spacing w:after="0" w:line="257" w:lineRule="auto"/>
        <w:rPr>
          <w:sz w:val="20"/>
          <w:szCs w:val="20"/>
          <w:color w:val="auto"/>
        </w:rPr>
      </w:pPr>
      <w:r>
        <w:rPr>
          <w:rFonts w:ascii="Arial" w:cs="Arial" w:eastAsia="Arial" w:hAnsi="Arial"/>
          <w:sz w:val="18"/>
          <w:szCs w:val="18"/>
          <w:color w:val="auto"/>
        </w:rPr>
        <w:t>debts, wages or salaries owing to employees for services performed by them on the ten largest shareholders of (i) corporations organized under the laws of the State of New York or (ii) corporations organized under the laws of other jurisdictions when the unpaid services were performed in the State of New York. NYBCL Section 630 does not apply to a corporation that has shares listed on a national securities exchange or regularly quoted in an over-the-counter market. We have assumed that Section 630 of the NYBCL does not presently apply to the Company and that such section will continue to be inapplicable to the Company.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in rendering the foregoing opinions we have assumed that:</w:t>
      </w:r>
    </w:p>
    <w:p>
      <w:pPr>
        <w:spacing w:after="0" w:line="225" w:lineRule="exact"/>
        <w:rPr>
          <w:sz w:val="20"/>
          <w:szCs w:val="20"/>
          <w:color w:val="auto"/>
        </w:rPr>
      </w:pPr>
    </w:p>
    <w:p>
      <w:pPr>
        <w:jc w:val="both"/>
        <w:ind w:firstLine="1305"/>
        <w:spacing w:after="0" w:line="276" w:lineRule="auto"/>
        <w:tabs>
          <w:tab w:leader="none" w:pos="19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applicable Securities: (i) constitutes or will constitute a violation of, or a default under, any lease, indenture, instrument or other agreement to which the Company or its property is subject, (ii) contravened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Opined-on Law);</w:t>
      </w:r>
    </w:p>
    <w:p>
      <w:pPr>
        <w:spacing w:after="0" w:line="172" w:lineRule="exact"/>
        <w:rPr>
          <w:rFonts w:ascii="Arial" w:cs="Arial" w:eastAsia="Arial" w:hAnsi="Arial"/>
          <w:sz w:val="17"/>
          <w:szCs w:val="17"/>
          <w:color w:val="auto"/>
        </w:rPr>
      </w:pPr>
    </w:p>
    <w:p>
      <w:pPr>
        <w:ind w:right="220" w:firstLine="1305"/>
        <w:spacing w:after="0" w:line="286" w:lineRule="auto"/>
        <w:tabs>
          <w:tab w:leader="none" w:pos="19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applicable Securities, requires or will require the consent, approval, licensing or authorization of, or any filing, recording or registration with, any governmental authority under any law, rule or regulation of any jurisdiction.</w:t>
      </w:r>
    </w:p>
    <w:p>
      <w:pPr>
        <w:spacing w:after="0" w:line="166"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We hereby consent to the reference to our firm under the heading “Legal Matters” in the prospectus forming part of the Registration Statement. We also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Skadden, Arps, Slate, Meagher &amp; Flom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DJG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Regeneron Pharmaceuticals, Inc. of our report dated February 8, 2018 relating to the financial statements, and the effectiveness of internal control over financial reporting, which appears in Regeneron Pharmaceuticals, Inc.’s Annual Report on Form 10-K for the year ended December 31, 2017.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219075</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60"/>
          </w:cols>
          <w:pgMar w:left="240" w:top="121" w:right="199" w:bottom="144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40"/>
          </w:cols>
          <w:pgMar w:left="240" w:top="121" w:right="199" w:bottom="1440" w:gutter="0" w:footer="0" w:header="0"/>
          <w:type w:val="continuous"/>
        </w:sectPr>
      </w:pP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Rick Barnes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jc w:val="center"/>
        <w:ind w:right="40"/>
        <w:spacing w:after="0" w:line="205" w:lineRule="auto"/>
        <w:rPr>
          <w:sz w:val="20"/>
          <w:szCs w:val="20"/>
          <w:color w:val="auto"/>
        </w:rPr>
      </w:pPr>
      <w:r>
        <w:rPr>
          <w:rFonts w:ascii="Arial" w:cs="Arial" w:eastAsia="Arial" w:hAnsi="Arial"/>
          <w:sz w:val="18"/>
          <w:szCs w:val="18"/>
          <w:b w:val="1"/>
          <w:bCs w:val="1"/>
          <w:color w:val="auto"/>
        </w:rPr>
        <w:t>333 Thornall St. 4</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Edison, NJ 08837</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(732) 321-2516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5"/>
              </w:rPr>
              <w:t>New York</w:t>
            </w:r>
          </w:p>
        </w:tc>
        <w:tc>
          <w:tcPr>
            <w:tcW w:w="4300" w:type="dxa"/>
            <w:vAlign w:val="bottom"/>
          </w:tcPr>
          <w:p>
            <w:pPr>
              <w:jc w:val="right"/>
              <w:ind w:right="2270"/>
              <w:spacing w:after="0"/>
              <w:rPr>
                <w:sz w:val="20"/>
                <w:szCs w:val="20"/>
                <w:color w:val="auto"/>
              </w:rPr>
            </w:pPr>
            <w:r>
              <w:rPr>
                <w:rFonts w:ascii="Arial" w:cs="Arial" w:eastAsia="Arial" w:hAnsi="Arial"/>
                <w:sz w:val="18"/>
                <w:szCs w:val="18"/>
                <w:b w:val="1"/>
                <w:bCs w:val="1"/>
                <w:color w:val="auto"/>
              </w:rPr>
              <w:t>13-3444607</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00" w:type="dxa"/>
            <w:vAlign w:val="bottom"/>
          </w:tcPr>
          <w:p>
            <w:pPr>
              <w:jc w:val="center"/>
              <w:ind w:right="1190"/>
              <w:spacing w:after="0"/>
              <w:rPr>
                <w:sz w:val="20"/>
                <w:szCs w:val="20"/>
                <w:color w:val="auto"/>
              </w:rPr>
            </w:pPr>
            <w:r>
              <w:rPr>
                <w:rFonts w:ascii="Arial" w:cs="Arial" w:eastAsia="Arial" w:hAnsi="Arial"/>
                <w:sz w:val="18"/>
                <w:szCs w:val="18"/>
                <w:color w:val="auto"/>
                <w:w w:val="94"/>
              </w:rPr>
              <w:t>(I.R.S. Employer Identification No.)</w:t>
            </w:r>
          </w:p>
        </w:tc>
        <w:tc>
          <w:tcPr>
            <w:tcW w:w="40" w:type="dxa"/>
            <w:vAlign w:val="bottom"/>
          </w:tcPr>
          <w:p>
            <w:pPr>
              <w:spacing w:after="0"/>
              <w:rPr>
                <w:sz w:val="20"/>
                <w:szCs w:val="20"/>
                <w:color w:val="auto"/>
              </w:rPr>
            </w:pPr>
          </w:p>
        </w:tc>
      </w:tr>
      <w:tr>
        <w:trPr>
          <w:trHeight w:val="414"/>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3"/>
              </w:rPr>
              <w:t>777 Old Saw Mill River Road</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1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Tarrytown, New York</w:t>
            </w:r>
          </w:p>
        </w:tc>
        <w:tc>
          <w:tcPr>
            <w:tcW w:w="43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10591</w:t>
            </w:r>
          </w:p>
        </w:tc>
        <w:tc>
          <w:tcPr>
            <w:tcW w:w="40" w:type="dxa"/>
            <w:vAlign w:val="bottom"/>
          </w:tcPr>
          <w:p>
            <w:pPr>
              <w:spacing w:after="0"/>
              <w:rPr>
                <w:sz w:val="19"/>
                <w:szCs w:val="19"/>
                <w:color w:val="auto"/>
              </w:rPr>
            </w:pPr>
          </w:p>
        </w:tc>
      </w:tr>
      <w:tr>
        <w:trPr>
          <w:trHeight w:val="230"/>
        </w:trPr>
        <w:tc>
          <w:tcPr>
            <w:tcW w:w="712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jc w:val="center"/>
              <w:ind w:right="1210"/>
              <w:spacing w:after="0"/>
              <w:rPr>
                <w:sz w:val="20"/>
                <w:szCs w:val="20"/>
                <w:color w:val="auto"/>
              </w:rPr>
            </w:pPr>
            <w:r>
              <w:rPr>
                <w:rFonts w:ascii="Arial" w:cs="Arial" w:eastAsia="Arial" w:hAnsi="Arial"/>
                <w:sz w:val="18"/>
                <w:szCs w:val="18"/>
                <w:color w:val="auto"/>
                <w:w w:val="94"/>
              </w:rPr>
              <w:t>(Zip Code)</w:t>
            </w:r>
          </w:p>
        </w:tc>
        <w:tc>
          <w:tcPr>
            <w:tcW w:w="40" w:type="dxa"/>
            <w:vAlign w:val="bottom"/>
          </w:tcPr>
          <w:p>
            <w:pPr>
              <w:spacing w:after="0"/>
              <w:rPr>
                <w:sz w:val="20"/>
                <w:szCs w:val="20"/>
                <w:color w:val="auto"/>
              </w:rPr>
            </w:pPr>
          </w:p>
        </w:tc>
      </w:tr>
      <w:tr>
        <w:trPr>
          <w:trHeight w:val="418"/>
        </w:trPr>
        <w:tc>
          <w:tcPr>
            <w:tcW w:w="7120" w:type="dxa"/>
            <w:vAlign w:val="bottom"/>
          </w:tcPr>
          <w:p>
            <w:pPr>
              <w:jc w:val="center"/>
              <w:ind w:left="4230"/>
              <w:spacing w:after="0"/>
              <w:rPr>
                <w:sz w:val="20"/>
                <w:szCs w:val="20"/>
                <w:color w:val="auto"/>
              </w:rPr>
            </w:pPr>
            <w:r>
              <w:rPr>
                <w:rFonts w:ascii="Arial" w:cs="Arial" w:eastAsia="Arial" w:hAnsi="Arial"/>
                <w:sz w:val="18"/>
                <w:szCs w:val="18"/>
                <w:b w:val="1"/>
                <w:bCs w:val="1"/>
                <w:color w:val="auto"/>
                <w:w w:val="88"/>
              </w:rPr>
              <w:t>Debt Securities</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120" w:type="dxa"/>
            <w:vAlign w:val="bottom"/>
          </w:tcPr>
          <w:p>
            <w:pPr>
              <w:jc w:val="center"/>
              <w:ind w:left="4230"/>
              <w:spacing w:after="0"/>
              <w:rPr>
                <w:sz w:val="20"/>
                <w:szCs w:val="20"/>
                <w:color w:val="auto"/>
              </w:rPr>
            </w:pPr>
            <w:r>
              <w:rPr>
                <w:rFonts w:ascii="Arial" w:cs="Arial" w:eastAsia="Arial" w:hAnsi="Arial"/>
                <w:sz w:val="18"/>
                <w:szCs w:val="18"/>
                <w:color w:val="auto"/>
                <w:w w:val="91"/>
              </w:rPr>
              <w:t>(Title of the Indenture Securities)</w:t>
            </w: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1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712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right="5660" w:hanging="980"/>
        <w:spacing w:after="0" w:line="498" w:lineRule="auto"/>
        <w:tabs>
          <w:tab w:leader="none" w:pos="144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4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260" w:hanging="318"/>
        <w:spacing w:after="0"/>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260" w:right="560" w:hanging="318"/>
        <w:spacing w:after="0" w:line="277"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2018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the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500" w:right="80" w:hanging="6"/>
        <w:spacing w:after="0" w:line="277" w:lineRule="auto"/>
        <w:tabs>
          <w:tab w:leader="none" w:pos="7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to Exhibit 25.1 to the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-782320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Township of Edison, State of New Jersey on the 13th of November,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Barnes</w:t>
            </w:r>
          </w:p>
        </w:tc>
        <w:tc>
          <w:tcPr>
            <w:tcW w:w="40" w:type="dxa"/>
            <w:vAlign w:val="bottom"/>
          </w:tcPr>
          <w:p>
            <w:pPr>
              <w:spacing w:after="0"/>
              <w:rPr>
                <w:sz w:val="20"/>
                <w:szCs w:val="20"/>
                <w:color w:val="auto"/>
              </w:rPr>
            </w:pPr>
          </w:p>
        </w:tc>
      </w:tr>
      <w:tr>
        <w:trPr>
          <w:trHeight w:val="195"/>
        </w:trPr>
        <w:tc>
          <w:tcPr>
            <w:tcW w:w="63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Rick Barnes</w:t>
            </w:r>
          </w:p>
        </w:tc>
        <w:tc>
          <w:tcPr>
            <w:tcW w:w="40" w:type="dxa"/>
            <w:vAlign w:val="bottom"/>
          </w:tcPr>
          <w:p>
            <w:pPr>
              <w:spacing w:after="0"/>
              <w:rPr>
                <w:sz w:val="16"/>
                <w:szCs w:val="16"/>
                <w:color w:val="auto"/>
              </w:rPr>
            </w:pPr>
          </w:p>
        </w:tc>
      </w:tr>
      <w:tr>
        <w:trPr>
          <w:trHeight w:val="230"/>
        </w:trPr>
        <w:tc>
          <w:tcPr>
            <w:tcW w:w="63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234950</wp:posOffset>
            </wp:positionV>
            <wp:extent cx="6586220" cy="9947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586220" cy="9947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97790</wp:posOffset>
            </wp:positionV>
            <wp:extent cx="6586220" cy="10359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586220" cy="10359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80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Barnes</w:t>
            </w:r>
          </w:p>
        </w:tc>
        <w:tc>
          <w:tcPr>
            <w:tcW w:w="40" w:type="dxa"/>
            <w:vAlign w:val="bottom"/>
          </w:tcPr>
          <w:p>
            <w:pPr>
              <w:spacing w:after="0"/>
              <w:rPr>
                <w:sz w:val="20"/>
                <w:szCs w:val="20"/>
                <w:color w:val="auto"/>
              </w:rPr>
            </w:pPr>
          </w:p>
        </w:tc>
      </w:tr>
      <w:tr>
        <w:trPr>
          <w:trHeight w:val="195"/>
        </w:trPr>
        <w:tc>
          <w:tcPr>
            <w:tcW w:w="644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Rick Barnes</w:t>
            </w:r>
          </w:p>
        </w:tc>
        <w:tc>
          <w:tcPr>
            <w:tcW w:w="40" w:type="dxa"/>
            <w:vAlign w:val="bottom"/>
          </w:tcPr>
          <w:p>
            <w:pPr>
              <w:spacing w:after="0"/>
              <w:rPr>
                <w:sz w:val="16"/>
                <w:szCs w:val="16"/>
                <w:color w:val="auto"/>
              </w:rPr>
            </w:pPr>
          </w:p>
        </w:tc>
      </w:tr>
      <w:tr>
        <w:trPr>
          <w:trHeight w:val="230"/>
        </w:trPr>
        <w:tc>
          <w:tcPr>
            <w:tcW w:w="64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4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4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3"/>
              </w:rPr>
              <w:t>Exhibit 7</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500" w:type="dxa"/>
            <w:vAlign w:val="bottom"/>
            <w:gridSpan w:val="4"/>
          </w:tcPr>
          <w:p>
            <w:pPr>
              <w:jc w:val="center"/>
              <w:ind w:right="2370"/>
              <w:spacing w:after="0"/>
              <w:rPr>
                <w:sz w:val="20"/>
                <w:szCs w:val="20"/>
                <w:color w:val="auto"/>
              </w:rPr>
            </w:pPr>
            <w:r>
              <w:rPr>
                <w:rFonts w:ascii="Arial" w:cs="Arial" w:eastAsia="Arial" w:hAnsi="Arial"/>
                <w:sz w:val="18"/>
                <w:szCs w:val="18"/>
                <w:b w:val="1"/>
                <w:bCs w:val="1"/>
                <w:color w:val="auto"/>
                <w:w w:val="89"/>
              </w:rPr>
              <w:t>U.S. Bank National Association</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500" w:type="dxa"/>
            <w:vAlign w:val="bottom"/>
            <w:gridSpan w:val="4"/>
          </w:tcPr>
          <w:p>
            <w:pPr>
              <w:jc w:val="center"/>
              <w:ind w:right="2370"/>
              <w:spacing w:after="0"/>
              <w:rPr>
                <w:sz w:val="20"/>
                <w:szCs w:val="20"/>
                <w:color w:val="auto"/>
              </w:rPr>
            </w:pPr>
            <w:r>
              <w:rPr>
                <w:rFonts w:ascii="Arial" w:cs="Arial" w:eastAsia="Arial" w:hAnsi="Arial"/>
                <w:sz w:val="18"/>
                <w:szCs w:val="18"/>
                <w:b w:val="1"/>
                <w:bCs w:val="1"/>
                <w:color w:val="auto"/>
                <w:w w:val="91"/>
              </w:rPr>
              <w:t>Statement of Financial Condition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500" w:type="dxa"/>
            <w:vAlign w:val="bottom"/>
            <w:gridSpan w:val="4"/>
          </w:tcPr>
          <w:p>
            <w:pPr>
              <w:jc w:val="center"/>
              <w:ind w:right="2390"/>
              <w:spacing w:after="0"/>
              <w:rPr>
                <w:sz w:val="20"/>
                <w:szCs w:val="20"/>
                <w:color w:val="auto"/>
              </w:rPr>
            </w:pPr>
            <w:r>
              <w:rPr>
                <w:rFonts w:ascii="Arial" w:cs="Arial" w:eastAsia="Arial" w:hAnsi="Arial"/>
                <w:sz w:val="18"/>
                <w:szCs w:val="18"/>
                <w:b w:val="1"/>
                <w:bCs w:val="1"/>
                <w:color w:val="auto"/>
                <w:w w:val="90"/>
              </w:rPr>
              <w:t>As of 6/30/2018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4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Cash and Balances Due From</w:t>
            </w:r>
          </w:p>
        </w:tc>
        <w:tc>
          <w:tcPr>
            <w:tcW w:w="6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18,933,741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Depository Institutions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111,465,209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279,066,037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13,023,820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26,714,957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453,023,045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650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350,952,197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2,497,543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904,426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34,319,863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13,252,394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405,226,423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Common and Preferred Stock</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Surplus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Undivided Profits</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32,711,429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Minority Interest in Subsidiaries</w:t>
            </w: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47,796,622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453,023,045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2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lvl w:ilvl="1">
      <w:lvlJc w:val="left"/>
      <w:lvlText w:val="·"/>
      <w:numFmt w:val="bullet"/>
      <w:start w:val="1"/>
    </w:lvl>
  </w:abstractNum>
  <w:abstractNum w:abstractNumId="5">
    <w:nsid w:val="79838CB2"/>
    <w:multiLevelType w:val="hybridMultilevel"/>
    <w:lvl w:ilvl="0">
      <w:lvlJc w:val="left"/>
      <w:lvlText w:val="·"/>
      <w:numFmt w:val="bullet"/>
      <w:start w:val="1"/>
    </w:lvl>
    <w:lvl w:ilvl="1">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914"/>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decimal"/>
      <w:start w:val="2"/>
    </w:lvl>
    <w:lvl w:ilvl="1">
      <w:lvlJc w:val="left"/>
      <w:lvlText w:val="%2."/>
      <w:numFmt w:val="upperLetter"/>
      <w:start w:val="1"/>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upperLetter"/>
      <w:start w:val="1"/>
    </w:lvl>
    <w:lvl w:ilvl="1">
      <w:lvlJc w:val="left"/>
      <w:lvlText w:val="(%2)"/>
      <w:numFmt w:val="lowerRoman"/>
      <w:start w:val="1"/>
    </w:lvl>
  </w:abstractNum>
  <w:abstractNum w:abstractNumId="30">
    <w:nsid w:val="7724C67E"/>
    <w:multiLevelType w:val="hybridMultilevel"/>
    <w:lvl w:ilvl="0">
      <w:lvlJc w:val="left"/>
      <w:lvlText w:val="(%1)"/>
      <w:numFmt w:val="upperLetter"/>
      <w:start w:val="2"/>
    </w:lvl>
    <w:lvl w:ilvl="1">
      <w:lvlJc w:val="left"/>
      <w:lvlText w:val="%2"/>
      <w:numFmt w:val="lowerRoman"/>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lvl w:ilvl="1">
      <w:lvlJc w:val="left"/>
      <w:lvlText w:val="%2."/>
      <w:numFmt w:val="decimal"/>
      <w:start w:val="1"/>
    </w:lvl>
  </w:abstractNum>
  <w:abstractNum w:abstractNumId="35">
    <w:nsid w:val="2D517796"/>
    <w:multiLevelType w:val="hybridMultilevel"/>
    <w:lvl w:ilvl="0">
      <w:lvlJc w:val="left"/>
      <w:lvlText w:val="(%1)"/>
      <w:numFmt w:val="lowerLetter"/>
      <w:start w:val="3"/>
    </w:lvl>
    <w:lvl w:ilvl="1">
      <w:lvlJc w:val="left"/>
      <w:lvlText w:val="%2."/>
      <w:numFmt w:val="decimal"/>
      <w:start w:val="2"/>
    </w:lvl>
  </w:abstractNum>
  <w:abstractNum w:abstractNumId="36">
    <w:nsid w:val="580BD78F"/>
    <w:multiLevelType w:val="hybridMultilevel"/>
    <w:lvl w:ilvl="0">
      <w:lvlJc w:val="left"/>
      <w:lvlText w:val="%1."/>
      <w:numFmt w:val="decimal"/>
      <w:start w:val="3"/>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2"/>
    </w:lvl>
  </w:abstractNum>
  <w:abstractNum w:abstractNumId="42">
    <w:nsid w:val="1D4ED43B"/>
    <w:multiLevelType w:val="hybridMultilevel"/>
    <w:lvl w:ilvl="0">
      <w:lvlJc w:val="left"/>
      <w:lvlText w:val="*"/>
      <w:numFmt w:val="bullet"/>
      <w:start w:val="1"/>
    </w:lvl>
    <w:lvl w:ilvl="1">
      <w:lvlJc w:val="left"/>
      <w:lvlText w:val="%2."/>
      <w:numFmt w:val="decimal"/>
      <w:start w:val="1"/>
    </w:lvl>
  </w:abstractNum>
  <w:abstractNum w:abstractNumId="43">
    <w:nsid w:val="725A06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jpeg"/><Relationship Id="rId80" Type="http://schemas.openxmlformats.org/officeDocument/2006/relationships/image" Target="media/image66.jpe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49" Type="http://schemas.openxmlformats.org/officeDocument/2006/relationships/hyperlink" Target="http://www.sec.gov/Archives/edgar/data/872589/000153217615000029/regn-ex_31x06302015x10q.htm" TargetMode="External"/><Relationship Id="rId50" Type="http://schemas.openxmlformats.org/officeDocument/2006/relationships/hyperlink" Target="http://www.sec.gov/Archives/edgar/data/872589/000110465916163216/a16-23471_1ex3d2.htm" TargetMode="External"/><Relationship Id="rId51" Type="http://schemas.openxmlformats.org/officeDocument/2006/relationships/hyperlink" Target="http://www.sec.gov/Archives/edgar/data/872589/000095012305001401/y69426a1exv4w16.txt" TargetMode="External"/><Relationship Id="rId52" Type="http://schemas.openxmlformats.org/officeDocument/2006/relationships/hyperlink" Target="http://www.sec.gov/Archives/edgar/data/872589/000119312513426539/d619882dex45.htm" TargetMode="External"/><Relationship Id="rId53" Type="http://schemas.openxmlformats.org/officeDocument/2006/relationships/hyperlink" Target="file:///data/convert/a18-39915_1ex5d1.htm#Exhibit5_1_032102" TargetMode="External"/><Relationship Id="rId54" Type="http://schemas.openxmlformats.org/officeDocument/2006/relationships/hyperlink" Target="file:///data/convert/a18-39915_1ex23d1.htm#Exhibit23_1_073622" TargetMode="External"/><Relationship Id="rId55" Type="http://schemas.openxmlformats.org/officeDocument/2006/relationships/hyperlink" Target="file:///data/convert/a18-39915_1ex25d1.htm#Exhibit25_1_035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2019-12-05T21:34:09Z</dcterms:created>
  <dcterms:modified xsi:type="dcterms:W3CDTF">2019-12-05T21:34:09Z</dcterms:modified>
</cp:coreProperties>
</file>