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SECURITIES AND EXCHANGE COMMISSION</w:t>
      </w:r>
    </w:p>
    <w:p>
      <w:pPr>
        <w:spacing w:after="0" w:line="225"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234315</wp:posOffset>
            </wp:positionV>
            <wp:extent cx="18268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SECURITIES EXCHANGE ACT OF 1934</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8, 2003 (October 7, 2003)</w:t>
      </w:r>
    </w:p>
    <w:p>
      <w:pPr>
        <w:spacing w:after="0" w:line="196" w:lineRule="exact"/>
        <w:rPr>
          <w:sz w:val="20"/>
          <w:szCs w:val="20"/>
          <w:color w:val="auto"/>
        </w:rPr>
      </w:pPr>
    </w:p>
    <w:p>
      <w:pPr>
        <w:jc w:val="right"/>
        <w:ind w:right="259"/>
        <w:spacing w:after="0"/>
        <w:rPr>
          <w:sz w:val="20"/>
          <w:szCs w:val="20"/>
          <w:color w:val="auto"/>
        </w:rPr>
      </w:pPr>
      <w:r>
        <w:rPr>
          <w:rFonts w:ascii="Arial" w:cs="Arial" w:eastAsia="Arial" w:hAnsi="Arial"/>
          <w:sz w:val="43"/>
          <w:szCs w:val="43"/>
          <w:b w:val="1"/>
          <w:bCs w:val="1"/>
          <w:color w:val="auto"/>
        </w:rPr>
        <w:t>REGENERON PHARMACEUTICALS, INC.</w:t>
      </w:r>
    </w:p>
    <w:p>
      <w:pPr>
        <w:spacing w:after="0" w:line="25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219"/>
          </w:cols>
          <w:pgMar w:left="240" w:top="122" w:right="1440" w:bottom="1440" w:gutter="0" w:footer="0" w:header="0"/>
        </w:sectPr>
      </w:pPr>
    </w:p>
    <w:p>
      <w:pPr>
        <w:spacing w:after="0" w:line="252"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NEW YORK</w:t>
      </w:r>
    </w:p>
    <w:p>
      <w:pPr>
        <w:spacing w:after="0" w:line="15"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of incorporation)</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0-19034</w:t>
      </w:r>
    </w:p>
    <w:p>
      <w:pPr>
        <w:spacing w:after="0" w:line="15" w:lineRule="exact"/>
        <w:rPr>
          <w:sz w:val="20"/>
          <w:szCs w:val="20"/>
          <w:color w:val="auto"/>
        </w:rPr>
      </w:pPr>
    </w:p>
    <w:p>
      <w:pPr>
        <w:jc w:val="center"/>
        <w:ind w:right="600"/>
        <w:spacing w:after="0"/>
        <w:rPr>
          <w:sz w:val="20"/>
          <w:szCs w:val="20"/>
          <w:color w:val="auto"/>
        </w:rPr>
      </w:pPr>
      <w:r>
        <w:rPr>
          <w:rFonts w:ascii="Arial" w:cs="Arial" w:eastAsia="Arial" w:hAnsi="Arial"/>
          <w:sz w:val="16"/>
          <w:szCs w:val="16"/>
          <w:color w:val="auto"/>
        </w:rPr>
        <w:t>(Commission</w:t>
      </w:r>
    </w:p>
    <w:p>
      <w:pPr>
        <w:spacing w:after="0" w:line="32" w:lineRule="exact"/>
        <w:rPr>
          <w:sz w:val="20"/>
          <w:szCs w:val="20"/>
          <w:color w:val="auto"/>
        </w:rPr>
      </w:pPr>
    </w:p>
    <w:p>
      <w:pPr>
        <w:jc w:val="center"/>
        <w:ind w:right="600"/>
        <w:spacing w:after="0"/>
        <w:rPr>
          <w:sz w:val="20"/>
          <w:szCs w:val="20"/>
          <w:color w:val="auto"/>
        </w:rPr>
      </w:pPr>
      <w:r>
        <w:rPr>
          <w:rFonts w:ascii="Arial" w:cs="Arial" w:eastAsia="Arial" w:hAnsi="Arial"/>
          <w:sz w:val="16"/>
          <w:szCs w:val="16"/>
          <w:color w:val="auto"/>
        </w:rPr>
        <w:t>File Number)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1179"/>
        <w:spacing w:after="0"/>
        <w:rPr>
          <w:sz w:val="20"/>
          <w:szCs w:val="20"/>
          <w:color w:val="auto"/>
        </w:rPr>
      </w:pPr>
      <w:r>
        <w:rPr>
          <w:rFonts w:ascii="Arial" w:cs="Arial" w:eastAsia="Arial" w:hAnsi="Arial"/>
          <w:sz w:val="18"/>
          <w:szCs w:val="18"/>
          <w:color w:val="auto"/>
        </w:rPr>
        <w:t>No. 13-3444607</w:t>
      </w:r>
    </w:p>
    <w:p>
      <w:pPr>
        <w:spacing w:after="0" w:line="15" w:lineRule="exact"/>
        <w:rPr>
          <w:sz w:val="20"/>
          <w:szCs w:val="20"/>
          <w:color w:val="auto"/>
        </w:rPr>
      </w:pPr>
    </w:p>
    <w:p>
      <w:pPr>
        <w:jc w:val="center"/>
        <w:ind w:right="1179"/>
        <w:spacing w:after="0"/>
        <w:rPr>
          <w:sz w:val="20"/>
          <w:szCs w:val="20"/>
          <w:color w:val="auto"/>
        </w:rPr>
      </w:pPr>
      <w:r>
        <w:rPr>
          <w:rFonts w:ascii="Arial" w:cs="Arial" w:eastAsia="Arial" w:hAnsi="Arial"/>
          <w:sz w:val="18"/>
          <w:szCs w:val="18"/>
          <w:color w:val="auto"/>
        </w:rPr>
        <w:t>(IRS Employer</w:t>
      </w:r>
    </w:p>
    <w:p>
      <w:pPr>
        <w:spacing w:after="0" w:line="9" w:lineRule="exact"/>
        <w:rPr>
          <w:sz w:val="20"/>
          <w:szCs w:val="20"/>
          <w:color w:val="auto"/>
        </w:rPr>
      </w:pPr>
    </w:p>
    <w:p>
      <w:pPr>
        <w:jc w:val="center"/>
        <w:ind w:right="1179"/>
        <w:spacing w:after="0"/>
        <w:rPr>
          <w:sz w:val="20"/>
          <w:szCs w:val="20"/>
          <w:color w:val="auto"/>
        </w:rPr>
      </w:pPr>
      <w:r>
        <w:rPr>
          <w:rFonts w:ascii="Arial" w:cs="Arial" w:eastAsia="Arial" w:hAnsi="Arial"/>
          <w:sz w:val="16"/>
          <w:szCs w:val="16"/>
          <w:color w:val="auto"/>
        </w:rPr>
        <w:t>Identification No.)</w:t>
      </w:r>
    </w:p>
    <w:p>
      <w:pPr>
        <w:spacing w:after="0" w:line="222" w:lineRule="exact"/>
        <w:rPr>
          <w:sz w:val="20"/>
          <w:szCs w:val="20"/>
          <w:color w:val="auto"/>
        </w:rPr>
      </w:pPr>
    </w:p>
    <w:p>
      <w:pPr>
        <w:sectPr>
          <w:pgSz w:w="11900" w:h="16838" w:orient="portrait"/>
          <w:cols w:equalWidth="0" w:num="3">
            <w:col w:w="4760" w:space="720"/>
            <w:col w:w="1540" w:space="720"/>
            <w:col w:w="2479"/>
          </w:cols>
          <w:pgMar w:left="240" w:top="122" w:right="1440" w:bottom="1440" w:gutter="0" w:footer="0" w:header="0"/>
          <w:type w:val="continuous"/>
        </w:sectPr>
      </w:pPr>
    </w:p>
    <w:p>
      <w:pPr>
        <w:spacing w:after="0" w:line="46" w:lineRule="exact"/>
        <w:rPr>
          <w:sz w:val="20"/>
          <w:szCs w:val="20"/>
          <w:color w:val="auto"/>
        </w:rPr>
      </w:pPr>
    </w:p>
    <w:p>
      <w:pPr>
        <w:jc w:val="center"/>
        <w:ind w:left="2000"/>
        <w:spacing w:after="0"/>
        <w:rPr>
          <w:sz w:val="20"/>
          <w:szCs w:val="20"/>
          <w:color w:val="auto"/>
        </w:rPr>
      </w:pPr>
      <w:r>
        <w:rPr>
          <w:rFonts w:ascii="Arial" w:cs="Arial" w:eastAsia="Arial" w:hAnsi="Arial"/>
          <w:sz w:val="16"/>
          <w:szCs w:val="16"/>
          <w:color w:val="auto"/>
        </w:rPr>
        <w:t>777 OLD SAW MILL RIVER ROAD,</w:t>
      </w:r>
    </w:p>
    <w:p>
      <w:pPr>
        <w:spacing w:after="0" w:line="38" w:lineRule="exact"/>
        <w:rPr>
          <w:sz w:val="20"/>
          <w:szCs w:val="20"/>
          <w:color w:val="auto"/>
        </w:rPr>
      </w:pPr>
    </w:p>
    <w:p>
      <w:pPr>
        <w:jc w:val="center"/>
        <w:ind w:left="2000"/>
        <w:spacing w:after="0"/>
        <w:rPr>
          <w:sz w:val="20"/>
          <w:szCs w:val="20"/>
          <w:color w:val="auto"/>
        </w:rPr>
      </w:pPr>
      <w:r>
        <w:rPr>
          <w:rFonts w:ascii="Arial" w:cs="Arial" w:eastAsia="Arial" w:hAnsi="Arial"/>
          <w:sz w:val="18"/>
          <w:szCs w:val="18"/>
          <w:color w:val="auto"/>
        </w:rPr>
        <w:t>TARRYTOWN, NY</w:t>
      </w:r>
    </w:p>
    <w:p>
      <w:pPr>
        <w:spacing w:after="0" w:line="9" w:lineRule="exact"/>
        <w:rPr>
          <w:sz w:val="20"/>
          <w:szCs w:val="20"/>
          <w:color w:val="auto"/>
        </w:rPr>
      </w:pPr>
    </w:p>
    <w:p>
      <w:pPr>
        <w:jc w:val="center"/>
        <w:ind w:left="20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10591-6707</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(Zip Code)</w:t>
      </w:r>
    </w:p>
    <w:p>
      <w:pPr>
        <w:spacing w:after="0" w:line="416" w:lineRule="exact"/>
        <w:rPr>
          <w:sz w:val="20"/>
          <w:szCs w:val="20"/>
          <w:color w:val="auto"/>
        </w:rPr>
      </w:pPr>
    </w:p>
    <w:p>
      <w:pPr>
        <w:sectPr>
          <w:pgSz w:w="11900" w:h="16838" w:orient="portrait"/>
          <w:cols w:equalWidth="0" w:num="2">
            <w:col w:w="6300" w:space="720"/>
            <w:col w:w="3199"/>
          </w:cols>
          <w:pgMar w:left="240" w:top="122" w:right="1440" w:bottom="1440" w:gutter="0" w:footer="0" w:header="0"/>
          <w:type w:val="continuous"/>
        </w:sectPr>
      </w:pPr>
    </w:p>
    <w:p>
      <w:pPr>
        <w:spacing w:after="0" w:line="69" w:lineRule="exact"/>
        <w:rPr>
          <w:sz w:val="20"/>
          <w:szCs w:val="20"/>
          <w:color w:val="auto"/>
        </w:rPr>
      </w:pPr>
    </w:p>
    <w:p>
      <w:pPr>
        <w:ind w:left="2100"/>
        <w:spacing w:after="0"/>
        <w:rPr>
          <w:sz w:val="20"/>
          <w:szCs w:val="20"/>
          <w:color w:val="auto"/>
        </w:rPr>
      </w:pPr>
      <w:r>
        <w:rPr>
          <w:rFonts w:ascii="Arial" w:cs="Arial" w:eastAsia="Arial" w:hAnsi="Arial"/>
          <w:sz w:val="15"/>
          <w:szCs w:val="15"/>
          <w:color w:val="auto"/>
        </w:rPr>
        <w:t>Registrant’s telephone number, including area code</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(914) 347-7000</w:t>
      </w:r>
    </w:p>
    <w:p>
      <w:pPr>
        <w:spacing w:after="0" w:line="200" w:lineRule="exact"/>
        <w:rPr>
          <w:sz w:val="20"/>
          <w:szCs w:val="20"/>
          <w:color w:val="auto"/>
        </w:rPr>
      </w:pPr>
    </w:p>
    <w:p>
      <w:pPr>
        <w:sectPr>
          <w:pgSz w:w="11900" w:h="16838" w:orient="portrait"/>
          <w:cols w:equalWidth="0" w:num="2">
            <w:col w:w="6520" w:space="720"/>
            <w:col w:w="2979"/>
          </w:cols>
          <w:pgMar w:left="240" w:top="122" w:right="1440" w:bottom="1440" w:gutter="0" w:footer="0" w:header="0"/>
          <w:type w:val="continuous"/>
        </w:sectPr>
      </w:pPr>
    </w:p>
    <w:p>
      <w:pPr>
        <w:spacing w:after="0" w:line="48"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NOT APPLICABLE</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(Former name or former address, if changed since last report)</w:t>
      </w:r>
    </w:p>
    <w:p>
      <w:pPr>
        <w:spacing w:after="0" w:line="25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Page 1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5. Other Events.</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7. Financial Statements and Exhibits.</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TO BE INCLUDED IN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Events.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On October 7, 2003, the Company issued a press release, a copy of which is included as an exhibit to this filing.</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Financial Statements and Exhibits.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 Exhibits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99(a) Press Release dated October 7, 2003.</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firstLine="2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3"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Regeneron Pharmaceuticals, Inc.</w:t>
      </w:r>
    </w:p>
    <w:p>
      <w:pPr>
        <w:spacing w:after="0" w:line="23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By: /s/ Stuart Kolinski</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Stuart Kolinski</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Vice President &amp; General Counsel</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Date: October 8, 2003</w:t>
      </w:r>
    </w:p>
    <w:p>
      <w:pPr>
        <w:spacing w:after="0" w:line="2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19"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EXHIBIT 99(a)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REPORTS PHASE II RESULTS FOR IL-1 TRAP CLINICAL PROGRAM IN RHEUMATOID ARTHRITIS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IL-1 Trap Phase II Study Demonstrates Clinical Activity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Favorable Safety and Tolerability Profile</w:t>
      </w:r>
    </w:p>
    <w:p>
      <w:pPr>
        <w:spacing w:after="0" w:line="213"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 xml:space="preserve">Tarrytown, NY (October 7, 2003) – Regeneron Pharmaceuticals, Inc. (Nasdaq: </w:t>
      </w:r>
      <w:r>
        <w:rPr>
          <w:rFonts w:ascii="Arial" w:cs="Arial" w:eastAsia="Arial" w:hAnsi="Arial"/>
          <w:sz w:val="16"/>
          <w:szCs w:val="16"/>
          <w:b w:val="1"/>
          <w:bCs w:val="1"/>
          <w:color w:val="auto"/>
        </w:rPr>
        <w:t>REGN</w:t>
      </w:r>
      <w:r>
        <w:rPr>
          <w:rFonts w:ascii="Arial" w:cs="Arial" w:eastAsia="Arial" w:hAnsi="Arial"/>
          <w:sz w:val="16"/>
          <w:szCs w:val="16"/>
          <w:color w:val="auto"/>
        </w:rPr>
        <w:t>) announced today that the Company’s IL-1 Trap demonstrated evidence of efficacy and safety in patients with rheumatoid arthritis (RA) in a Phase II dose-ranging study in approximately 200 patients. Patients treated with the highest dose, 100 milligrams (mg), of the IL-1 Trap exhibited improvements in primary and secondary end-points of the trial. When compared with placebo, subjects receiving 100 mg of IL-1 Trap demonstrated the following clinical and laboratory effects:</w:t>
      </w:r>
    </w:p>
    <w:p>
      <w:pPr>
        <w:spacing w:after="0" w:line="163" w:lineRule="exact"/>
        <w:rPr>
          <w:sz w:val="20"/>
          <w:szCs w:val="20"/>
          <w:color w:val="auto"/>
        </w:rPr>
      </w:pPr>
    </w:p>
    <w:p>
      <w:pPr>
        <w:ind w:left="820" w:hanging="461"/>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increase in the proportion of ACR 20 responses (primary endpoint) – 46% vs. 30.9% (p=0.11)</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increase in the average ACR-N Score – 24.1% vs. 13.5%, (p=0.02)</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increase in the proportion of ACR 50 responses – 20.0 % vs. 9.1%, (p=0.11)</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increase in the proportion of ACR 70 responses – 12.0 % vs. 3.6%, (p=0.11)</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greater decrease in the Disease Activity Score (DAS) – -1.1 vs. –0.7 (p=0.02)</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faster time of onset of ACR 20 response (median time to onset) – 36 days vs. 77 days (p=0.03)</w:t>
      </w:r>
    </w:p>
    <w:p>
      <w:pPr>
        <w:spacing w:after="0" w:line="225" w:lineRule="exact"/>
        <w:rPr>
          <w:rFonts w:ascii="Arial" w:cs="Arial" w:eastAsia="Arial" w:hAnsi="Arial"/>
          <w:sz w:val="18"/>
          <w:szCs w:val="18"/>
          <w:color w:val="auto"/>
        </w:rPr>
      </w:pPr>
    </w:p>
    <w:p>
      <w:pPr>
        <w:ind w:left="820" w:right="180" w:hanging="461"/>
        <w:spacing w:after="0" w:line="268" w:lineRule="auto"/>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benefit in those patients on concomitant disease modifying anti-rheumatic drugs (DMARDs) – ACR 20 of 50.0% vs. 33.3%, (p=0.16) and ACR 50 of 29.4% vs. 11.1% (p=0.06)</w:t>
      </w:r>
    </w:p>
    <w:p>
      <w:pPr>
        <w:spacing w:after="0" w:line="185" w:lineRule="exact"/>
        <w:rPr>
          <w:rFonts w:ascii="Arial" w:cs="Arial" w:eastAsia="Arial" w:hAnsi="Arial"/>
          <w:sz w:val="18"/>
          <w:szCs w:val="18"/>
          <w:color w:val="auto"/>
        </w:rPr>
      </w:pPr>
    </w:p>
    <w:p>
      <w:pPr>
        <w:ind w:left="820" w:hanging="461"/>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decrease in C-Reactive Protein (CRP) a systemic marker of inflammation – - -1.36 vs. + 0.07 (p=0.004)</w:t>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IL-1 Trap was generally well tolerated and was not associated with any serious adverse events. Of the patients treated with the IL-1 Trap, less than 5 percent developed antibodies against the molecule.</w:t>
      </w:r>
    </w:p>
    <w:p>
      <w:pPr>
        <w:spacing w:after="0" w:line="18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“This positive study, demonstrating evidence for clinical efficacy and the lack of safety concerns, clearly supports further development of this exciting new agent that is being studied for the treatment of patients with rheumatoid arthritis,” said Larry Moreland, M.D., Professor of Medicine, Division of Clinical Immunology and Rheumatology, University of Alabama at Birmingham School of Medicine.</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Phase II study provides strong evidence for clinical activity of the IL-1 Trap in rheumatoid arthritis. Moreover, it appears that we may not yet have achieved the optimal dose level, allowing for the potential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ind w:right="80"/>
        <w:spacing w:after="0" w:line="256" w:lineRule="auto"/>
        <w:rPr>
          <w:sz w:val="20"/>
          <w:szCs w:val="20"/>
          <w:color w:val="auto"/>
        </w:rPr>
      </w:pPr>
      <w:r>
        <w:rPr>
          <w:rFonts w:ascii="Arial" w:cs="Arial" w:eastAsia="Arial" w:hAnsi="Arial"/>
          <w:sz w:val="18"/>
          <w:szCs w:val="18"/>
          <w:color w:val="auto"/>
        </w:rPr>
        <w:t>even greater efficacy at higher doses,” said Leonard S. Schleifer, M.D., Ph.D., Regeneron’s President and Chief Executive Officer. “We plan to move quickly to complete our detailed evaluation of these results and work with Novartis to determine the most efficient path forward for the IL-1 Trap in rheumatoid arthritis. Furthermore, given the favorable safety profile observed, we also intend to pursue a broader clinical development program for this promising molecule in several additional therapeutic categories.”</w:t>
      </w:r>
    </w:p>
    <w:p>
      <w:pPr>
        <w:spacing w:after="0" w:line="19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Regeneron and Novartis Pharma AG, who formed a collaborative arrangement to develop and commercialize the IL-1 Trap, indicated that they will be working together to evaluate the data gathered in the study and determine the best path forward for the next clinical study.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Trial Design and Preliminary Data Summary</w:t>
      </w:r>
    </w:p>
    <w:p>
      <w:pPr>
        <w:spacing w:after="0" w:line="2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multi-center Phase II trial was a randomized, placebo-controlled, double-blind study in people with active RA who have had an inadequate response to at least one disease-modifying anti-rheumatic drug (DMARDs). The study included approximately 200 participants, who were randomized equally into placebo or one of three fixed-dose groups (25, 50, or 100 mg) and received weekly subcutaneous injections. A substantial proportion of the subjects in each group were on DMARDs at baseline and continued their treatment with DMARDs during the trial (65%, 63%, 60%, and 68% of patients in the placebo, 25 mg, 50 mg, and100 mg groups, respectively). The double-blind treatment period ran for 12 weeks, and participants were evaluated for 10 weeks following the cessation of treatment for safety and to track disease progression. The American College of Rheumatology (ACR20) criteria for improvement in RA as a function of IL-1Trap dose was the pre-specified primary efficacy endpoint. ACR50, ACR70, and ACR-N scores and other measures of disease activity were evaluated as secondary efficacy and exploratory endpoints.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data from the study is summarized in the table below:</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center"/>
              <w:ind w:left="98"/>
              <w:spacing w:after="0"/>
              <w:rPr>
                <w:sz w:val="20"/>
                <w:szCs w:val="20"/>
                <w:color w:val="auto"/>
              </w:rPr>
            </w:pPr>
            <w:r>
              <w:rPr>
                <w:rFonts w:ascii="Arial" w:cs="Arial" w:eastAsia="Arial" w:hAnsi="Arial"/>
                <w:sz w:val="14"/>
                <w:szCs w:val="14"/>
                <w:b w:val="1"/>
                <w:bCs w:val="1"/>
                <w:color w:val="auto"/>
                <w:w w:val="83"/>
              </w:rPr>
              <w:t>100 mg vs.</w:t>
            </w:r>
          </w:p>
        </w:tc>
        <w:tc>
          <w:tcPr>
            <w:tcW w:w="1440" w:type="dxa"/>
            <w:vAlign w:val="bottom"/>
          </w:tcPr>
          <w:p>
            <w:pPr>
              <w:spacing w:after="0"/>
              <w:rPr>
                <w:sz w:val="14"/>
                <w:szCs w:val="14"/>
                <w:color w:val="auto"/>
              </w:rPr>
            </w:pPr>
          </w:p>
        </w:tc>
      </w:tr>
      <w:tr>
        <w:trPr>
          <w:trHeight w:val="149"/>
        </w:trPr>
        <w:tc>
          <w:tcPr>
            <w:tcW w:w="14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center"/>
              <w:ind w:left="98"/>
              <w:spacing w:after="0" w:line="149" w:lineRule="exact"/>
              <w:rPr>
                <w:sz w:val="20"/>
                <w:szCs w:val="20"/>
                <w:color w:val="auto"/>
              </w:rPr>
            </w:pPr>
            <w:r>
              <w:rPr>
                <w:rFonts w:ascii="Arial" w:cs="Arial" w:eastAsia="Arial" w:hAnsi="Arial"/>
                <w:sz w:val="14"/>
                <w:szCs w:val="14"/>
                <w:b w:val="1"/>
                <w:bCs w:val="1"/>
                <w:color w:val="auto"/>
                <w:w w:val="82"/>
              </w:rPr>
              <w:t>Pbo p</w:t>
            </w:r>
          </w:p>
        </w:tc>
        <w:tc>
          <w:tcPr>
            <w:tcW w:w="1440" w:type="dxa"/>
            <w:vAlign w:val="bottom"/>
          </w:tcPr>
          <w:p>
            <w:pPr>
              <w:spacing w:after="0"/>
              <w:rPr>
                <w:sz w:val="12"/>
                <w:szCs w:val="12"/>
                <w:color w:val="auto"/>
              </w:rPr>
            </w:pPr>
          </w:p>
        </w:tc>
      </w:tr>
      <w:tr>
        <w:trPr>
          <w:trHeight w:val="161"/>
        </w:trPr>
        <w:tc>
          <w:tcPr>
            <w:tcW w:w="14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1"/>
              </w:rPr>
              <w:t>Placebo</w:t>
            </w:r>
          </w:p>
        </w:tc>
        <w:tc>
          <w:tcPr>
            <w:tcW w:w="11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3"/>
              </w:rPr>
              <w:t>25 mg</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93"/>
              </w:rPr>
              <w:t>50 mg</w:t>
            </w:r>
          </w:p>
        </w:tc>
        <w:tc>
          <w:tcPr>
            <w:tcW w:w="7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100 mg</w:t>
            </w:r>
          </w:p>
        </w:tc>
        <w:tc>
          <w:tcPr>
            <w:tcW w:w="1060" w:type="dxa"/>
            <w:vAlign w:val="bottom"/>
          </w:tcPr>
          <w:p>
            <w:pPr>
              <w:jc w:val="center"/>
              <w:ind w:left="98"/>
              <w:spacing w:after="0"/>
              <w:rPr>
                <w:sz w:val="20"/>
                <w:szCs w:val="20"/>
                <w:color w:val="auto"/>
              </w:rPr>
            </w:pPr>
            <w:r>
              <w:rPr>
                <w:rFonts w:ascii="Arial" w:cs="Arial" w:eastAsia="Arial" w:hAnsi="Arial"/>
                <w:sz w:val="14"/>
                <w:szCs w:val="14"/>
                <w:b w:val="1"/>
                <w:bCs w:val="1"/>
                <w:color w:val="auto"/>
                <w:w w:val="89"/>
              </w:rPr>
              <w:t>value</w:t>
            </w:r>
          </w:p>
        </w:tc>
        <w:tc>
          <w:tcPr>
            <w:tcW w:w="1440" w:type="dxa"/>
            <w:vAlign w:val="bottom"/>
          </w:tcPr>
          <w:p>
            <w:pPr>
              <w:spacing w:after="0"/>
              <w:rPr>
                <w:sz w:val="14"/>
                <w:szCs w:val="14"/>
                <w:color w:val="auto"/>
              </w:rPr>
            </w:pPr>
          </w:p>
        </w:tc>
      </w:tr>
      <w:tr>
        <w:trPr>
          <w:trHeight w:val="216"/>
        </w:trPr>
        <w:tc>
          <w:tcPr>
            <w:tcW w:w="1440" w:type="dxa"/>
            <w:vAlign w:val="bottom"/>
          </w:tcPr>
          <w:p>
            <w:pPr>
              <w:spacing w:after="0"/>
              <w:rPr>
                <w:sz w:val="18"/>
                <w:szCs w:val="18"/>
                <w:color w:val="auto"/>
              </w:rPr>
            </w:pPr>
          </w:p>
        </w:tc>
        <w:tc>
          <w:tcPr>
            <w:tcW w:w="3300" w:type="dxa"/>
            <w:vAlign w:val="bottom"/>
            <w:shd w:val="clear" w:color="auto" w:fill="EEEEEE"/>
          </w:tcPr>
          <w:p>
            <w:pPr>
              <w:spacing w:after="0"/>
              <w:rPr>
                <w:sz w:val="20"/>
                <w:szCs w:val="20"/>
                <w:color w:val="auto"/>
              </w:rPr>
            </w:pPr>
            <w:r>
              <w:rPr>
                <w:rFonts w:ascii="Arial" w:cs="Arial" w:eastAsia="Arial" w:hAnsi="Arial"/>
                <w:sz w:val="18"/>
                <w:szCs w:val="18"/>
                <w:color w:val="auto"/>
              </w:rPr>
              <w:t>Intent to Treat (ITT)</w:t>
            </w:r>
          </w:p>
        </w:tc>
        <w:tc>
          <w:tcPr>
            <w:tcW w:w="4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r>
      <w:tr>
        <w:trPr>
          <w:trHeight w:val="208"/>
        </w:trPr>
        <w:tc>
          <w:tcPr>
            <w:tcW w:w="14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Last Observation Carried Forward</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2"/>
        </w:trPr>
        <w:tc>
          <w:tcPr>
            <w:tcW w:w="1440" w:type="dxa"/>
            <w:vAlign w:val="bottom"/>
          </w:tcPr>
          <w:p>
            <w:pPr>
              <w:spacing w:after="0"/>
              <w:rPr>
                <w:sz w:val="19"/>
                <w:szCs w:val="19"/>
                <w:color w:val="auto"/>
              </w:rPr>
            </w:pPr>
          </w:p>
        </w:tc>
        <w:tc>
          <w:tcPr>
            <w:tcW w:w="3300" w:type="dxa"/>
            <w:vAlign w:val="bottom"/>
          </w:tcPr>
          <w:p>
            <w:pPr>
              <w:ind w:left="140"/>
              <w:spacing w:after="0"/>
              <w:rPr>
                <w:sz w:val="20"/>
                <w:szCs w:val="20"/>
                <w:color w:val="auto"/>
              </w:rPr>
            </w:pPr>
            <w:r>
              <w:rPr>
                <w:rFonts w:ascii="Arial" w:cs="Arial" w:eastAsia="Arial" w:hAnsi="Arial"/>
                <w:sz w:val="18"/>
                <w:szCs w:val="18"/>
                <w:color w:val="auto"/>
              </w:rPr>
              <w:t>(LOCF)</w:t>
            </w: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w w:val="86"/>
              </w:rPr>
              <w:t>n = 55</w:t>
            </w: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w w:val="86"/>
              </w:rPr>
              <w:t>n = 46</w:t>
            </w:r>
          </w:p>
        </w:tc>
        <w:tc>
          <w:tcPr>
            <w:tcW w:w="440" w:type="dxa"/>
            <w:vAlign w:val="bottom"/>
          </w:tcPr>
          <w:p>
            <w:pPr>
              <w:jc w:val="right"/>
              <w:spacing w:after="0"/>
              <w:rPr>
                <w:sz w:val="20"/>
                <w:szCs w:val="20"/>
                <w:color w:val="auto"/>
              </w:rPr>
            </w:pPr>
            <w:r>
              <w:rPr>
                <w:rFonts w:ascii="Arial" w:cs="Arial" w:eastAsia="Arial" w:hAnsi="Arial"/>
                <w:sz w:val="18"/>
                <w:szCs w:val="18"/>
                <w:color w:val="auto"/>
                <w:w w:val="82"/>
              </w:rPr>
              <w:t>n = 48</w:t>
            </w:r>
          </w:p>
        </w:tc>
        <w:tc>
          <w:tcPr>
            <w:tcW w:w="700" w:type="dxa"/>
            <w:vAlign w:val="bottom"/>
          </w:tcPr>
          <w:p>
            <w:pPr>
              <w:spacing w:after="0"/>
              <w:rPr>
                <w:sz w:val="19"/>
                <w:szCs w:val="19"/>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n = 50</w:t>
            </w:r>
          </w:p>
        </w:tc>
        <w:tc>
          <w:tcPr>
            <w:tcW w:w="10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110"/>
        </w:trPr>
        <w:tc>
          <w:tcPr>
            <w:tcW w:w="1440" w:type="dxa"/>
            <w:vAlign w:val="bottom"/>
          </w:tcPr>
          <w:p>
            <w:pPr>
              <w:spacing w:after="0"/>
              <w:rPr>
                <w:sz w:val="9"/>
                <w:szCs w:val="9"/>
                <w:color w:val="auto"/>
              </w:rPr>
            </w:pPr>
          </w:p>
        </w:tc>
        <w:tc>
          <w:tcPr>
            <w:tcW w:w="33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102"/>
        </w:trPr>
        <w:tc>
          <w:tcPr>
            <w:tcW w:w="1440" w:type="dxa"/>
            <w:vAlign w:val="bottom"/>
          </w:tcPr>
          <w:p>
            <w:pPr>
              <w:spacing w:after="0"/>
              <w:rPr>
                <w:sz w:val="8"/>
                <w:szCs w:val="8"/>
                <w:color w:val="auto"/>
              </w:rPr>
            </w:pPr>
          </w:p>
        </w:tc>
        <w:tc>
          <w:tcPr>
            <w:tcW w:w="3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216"/>
        </w:trPr>
        <w:tc>
          <w:tcPr>
            <w:tcW w:w="1440" w:type="dxa"/>
            <w:vAlign w:val="bottom"/>
          </w:tcPr>
          <w:p>
            <w:pPr>
              <w:spacing w:after="0"/>
              <w:rPr>
                <w:sz w:val="18"/>
                <w:szCs w:val="18"/>
                <w:color w:val="auto"/>
              </w:rPr>
            </w:pPr>
          </w:p>
        </w:tc>
        <w:tc>
          <w:tcPr>
            <w:tcW w:w="33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ACR 20 (%)</w:t>
            </w:r>
          </w:p>
        </w:tc>
        <w:tc>
          <w:tcPr>
            <w:tcW w:w="1100" w:type="dxa"/>
            <w:vAlign w:val="bottom"/>
            <w:gridSpan w:val="2"/>
            <w:shd w:val="clear" w:color="auto" w:fill="EEEEEE"/>
          </w:tcPr>
          <w:p>
            <w:pPr>
              <w:jc w:val="right"/>
              <w:ind w:right="640"/>
              <w:spacing w:after="0"/>
              <w:rPr>
                <w:sz w:val="20"/>
                <w:szCs w:val="20"/>
                <w:color w:val="auto"/>
              </w:rPr>
            </w:pPr>
            <w:r>
              <w:rPr>
                <w:rFonts w:ascii="Arial" w:cs="Arial" w:eastAsia="Arial" w:hAnsi="Arial"/>
                <w:sz w:val="18"/>
                <w:szCs w:val="18"/>
                <w:color w:val="auto"/>
              </w:rPr>
              <w:t>30.9</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34.8</w:t>
            </w:r>
          </w:p>
        </w:tc>
        <w:tc>
          <w:tcPr>
            <w:tcW w:w="70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20.8</w:t>
            </w:r>
          </w:p>
        </w:tc>
        <w:tc>
          <w:tcPr>
            <w:tcW w:w="148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46.0</w:t>
            </w:r>
          </w:p>
        </w:tc>
        <w:tc>
          <w:tcPr>
            <w:tcW w:w="1060" w:type="dxa"/>
            <w:vAlign w:val="bottom"/>
            <w:shd w:val="clear" w:color="auto" w:fill="EEEEEE"/>
          </w:tcPr>
          <w:p>
            <w:pPr>
              <w:jc w:val="right"/>
              <w:ind w:right="158"/>
              <w:spacing w:after="0"/>
              <w:rPr>
                <w:sz w:val="20"/>
                <w:szCs w:val="20"/>
                <w:color w:val="auto"/>
              </w:rPr>
            </w:pPr>
            <w:r>
              <w:rPr>
                <w:rFonts w:ascii="Arial" w:cs="Arial" w:eastAsia="Arial" w:hAnsi="Arial"/>
                <w:sz w:val="18"/>
                <w:szCs w:val="18"/>
                <w:color w:val="auto"/>
              </w:rPr>
              <w:t>0.11</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b w:val="1"/>
                <w:bCs w:val="1"/>
                <w:color w:val="auto"/>
              </w:rPr>
              <w:t>ACR 50 (%)</w:t>
            </w: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9.1</w:t>
            </w:r>
          </w:p>
        </w:tc>
        <w:tc>
          <w:tcPr>
            <w:tcW w:w="460" w:type="dxa"/>
            <w:vAlign w:val="bottom"/>
          </w:tcPr>
          <w:p>
            <w:pPr>
              <w:jc w:val="right"/>
              <w:spacing w:after="0"/>
              <w:rPr>
                <w:sz w:val="20"/>
                <w:szCs w:val="20"/>
                <w:color w:val="auto"/>
              </w:rPr>
            </w:pPr>
            <w:r>
              <w:rPr>
                <w:rFonts w:ascii="Arial" w:cs="Arial" w:eastAsia="Arial" w:hAnsi="Arial"/>
                <w:sz w:val="18"/>
                <w:szCs w:val="18"/>
                <w:color w:val="auto"/>
              </w:rPr>
              <w:t>17.4</w:t>
            </w:r>
          </w:p>
        </w:tc>
        <w:tc>
          <w:tcPr>
            <w:tcW w:w="7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10.4</w:t>
            </w: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rPr>
              <w:t>20.0</w:t>
            </w:r>
          </w:p>
        </w:tc>
        <w:tc>
          <w:tcPr>
            <w:tcW w:w="1060" w:type="dxa"/>
            <w:vAlign w:val="bottom"/>
          </w:tcPr>
          <w:p>
            <w:pPr>
              <w:jc w:val="right"/>
              <w:ind w:right="158"/>
              <w:spacing w:after="0"/>
              <w:rPr>
                <w:sz w:val="20"/>
                <w:szCs w:val="20"/>
                <w:color w:val="auto"/>
              </w:rPr>
            </w:pPr>
            <w:r>
              <w:rPr>
                <w:rFonts w:ascii="Arial" w:cs="Arial" w:eastAsia="Arial" w:hAnsi="Arial"/>
                <w:sz w:val="18"/>
                <w:szCs w:val="18"/>
                <w:color w:val="auto"/>
              </w:rPr>
              <w:t>0.11</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3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ACR 70 (%)</w:t>
            </w:r>
          </w:p>
        </w:tc>
        <w:tc>
          <w:tcPr>
            <w:tcW w:w="1100" w:type="dxa"/>
            <w:vAlign w:val="bottom"/>
            <w:gridSpan w:val="2"/>
            <w:shd w:val="clear" w:color="auto" w:fill="EEEEEE"/>
          </w:tcPr>
          <w:p>
            <w:pPr>
              <w:jc w:val="right"/>
              <w:ind w:right="640"/>
              <w:spacing w:after="0"/>
              <w:rPr>
                <w:sz w:val="20"/>
                <w:szCs w:val="20"/>
                <w:color w:val="auto"/>
              </w:rPr>
            </w:pPr>
            <w:r>
              <w:rPr>
                <w:rFonts w:ascii="Arial" w:cs="Arial" w:eastAsia="Arial" w:hAnsi="Arial"/>
                <w:sz w:val="18"/>
                <w:szCs w:val="18"/>
                <w:color w:val="auto"/>
              </w:rPr>
              <w:t>3.6</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w:t>
            </w:r>
          </w:p>
        </w:tc>
        <w:tc>
          <w:tcPr>
            <w:tcW w:w="70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w:t>
            </w:r>
          </w:p>
        </w:tc>
        <w:tc>
          <w:tcPr>
            <w:tcW w:w="148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12.0</w:t>
            </w:r>
          </w:p>
        </w:tc>
        <w:tc>
          <w:tcPr>
            <w:tcW w:w="1060" w:type="dxa"/>
            <w:vAlign w:val="bottom"/>
            <w:shd w:val="clear" w:color="auto" w:fill="EEEEEE"/>
          </w:tcPr>
          <w:p>
            <w:pPr>
              <w:jc w:val="right"/>
              <w:ind w:right="158"/>
              <w:spacing w:after="0"/>
              <w:rPr>
                <w:sz w:val="20"/>
                <w:szCs w:val="20"/>
                <w:color w:val="auto"/>
              </w:rPr>
            </w:pPr>
            <w:r>
              <w:rPr>
                <w:rFonts w:ascii="Arial" w:cs="Arial" w:eastAsia="Arial" w:hAnsi="Arial"/>
                <w:sz w:val="18"/>
                <w:szCs w:val="18"/>
                <w:color w:val="auto"/>
              </w:rPr>
              <w:t>0.11</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b w:val="1"/>
                <w:bCs w:val="1"/>
                <w:color w:val="auto"/>
              </w:rPr>
              <w:t>Sustained ACR 20 (%)</w:t>
            </w: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12.7</w:t>
            </w:r>
          </w:p>
        </w:tc>
        <w:tc>
          <w:tcPr>
            <w:tcW w:w="460" w:type="dxa"/>
            <w:vAlign w:val="bottom"/>
          </w:tcPr>
          <w:p>
            <w:pPr>
              <w:jc w:val="right"/>
              <w:spacing w:after="0"/>
              <w:rPr>
                <w:sz w:val="20"/>
                <w:szCs w:val="20"/>
                <w:color w:val="auto"/>
              </w:rPr>
            </w:pPr>
            <w:r>
              <w:rPr>
                <w:rFonts w:ascii="Arial" w:cs="Arial" w:eastAsia="Arial" w:hAnsi="Arial"/>
                <w:sz w:val="18"/>
                <w:szCs w:val="18"/>
                <w:color w:val="auto"/>
              </w:rPr>
              <w:t>19.6</w:t>
            </w:r>
          </w:p>
        </w:tc>
        <w:tc>
          <w:tcPr>
            <w:tcW w:w="7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18.8</w:t>
            </w: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rPr>
              <w:t>30.0</w:t>
            </w:r>
          </w:p>
        </w:tc>
        <w:tc>
          <w:tcPr>
            <w:tcW w:w="1060" w:type="dxa"/>
            <w:vAlign w:val="bottom"/>
          </w:tcPr>
          <w:p>
            <w:pPr>
              <w:jc w:val="right"/>
              <w:ind w:right="158"/>
              <w:spacing w:after="0"/>
              <w:rPr>
                <w:sz w:val="20"/>
                <w:szCs w:val="20"/>
                <w:color w:val="auto"/>
              </w:rPr>
            </w:pPr>
            <w:r>
              <w:rPr>
                <w:rFonts w:ascii="Arial" w:cs="Arial" w:eastAsia="Arial" w:hAnsi="Arial"/>
                <w:sz w:val="18"/>
                <w:szCs w:val="18"/>
                <w:color w:val="auto"/>
              </w:rPr>
              <w:t>0.03</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3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Sustained ACR 50 (%)</w:t>
            </w:r>
          </w:p>
        </w:tc>
        <w:tc>
          <w:tcPr>
            <w:tcW w:w="1100" w:type="dxa"/>
            <w:vAlign w:val="bottom"/>
            <w:gridSpan w:val="2"/>
            <w:shd w:val="clear" w:color="auto" w:fill="EEEEEE"/>
          </w:tcPr>
          <w:p>
            <w:pPr>
              <w:jc w:val="right"/>
              <w:ind w:right="640"/>
              <w:spacing w:after="0"/>
              <w:rPr>
                <w:sz w:val="20"/>
                <w:szCs w:val="20"/>
                <w:color w:val="auto"/>
              </w:rPr>
            </w:pPr>
            <w:r>
              <w:rPr>
                <w:rFonts w:ascii="Arial" w:cs="Arial" w:eastAsia="Arial" w:hAnsi="Arial"/>
                <w:sz w:val="18"/>
                <w:szCs w:val="18"/>
                <w:color w:val="auto"/>
              </w:rPr>
              <w:t>3.6</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70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w:t>
            </w:r>
          </w:p>
        </w:tc>
        <w:tc>
          <w:tcPr>
            <w:tcW w:w="148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10</w:t>
            </w:r>
          </w:p>
        </w:tc>
        <w:tc>
          <w:tcPr>
            <w:tcW w:w="1060" w:type="dxa"/>
            <w:vAlign w:val="bottom"/>
            <w:shd w:val="clear" w:color="auto" w:fill="EEEEEE"/>
          </w:tcPr>
          <w:p>
            <w:pPr>
              <w:jc w:val="right"/>
              <w:ind w:right="158"/>
              <w:spacing w:after="0"/>
              <w:rPr>
                <w:sz w:val="20"/>
                <w:szCs w:val="20"/>
                <w:color w:val="auto"/>
              </w:rPr>
            </w:pPr>
            <w:r>
              <w:rPr>
                <w:rFonts w:ascii="Arial" w:cs="Arial" w:eastAsia="Arial" w:hAnsi="Arial"/>
                <w:sz w:val="18"/>
                <w:szCs w:val="18"/>
                <w:color w:val="auto"/>
              </w:rPr>
              <w:t>0.19</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b w:val="1"/>
                <w:bCs w:val="1"/>
                <w:color w:val="auto"/>
              </w:rPr>
              <w:t>ACR-N (%)</w:t>
            </w: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13.5</w:t>
            </w:r>
          </w:p>
        </w:tc>
        <w:tc>
          <w:tcPr>
            <w:tcW w:w="460" w:type="dxa"/>
            <w:vAlign w:val="bottom"/>
          </w:tcPr>
          <w:p>
            <w:pPr>
              <w:jc w:val="right"/>
              <w:spacing w:after="0"/>
              <w:rPr>
                <w:sz w:val="20"/>
                <w:szCs w:val="20"/>
                <w:color w:val="auto"/>
              </w:rPr>
            </w:pPr>
            <w:r>
              <w:rPr>
                <w:rFonts w:ascii="Arial" w:cs="Arial" w:eastAsia="Arial" w:hAnsi="Arial"/>
                <w:sz w:val="18"/>
                <w:szCs w:val="18"/>
                <w:color w:val="auto"/>
              </w:rPr>
              <w:t>18.0</w:t>
            </w:r>
          </w:p>
        </w:tc>
        <w:tc>
          <w:tcPr>
            <w:tcW w:w="7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13.2</w:t>
            </w: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rPr>
              <w:t>24.1</w:t>
            </w:r>
          </w:p>
        </w:tc>
        <w:tc>
          <w:tcPr>
            <w:tcW w:w="1060" w:type="dxa"/>
            <w:vAlign w:val="bottom"/>
          </w:tcPr>
          <w:p>
            <w:pPr>
              <w:jc w:val="right"/>
              <w:ind w:right="158"/>
              <w:spacing w:after="0"/>
              <w:rPr>
                <w:sz w:val="20"/>
                <w:szCs w:val="20"/>
                <w:color w:val="auto"/>
              </w:rPr>
            </w:pPr>
            <w:r>
              <w:rPr>
                <w:rFonts w:ascii="Arial" w:cs="Arial" w:eastAsia="Arial" w:hAnsi="Arial"/>
                <w:sz w:val="18"/>
                <w:szCs w:val="18"/>
                <w:color w:val="auto"/>
              </w:rPr>
              <w:t>0.02</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3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ACR-N AUC</w:t>
            </w:r>
          </w:p>
        </w:tc>
        <w:tc>
          <w:tcPr>
            <w:tcW w:w="1100" w:type="dxa"/>
            <w:vAlign w:val="bottom"/>
            <w:gridSpan w:val="2"/>
            <w:shd w:val="clear" w:color="auto" w:fill="EEEEEE"/>
          </w:tcPr>
          <w:p>
            <w:pPr>
              <w:jc w:val="right"/>
              <w:ind w:right="640"/>
              <w:spacing w:after="0"/>
              <w:rPr>
                <w:sz w:val="20"/>
                <w:szCs w:val="20"/>
                <w:color w:val="auto"/>
              </w:rPr>
            </w:pPr>
            <w:r>
              <w:rPr>
                <w:rFonts w:ascii="Arial" w:cs="Arial" w:eastAsia="Arial" w:hAnsi="Arial"/>
                <w:sz w:val="18"/>
                <w:szCs w:val="18"/>
                <w:color w:val="auto"/>
              </w:rPr>
              <w:t>787</w:t>
            </w:r>
          </w:p>
        </w:tc>
        <w:tc>
          <w:tcPr>
            <w:tcW w:w="1160" w:type="dxa"/>
            <w:vAlign w:val="bottom"/>
            <w:gridSpan w:val="2"/>
            <w:shd w:val="clear" w:color="auto" w:fill="EEEEEE"/>
          </w:tcPr>
          <w:p>
            <w:pPr>
              <w:jc w:val="right"/>
              <w:ind w:right="700"/>
              <w:spacing w:after="0"/>
              <w:rPr>
                <w:sz w:val="20"/>
                <w:szCs w:val="20"/>
                <w:color w:val="auto"/>
              </w:rPr>
            </w:pPr>
            <w:r>
              <w:rPr>
                <w:rFonts w:ascii="Arial" w:cs="Arial" w:eastAsia="Arial" w:hAnsi="Arial"/>
                <w:sz w:val="18"/>
                <w:szCs w:val="18"/>
                <w:color w:val="auto"/>
              </w:rPr>
              <w:t>1146</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988</w:t>
            </w:r>
          </w:p>
        </w:tc>
        <w:tc>
          <w:tcPr>
            <w:tcW w:w="148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1357</w:t>
            </w:r>
          </w:p>
        </w:tc>
        <w:tc>
          <w:tcPr>
            <w:tcW w:w="1060" w:type="dxa"/>
            <w:vAlign w:val="bottom"/>
            <w:shd w:val="clear" w:color="auto" w:fill="EEEEEE"/>
          </w:tcPr>
          <w:p>
            <w:pPr>
              <w:jc w:val="right"/>
              <w:ind w:right="158"/>
              <w:spacing w:after="0"/>
              <w:rPr>
                <w:sz w:val="20"/>
                <w:szCs w:val="20"/>
                <w:color w:val="auto"/>
              </w:rPr>
            </w:pPr>
            <w:r>
              <w:rPr>
                <w:rFonts w:ascii="Arial" w:cs="Arial" w:eastAsia="Arial" w:hAnsi="Arial"/>
                <w:sz w:val="18"/>
                <w:szCs w:val="18"/>
                <w:color w:val="auto"/>
              </w:rPr>
              <w:t>0.02</w:t>
            </w:r>
          </w:p>
        </w:tc>
        <w:tc>
          <w:tcPr>
            <w:tcW w:w="1440" w:type="dxa"/>
            <w:vAlign w:val="bottom"/>
          </w:tcPr>
          <w:p>
            <w:pPr>
              <w:spacing w:after="0"/>
              <w:rPr>
                <w:sz w:val="18"/>
                <w:szCs w:val="18"/>
                <w:color w:val="auto"/>
              </w:rPr>
            </w:pPr>
          </w:p>
        </w:tc>
      </w:tr>
      <w:tr>
        <w:trPr>
          <w:trHeight w:val="228"/>
        </w:trPr>
        <w:tc>
          <w:tcPr>
            <w:tcW w:w="144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b w:val="1"/>
                <w:bCs w:val="1"/>
                <w:color w:val="auto"/>
              </w:rPr>
              <w:t>CRP (mean change) mg/dL</w:t>
            </w: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w w:val="97"/>
              </w:rPr>
              <w:t>0.072</w:t>
            </w:r>
          </w:p>
        </w:tc>
        <w:tc>
          <w:tcPr>
            <w:tcW w:w="460" w:type="dxa"/>
            <w:vAlign w:val="bottom"/>
          </w:tcPr>
          <w:p>
            <w:pPr>
              <w:jc w:val="right"/>
              <w:spacing w:after="0"/>
              <w:rPr>
                <w:sz w:val="20"/>
                <w:szCs w:val="20"/>
                <w:color w:val="auto"/>
              </w:rPr>
            </w:pPr>
            <w:r>
              <w:rPr>
                <w:rFonts w:ascii="Arial" w:cs="Arial" w:eastAsia="Arial" w:hAnsi="Arial"/>
                <w:sz w:val="18"/>
                <w:szCs w:val="18"/>
                <w:color w:val="auto"/>
                <w:w w:val="86"/>
              </w:rPr>
              <w:t>-0.675</w:t>
            </w: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2"/>
              </w:rPr>
              <w:t>-1.021</w:t>
            </w: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rPr>
              <w:t>-1.363</w:t>
            </w:r>
          </w:p>
        </w:tc>
        <w:tc>
          <w:tcPr>
            <w:tcW w:w="1060" w:type="dxa"/>
            <w:vAlign w:val="bottom"/>
          </w:tcPr>
          <w:p>
            <w:pPr>
              <w:jc w:val="right"/>
              <w:ind w:right="158"/>
              <w:spacing w:after="0"/>
              <w:rPr>
                <w:sz w:val="20"/>
                <w:szCs w:val="20"/>
                <w:color w:val="auto"/>
              </w:rPr>
            </w:pPr>
            <w:r>
              <w:rPr>
                <w:rFonts w:ascii="Arial" w:cs="Arial" w:eastAsia="Arial" w:hAnsi="Arial"/>
                <w:sz w:val="18"/>
                <w:szCs w:val="18"/>
                <w:color w:val="auto"/>
              </w:rPr>
              <w:t>0.004</w:t>
            </w:r>
          </w:p>
        </w:tc>
        <w:tc>
          <w:tcPr>
            <w:tcW w:w="1440" w:type="dxa"/>
            <w:vAlign w:val="bottom"/>
          </w:tcPr>
          <w:p>
            <w:pPr>
              <w:spacing w:after="0"/>
              <w:rPr>
                <w:sz w:val="19"/>
                <w:szCs w:val="19"/>
                <w:color w:val="auto"/>
              </w:rPr>
            </w:pPr>
          </w:p>
        </w:tc>
      </w:tr>
      <w:tr>
        <w:trPr>
          <w:trHeight w:val="646"/>
        </w:trPr>
        <w:tc>
          <w:tcPr>
            <w:tcW w:w="1440" w:type="dxa"/>
            <w:vAlign w:val="bottom"/>
            <w:tcBorders>
              <w:bottom w:val="single" w:sz="8" w:color="808080"/>
            </w:tcBorders>
          </w:tcPr>
          <w:p>
            <w:pPr>
              <w:spacing w:after="0"/>
              <w:rPr>
                <w:sz w:val="24"/>
                <w:szCs w:val="24"/>
                <w:color w:val="auto"/>
              </w:rPr>
            </w:pPr>
          </w:p>
        </w:tc>
        <w:tc>
          <w:tcPr>
            <w:tcW w:w="33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7" w:name="page8"/>
    <w:bookmarkEnd w:id="7"/>
    <w:tbl>
      <w:tblPr>
        <w:tblLayout w:type="fixed"/>
        <w:tblInd w:w="1440" w:type="dxa"/>
        <w:tblCellMar>
          <w:top w:w="0" w:type="dxa"/>
          <w:left w:w="0" w:type="dxa"/>
          <w:bottom w:w="0" w:type="dxa"/>
          <w:right w:w="0" w:type="dxa"/>
        </w:tblCellMar>
      </w:tblPr>
      <w:tr>
        <w:trPr>
          <w:trHeight w:val="216"/>
        </w:trPr>
        <w:tc>
          <w:tcPr>
            <w:tcW w:w="33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w w:val="86"/>
              </w:rPr>
              <w:t>n = 53</w:t>
            </w:r>
          </w:p>
        </w:tc>
        <w:tc>
          <w:tcPr>
            <w:tcW w:w="1180" w:type="dxa"/>
            <w:vAlign w:val="bottom"/>
            <w:gridSpan w:val="2"/>
            <w:shd w:val="clear" w:color="auto" w:fill="EEEEEE"/>
          </w:tcPr>
          <w:p>
            <w:pPr>
              <w:jc w:val="right"/>
              <w:ind w:right="740"/>
              <w:spacing w:after="0"/>
              <w:rPr>
                <w:sz w:val="20"/>
                <w:szCs w:val="20"/>
                <w:color w:val="auto"/>
              </w:rPr>
            </w:pPr>
            <w:r>
              <w:rPr>
                <w:rFonts w:ascii="Arial" w:cs="Arial" w:eastAsia="Arial" w:hAnsi="Arial"/>
                <w:sz w:val="18"/>
                <w:szCs w:val="18"/>
                <w:color w:val="auto"/>
                <w:w w:val="82"/>
              </w:rPr>
              <w:t>n = 44</w:t>
            </w:r>
          </w:p>
        </w:tc>
        <w:tc>
          <w:tcPr>
            <w:tcW w:w="11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 = 48</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n = 50</w:t>
            </w:r>
          </w:p>
        </w:tc>
        <w:tc>
          <w:tcPr>
            <w:tcW w:w="1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380" w:type="dxa"/>
            <w:vAlign w:val="bottom"/>
            <w:vMerge w:val="restart"/>
          </w:tcPr>
          <w:p>
            <w:pPr>
              <w:spacing w:after="0"/>
              <w:rPr>
                <w:sz w:val="20"/>
                <w:szCs w:val="20"/>
                <w:color w:val="auto"/>
              </w:rPr>
            </w:pPr>
            <w:r>
              <w:rPr>
                <w:rFonts w:ascii="Arial" w:cs="Arial" w:eastAsia="Arial" w:hAnsi="Arial"/>
                <w:sz w:val="18"/>
                <w:szCs w:val="18"/>
                <w:b w:val="1"/>
                <w:bCs w:val="1"/>
                <w:color w:val="auto"/>
              </w:rPr>
              <w:t>Disease Activity Score</w:t>
            </w:r>
          </w:p>
        </w:tc>
        <w:tc>
          <w:tcPr>
            <w:tcW w:w="46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3380" w:type="dxa"/>
            <w:vAlign w:val="bottom"/>
            <w:vMerge w:val="continue"/>
          </w:tcPr>
          <w:p>
            <w:pPr>
              <w:spacing w:after="0"/>
              <w:rPr>
                <w:sz w:val="24"/>
                <w:szCs w:val="24"/>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-0.70</w:t>
            </w:r>
          </w:p>
        </w:tc>
        <w:tc>
          <w:tcPr>
            <w:tcW w:w="1180" w:type="dxa"/>
            <w:vAlign w:val="bottom"/>
            <w:gridSpan w:val="2"/>
          </w:tcPr>
          <w:p>
            <w:pPr>
              <w:jc w:val="right"/>
              <w:ind w:right="740"/>
              <w:spacing w:after="0"/>
              <w:rPr>
                <w:sz w:val="20"/>
                <w:szCs w:val="20"/>
                <w:color w:val="auto"/>
              </w:rPr>
            </w:pPr>
            <w:r>
              <w:rPr>
                <w:rFonts w:ascii="Arial" w:cs="Arial" w:eastAsia="Arial" w:hAnsi="Arial"/>
                <w:sz w:val="18"/>
                <w:szCs w:val="18"/>
                <w:color w:val="auto"/>
              </w:rPr>
              <w:t>-0.88</w:t>
            </w:r>
          </w:p>
        </w:tc>
        <w:tc>
          <w:tcPr>
            <w:tcW w:w="1180" w:type="dxa"/>
            <w:vAlign w:val="bottom"/>
            <w:gridSpan w:val="2"/>
          </w:tcPr>
          <w:p>
            <w:pPr>
              <w:jc w:val="right"/>
              <w:ind w:right="720"/>
              <w:spacing w:after="0"/>
              <w:rPr>
                <w:sz w:val="20"/>
                <w:szCs w:val="20"/>
                <w:color w:val="auto"/>
              </w:rPr>
            </w:pPr>
            <w:r>
              <w:rPr>
                <w:rFonts w:ascii="Arial" w:cs="Arial" w:eastAsia="Arial" w:hAnsi="Arial"/>
                <w:sz w:val="18"/>
                <w:szCs w:val="18"/>
                <w:color w:val="auto"/>
              </w:rPr>
              <w:t>-0.85</w:t>
            </w:r>
          </w:p>
        </w:tc>
        <w:tc>
          <w:tcPr>
            <w:tcW w:w="460" w:type="dxa"/>
            <w:vAlign w:val="bottom"/>
          </w:tcPr>
          <w:p>
            <w:pPr>
              <w:jc w:val="right"/>
              <w:spacing w:after="0"/>
              <w:rPr>
                <w:sz w:val="20"/>
                <w:szCs w:val="20"/>
                <w:color w:val="auto"/>
              </w:rPr>
            </w:pPr>
            <w:r>
              <w:rPr>
                <w:rFonts w:ascii="Arial" w:cs="Arial" w:eastAsia="Arial" w:hAnsi="Arial"/>
                <w:sz w:val="18"/>
                <w:szCs w:val="18"/>
                <w:color w:val="auto"/>
              </w:rPr>
              <w:t>-1.12</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7"/>
        </w:trPr>
        <w:tc>
          <w:tcPr>
            <w:tcW w:w="33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w w:val="86"/>
              </w:rPr>
              <w:t>n = 53</w:t>
            </w:r>
          </w:p>
        </w:tc>
        <w:tc>
          <w:tcPr>
            <w:tcW w:w="1180" w:type="dxa"/>
            <w:vAlign w:val="bottom"/>
            <w:gridSpan w:val="2"/>
            <w:shd w:val="clear" w:color="auto" w:fill="EEEEEE"/>
          </w:tcPr>
          <w:p>
            <w:pPr>
              <w:jc w:val="right"/>
              <w:ind w:right="740"/>
              <w:spacing w:after="0"/>
              <w:rPr>
                <w:sz w:val="20"/>
                <w:szCs w:val="20"/>
                <w:color w:val="auto"/>
              </w:rPr>
            </w:pPr>
            <w:r>
              <w:rPr>
                <w:rFonts w:ascii="Arial" w:cs="Arial" w:eastAsia="Arial" w:hAnsi="Arial"/>
                <w:sz w:val="18"/>
                <w:szCs w:val="18"/>
                <w:color w:val="auto"/>
                <w:w w:val="82"/>
              </w:rPr>
              <w:t>n = 43</w:t>
            </w:r>
          </w:p>
        </w:tc>
        <w:tc>
          <w:tcPr>
            <w:tcW w:w="11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 = 47</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n = 48</w:t>
            </w:r>
          </w:p>
        </w:tc>
        <w:tc>
          <w:tcPr>
            <w:tcW w:w="1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380" w:type="dxa"/>
            <w:vAlign w:val="bottom"/>
            <w:vMerge w:val="restart"/>
          </w:tcPr>
          <w:p>
            <w:pPr>
              <w:spacing w:after="0"/>
              <w:rPr>
                <w:sz w:val="20"/>
                <w:szCs w:val="20"/>
                <w:color w:val="auto"/>
              </w:rPr>
            </w:pPr>
            <w:r>
              <w:rPr>
                <w:rFonts w:ascii="Arial" w:cs="Arial" w:eastAsia="Arial" w:hAnsi="Arial"/>
                <w:sz w:val="18"/>
                <w:szCs w:val="18"/>
                <w:b w:val="1"/>
                <w:bCs w:val="1"/>
                <w:color w:val="auto"/>
              </w:rPr>
              <w:t>Disease Activity Score AUC</w:t>
            </w:r>
          </w:p>
        </w:tc>
        <w:tc>
          <w:tcPr>
            <w:tcW w:w="46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3380" w:type="dxa"/>
            <w:vAlign w:val="bottom"/>
            <w:vMerge w:val="continue"/>
          </w:tcPr>
          <w:p>
            <w:pPr>
              <w:spacing w:after="0"/>
              <w:rPr>
                <w:sz w:val="24"/>
                <w:szCs w:val="24"/>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394</w:t>
            </w:r>
          </w:p>
        </w:tc>
        <w:tc>
          <w:tcPr>
            <w:tcW w:w="1180" w:type="dxa"/>
            <w:vAlign w:val="bottom"/>
            <w:gridSpan w:val="2"/>
          </w:tcPr>
          <w:p>
            <w:pPr>
              <w:jc w:val="right"/>
              <w:ind w:right="740"/>
              <w:spacing w:after="0"/>
              <w:rPr>
                <w:sz w:val="20"/>
                <w:szCs w:val="20"/>
                <w:color w:val="auto"/>
              </w:rPr>
            </w:pPr>
            <w:r>
              <w:rPr>
                <w:rFonts w:ascii="Arial" w:cs="Arial" w:eastAsia="Arial" w:hAnsi="Arial"/>
                <w:sz w:val="18"/>
                <w:szCs w:val="18"/>
                <w:color w:val="auto"/>
              </w:rPr>
              <w:t>367</w:t>
            </w:r>
          </w:p>
        </w:tc>
        <w:tc>
          <w:tcPr>
            <w:tcW w:w="1180" w:type="dxa"/>
            <w:vAlign w:val="bottom"/>
            <w:gridSpan w:val="2"/>
          </w:tcPr>
          <w:p>
            <w:pPr>
              <w:jc w:val="right"/>
              <w:ind w:right="720"/>
              <w:spacing w:after="0"/>
              <w:rPr>
                <w:sz w:val="20"/>
                <w:szCs w:val="20"/>
                <w:color w:val="auto"/>
              </w:rPr>
            </w:pPr>
            <w:r>
              <w:rPr>
                <w:rFonts w:ascii="Arial" w:cs="Arial" w:eastAsia="Arial" w:hAnsi="Arial"/>
                <w:sz w:val="18"/>
                <w:szCs w:val="18"/>
                <w:color w:val="auto"/>
              </w:rPr>
              <w:t>391</w:t>
            </w:r>
          </w:p>
        </w:tc>
        <w:tc>
          <w:tcPr>
            <w:tcW w:w="460" w:type="dxa"/>
            <w:vAlign w:val="bottom"/>
          </w:tcPr>
          <w:p>
            <w:pPr>
              <w:jc w:val="right"/>
              <w:spacing w:after="0"/>
              <w:rPr>
                <w:sz w:val="20"/>
                <w:szCs w:val="20"/>
                <w:color w:val="auto"/>
              </w:rPr>
            </w:pPr>
            <w:r>
              <w:rPr>
                <w:rFonts w:ascii="Arial" w:cs="Arial" w:eastAsia="Arial" w:hAnsi="Arial"/>
                <w:sz w:val="18"/>
                <w:szCs w:val="18"/>
                <w:color w:val="auto"/>
              </w:rPr>
              <w:t>345</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0.008</w:t>
            </w:r>
          </w:p>
        </w:tc>
        <w:tc>
          <w:tcPr>
            <w:tcW w:w="0" w:type="dxa"/>
            <w:vAlign w:val="bottom"/>
          </w:tcPr>
          <w:p>
            <w:pPr>
              <w:spacing w:after="0"/>
              <w:rPr>
                <w:sz w:val="1"/>
                <w:szCs w:val="1"/>
                <w:color w:val="auto"/>
              </w:rPr>
            </w:pPr>
          </w:p>
        </w:tc>
      </w:tr>
      <w:tr>
        <w:trPr>
          <w:trHeight w:val="217"/>
        </w:trPr>
        <w:tc>
          <w:tcPr>
            <w:tcW w:w="3380" w:type="dxa"/>
            <w:vAlign w:val="bottom"/>
            <w:shd w:val="clear" w:color="auto" w:fill="EEEEEE"/>
          </w:tcPr>
          <w:p>
            <w:pPr>
              <w:spacing w:after="0"/>
              <w:rPr>
                <w:sz w:val="20"/>
                <w:szCs w:val="20"/>
                <w:color w:val="auto"/>
              </w:rPr>
            </w:pPr>
            <w:r>
              <w:rPr>
                <w:rFonts w:ascii="Arial" w:cs="Arial" w:eastAsia="Arial" w:hAnsi="Arial"/>
                <w:sz w:val="18"/>
                <w:szCs w:val="18"/>
                <w:color w:val="auto"/>
              </w:rPr>
              <w:t>Patients on DMARDs</w:t>
            </w:r>
          </w:p>
        </w:tc>
        <w:tc>
          <w:tcPr>
            <w:tcW w:w="114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w w:val="86"/>
              </w:rPr>
              <w:t>n = 36</w:t>
            </w:r>
          </w:p>
        </w:tc>
        <w:tc>
          <w:tcPr>
            <w:tcW w:w="1180" w:type="dxa"/>
            <w:vAlign w:val="bottom"/>
            <w:gridSpan w:val="2"/>
            <w:shd w:val="clear" w:color="auto" w:fill="EEEEEE"/>
          </w:tcPr>
          <w:p>
            <w:pPr>
              <w:jc w:val="right"/>
              <w:ind w:right="740"/>
              <w:spacing w:after="0"/>
              <w:rPr>
                <w:sz w:val="20"/>
                <w:szCs w:val="20"/>
                <w:color w:val="auto"/>
              </w:rPr>
            </w:pPr>
            <w:r>
              <w:rPr>
                <w:rFonts w:ascii="Arial" w:cs="Arial" w:eastAsia="Arial" w:hAnsi="Arial"/>
                <w:sz w:val="18"/>
                <w:szCs w:val="18"/>
                <w:color w:val="auto"/>
                <w:w w:val="82"/>
              </w:rPr>
              <w:t>n = 29</w:t>
            </w:r>
          </w:p>
        </w:tc>
        <w:tc>
          <w:tcPr>
            <w:tcW w:w="11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 = 29</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n = 34</w:t>
            </w:r>
          </w:p>
        </w:tc>
        <w:tc>
          <w:tcPr>
            <w:tcW w:w="1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380" w:type="dxa"/>
            <w:vAlign w:val="bottom"/>
            <w:vMerge w:val="restart"/>
          </w:tcPr>
          <w:p>
            <w:pPr>
              <w:spacing w:after="0"/>
              <w:rPr>
                <w:sz w:val="20"/>
                <w:szCs w:val="20"/>
                <w:color w:val="auto"/>
              </w:rPr>
            </w:pPr>
            <w:r>
              <w:rPr>
                <w:rFonts w:ascii="Arial" w:cs="Arial" w:eastAsia="Arial" w:hAnsi="Arial"/>
                <w:sz w:val="18"/>
                <w:szCs w:val="18"/>
                <w:b w:val="1"/>
                <w:bCs w:val="1"/>
                <w:color w:val="auto"/>
              </w:rPr>
              <w:t>ACR 20 (%)</w:t>
            </w:r>
          </w:p>
        </w:tc>
        <w:tc>
          <w:tcPr>
            <w:tcW w:w="46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3380" w:type="dxa"/>
            <w:vAlign w:val="bottom"/>
            <w:vMerge w:val="continue"/>
          </w:tcPr>
          <w:p>
            <w:pPr>
              <w:spacing w:after="0"/>
              <w:rPr>
                <w:sz w:val="24"/>
                <w:szCs w:val="24"/>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33.3</w:t>
            </w:r>
          </w:p>
        </w:tc>
        <w:tc>
          <w:tcPr>
            <w:tcW w:w="1180" w:type="dxa"/>
            <w:vAlign w:val="bottom"/>
            <w:gridSpan w:val="2"/>
          </w:tcPr>
          <w:p>
            <w:pPr>
              <w:jc w:val="right"/>
              <w:ind w:right="740"/>
              <w:spacing w:after="0"/>
              <w:rPr>
                <w:sz w:val="20"/>
                <w:szCs w:val="20"/>
                <w:color w:val="auto"/>
              </w:rPr>
            </w:pPr>
            <w:r>
              <w:rPr>
                <w:rFonts w:ascii="Arial" w:cs="Arial" w:eastAsia="Arial" w:hAnsi="Arial"/>
                <w:sz w:val="18"/>
                <w:szCs w:val="18"/>
                <w:color w:val="auto"/>
              </w:rPr>
              <w:t>34.5</w:t>
            </w:r>
          </w:p>
        </w:tc>
        <w:tc>
          <w:tcPr>
            <w:tcW w:w="1180" w:type="dxa"/>
            <w:vAlign w:val="bottom"/>
            <w:gridSpan w:val="2"/>
          </w:tcPr>
          <w:p>
            <w:pPr>
              <w:jc w:val="right"/>
              <w:ind w:right="720"/>
              <w:spacing w:after="0"/>
              <w:rPr>
                <w:sz w:val="20"/>
                <w:szCs w:val="20"/>
                <w:color w:val="auto"/>
              </w:rPr>
            </w:pPr>
            <w:r>
              <w:rPr>
                <w:rFonts w:ascii="Arial" w:cs="Arial" w:eastAsia="Arial" w:hAnsi="Arial"/>
                <w:sz w:val="18"/>
                <w:szCs w:val="18"/>
                <w:color w:val="auto"/>
              </w:rPr>
              <w:t>27.6</w:t>
            </w:r>
          </w:p>
        </w:tc>
        <w:tc>
          <w:tcPr>
            <w:tcW w:w="460" w:type="dxa"/>
            <w:vAlign w:val="bottom"/>
          </w:tcPr>
          <w:p>
            <w:pPr>
              <w:jc w:val="right"/>
              <w:spacing w:after="0"/>
              <w:rPr>
                <w:sz w:val="20"/>
                <w:szCs w:val="20"/>
                <w:color w:val="auto"/>
              </w:rPr>
            </w:pPr>
            <w:r>
              <w:rPr>
                <w:rFonts w:ascii="Arial" w:cs="Arial" w:eastAsia="Arial" w:hAnsi="Arial"/>
                <w:sz w:val="18"/>
                <w:szCs w:val="18"/>
                <w:color w:val="auto"/>
              </w:rPr>
              <w:t>50.0</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7"/>
        </w:trPr>
        <w:tc>
          <w:tcPr>
            <w:tcW w:w="3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ACR 50 (%)</w:t>
            </w:r>
          </w:p>
        </w:tc>
        <w:tc>
          <w:tcPr>
            <w:tcW w:w="114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11.1</w:t>
            </w:r>
          </w:p>
        </w:tc>
        <w:tc>
          <w:tcPr>
            <w:tcW w:w="1180" w:type="dxa"/>
            <w:vAlign w:val="bottom"/>
            <w:gridSpan w:val="2"/>
            <w:shd w:val="clear" w:color="auto" w:fill="EEEEEE"/>
          </w:tcPr>
          <w:p>
            <w:pPr>
              <w:jc w:val="right"/>
              <w:ind w:right="740"/>
              <w:spacing w:after="0"/>
              <w:rPr>
                <w:sz w:val="20"/>
                <w:szCs w:val="20"/>
                <w:color w:val="auto"/>
              </w:rPr>
            </w:pPr>
            <w:r>
              <w:rPr>
                <w:rFonts w:ascii="Arial" w:cs="Arial" w:eastAsia="Arial" w:hAnsi="Arial"/>
                <w:sz w:val="18"/>
                <w:szCs w:val="18"/>
                <w:color w:val="auto"/>
              </w:rPr>
              <w:t>17.2</w:t>
            </w:r>
          </w:p>
        </w:tc>
        <w:tc>
          <w:tcPr>
            <w:tcW w:w="1180" w:type="dxa"/>
            <w:vAlign w:val="bottom"/>
            <w:gridSpan w:val="2"/>
            <w:shd w:val="clear" w:color="auto" w:fill="EEEEEE"/>
          </w:tcPr>
          <w:p>
            <w:pPr>
              <w:jc w:val="right"/>
              <w:ind w:right="720"/>
              <w:spacing w:after="0"/>
              <w:rPr>
                <w:sz w:val="20"/>
                <w:szCs w:val="20"/>
                <w:color w:val="auto"/>
              </w:rPr>
            </w:pPr>
            <w:r>
              <w:rPr>
                <w:rFonts w:ascii="Arial" w:cs="Arial" w:eastAsia="Arial" w:hAnsi="Arial"/>
                <w:sz w:val="18"/>
                <w:szCs w:val="18"/>
                <w:color w:val="auto"/>
              </w:rPr>
              <w:t>13.8</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29.4</w:t>
            </w:r>
          </w:p>
        </w:tc>
        <w:tc>
          <w:tcPr>
            <w:tcW w:w="1200" w:type="dxa"/>
            <w:vAlign w:val="bottom"/>
            <w:shd w:val="clear" w:color="auto" w:fill="EEEEEE"/>
          </w:tcPr>
          <w:p>
            <w:pPr>
              <w:jc w:val="right"/>
              <w:ind w:right="32"/>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28"/>
        </w:trPr>
        <w:tc>
          <w:tcPr>
            <w:tcW w:w="3380" w:type="dxa"/>
            <w:vAlign w:val="bottom"/>
          </w:tcPr>
          <w:p>
            <w:pPr>
              <w:spacing w:after="0"/>
              <w:rPr>
                <w:sz w:val="20"/>
                <w:szCs w:val="20"/>
                <w:color w:val="auto"/>
              </w:rPr>
            </w:pPr>
            <w:r>
              <w:rPr>
                <w:rFonts w:ascii="Arial" w:cs="Arial" w:eastAsia="Arial" w:hAnsi="Arial"/>
                <w:sz w:val="18"/>
                <w:szCs w:val="18"/>
                <w:b w:val="1"/>
                <w:bCs w:val="1"/>
                <w:color w:val="auto"/>
              </w:rPr>
              <w:t>ACR 70 (%)</w:t>
            </w: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5.6</w:t>
            </w:r>
          </w:p>
        </w:tc>
        <w:tc>
          <w:tcPr>
            <w:tcW w:w="1180" w:type="dxa"/>
            <w:vAlign w:val="bottom"/>
            <w:gridSpan w:val="2"/>
          </w:tcPr>
          <w:p>
            <w:pPr>
              <w:jc w:val="right"/>
              <w:ind w:right="740"/>
              <w:spacing w:after="0"/>
              <w:rPr>
                <w:sz w:val="20"/>
                <w:szCs w:val="20"/>
                <w:color w:val="auto"/>
              </w:rPr>
            </w:pPr>
            <w:r>
              <w:rPr>
                <w:rFonts w:ascii="Arial" w:cs="Arial" w:eastAsia="Arial" w:hAnsi="Arial"/>
                <w:sz w:val="18"/>
                <w:szCs w:val="18"/>
                <w:color w:val="auto"/>
              </w:rPr>
              <w:t>0.0</w:t>
            </w:r>
          </w:p>
        </w:tc>
        <w:tc>
          <w:tcPr>
            <w:tcW w:w="1180" w:type="dxa"/>
            <w:vAlign w:val="bottom"/>
            <w:gridSpan w:val="2"/>
          </w:tcPr>
          <w:p>
            <w:pPr>
              <w:jc w:val="right"/>
              <w:ind w:right="720"/>
              <w:spacing w:after="0"/>
              <w:rPr>
                <w:sz w:val="20"/>
                <w:szCs w:val="20"/>
                <w:color w:val="auto"/>
              </w:rPr>
            </w:pPr>
            <w:r>
              <w:rPr>
                <w:rFonts w:ascii="Arial" w:cs="Arial" w:eastAsia="Arial" w:hAnsi="Arial"/>
                <w:sz w:val="18"/>
                <w:szCs w:val="18"/>
                <w:color w:val="auto"/>
              </w:rPr>
              <w:t>3.4</w:t>
            </w:r>
          </w:p>
        </w:tc>
        <w:tc>
          <w:tcPr>
            <w:tcW w:w="460" w:type="dxa"/>
            <w:vAlign w:val="bottom"/>
          </w:tcPr>
          <w:p>
            <w:pPr>
              <w:jc w:val="right"/>
              <w:spacing w:after="0"/>
              <w:rPr>
                <w:sz w:val="20"/>
                <w:szCs w:val="20"/>
                <w:color w:val="auto"/>
              </w:rPr>
            </w:pPr>
            <w:r>
              <w:rPr>
                <w:rFonts w:ascii="Arial" w:cs="Arial" w:eastAsia="Arial" w:hAnsi="Arial"/>
                <w:sz w:val="18"/>
                <w:szCs w:val="18"/>
                <w:color w:val="auto"/>
              </w:rPr>
              <w:t>17.6</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and Tolerability</w:t>
      </w:r>
    </w:p>
    <w:p>
      <w:pPr>
        <w:spacing w:after="0" w:line="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IL-1 Trap appeared to have a favorable safety and tolerability profile. There was no evidence of an increased rate of infection and no clinically significant effect on laboratory parameters, including hematology, serum chemistries, or vital signs. Only two serious adverse events, both of which occurred in the off-treatment period, were reported among treated patients and were not considered related to the IL-1 Trap. The most common side effect was a generally mild to moderate injection-site reaction. This reaction is, in part, associated with the formulation used for this trial, which will be changed for subsequent trials. Other side effects were experienced infrequently and do not appear to be dose-related. Antibodies were not dose-related and occurred in only a very small proportion (less than 5 percent) of treated patients and were not dose-related.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w:t>
      </w:r>
    </w:p>
    <w:p>
      <w:pPr>
        <w:spacing w:after="0" w:line="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Leonard S. Schleifer, M.D., Ph.D., President &amp; CEO of Regeneron Pharmaceuticals, Inc. invites you to join him and members of senior management from Regeneron in a webcast with the investment community to discuss the results of the Phase II trial for the IL-1 Trap on Tuesday, October 7, 2003 at 10:00 a.m. Eastern; 9:00 a.m. Central; 8:00 a.m. Mountain; and 7:00 a.m. Pacific.</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audio portion of the conference call will be available live, with accompanying slides, by webcast at www.regeneron.com on the Events page, under the Investor heading. The online archive as well as the dial-in replay of the call will be available for 30 days, beginning approximately two hours after the live call ends at the following numbers: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USA / Canada Replay Dial-In: (800) 642-1687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International Replay Dial-In: (706) 645-9291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Conference Call ID# 3084565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193" w:right="499" w:bottom="1440" w:gutter="0" w:footer="0" w:header="0"/>
        </w:sectPr>
      </w:pPr>
    </w:p>
    <w:bookmarkStart w:id="8" w:name="page9"/>
    <w:bookmarkEnd w:id="8"/>
    <w:p>
      <w:pPr>
        <w:ind w:right="280"/>
        <w:spacing w:after="0" w:line="259" w:lineRule="auto"/>
        <w:rPr>
          <w:sz w:val="20"/>
          <w:szCs w:val="20"/>
          <w:color w:val="auto"/>
        </w:rPr>
      </w:pPr>
      <w:r>
        <w:rPr>
          <w:rFonts w:ascii="Arial" w:cs="Arial" w:eastAsia="Arial" w:hAnsi="Arial"/>
          <w:sz w:val="18"/>
          <w:szCs w:val="18"/>
          <w:color w:val="auto"/>
        </w:rPr>
        <w:t>Regeneron is a biopharmaceutical company that discovers, develops, and intends to commercialize therapeutic medicines for the treatment of serious medical conditions. Regeneron has therapeutic candidates in clinical trials for the potential treatment of obesity, rheumatoid arthritis, cancer, and asthma and has preclinical programs in other diseases and disorders.</w:t>
      </w:r>
    </w:p>
    <w:p>
      <w:pPr>
        <w:spacing w:after="0" w:line="194"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drugs and biologics, determinations by regulatory and administrative governmental authorities, competitive factors, technological developments, the availability and cost of capital, the costs of developing, producing, and selling products, the potential for any collaboration agreement to be canceled or to terminate without any product success, and other material risks. A more complete description of these risks can be found in Regeneron’s filings with the United States Securities and Exchange Commission, including its Form 10-K for the year ended December 31, 2002 and the Form 10-Q for the quarter ended June 30, 2003. Regeneron does not undertake any obligation to update publicly any forward-looking statement, whether as a result of new information, future events, or otherwise unless required by law.</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Contact Information:</w:t>
      </w:r>
    </w:p>
    <w:p>
      <w:pPr>
        <w:sectPr>
          <w:pgSz w:w="11900" w:h="16838" w:orient="portrait"/>
          <w:cols w:equalWidth="0" w:num="1">
            <w:col w:w="11360"/>
          </w:cols>
          <w:pgMar w:left="240" w:top="941" w:right="29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Investors:</w:t>
      </w:r>
    </w:p>
    <w:p>
      <w:pPr>
        <w:spacing w:after="0" w:line="15"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Charles Poole</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Vice President, Investor Relations</w:t>
      </w:r>
    </w:p>
    <w:p>
      <w:pPr>
        <w:spacing w:after="0" w:line="44"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(914) 345-7640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Lauren Tortorete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Media Relations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(212) 414-5647</w:t>
      </w:r>
    </w:p>
    <w:p>
      <w:pPr>
        <w:spacing w:after="0" w:line="222" w:lineRule="exact"/>
        <w:rPr>
          <w:sz w:val="20"/>
          <w:szCs w:val="20"/>
          <w:color w:val="auto"/>
        </w:rPr>
      </w:pPr>
    </w:p>
    <w:p>
      <w:pPr>
        <w:sectPr>
          <w:pgSz w:w="11900" w:h="16838" w:orient="portrait"/>
          <w:cols w:equalWidth="0" w:num="2">
            <w:col w:w="5740" w:space="720"/>
            <w:col w:w="4900"/>
          </w:cols>
          <w:pgMar w:left="240" w:top="941" w:right="29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Additional information about Regeneron and recent news releases are available on Regeneron’s Worldwide Web Home Page at www.regeneron.com.</w:t>
      </w:r>
    </w:p>
    <w:sectPr>
      <w:pgSz w:w="11900" w:h="16838" w:orient="portrait"/>
      <w:cols w:equalWidth="0" w:num="1">
        <w:col w:w="11360"/>
      </w:cols>
      <w:pgMar w:left="240" w:top="941"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2019-12-12T11:20:48Z</dcterms:created>
  <dcterms:modified xsi:type="dcterms:W3CDTF">2019-12-12T11:20:48Z</dcterms:modified>
</cp:coreProperties>
</file>