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2</w:t>
      </w:r>
    </w:p>
    <w:p>
      <w:pPr>
        <w:spacing w:after="0" w:line="238" w:lineRule="auto"/>
        <w:rPr>
          <w:sz w:val="20"/>
          <w:szCs w:val="20"/>
          <w:color w:val="auto"/>
        </w:rPr>
      </w:pPr>
      <w:r>
        <w:rPr>
          <w:rFonts w:ascii="Courier New" w:cs="Courier New" w:eastAsia="Courier New" w:hAnsi="Courier New"/>
          <w:sz w:val="18"/>
          <w:szCs w:val="18"/>
          <w:color w:val="auto"/>
        </w:rPr>
        <w:t>Regeneron Pharmaceuticals Incorporated</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#75886F107</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#75886F107</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2,800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9,577,576</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9,577,576</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11.955%</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#75886F107</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9,577,576</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9,577,576</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5"/>
              </w:rPr>
              <w:t>11.955%</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Regeneron Pharmaceuticals</w:t>
      </w:r>
    </w:p>
    <w:p>
      <w:pPr>
        <w:spacing w:after="0" w:line="238" w:lineRule="auto"/>
        <w:rPr>
          <w:sz w:val="20"/>
          <w:szCs w:val="20"/>
          <w:color w:val="auto"/>
        </w:rPr>
      </w:pPr>
      <w:r>
        <w:rPr>
          <w:rFonts w:ascii="Courier New" w:cs="Courier New" w:eastAsia="Courier New" w:hAnsi="Courier New"/>
          <w:sz w:val="18"/>
          <w:szCs w:val="18"/>
          <w:color w:val="auto"/>
        </w:rPr>
        <w:t>Incorporated</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777 Old Saw Mill River Road</w:t>
      </w:r>
    </w:p>
    <w:p>
      <w:pPr>
        <w:ind w:left="1700"/>
        <w:spacing w:after="0"/>
        <w:tabs>
          <w:tab w:leader="none" w:pos="3260" w:val="left"/>
        </w:tabs>
        <w:rPr>
          <w:sz w:val="20"/>
          <w:szCs w:val="20"/>
          <w:color w:val="auto"/>
        </w:rPr>
      </w:pPr>
      <w:r>
        <w:rPr>
          <w:rFonts w:ascii="Courier New" w:cs="Courier New" w:eastAsia="Courier New" w:hAnsi="Courier New"/>
          <w:sz w:val="18"/>
          <w:szCs w:val="18"/>
          <w:color w:val="auto"/>
        </w:rPr>
        <w:t>Tarrytown, NY</w:t>
      </w:r>
      <w:r>
        <w:rPr>
          <w:sz w:val="20"/>
          <w:szCs w:val="20"/>
          <w:color w:val="auto"/>
        </w:rPr>
        <w:tab/>
      </w:r>
      <w:r>
        <w:rPr>
          <w:rFonts w:ascii="Courier New" w:cs="Courier New" w:eastAsia="Courier New" w:hAnsi="Courier New"/>
          <w:sz w:val="16"/>
          <w:szCs w:val="16"/>
          <w:color w:val="auto"/>
        </w:rPr>
        <w:t>10591-6707</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LLC</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75886F107</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4"/>
          <w:szCs w:val="24"/>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and the person filing, FMR LLC,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860"/>
        <w:spacing w:after="0"/>
        <w:tabs>
          <w:tab w:leader="none" w:pos="1680" w:val="left"/>
          <w:tab w:leader="none" w:pos="50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Amount Beneficially Owned:</w:t>
      </w:r>
      <w:r>
        <w:rPr>
          <w:sz w:val="20"/>
          <w:szCs w:val="20"/>
          <w:color w:val="auto"/>
        </w:rPr>
        <w:tab/>
      </w:r>
      <w:r>
        <w:rPr>
          <w:rFonts w:ascii="Courier New" w:cs="Courier New" w:eastAsia="Courier New" w:hAnsi="Courier New"/>
          <w:sz w:val="16"/>
          <w:szCs w:val="16"/>
          <w:color w:val="auto"/>
        </w:rPr>
        <w:t>9,577,576</w:t>
      </w:r>
    </w:p>
    <w:p>
      <w:pPr>
        <w:sectPr>
          <w:pgSz w:w="11900" w:h="16855" w:orient="portrait"/>
          <w:cols w:equalWidth="0" w:num="1">
            <w:col w:w="10219"/>
          </w:cols>
          <w:pgMar w:left="240" w:top="244" w:right="1440" w:bottom="0" w:gutter="0" w:footer="0" w:header="0"/>
        </w:sectPr>
      </w:pPr>
    </w:p>
    <w:bookmarkStart w:id="1" w:name="page2"/>
    <w:bookmarkEnd w:id="1"/>
    <w:p>
      <w:pPr>
        <w:ind w:left="860"/>
        <w:spacing w:after="0"/>
        <w:tabs>
          <w:tab w:leader="none" w:pos="1680" w:val="left"/>
          <w:tab w:leader="none" w:pos="42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11.955%</w:t>
      </w:r>
    </w:p>
    <w:p>
      <w:pPr>
        <w:spacing w:after="0" w:line="207"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339" w:right="1440" w:bottom="0"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2,800</w:t>
      </w:r>
    </w:p>
    <w:p>
      <w:pPr>
        <w:spacing w:after="0" w:line="200" w:lineRule="exact"/>
        <w:rPr>
          <w:sz w:val="20"/>
          <w:szCs w:val="20"/>
          <w:color w:val="auto"/>
        </w:rPr>
      </w:pPr>
    </w:p>
    <w:p>
      <w:pPr>
        <w:sectPr>
          <w:pgSz w:w="11900" w:h="16838" w:orient="portrait"/>
          <w:cols w:equalWidth="0" w:num="2">
            <w:col w:w="1160" w:space="540"/>
            <w:col w:w="8519"/>
          </w:cols>
          <w:pgMar w:left="240" w:top="339" w:right="1440" w:bottom="0"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9,577,576</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Regeneron Pharmaceuticals Incorporated. The interest of one person, Fidelity Growth Company Fund, an investment company registered under the Investment Company Act of 1940, in the Common Stock of Regeneron Pharmaceuticals Incorporated, amounted to</w:t>
      </w:r>
    </w:p>
    <w:p>
      <w:pPr>
        <w:spacing w:after="0" w:line="9" w:lineRule="exact"/>
        <w:rPr>
          <w:sz w:val="20"/>
          <w:szCs w:val="20"/>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8,543,128 shares or 10.664% of the total outstanding Common Stock at December 31, 2010.</w:t>
      </w:r>
    </w:p>
    <w:p>
      <w:pPr>
        <w:spacing w:after="0" w:line="208"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A.</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tabs>
          <w:tab w:leader="none" w:pos="26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11, 2011</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Scott C. Goebel</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Scott C. Goebel</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line="5"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effective as of June 1, 2008 by and on behalf of FMR LLC and its direct and indirect subsidiaries</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ectPr>
          <w:pgSz w:w="11900" w:h="16838" w:orient="portrait"/>
          <w:cols w:equalWidth="0" w:num="1">
            <w:col w:w="10219"/>
          </w:cols>
          <w:pgMar w:left="240" w:top="339"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STATEMENTS</w:t>
      </w:r>
    </w:p>
    <w:p>
      <w:pPr>
        <w:ind w:left="860"/>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57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LLC and an investment adviser registered under Section 203 of the Investment Advisers Act</w:t>
      </w:r>
    </w:p>
    <w:p>
      <w:pPr>
        <w:spacing w:after="0" w:line="6"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of 1940, is the beneficial owner of 9,577,576 shares or 11.955% of the Common Stock outstanding of Regeneron Pharmaceuticals Incorporated ("the Company") as a result of acting as investment adviser to various investment companies registered under Section 8 of the Investment Company Act of 1940.</w:t>
      </w:r>
    </w:p>
    <w:p>
      <w:pPr>
        <w:spacing w:after="0" w:line="210" w:lineRule="exact"/>
        <w:rPr>
          <w:sz w:val="20"/>
          <w:szCs w:val="20"/>
          <w:color w:val="auto"/>
        </w:rPr>
      </w:pPr>
    </w:p>
    <w:p>
      <w:pPr>
        <w:ind w:right="4199" w:firstLine="843"/>
        <w:spacing w:after="0" w:line="268" w:lineRule="auto"/>
        <w:rPr>
          <w:sz w:val="20"/>
          <w:szCs w:val="20"/>
          <w:color w:val="auto"/>
        </w:rPr>
      </w:pPr>
      <w:r>
        <w:rPr>
          <w:rFonts w:ascii="Courier New" w:cs="Courier New" w:eastAsia="Courier New" w:hAnsi="Courier New"/>
          <w:sz w:val="16"/>
          <w:szCs w:val="16"/>
          <w:color w:val="auto"/>
        </w:rPr>
        <w:t>The ownership of one investment company, Fidelity Growth Company Fund, amounted to 8,543,128 shares or</w:t>
      </w:r>
    </w:p>
    <w:p>
      <w:pPr>
        <w:ind w:right="4319"/>
        <w:spacing w:after="0" w:line="236" w:lineRule="auto"/>
        <w:rPr>
          <w:sz w:val="20"/>
          <w:szCs w:val="20"/>
          <w:color w:val="auto"/>
        </w:rPr>
      </w:pPr>
      <w:r>
        <w:rPr>
          <w:rFonts w:ascii="Courier New" w:cs="Courier New" w:eastAsia="Courier New" w:hAnsi="Courier New"/>
          <w:sz w:val="18"/>
          <w:szCs w:val="18"/>
          <w:color w:val="auto"/>
        </w:rPr>
        <w:t>10.664% of the Common Stock outstanding. Fidelity Growth Company Fund has its principal business office at 82 Devonshire Street, Boston, Massachusetts 02109.</w:t>
      </w:r>
    </w:p>
    <w:p>
      <w:pPr>
        <w:spacing w:after="0" w:line="209"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and FMR LLC, through its control of Fidelity, and the funds each has sole power to dispose of the 9,577,576 shares owned by the Funds.</w:t>
      </w:r>
    </w:p>
    <w:p>
      <w:pPr>
        <w:spacing w:after="0" w:line="209" w:lineRule="exact"/>
        <w:rPr>
          <w:sz w:val="20"/>
          <w:szCs w:val="20"/>
          <w:color w:val="auto"/>
        </w:rPr>
      </w:pPr>
    </w:p>
    <w:p>
      <w:pPr>
        <w:ind w:right="4099" w:firstLine="843"/>
        <w:spacing w:after="0" w:line="268" w:lineRule="auto"/>
        <w:rPr>
          <w:sz w:val="20"/>
          <w:szCs w:val="20"/>
          <w:color w:val="auto"/>
        </w:rPr>
      </w:pPr>
      <w:r>
        <w:rPr>
          <w:rFonts w:ascii="Courier New" w:cs="Courier New" w:eastAsia="Courier New" w:hAnsi="Courier New"/>
          <w:sz w:val="16"/>
          <w:szCs w:val="16"/>
          <w:color w:val="auto"/>
        </w:rPr>
        <w:t>Members of the family of Edward C. Johnson 3d, Chairman of FMR LLC, are the predominant owners, directly or through trusts, of Series B voting common shares of FMR LLC, representing 49% of the voting power of FMR LLC.</w:t>
      </w:r>
    </w:p>
    <w:p>
      <w:pPr>
        <w:spacing w:after="0" w:line="1"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08"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8"/>
          <w:szCs w:val="18"/>
          <w:color w:val="auto"/>
        </w:rPr>
        <w:t>Neither FMR LLC nor Edward C. Johnson 3d,</w:t>
      </w:r>
    </w:p>
    <w:p>
      <w:pPr>
        <w:spacing w:after="0" w:line="4"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6"/>
          <w:szCs w:val="16"/>
          <w:color w:val="auto"/>
        </w:rPr>
        <w:t>Chairman of FMR LLC, has the sole power to vote or direct</w:t>
      </w:r>
    </w:p>
    <w:p>
      <w:pPr>
        <w:spacing w:after="0" w:line="21" w:lineRule="exact"/>
        <w:rPr>
          <w:sz w:val="20"/>
          <w:szCs w:val="20"/>
          <w:color w:val="auto"/>
        </w:rPr>
      </w:pPr>
    </w:p>
    <w:p>
      <w:pPr>
        <w:ind w:right="3679"/>
        <w:spacing w:after="0" w:line="275" w:lineRule="auto"/>
        <w:rPr>
          <w:sz w:val="20"/>
          <w:szCs w:val="20"/>
          <w:color w:val="auto"/>
        </w:rPr>
      </w:pPr>
      <w:r>
        <w:rPr>
          <w:rFonts w:ascii="Courier New" w:cs="Courier New" w:eastAsia="Courier New" w:hAnsi="Courier New"/>
          <w:sz w:val="16"/>
          <w:szCs w:val="16"/>
          <w:color w:val="auto"/>
        </w:rPr>
        <w:t>the voting of the shares owned directly by the Fidelity Funds, which power resides with the Funds' Boards of Trustees. Fidelity carries out the voting of the shares under written guidelines established by the Funds' Boards of Trustees.</w:t>
      </w:r>
    </w:p>
    <w:p>
      <w:pPr>
        <w:spacing w:after="0" w:line="200" w:lineRule="exact"/>
        <w:rPr>
          <w:sz w:val="20"/>
          <w:szCs w:val="20"/>
          <w:color w:val="auto"/>
        </w:rPr>
      </w:pPr>
    </w:p>
    <w:p>
      <w:pPr>
        <w:spacing w:after="0" w:line="38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11, 2011, agree and consent to the joint filing on their behalf of this Schedule 13G in connection with their beneficial ownership of the Common Stock of Regeneron Pharmaceuticals Incorporated at December 31, 2010.</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FMR LLC and its direct and indirect subsidiaries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June 1, 2008, by and on behalf of Edward C. Johnson 3d</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ind w:left="860"/>
        <w:spacing w:after="0"/>
        <w:rPr>
          <w:sz w:val="20"/>
          <w:szCs w:val="20"/>
          <w:color w:val="auto"/>
        </w:rPr>
      </w:pPr>
      <w:r>
        <w:rPr>
          <w:rFonts w:ascii="Courier New" w:cs="Courier New" w:eastAsia="Courier New" w:hAnsi="Courier New"/>
          <w:sz w:val="18"/>
          <w:szCs w:val="18"/>
          <w:color w:val="auto"/>
        </w:rPr>
        <w:t>Senior V.P. and General Counsel</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Fidelity Growth Company Fund</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Scott C. Goebel</w:t>
      </w:r>
    </w:p>
    <w:p>
      <w:pPr>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rPr>
          <w:sz w:val="20"/>
          <w:szCs w:val="20"/>
          <w:color w:val="auto"/>
        </w:rPr>
      </w:pPr>
      <w:r>
        <w:rPr>
          <w:rFonts w:ascii="Courier New" w:cs="Courier New" w:eastAsia="Courier New" w:hAnsi="Courier New"/>
          <w:sz w:val="18"/>
          <w:szCs w:val="18"/>
          <w:color w:val="auto"/>
        </w:rPr>
        <w:t>Secretary</w:t>
      </w:r>
    </w:p>
    <w:sectPr>
      <w:pgSz w:w="11900" w:h="16838" w:orient="portrait"/>
      <w:cols w:equalWidth="0" w:num="1">
        <w:col w:w="9359"/>
      </w:cols>
      <w:pgMar w:left="110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2019-12-10T10:12:39Z</dcterms:created>
  <dcterms:modified xsi:type="dcterms:W3CDTF">2019-12-10T10:12:39Z</dcterms:modified>
</cp:coreProperties>
</file>