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One)</w:t>
      </w:r>
    </w:p>
    <w:p>
      <w:pPr>
        <w:spacing w:after="0" w:line="18" w:lineRule="exact"/>
        <w:rPr>
          <w:sz w:val="20"/>
          <w:szCs w:val="20"/>
          <w:color w:val="auto"/>
        </w:rPr>
      </w:pPr>
    </w:p>
    <w:p>
      <w:pPr>
        <w:ind w:left="460" w:right="1800" w:hanging="452"/>
        <w:spacing w:after="0" w:line="495" w:lineRule="auto"/>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2005</w:t>
      </w:r>
    </w:p>
    <w:p>
      <w:pPr>
        <w:spacing w:after="0" w:line="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OR</w:t>
      </w:r>
    </w:p>
    <w:p>
      <w:pPr>
        <w:spacing w:after="0" w:line="22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 (d) OF THE SECURITIES EXCHANGE ACT OF 1934</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1880" w:type="dxa"/>
            <w:vAlign w:val="bottom"/>
            <w:tcBorders>
              <w:bottom w:val="single" w:sz="8" w:color="auto"/>
            </w:tcBorders>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w w:val="82"/>
              </w:rPr>
              <w:t>to</w:t>
            </w:r>
          </w:p>
        </w:tc>
        <w:tc>
          <w:tcPr>
            <w:tcW w:w="1940" w:type="dxa"/>
            <w:vAlign w:val="bottom"/>
            <w:tcBorders>
              <w:bottom w:val="single" w:sz="8" w:color="auto"/>
            </w:tcBorders>
          </w:tcPr>
          <w:p>
            <w:pPr>
              <w:spacing w:after="0"/>
              <w:rPr>
                <w:sz w:val="17"/>
                <w:szCs w:val="17"/>
                <w:color w:val="auto"/>
              </w:rPr>
            </w:pPr>
          </w:p>
        </w:tc>
      </w:tr>
      <w:tr>
        <w:trPr>
          <w:trHeight w:val="453"/>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Commission File Number 0-19034</w:t>
            </w: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4"/>
              </w:rPr>
              <w:t>New York</w:t>
            </w:r>
          </w:p>
        </w:tc>
        <w:tc>
          <w:tcPr>
            <w:tcW w:w="600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13-3444607</w:t>
            </w:r>
          </w:p>
        </w:tc>
      </w:tr>
      <w:tr>
        <w:trPr>
          <w:trHeight w:val="209"/>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8"/>
        </w:trPr>
        <w:tc>
          <w:tcPr>
            <w:tcW w:w="5420" w:type="dxa"/>
            <w:vAlign w:val="bottom"/>
          </w:tcPr>
          <w:p>
            <w:pPr>
              <w:jc w:val="center"/>
              <w:spacing w:after="0"/>
              <w:rPr>
                <w:sz w:val="20"/>
                <w:szCs w:val="20"/>
                <w:color w:val="auto"/>
              </w:rPr>
            </w:pPr>
            <w:r>
              <w:rPr>
                <w:rFonts w:ascii="Arial" w:cs="Arial" w:eastAsia="Arial" w:hAnsi="Arial"/>
                <w:sz w:val="18"/>
                <w:szCs w:val="18"/>
                <w:color w:val="auto"/>
                <w:w w:val="93"/>
              </w:rPr>
              <w:t>777 Old Saw Mill River Road</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4"/>
              </w:rPr>
              <w:t>Tarrytown, New York</w:t>
            </w:r>
          </w:p>
        </w:tc>
        <w:tc>
          <w:tcPr>
            <w:tcW w:w="600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10591-6707</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(914) 347-7000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23495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ind w:left="4820"/>
        <w:spacing w:after="0" w:line="207" w:lineRule="exact"/>
        <w:tabs>
          <w:tab w:leader="none" w:pos="62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193" w:lineRule="exact"/>
        <w:rPr>
          <w:sz w:val="20"/>
          <w:szCs w:val="20"/>
          <w:color w:val="auto"/>
        </w:rPr>
      </w:pPr>
    </w:p>
    <w:p>
      <w:pPr>
        <w:ind w:left="4820"/>
        <w:spacing w:after="0" w:line="207" w:lineRule="exact"/>
        <w:tabs>
          <w:tab w:leader="none" w:pos="61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July 29, 2005: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Class of Common Stock</w:t>
            </w:r>
          </w:p>
        </w:tc>
        <w:tc>
          <w:tcPr>
            <w:tcW w:w="580" w:type="dxa"/>
            <w:vAlign w:val="bottom"/>
          </w:tcPr>
          <w:p>
            <w:pPr>
              <w:spacing w:after="0"/>
              <w:rPr>
                <w:sz w:val="20"/>
                <w:szCs w:val="20"/>
                <w:color w:val="auto"/>
              </w:rPr>
            </w:pPr>
          </w:p>
        </w:tc>
        <w:tc>
          <w:tcPr>
            <w:tcW w:w="542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Number of Shares</w:t>
            </w:r>
          </w:p>
        </w:tc>
      </w:tr>
      <w:tr>
        <w:trPr>
          <w:trHeight w:val="209"/>
        </w:trPr>
        <w:tc>
          <w:tcPr>
            <w:tcW w:w="5420" w:type="dxa"/>
            <w:vAlign w:val="bottom"/>
          </w:tcPr>
          <w:p>
            <w:pPr>
              <w:jc w:val="center"/>
              <w:spacing w:after="0"/>
              <w:rPr>
                <w:sz w:val="20"/>
                <w:szCs w:val="20"/>
                <w:color w:val="auto"/>
              </w:rPr>
            </w:pPr>
            <w:r>
              <w:rPr>
                <w:rFonts w:ascii="Arial" w:cs="Arial" w:eastAsia="Arial" w:hAnsi="Arial"/>
                <w:sz w:val="18"/>
                <w:szCs w:val="18"/>
                <w:color w:val="auto"/>
                <w:w w:val="89"/>
              </w:rPr>
              <w:t>Class A Stock, $0.001 par value</w:t>
            </w:r>
          </w:p>
        </w:tc>
        <w:tc>
          <w:tcPr>
            <w:tcW w:w="580" w:type="dxa"/>
            <w:vAlign w:val="bottom"/>
          </w:tcPr>
          <w:p>
            <w:pPr>
              <w:spacing w:after="0"/>
              <w:rPr>
                <w:sz w:val="18"/>
                <w:szCs w:val="18"/>
                <w:color w:val="auto"/>
              </w:rPr>
            </w:pPr>
          </w:p>
        </w:tc>
        <w:tc>
          <w:tcPr>
            <w:tcW w:w="5420" w:type="dxa"/>
            <w:vAlign w:val="bottom"/>
          </w:tcPr>
          <w:p>
            <w:pPr>
              <w:jc w:val="right"/>
              <w:ind w:right="2270"/>
              <w:spacing w:after="0"/>
              <w:rPr>
                <w:sz w:val="20"/>
                <w:szCs w:val="20"/>
                <w:color w:val="auto"/>
              </w:rPr>
            </w:pPr>
            <w:r>
              <w:rPr>
                <w:rFonts w:ascii="Arial" w:cs="Arial" w:eastAsia="Arial" w:hAnsi="Arial"/>
                <w:sz w:val="18"/>
                <w:szCs w:val="18"/>
                <w:color w:val="auto"/>
              </w:rPr>
              <w:t>2,358,373</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6000" w:type="dxa"/>
            <w:vAlign w:val="bottom"/>
            <w:gridSpan w:val="2"/>
          </w:tcPr>
          <w:p>
            <w:pPr>
              <w:jc w:val="right"/>
              <w:ind w:right="2210"/>
              <w:spacing w:after="0"/>
              <w:rPr>
                <w:sz w:val="20"/>
                <w:szCs w:val="20"/>
                <w:color w:val="auto"/>
              </w:rPr>
            </w:pPr>
            <w:r>
              <w:rPr>
                <w:rFonts w:ascii="Arial" w:cs="Arial" w:eastAsia="Arial" w:hAnsi="Arial"/>
                <w:sz w:val="18"/>
                <w:szCs w:val="18"/>
                <w:color w:val="auto"/>
              </w:rPr>
              <w:t>53,767,633</w:t>
            </w:r>
          </w:p>
        </w:tc>
      </w:tr>
      <w:tr>
        <w:trPr>
          <w:trHeight w:val="203"/>
        </w:trPr>
        <w:tc>
          <w:tcPr>
            <w:tcW w:w="54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420" w:type="dxa"/>
            <w:vAlign w:val="bottom"/>
            <w:tcBorders>
              <w:bottom w:val="single" w:sz="8" w:color="auto"/>
            </w:tcBorders>
          </w:tcPr>
          <w:p>
            <w:pPr>
              <w:spacing w:after="0"/>
              <w:rPr>
                <w:sz w:val="17"/>
                <w:szCs w:val="17"/>
                <w:color w:val="auto"/>
              </w:rPr>
            </w:pPr>
          </w:p>
        </w:tc>
      </w:tr>
      <w:tr>
        <w:trPr>
          <w:trHeight w:val="28"/>
        </w:trPr>
        <w:tc>
          <w:tcPr>
            <w:tcW w:w="5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618"/>
        </w:trPr>
        <w:tc>
          <w:tcPr>
            <w:tcW w:w="5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gridSpan w:val="3"/>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200" w:type="dxa"/>
            <w:vAlign w:val="bottom"/>
            <w:gridSpan w:val="5"/>
            <w:vMerge w:val="restart"/>
          </w:tcPr>
          <w:p>
            <w:pPr>
              <w:spacing w:after="0"/>
              <w:rPr>
                <w:sz w:val="14"/>
                <w:szCs w:val="14"/>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Page Numbers</w:t>
            </w:r>
          </w:p>
        </w:tc>
        <w:tc>
          <w:tcPr>
            <w:tcW w:w="0" w:type="dxa"/>
            <w:vAlign w:val="bottom"/>
          </w:tcPr>
          <w:p>
            <w:pPr>
              <w:spacing w:after="0"/>
              <w:rPr>
                <w:sz w:val="1"/>
                <w:szCs w:val="1"/>
                <w:color w:val="auto"/>
              </w:rPr>
            </w:pPr>
          </w:p>
        </w:tc>
      </w:tr>
      <w:tr>
        <w:trPr>
          <w:trHeight w:val="174"/>
        </w:trPr>
        <w:tc>
          <w:tcPr>
            <w:tcW w:w="3040" w:type="dxa"/>
            <w:vAlign w:val="bottom"/>
            <w:tcBorders>
              <w:bottom w:val="single" w:sz="8" w:color="0000EE"/>
            </w:tcBorders>
            <w:gridSpan w:val="3"/>
            <w:vMerge w:val="continue"/>
          </w:tcPr>
          <w:p>
            <w:pPr>
              <w:spacing w:after="0"/>
              <w:rPr>
                <w:sz w:val="14"/>
                <w:szCs w:val="14"/>
                <w:color w:val="auto"/>
              </w:rPr>
            </w:pPr>
          </w:p>
        </w:tc>
        <w:tc>
          <w:tcPr>
            <w:tcW w:w="7200" w:type="dxa"/>
            <w:vAlign w:val="bottom"/>
            <w:gridSpan w:val="5"/>
            <w:vMerge w:val="continue"/>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240" w:type="dxa"/>
            <w:vAlign w:val="bottom"/>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574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balance sheets (unaudited) at June 30, 2005 and December 31, 2004</w:t>
              </w:r>
            </w:hyperlink>
          </w:p>
        </w:tc>
        <w:tc>
          <w:tcPr>
            <w:tcW w:w="4080" w:type="dxa"/>
            <w:vAlign w:val="bottom"/>
            <w:gridSpan w:val="4"/>
          </w:tcPr>
          <w:p>
            <w:pPr>
              <w:spacing w:after="0"/>
              <w:rPr>
                <w:sz w:val="24"/>
                <w:szCs w:val="24"/>
                <w:color w:val="auto"/>
              </w:rPr>
            </w:pPr>
          </w:p>
        </w:tc>
        <w:tc>
          <w:tcPr>
            <w:tcW w:w="1180" w:type="dxa"/>
            <w:vAlign w:val="bottom"/>
          </w:tcPr>
          <w:p>
            <w:pPr>
              <w:jc w:val="right"/>
              <w:ind w:right="29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8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statements of operations (unaudited) for the three months and six months ended June 30, 2005 and 2004</w:t>
              </w:r>
            </w:hyperlink>
          </w:p>
        </w:tc>
        <w:tc>
          <w:tcPr>
            <w:tcW w:w="1480" w:type="dxa"/>
            <w:vAlign w:val="bottom"/>
          </w:tcPr>
          <w:p>
            <w:pPr>
              <w:spacing w:after="0"/>
              <w:rPr>
                <w:sz w:val="24"/>
                <w:szCs w:val="24"/>
                <w:color w:val="auto"/>
              </w:rPr>
            </w:pPr>
          </w:p>
        </w:tc>
        <w:tc>
          <w:tcPr>
            <w:tcW w:w="1180" w:type="dxa"/>
            <w:vAlign w:val="bottom"/>
          </w:tcPr>
          <w:p>
            <w:pPr>
              <w:jc w:val="right"/>
              <w:ind w:right="29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9820" w:type="dxa"/>
            <w:vAlign w:val="bottom"/>
            <w:gridSpan w:val="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statement of stockholders’ equity (unaudited) for the six months ended June 30, 2005</w:t>
              </w:r>
            </w:hyperlink>
          </w:p>
        </w:tc>
        <w:tc>
          <w:tcPr>
            <w:tcW w:w="1180" w:type="dxa"/>
            <w:vAlign w:val="bottom"/>
          </w:tcPr>
          <w:p>
            <w:pPr>
              <w:jc w:val="right"/>
              <w:ind w:right="29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9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9820" w:type="dxa"/>
            <w:vAlign w:val="bottom"/>
            <w:gridSpan w:val="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statements of cash flows (unaudited) for the six months ended June 30, 2005 and 2004</w:t>
              </w:r>
            </w:hyperlink>
          </w:p>
        </w:tc>
        <w:tc>
          <w:tcPr>
            <w:tcW w:w="1180" w:type="dxa"/>
            <w:vAlign w:val="bottom"/>
          </w:tcPr>
          <w:p>
            <w:pPr>
              <w:jc w:val="right"/>
              <w:ind w:right="29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2"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76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financial statements (unaudited)</w:t>
              </w:r>
            </w:hyperlink>
          </w:p>
        </w:tc>
        <w:tc>
          <w:tcPr>
            <w:tcW w:w="3880" w:type="dxa"/>
            <w:vAlign w:val="bottom"/>
            <w:gridSpan w:val="4"/>
          </w:tcPr>
          <w:p>
            <w:pPr>
              <w:spacing w:after="0"/>
              <w:rPr>
                <w:sz w:val="17"/>
                <w:szCs w:val="17"/>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7-20</w:t>
            </w:r>
          </w:p>
        </w:tc>
      </w:tr>
      <w:tr>
        <w:trPr>
          <w:trHeight w:val="412"/>
        </w:trPr>
        <w:tc>
          <w:tcPr>
            <w:tcW w:w="698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Item 2 Management’s Discussion and Analysis of Financial Condition and Results of Operations</w:t>
              </w:r>
            </w:hyperlink>
          </w:p>
        </w:tc>
        <w:tc>
          <w:tcPr>
            <w:tcW w:w="1080" w:type="dxa"/>
            <w:vAlign w:val="bottom"/>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21-57</w:t>
            </w:r>
          </w:p>
        </w:tc>
      </w:tr>
      <w:tr>
        <w:trPr>
          <w:trHeight w:val="412"/>
        </w:trPr>
        <w:tc>
          <w:tcPr>
            <w:tcW w:w="8060" w:type="dxa"/>
            <w:vAlign w:val="bottom"/>
            <w:gridSpan w:val="14"/>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3 Quantitative &amp; Qualitative Disclosure About Market Risk</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12"/>
        </w:trPr>
        <w:tc>
          <w:tcPr>
            <w:tcW w:w="500" w:type="dxa"/>
            <w:vAlign w:val="bottom"/>
            <w:tcBorders>
              <w:top w:val="single" w:sz="8" w:color="0000EE"/>
            </w:tcBorders>
            <w:gridSpan w:val="3"/>
          </w:tcPr>
          <w:p>
            <w:pPr>
              <w:spacing w:after="0"/>
              <w:rPr>
                <w:rFonts w:ascii="Arial" w:cs="Arial" w:eastAsia="Arial" w:hAnsi="Arial"/>
                <w:sz w:val="18"/>
                <w:szCs w:val="18"/>
                <w:color w:val="0000EE"/>
                <w:w w:val="95"/>
              </w:rPr>
            </w:pPr>
            <w:hyperlink w:anchor="page58">
              <w:r>
                <w:rPr>
                  <w:rFonts w:ascii="Arial" w:cs="Arial" w:eastAsia="Arial" w:hAnsi="Arial"/>
                  <w:sz w:val="18"/>
                  <w:szCs w:val="18"/>
                  <w:color w:val="0000EE"/>
                  <w:w w:val="95"/>
                </w:rPr>
                <w:t>Item 4</w:t>
              </w:r>
            </w:hyperlink>
          </w:p>
        </w:tc>
        <w:tc>
          <w:tcPr>
            <w:tcW w:w="4180" w:type="dxa"/>
            <w:vAlign w:val="bottom"/>
            <w:tcBorders>
              <w:top w:val="single" w:sz="8" w:color="0000EE"/>
            </w:tcBorders>
            <w:gridSpan w:val="9"/>
          </w:tcPr>
          <w:p>
            <w:pPr>
              <w:ind w:left="20"/>
              <w:spacing w:after="0"/>
              <w:rPr>
                <w:rFonts w:ascii="Arial" w:cs="Arial" w:eastAsia="Arial" w:hAnsi="Arial"/>
                <w:sz w:val="18"/>
                <w:szCs w:val="18"/>
                <w:color w:val="0000EE"/>
              </w:rPr>
            </w:pPr>
            <w:hyperlink w:anchor="page58">
              <w:r>
                <w:rPr>
                  <w:rFonts w:ascii="Arial" w:cs="Arial" w:eastAsia="Arial" w:hAnsi="Arial"/>
                  <w:sz w:val="18"/>
                  <w:szCs w:val="18"/>
                  <w:color w:val="0000EE"/>
                </w:rPr>
                <w:t>Controls and Procedures</w:t>
              </w:r>
            </w:hyperlink>
          </w:p>
        </w:tc>
        <w:tc>
          <w:tcPr>
            <w:tcW w:w="3380" w:type="dxa"/>
            <w:vAlign w:val="bottom"/>
            <w:gridSpan w:val="2"/>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57-58</w:t>
            </w:r>
          </w:p>
        </w:tc>
      </w:tr>
      <w:tr>
        <w:trPr>
          <w:trHeight w:val="20"/>
        </w:trPr>
        <w:tc>
          <w:tcPr>
            <w:tcW w:w="6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412"/>
        </w:trPr>
        <w:tc>
          <w:tcPr>
            <w:tcW w:w="8060" w:type="dxa"/>
            <w:vAlign w:val="bottom"/>
            <w:gridSpan w:val="14"/>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PART II OTHER INFORMATION</w:t>
              </w:r>
            </w:hyperlink>
          </w:p>
        </w:tc>
        <w:tc>
          <w:tcPr>
            <w:tcW w:w="2980" w:type="dxa"/>
            <w:vAlign w:val="bottom"/>
          </w:tcPr>
          <w:p>
            <w:pPr>
              <w:spacing w:after="0"/>
              <w:rPr>
                <w:sz w:val="24"/>
                <w:szCs w:val="24"/>
                <w:color w:val="auto"/>
              </w:rPr>
            </w:pPr>
          </w:p>
        </w:tc>
      </w:tr>
      <w:tr>
        <w:trPr>
          <w:trHeight w:val="412"/>
        </w:trPr>
        <w:tc>
          <w:tcPr>
            <w:tcW w:w="5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5"/>
              </w:rPr>
            </w:pPr>
            <w:hyperlink w:anchor="page59">
              <w:r>
                <w:rPr>
                  <w:rFonts w:ascii="Arial" w:cs="Arial" w:eastAsia="Arial" w:hAnsi="Arial"/>
                  <w:sz w:val="18"/>
                  <w:szCs w:val="18"/>
                  <w:color w:val="0000EE"/>
                  <w:w w:val="95"/>
                </w:rPr>
                <w:t>Item 1</w:t>
              </w:r>
            </w:hyperlink>
          </w:p>
        </w:tc>
        <w:tc>
          <w:tcPr>
            <w:tcW w:w="1360" w:type="dxa"/>
            <w:vAlign w:val="bottom"/>
            <w:tcBorders>
              <w:top w:val="single" w:sz="8" w:color="0000EE"/>
              <w:bottom w:val="single" w:sz="8" w:color="0000EE"/>
            </w:tcBorders>
            <w:gridSpan w:val="3"/>
          </w:tcPr>
          <w:p>
            <w:pPr>
              <w:ind w:left="20"/>
              <w:spacing w:after="0"/>
              <w:rPr>
                <w:rFonts w:ascii="Arial" w:cs="Arial" w:eastAsia="Arial" w:hAnsi="Arial"/>
                <w:sz w:val="18"/>
                <w:szCs w:val="18"/>
                <w:color w:val="0000EE"/>
                <w:w w:val="88"/>
              </w:rPr>
            </w:pPr>
            <w:hyperlink w:anchor="page59">
              <w:r>
                <w:rPr>
                  <w:rFonts w:ascii="Arial" w:cs="Arial" w:eastAsia="Arial" w:hAnsi="Arial"/>
                  <w:sz w:val="18"/>
                  <w:szCs w:val="18"/>
                  <w:color w:val="0000EE"/>
                  <w:w w:val="88"/>
                </w:rPr>
                <w:t>Legal Proceedings</w:t>
              </w:r>
            </w:hyperlink>
          </w:p>
        </w:tc>
        <w:tc>
          <w:tcPr>
            <w:tcW w:w="860" w:type="dxa"/>
            <w:vAlign w:val="bottom"/>
            <w:tcBorders>
              <w:top w:val="single" w:sz="8" w:color="0000EE"/>
            </w:tcBorders>
            <w:gridSpan w:val="2"/>
          </w:tcPr>
          <w:p>
            <w:pPr>
              <w:spacing w:after="0"/>
              <w:rPr>
                <w:sz w:val="24"/>
                <w:szCs w:val="24"/>
                <w:color w:val="auto"/>
              </w:rPr>
            </w:pPr>
          </w:p>
        </w:tc>
        <w:tc>
          <w:tcPr>
            <w:tcW w:w="5340" w:type="dxa"/>
            <w:vAlign w:val="bottom"/>
            <w:gridSpan w:val="6"/>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12"/>
        </w:trPr>
        <w:tc>
          <w:tcPr>
            <w:tcW w:w="500" w:type="dxa"/>
            <w:vAlign w:val="bottom"/>
            <w:gridSpan w:val="3"/>
          </w:tcPr>
          <w:p>
            <w:pPr>
              <w:spacing w:after="0"/>
              <w:rPr>
                <w:rFonts w:ascii="Arial" w:cs="Arial" w:eastAsia="Arial" w:hAnsi="Arial"/>
                <w:sz w:val="18"/>
                <w:szCs w:val="18"/>
                <w:color w:val="0000EE"/>
                <w:w w:val="95"/>
              </w:rPr>
            </w:pPr>
            <w:hyperlink w:anchor="page60">
              <w:r>
                <w:rPr>
                  <w:rFonts w:ascii="Arial" w:cs="Arial" w:eastAsia="Arial" w:hAnsi="Arial"/>
                  <w:sz w:val="18"/>
                  <w:szCs w:val="18"/>
                  <w:color w:val="0000EE"/>
                  <w:w w:val="95"/>
                </w:rPr>
                <w:t>Item 4</w:t>
              </w:r>
            </w:hyperlink>
          </w:p>
        </w:tc>
        <w:tc>
          <w:tcPr>
            <w:tcW w:w="7560" w:type="dxa"/>
            <w:vAlign w:val="bottom"/>
            <w:gridSpan w:val="11"/>
          </w:tcPr>
          <w:p>
            <w:pPr>
              <w:ind w:left="20"/>
              <w:spacing w:after="0"/>
              <w:rPr>
                <w:rFonts w:ascii="Arial" w:cs="Arial" w:eastAsia="Arial" w:hAnsi="Arial"/>
                <w:sz w:val="18"/>
                <w:szCs w:val="18"/>
                <w:color w:val="0000EE"/>
              </w:rPr>
            </w:pPr>
            <w:hyperlink w:anchor="page60">
              <w:r>
                <w:rPr>
                  <w:rFonts w:ascii="Arial" w:cs="Arial" w:eastAsia="Arial" w:hAnsi="Arial"/>
                  <w:sz w:val="18"/>
                  <w:szCs w:val="18"/>
                  <w:color w:val="0000EE"/>
                </w:rPr>
                <w:t>Submission of Matters to a Vote of Security Holders</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12"/>
        </w:trPr>
        <w:tc>
          <w:tcPr>
            <w:tcW w:w="5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5"/>
              </w:rPr>
            </w:pPr>
            <w:hyperlink w:anchor="page61">
              <w:r>
                <w:rPr>
                  <w:rFonts w:ascii="Arial" w:cs="Arial" w:eastAsia="Arial" w:hAnsi="Arial"/>
                  <w:sz w:val="18"/>
                  <w:szCs w:val="18"/>
                  <w:color w:val="0000EE"/>
                  <w:w w:val="95"/>
                </w:rPr>
                <w:t>Item 6</w:t>
              </w:r>
            </w:hyperlink>
          </w:p>
        </w:tc>
        <w:tc>
          <w:tcPr>
            <w:tcW w:w="620" w:type="dxa"/>
            <w:vAlign w:val="bottom"/>
            <w:tcBorders>
              <w:top w:val="single" w:sz="8" w:color="0000EE"/>
              <w:bottom w:val="single" w:sz="8" w:color="0000EE"/>
            </w:tcBorders>
          </w:tcPr>
          <w:p>
            <w:pPr>
              <w:ind w:left="20"/>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Exhibits</w:t>
              </w:r>
            </w:hyperlink>
          </w:p>
        </w:tc>
        <w:tc>
          <w:tcPr>
            <w:tcW w:w="3160" w:type="dxa"/>
            <w:vAlign w:val="bottom"/>
            <w:tcBorders>
              <w:top w:val="single" w:sz="8" w:color="0000EE"/>
            </w:tcBorders>
            <w:gridSpan w:val="7"/>
          </w:tcPr>
          <w:p>
            <w:pPr>
              <w:spacing w:after="0"/>
              <w:rPr>
                <w:sz w:val="24"/>
                <w:szCs w:val="24"/>
                <w:color w:val="auto"/>
              </w:rPr>
            </w:pPr>
          </w:p>
        </w:tc>
        <w:tc>
          <w:tcPr>
            <w:tcW w:w="3780" w:type="dxa"/>
            <w:vAlign w:val="bottom"/>
            <w:gridSpan w:val="3"/>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12"/>
        </w:trPr>
        <w:tc>
          <w:tcPr>
            <w:tcW w:w="1600" w:type="dxa"/>
            <w:vAlign w:val="bottom"/>
            <w:tcBorders>
              <w:bottom w:val="single" w:sz="8" w:color="0000EE"/>
            </w:tcBorders>
            <w:gridSpan w:val="5"/>
          </w:tcPr>
          <w:p>
            <w:pPr>
              <w:spacing w:after="0"/>
              <w:rPr>
                <w:rFonts w:ascii="Arial" w:cs="Arial" w:eastAsia="Arial" w:hAnsi="Arial"/>
                <w:sz w:val="18"/>
                <w:szCs w:val="18"/>
                <w:b w:val="1"/>
                <w:bCs w:val="1"/>
                <w:color w:val="0000EE"/>
                <w:w w:val="97"/>
              </w:rPr>
            </w:pPr>
            <w:hyperlink w:anchor="page62">
              <w:r>
                <w:rPr>
                  <w:rFonts w:ascii="Arial" w:cs="Arial" w:eastAsia="Arial" w:hAnsi="Arial"/>
                  <w:sz w:val="18"/>
                  <w:szCs w:val="18"/>
                  <w:b w:val="1"/>
                  <w:bCs w:val="1"/>
                  <w:color w:val="0000EE"/>
                  <w:w w:val="97"/>
                </w:rPr>
                <w:t>SIGNATURE PAGE</w:t>
              </w:r>
            </w:hyperlink>
          </w:p>
        </w:tc>
        <w:tc>
          <w:tcPr>
            <w:tcW w:w="6460" w:type="dxa"/>
            <w:vAlign w:val="bottom"/>
            <w:gridSpan w:val="9"/>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196"/>
        </w:trPr>
        <w:tc>
          <w:tcPr>
            <w:tcW w:w="60" w:type="dxa"/>
            <w:vAlign w:val="bottom"/>
          </w:tcPr>
          <w:p>
            <w:pPr>
              <w:spacing w:after="0"/>
              <w:rPr>
                <w:sz w:val="17"/>
                <w:szCs w:val="17"/>
                <w:color w:val="auto"/>
              </w:rPr>
            </w:pPr>
          </w:p>
        </w:tc>
        <w:tc>
          <w:tcPr>
            <w:tcW w:w="36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4"/>
              </w:rPr>
              <w:t>EX-10.10.1: AMENDMENT AND AGREEMENT</w:t>
            </w:r>
          </w:p>
        </w:tc>
        <w:tc>
          <w:tcPr>
            <w:tcW w:w="4400" w:type="dxa"/>
            <w:vAlign w:val="bottom"/>
            <w:gridSpan w:val="5"/>
          </w:tcPr>
          <w:p>
            <w:pPr>
              <w:spacing w:after="0"/>
              <w:rPr>
                <w:sz w:val="17"/>
                <w:szCs w:val="17"/>
                <w:color w:val="auto"/>
              </w:rPr>
            </w:pPr>
          </w:p>
        </w:tc>
        <w:tc>
          <w:tcPr>
            <w:tcW w:w="29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800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2"/>
              </w:rPr>
              <w:t>EX-12.1: STATEMENT RE: COMPUTATION OF RATIO OF EARNINGS TO COMBINED FIXED CHARGES</w:t>
            </w:r>
          </w:p>
        </w:tc>
        <w:tc>
          <w:tcPr>
            <w:tcW w:w="2980" w:type="dxa"/>
            <w:vAlign w:val="bottom"/>
          </w:tcPr>
          <w:p>
            <w:pPr>
              <w:spacing w:after="0"/>
              <w:rPr>
                <w:sz w:val="17"/>
                <w:szCs w:val="17"/>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 CERTIFICATION</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 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324" w:right="6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AT JUNE 30, 2005 AND DECEMBER 31, 2004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9"/>
              </w:rPr>
              <w:t>June 30,</w:t>
            </w:r>
          </w:p>
        </w:tc>
        <w:tc>
          <w:tcPr>
            <w:tcW w:w="56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2004</w:t>
            </w: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1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145,201</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190,612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200,753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2,923</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3,746</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8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359,312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343,955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67,366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446,948</w:t>
            </w:r>
          </w:p>
        </w:tc>
        <w:tc>
          <w:tcPr>
            <w:tcW w:w="100" w:type="dxa"/>
            <w:vAlign w:val="bottom"/>
          </w:tcPr>
          <w:p>
            <w:pPr>
              <w:spacing w:after="0"/>
              <w:rPr>
                <w:sz w:val="19"/>
                <w:szCs w:val="19"/>
                <w:color w:val="auto"/>
              </w:rPr>
            </w:pP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473,108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7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1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17,043</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Deferred revenue, current portion</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34,139</w:t>
            </w:r>
          </w:p>
        </w:tc>
        <w:tc>
          <w:tcPr>
            <w:tcW w:w="0" w:type="dxa"/>
            <w:vAlign w:val="bottom"/>
          </w:tcPr>
          <w:p>
            <w:pPr>
              <w:spacing w:after="0"/>
              <w:rPr>
                <w:sz w:val="1"/>
                <w:szCs w:val="1"/>
                <w:color w:val="auto"/>
              </w:rPr>
            </w:pPr>
          </w:p>
        </w:tc>
      </w:tr>
      <w:tr>
        <w:trPr>
          <w:trHeight w:val="432"/>
        </w:trPr>
        <w:tc>
          <w:tcPr>
            <w:tcW w:w="910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51,939</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56,426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200,000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281,888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290,565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1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Preferred stock, $.01 par value; 30,000,000 shares authorized; issued and outstanding-none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80" w:type="dxa"/>
            <w:vAlign w:val="bottom"/>
          </w:tcPr>
          <w:p>
            <w:pPr>
              <w:ind w:left="400"/>
              <w:spacing w:after="0" w:line="201" w:lineRule="exact"/>
              <w:rPr>
                <w:sz w:val="20"/>
                <w:szCs w:val="20"/>
                <w:color w:val="auto"/>
              </w:rPr>
            </w:pPr>
            <w:r>
              <w:rPr>
                <w:rFonts w:ascii="Arial" w:cs="Arial" w:eastAsia="Arial" w:hAnsi="Arial"/>
                <w:sz w:val="18"/>
                <w:szCs w:val="18"/>
                <w:color w:val="auto"/>
              </w:rPr>
              <w:t>Class A Stock, convertible, $.001 par value; 40,000,000 shares authorized; 2,358,373 shares issued and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80" w:type="dxa"/>
            <w:vAlign w:val="bottom"/>
          </w:tcPr>
          <w:p>
            <w:pPr>
              <w:ind w:left="600"/>
              <w:spacing w:after="0"/>
              <w:rPr>
                <w:sz w:val="20"/>
                <w:szCs w:val="20"/>
                <w:color w:val="auto"/>
              </w:rPr>
            </w:pPr>
            <w:r>
              <w:rPr>
                <w:rFonts w:ascii="Arial" w:cs="Arial" w:eastAsia="Arial" w:hAnsi="Arial"/>
                <w:sz w:val="18"/>
                <w:szCs w:val="18"/>
                <w:color w:val="auto"/>
              </w:rPr>
              <w:t>outstanding in 2005 and 2004</w:t>
            </w: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7"/>
              </w:rPr>
              <w:t>Common Stock, $.001 par value; 160,000,000 shares authorized; shares issued and outstanding — 53,762,428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 2005 and 53,502,004 in 2004</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687,965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675,389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Unearned compensation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(1,296)</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(520,956)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(489,834)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80" w:type="dxa"/>
            <w:vAlign w:val="bottom"/>
          </w:tcPr>
          <w:p>
            <w:pPr>
              <w:ind w:left="60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165,060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182,543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446,948</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473,108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3"/>
              </w:rPr>
              <w:t>Three months ended June 30,</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00"/>
              <w:spacing w:after="0"/>
              <w:rPr>
                <w:sz w:val="20"/>
                <w:szCs w:val="20"/>
                <w:color w:val="auto"/>
              </w:rPr>
            </w:pPr>
            <w:r>
              <w:rPr>
                <w:rFonts w:ascii="Arial" w:cs="Arial" w:eastAsia="Arial" w:hAnsi="Arial"/>
                <w:sz w:val="18"/>
                <w:szCs w:val="18"/>
                <w:color w:val="auto"/>
              </w:rPr>
              <w:t>Contract research and development</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13,545</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27,146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27,047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68,756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Research progress payments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00"/>
              <w:spacing w:after="0"/>
              <w:rPr>
                <w:sz w:val="20"/>
                <w:szCs w:val="20"/>
                <w:color w:val="auto"/>
              </w:rPr>
            </w:pPr>
            <w:r>
              <w:rPr>
                <w:rFonts w:ascii="Arial" w:cs="Arial" w:eastAsia="Arial" w:hAnsi="Arial"/>
                <w:sz w:val="18"/>
                <w:szCs w:val="18"/>
                <w:color w:val="auto"/>
              </w:rPr>
              <w:t>Contract manufacturing</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5,528</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28,418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32,575</w:t>
            </w:r>
          </w:p>
        </w:tc>
        <w:tc>
          <w:tcPr>
            <w:tcW w:w="5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90,408</w:t>
            </w:r>
          </w:p>
        </w:tc>
        <w:tc>
          <w:tcPr>
            <w:tcW w:w="0" w:type="dxa"/>
            <w:vAlign w:val="bottom"/>
          </w:tcPr>
          <w:p>
            <w:pPr>
              <w:spacing w:after="0"/>
              <w:rPr>
                <w:sz w:val="1"/>
                <w:szCs w:val="1"/>
                <w:color w:val="auto"/>
              </w:rPr>
            </w:pPr>
          </w:p>
        </w:tc>
      </w:tr>
      <w:tr>
        <w:trPr>
          <w:trHeight w:val="439"/>
        </w:trPr>
        <w:tc>
          <w:tcPr>
            <w:tcW w:w="47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Research and development</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40,642</w:t>
            </w:r>
          </w:p>
        </w:tc>
        <w:tc>
          <w:tcPr>
            <w:tcW w:w="5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36,297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76,554</w:t>
            </w:r>
          </w:p>
        </w:tc>
        <w:tc>
          <w:tcPr>
            <w:tcW w:w="5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68,478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00"/>
              <w:spacing w:after="0"/>
              <w:rPr>
                <w:sz w:val="20"/>
                <w:szCs w:val="20"/>
                <w:color w:val="auto"/>
              </w:rPr>
            </w:pPr>
            <w:r>
              <w:rPr>
                <w:rFonts w:ascii="Arial" w:cs="Arial" w:eastAsia="Arial" w:hAnsi="Arial"/>
                <w:sz w:val="18"/>
                <w:szCs w:val="18"/>
                <w:color w:val="auto"/>
              </w:rPr>
              <w:t>Contract manufacturing</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1,675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4,166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General and administrative</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6,216</w:t>
            </w:r>
          </w:p>
        </w:tc>
        <w:tc>
          <w:tcPr>
            <w:tcW w:w="5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12,362</w:t>
            </w:r>
          </w:p>
        </w:tc>
        <w:tc>
          <w:tcPr>
            <w:tcW w:w="5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48,533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41,061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93,082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79,257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7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(32,167)</w:t>
            </w:r>
          </w:p>
        </w:tc>
        <w:tc>
          <w:tcPr>
            <w:tcW w:w="5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(12,643)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(60,507)</w:t>
            </w:r>
          </w:p>
        </w:tc>
        <w:tc>
          <w:tcPr>
            <w:tcW w:w="5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11,151</w:t>
            </w:r>
          </w:p>
        </w:tc>
        <w:tc>
          <w:tcPr>
            <w:tcW w:w="0" w:type="dxa"/>
            <w:vAlign w:val="bottom"/>
          </w:tcPr>
          <w:p>
            <w:pPr>
              <w:spacing w:after="0"/>
              <w:rPr>
                <w:sz w:val="1"/>
                <w:szCs w:val="1"/>
                <w:color w:val="auto"/>
              </w:rPr>
            </w:pPr>
          </w:p>
        </w:tc>
      </w:tr>
      <w:tr>
        <w:trPr>
          <w:trHeight w:val="439"/>
        </w:trPr>
        <w:tc>
          <w:tcPr>
            <w:tcW w:w="47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contract income</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5,640</w:t>
            </w:r>
          </w:p>
        </w:tc>
        <w:tc>
          <w:tcPr>
            <w:tcW w:w="5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30,640</w:t>
            </w:r>
          </w:p>
        </w:tc>
        <w:tc>
          <w:tcPr>
            <w:tcW w:w="5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00"/>
              <w:spacing w:after="0"/>
              <w:rPr>
                <w:sz w:val="20"/>
                <w:szCs w:val="20"/>
                <w:color w:val="auto"/>
              </w:rPr>
            </w:pPr>
            <w:r>
              <w:rPr>
                <w:rFonts w:ascii="Arial" w:cs="Arial" w:eastAsia="Arial" w:hAnsi="Arial"/>
                <w:sz w:val="18"/>
                <w:szCs w:val="18"/>
                <w:color w:val="auto"/>
              </w:rPr>
              <w:t>Investment income</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2,539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1,105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4,769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(3,011)</w:t>
            </w:r>
          </w:p>
        </w:tc>
        <w:tc>
          <w:tcPr>
            <w:tcW w:w="5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(6,024)</w:t>
            </w:r>
          </w:p>
        </w:tc>
        <w:tc>
          <w:tcPr>
            <w:tcW w:w="5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(1,906)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29,385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38,832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7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26,999)</w:t>
            </w:r>
          </w:p>
        </w:tc>
        <w:tc>
          <w:tcPr>
            <w:tcW w:w="7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14,549)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31,122)</w:t>
            </w:r>
          </w:p>
        </w:tc>
        <w:tc>
          <w:tcPr>
            <w:tcW w:w="7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49,983</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2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0.48)</w:t>
            </w:r>
          </w:p>
        </w:tc>
        <w:tc>
          <w:tcPr>
            <w:tcW w:w="7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0.56)</w:t>
            </w:r>
          </w:p>
        </w:tc>
        <w:tc>
          <w:tcPr>
            <w:tcW w:w="7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400"/>
              <w:spacing w:after="0"/>
              <w:rPr>
                <w:sz w:val="20"/>
                <w:szCs w:val="20"/>
                <w:color w:val="auto"/>
              </w:rPr>
            </w:pPr>
            <w:r>
              <w:rPr>
                <w:rFonts w:ascii="Arial" w:cs="Arial" w:eastAsia="Arial" w:hAnsi="Arial"/>
                <w:sz w:val="18"/>
                <w:szCs w:val="18"/>
                <w:color w:val="auto"/>
              </w:rPr>
              <w:t>Diluted</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0.48)</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0.26)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0.56)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7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00"/>
              <w:spacing w:after="0"/>
              <w:rPr>
                <w:sz w:val="20"/>
                <w:szCs w:val="20"/>
                <w:color w:val="auto"/>
              </w:rPr>
            </w:pPr>
            <w:r>
              <w:rPr>
                <w:rFonts w:ascii="Arial" w:cs="Arial" w:eastAsia="Arial" w:hAnsi="Arial"/>
                <w:sz w:val="18"/>
                <w:szCs w:val="18"/>
                <w:color w:val="auto"/>
              </w:rPr>
              <w:t>Basic</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55,917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55,383</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55,866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55,333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55,917</w:t>
            </w:r>
          </w:p>
        </w:tc>
        <w:tc>
          <w:tcPr>
            <w:tcW w:w="5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55,383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55,866</w:t>
            </w:r>
          </w:p>
        </w:tc>
        <w:tc>
          <w:tcPr>
            <w:tcW w:w="5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63,209</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1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Class A Stock</w:t>
            </w:r>
          </w:p>
        </w:tc>
        <w:tc>
          <w:tcPr>
            <w:tcW w:w="80" w:type="dxa"/>
            <w:vAlign w:val="bottom"/>
          </w:tcPr>
          <w:p>
            <w:pPr>
              <w:spacing w:after="0"/>
              <w:rPr>
                <w:sz w:val="14"/>
                <w:szCs w:val="14"/>
                <w:color w:val="auto"/>
              </w:rPr>
            </w:pPr>
          </w:p>
        </w:tc>
        <w:tc>
          <w:tcPr>
            <w:tcW w:w="1400" w:type="dxa"/>
            <w:vAlign w:val="bottom"/>
            <w:gridSpan w:val="3"/>
            <w:vMerge w:val="restart"/>
          </w:tcPr>
          <w:p>
            <w:pPr>
              <w:jc w:val="right"/>
              <w:ind w:right="14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360" w:type="dxa"/>
            <w:vAlign w:val="bottom"/>
          </w:tcPr>
          <w:p>
            <w:pPr>
              <w:spacing w:after="0"/>
              <w:rPr>
                <w:sz w:val="13"/>
                <w:szCs w:val="13"/>
                <w:color w:val="auto"/>
              </w:rPr>
            </w:pPr>
          </w:p>
        </w:tc>
        <w:tc>
          <w:tcPr>
            <w:tcW w:w="1160" w:type="dxa"/>
            <w:vAlign w:val="bottom"/>
            <w:tcBorders>
              <w:bottom w:val="single" w:sz="8" w:color="auto"/>
            </w:tcBorders>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Borders>
              <w:bottom w:val="single" w:sz="8" w:color="auto"/>
            </w:tcBorders>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3"/>
                <w:szCs w:val="13"/>
                <w:color w:val="auto"/>
              </w:rPr>
            </w:pPr>
          </w:p>
        </w:tc>
        <w:tc>
          <w:tcPr>
            <w:tcW w:w="1260" w:type="dxa"/>
            <w:vAlign w:val="bottom"/>
          </w:tcPr>
          <w:p>
            <w:pPr>
              <w:jc w:val="right"/>
              <w:ind w:right="248"/>
              <w:spacing w:after="0" w:line="158" w:lineRule="exact"/>
              <w:rPr>
                <w:sz w:val="20"/>
                <w:szCs w:val="20"/>
                <w:color w:val="auto"/>
              </w:rPr>
            </w:pPr>
            <w:r>
              <w:rPr>
                <w:rFonts w:ascii="Arial" w:cs="Arial" w:eastAsia="Arial" w:hAnsi="Arial"/>
                <w:sz w:val="14"/>
                <w:szCs w:val="14"/>
                <w:b w:val="1"/>
                <w:bCs w:val="1"/>
                <w:color w:val="auto"/>
              </w:rPr>
              <w:t>Unearned</w:t>
            </w:r>
          </w:p>
        </w:tc>
        <w:tc>
          <w:tcPr>
            <w:tcW w:w="100" w:type="dxa"/>
            <w:vAlign w:val="bottom"/>
          </w:tcPr>
          <w:p>
            <w:pPr>
              <w:spacing w:after="0"/>
              <w:rPr>
                <w:sz w:val="13"/>
                <w:szCs w:val="13"/>
                <w:color w:val="auto"/>
              </w:rPr>
            </w:pPr>
          </w:p>
        </w:tc>
        <w:tc>
          <w:tcPr>
            <w:tcW w:w="92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3"/>
                <w:szCs w:val="13"/>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3"/>
                <w:szCs w:val="13"/>
                <w:color w:val="auto"/>
              </w:rPr>
            </w:pPr>
          </w:p>
        </w:tc>
        <w:tc>
          <w:tcPr>
            <w:tcW w:w="12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Stockholders’</w:t>
            </w:r>
          </w:p>
        </w:tc>
        <w:tc>
          <w:tcPr>
            <w:tcW w:w="100" w:type="dxa"/>
            <w:vAlign w:val="bottom"/>
          </w:tcPr>
          <w:p>
            <w:pPr>
              <w:spacing w:after="0"/>
              <w:rPr>
                <w:sz w:val="13"/>
                <w:szCs w:val="13"/>
                <w:color w:val="auto"/>
              </w:rPr>
            </w:pPr>
          </w:p>
        </w:tc>
        <w:tc>
          <w:tcPr>
            <w:tcW w:w="1400" w:type="dxa"/>
            <w:vAlign w:val="bottom"/>
          </w:tcPr>
          <w:p>
            <w:pPr>
              <w:jc w:val="right"/>
              <w:ind w:right="148"/>
              <w:spacing w:after="0" w:line="158"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5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8"/>
              </w:rPr>
              <w:t>Shares</w:t>
            </w:r>
          </w:p>
        </w:tc>
        <w:tc>
          <w:tcPr>
            <w:tcW w:w="8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2"/>
                <w:szCs w:val="12"/>
                <w:color w:val="auto"/>
              </w:rPr>
            </w:pPr>
          </w:p>
        </w:tc>
        <w:tc>
          <w:tcPr>
            <w:tcW w:w="6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12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2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2"/>
                <w:szCs w:val="12"/>
                <w:color w:val="auto"/>
              </w:rPr>
            </w:pPr>
          </w:p>
        </w:tc>
        <w:tc>
          <w:tcPr>
            <w:tcW w:w="12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2"/>
                <w:szCs w:val="12"/>
                <w:color w:val="auto"/>
              </w:rPr>
            </w:pPr>
          </w:p>
        </w:tc>
        <w:tc>
          <w:tcPr>
            <w:tcW w:w="1400" w:type="dxa"/>
            <w:vAlign w:val="bottom"/>
            <w:tcBorders>
              <w:bottom w:val="single" w:sz="8" w:color="auto"/>
            </w:tcBorders>
          </w:tcPr>
          <w:p>
            <w:pPr>
              <w:jc w:val="right"/>
              <w:ind w:right="488"/>
              <w:spacing w:after="0" w:line="142" w:lineRule="exact"/>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95"/>
        </w:trPr>
        <w:tc>
          <w:tcPr>
            <w:tcW w:w="1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December 31,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2004</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2,358</w:t>
            </w:r>
          </w:p>
        </w:tc>
        <w:tc>
          <w:tcPr>
            <w:tcW w:w="6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53,502</w:t>
            </w:r>
          </w:p>
        </w:tc>
        <w:tc>
          <w:tcPr>
            <w:tcW w:w="7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$54</w:t>
            </w:r>
          </w:p>
        </w:tc>
        <w:tc>
          <w:tcPr>
            <w:tcW w:w="9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$675,389</w:t>
            </w:r>
          </w:p>
        </w:tc>
        <w:tc>
          <w:tcPr>
            <w:tcW w:w="13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($2,299)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($489,834)</w:t>
            </w:r>
          </w:p>
        </w:tc>
        <w:tc>
          <w:tcPr>
            <w:tcW w:w="12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($769)</w:t>
            </w:r>
          </w:p>
        </w:tc>
        <w:tc>
          <w:tcPr>
            <w:tcW w:w="13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$182,543</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6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rPr>
              <w:t>Common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rPr>
              <w:t>Stock in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rPr>
              <w:t>connection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rPr>
              <w:t>with exercise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rPr>
              <w:t>of stock</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ind w:left="220"/>
              <w:spacing w:after="0"/>
              <w:rPr>
                <w:sz w:val="20"/>
                <w:szCs w:val="20"/>
                <w:color w:val="auto"/>
              </w:rPr>
            </w:pPr>
            <w:r>
              <w:rPr>
                <w:rFonts w:ascii="Arial" w:cs="Arial" w:eastAsia="Arial" w:hAnsi="Arial"/>
                <w:sz w:val="18"/>
                <w:szCs w:val="18"/>
                <w:color w:val="auto"/>
              </w:rPr>
              <w:t>options</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gridSpan w:val="2"/>
          </w:tcPr>
          <w:p>
            <w:pPr>
              <w:jc w:val="right"/>
              <w:ind w:right="28"/>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gridSpan w:val="2"/>
          </w:tcPr>
          <w:p>
            <w:pPr>
              <w:jc w:val="right"/>
              <w:ind w:right="268"/>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in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connection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with Company</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401(k)</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Savings Plan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contribution</w:t>
            </w: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60" w:type="dxa"/>
            <w:vAlign w:val="bottom"/>
          </w:tcPr>
          <w:p>
            <w:pPr>
              <w:spacing w:after="0" w:line="201" w:lineRule="exact"/>
              <w:rPr>
                <w:sz w:val="20"/>
                <w:szCs w:val="20"/>
                <w:color w:val="auto"/>
              </w:rPr>
            </w:pPr>
            <w:r>
              <w:rPr>
                <w:rFonts w:ascii="Arial" w:cs="Arial" w:eastAsia="Arial" w:hAnsi="Arial"/>
                <w:sz w:val="18"/>
                <w:szCs w:val="18"/>
                <w:color w:val="auto"/>
              </w:rPr>
              <w:t>Forfeitures of</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rPr>
              <w:t>restricted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rPr>
              <w:t>Common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rPr>
              <w:t>Stock under</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rPr>
              <w:t>Long-Term</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ind w:left="220"/>
              <w:spacing w:after="0"/>
              <w:rPr>
                <w:sz w:val="20"/>
                <w:szCs w:val="20"/>
                <w:color w:val="auto"/>
              </w:rPr>
            </w:pPr>
            <w:r>
              <w:rPr>
                <w:rFonts w:ascii="Arial" w:cs="Arial" w:eastAsia="Arial" w:hAnsi="Arial"/>
                <w:sz w:val="18"/>
                <w:szCs w:val="18"/>
                <w:color w:val="auto"/>
                <w:w w:val="99"/>
              </w:rPr>
              <w:t>Incentive Plan</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360" w:type="dxa"/>
            <w:vAlign w:val="bottom"/>
            <w:gridSpan w:val="2"/>
          </w:tcPr>
          <w:p>
            <w:pPr>
              <w:jc w:val="right"/>
              <w:ind w:right="288"/>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compensation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w:t>
            </w: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10,939</w:t>
            </w:r>
          </w:p>
        </w:tc>
        <w:tc>
          <w:tcPr>
            <w:tcW w:w="13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11,915</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Net loss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(31,122)</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gridSpan w:val="2"/>
          </w:tcPr>
          <w:p>
            <w:pPr>
              <w:jc w:val="right"/>
              <w:ind w:right="208"/>
              <w:spacing w:after="0"/>
              <w:rPr>
                <w:sz w:val="20"/>
                <w:szCs w:val="20"/>
                <w:color w:val="auto"/>
              </w:rPr>
            </w:pPr>
            <w:r>
              <w:rPr>
                <w:rFonts w:ascii="Arial" w:cs="Arial" w:eastAsia="Arial" w:hAnsi="Arial"/>
                <w:sz w:val="18"/>
                <w:szCs w:val="18"/>
                <w:color w:val="auto"/>
              </w:rPr>
              <w:t>(31,122)</w:t>
            </w:r>
          </w:p>
        </w:tc>
        <w:tc>
          <w:tcPr>
            <w:tcW w:w="1500" w:type="dxa"/>
            <w:vAlign w:val="bottom"/>
            <w:gridSpan w:val="2"/>
          </w:tcPr>
          <w:p>
            <w:pPr>
              <w:jc w:val="right"/>
              <w:ind w:right="248"/>
              <w:spacing w:after="0"/>
              <w:rPr>
                <w:sz w:val="20"/>
                <w:szCs w:val="20"/>
                <w:color w:val="auto"/>
              </w:rPr>
            </w:pPr>
            <w:r>
              <w:rPr>
                <w:rFonts w:ascii="Arial" w:cs="Arial" w:eastAsia="Arial" w:hAnsi="Arial"/>
                <w:sz w:val="18"/>
                <w:szCs w:val="18"/>
                <w:color w:val="auto"/>
              </w:rPr>
              <w:t>($31,122)</w:t>
            </w:r>
          </w:p>
        </w:tc>
        <w:tc>
          <w:tcPr>
            <w:tcW w:w="0" w:type="dxa"/>
            <w:vAlign w:val="bottom"/>
          </w:tcPr>
          <w:p>
            <w:pPr>
              <w:spacing w:after="0"/>
              <w:rPr>
                <w:sz w:val="1"/>
                <w:szCs w:val="1"/>
                <w:color w:val="auto"/>
              </w:rPr>
            </w:pPr>
          </w:p>
        </w:tc>
      </w:tr>
      <w:tr>
        <w:trPr>
          <w:trHeight w:val="202"/>
        </w:trPr>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net</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marketable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60</w:t>
            </w:r>
          </w:p>
        </w:tc>
        <w:tc>
          <w:tcPr>
            <w:tcW w:w="13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60</w:t>
            </w:r>
          </w:p>
        </w:tc>
        <w:tc>
          <w:tcPr>
            <w:tcW w:w="15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360" w:type="dxa"/>
            <w:vAlign w:val="bottom"/>
            <w:vMerge w:val="restart"/>
          </w:tcPr>
          <w:p>
            <w:pPr>
              <w:spacing w:after="0"/>
              <w:rPr>
                <w:sz w:val="20"/>
                <w:szCs w:val="20"/>
                <w:color w:val="auto"/>
              </w:rPr>
            </w:pPr>
            <w:r>
              <w:rPr>
                <w:rFonts w:ascii="Arial" w:cs="Arial" w:eastAsia="Arial" w:hAnsi="Arial"/>
                <w:sz w:val="18"/>
                <w:szCs w:val="18"/>
                <w:color w:val="auto"/>
                <w:w w:val="92"/>
              </w:rPr>
              <w:t>Balance, June 30,</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ind w:left="220"/>
              <w:spacing w:after="0"/>
              <w:rPr>
                <w:sz w:val="20"/>
                <w:szCs w:val="20"/>
                <w:color w:val="auto"/>
              </w:rPr>
            </w:pPr>
            <w:r>
              <w:rPr>
                <w:rFonts w:ascii="Arial" w:cs="Arial" w:eastAsia="Arial" w:hAnsi="Arial"/>
                <w:sz w:val="18"/>
                <w:szCs w:val="18"/>
                <w:color w:val="auto"/>
              </w:rPr>
              <w:t>2005</w:t>
            </w: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2,358</w:t>
            </w:r>
          </w:p>
        </w:tc>
        <w:tc>
          <w:tcPr>
            <w:tcW w:w="62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8"/>
                <w:szCs w:val="18"/>
                <w:color w:val="auto"/>
              </w:rPr>
              <w:t>$2</w:t>
            </w:r>
          </w:p>
        </w:tc>
        <w:tc>
          <w:tcPr>
            <w:tcW w:w="76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53,762</w:t>
            </w:r>
          </w:p>
        </w:tc>
        <w:tc>
          <w:tcPr>
            <w:tcW w:w="72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8"/>
                <w:szCs w:val="18"/>
                <w:color w:val="auto"/>
              </w:rPr>
              <w:t>$54</w:t>
            </w:r>
          </w:p>
        </w:tc>
        <w:tc>
          <w:tcPr>
            <w:tcW w:w="9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$687,965</w:t>
            </w:r>
          </w:p>
        </w:tc>
        <w:tc>
          <w:tcPr>
            <w:tcW w:w="136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8"/>
                <w:szCs w:val="18"/>
                <w:color w:val="auto"/>
              </w:rPr>
              <w:t>($1,296)</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($520,956)</w:t>
            </w:r>
          </w:p>
        </w:tc>
        <w:tc>
          <w:tcPr>
            <w:tcW w:w="128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8"/>
                <w:szCs w:val="18"/>
                <w:color w:val="auto"/>
              </w:rPr>
              <w:t>($709)</w:t>
            </w:r>
          </w:p>
        </w:tc>
        <w:tc>
          <w:tcPr>
            <w:tcW w:w="136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8"/>
                <w:szCs w:val="18"/>
                <w:color w:val="auto"/>
              </w:rPr>
              <w:t>$165,060</w:t>
            </w:r>
          </w:p>
        </w:tc>
        <w:tc>
          <w:tcPr>
            <w:tcW w:w="150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8"/>
                <w:szCs w:val="18"/>
                <w:color w:val="auto"/>
              </w:rPr>
              <w:t>($31,062)</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34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2004</w:t>
            </w: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31,122)</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49,983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3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7,689</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Non-cash compensation expense</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11,703</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rPr>
              <w:t>Non-cash expense related to a license agreement</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Forgiveness of loan payable to Novartis Pharma AG, inclusive of accrued interest</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(17,770)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Decrease (increase) in accounts receivable</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26,272</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00"/>
              <w:spacing w:after="0"/>
              <w:rPr>
                <w:sz w:val="20"/>
                <w:szCs w:val="20"/>
                <w:color w:val="auto"/>
              </w:rPr>
            </w:pPr>
            <w:r>
              <w:rPr>
                <w:rFonts w:ascii="Arial" w:cs="Arial" w:eastAsia="Arial" w:hAnsi="Arial"/>
                <w:sz w:val="18"/>
                <w:szCs w:val="18"/>
                <w:color w:val="auto"/>
              </w:rPr>
              <w:t>Increase in prepaid expenses and other assets</w:t>
            </w:r>
          </w:p>
        </w:tc>
        <w:tc>
          <w:tcPr>
            <w:tcW w:w="3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(1,246)</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Decrease (increase) in inventory</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00"/>
              <w:spacing w:after="0"/>
              <w:rPr>
                <w:sz w:val="20"/>
                <w:szCs w:val="20"/>
                <w:color w:val="auto"/>
              </w:rPr>
            </w:pPr>
            <w:r>
              <w:rPr>
                <w:rFonts w:ascii="Arial" w:cs="Arial" w:eastAsia="Arial" w:hAnsi="Arial"/>
                <w:sz w:val="18"/>
                <w:szCs w:val="18"/>
                <w:color w:val="auto"/>
              </w:rPr>
              <w:t>Decrease in deferred revenue</w:t>
            </w:r>
          </w:p>
        </w:tc>
        <w:tc>
          <w:tcPr>
            <w:tcW w:w="3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(6,848)</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(26,776)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Decrease in accounts payable, accrued expenses, and other liabilities</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(2,040)</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ind w:left="1200"/>
              <w:spacing w:after="0"/>
              <w:rPr>
                <w:sz w:val="20"/>
                <w:szCs w:val="20"/>
                <w:color w:val="auto"/>
              </w:rPr>
            </w:pPr>
            <w:r>
              <w:rPr>
                <w:rFonts w:ascii="Arial" w:cs="Arial" w:eastAsia="Arial" w:hAnsi="Arial"/>
                <w:sz w:val="18"/>
                <w:szCs w:val="18"/>
                <w:color w:val="auto"/>
              </w:rPr>
              <w:t>Total adjustments</w:t>
            </w:r>
          </w:p>
        </w:tc>
        <w:tc>
          <w:tcPr>
            <w:tcW w:w="34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35,671</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(51,107</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4,549</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439"/>
        </w:trPr>
        <w:tc>
          <w:tcPr>
            <w:tcW w:w="83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(60,392)</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(87,669)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Purchases of restricted marketable securities</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Sales or maturities of marketable securities</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107,680</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Maturities of restricted marketable securities</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Capital expenditures</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(2,897)</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1200"/>
              <w:spacing w:after="0"/>
              <w:rPr>
                <w:sz w:val="20"/>
                <w:szCs w:val="20"/>
                <w:color w:val="auto"/>
              </w:rPr>
            </w:pPr>
            <w:r>
              <w:rPr>
                <w:rFonts w:ascii="Arial" w:cs="Arial" w:eastAsia="Arial" w:hAnsi="Arial"/>
                <w:sz w:val="18"/>
                <w:szCs w:val="18"/>
                <w:color w:val="auto"/>
              </w:rPr>
              <w:t>Net cash provided by investing activities</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44,391</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4,238</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Net proceeds from the issuance of stock</w:t>
            </w:r>
          </w:p>
        </w:tc>
        <w:tc>
          <w:tcPr>
            <w:tcW w:w="3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1,032</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Borrowings under loan payable</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120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49,972</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7,544</w:t>
            </w:r>
          </w:p>
        </w:tc>
        <w:tc>
          <w:tcPr>
            <w:tcW w:w="0" w:type="dxa"/>
            <w:vAlign w:val="bottom"/>
          </w:tcPr>
          <w:p>
            <w:pPr>
              <w:spacing w:after="0"/>
              <w:rPr>
                <w:sz w:val="1"/>
                <w:szCs w:val="1"/>
                <w:color w:val="auto"/>
              </w:rPr>
            </w:pPr>
          </w:p>
        </w:tc>
      </w:tr>
      <w:tr>
        <w:trPr>
          <w:trHeight w:val="432"/>
        </w:trPr>
        <w:tc>
          <w:tcPr>
            <w:tcW w:w="83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95,229</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97,477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145,201</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105,021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2004 Condensed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2004.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Per Share Data</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Company’s basic net income (loss) per share amounts have been computed by dividing net income or loss by the weighted average number of shares of Common Stock and Class A Stock outstanding. Diluted net income per share is based upon the weighted average number of shares of Common Stock and Class A Stock and the common stock equivalents outstanding when dilutive. Common stock equivalents include: (i) outstanding stock options and restricted stock awards under the Company’s Long-Term Incentive Plans, which are included under the treasury stock method when dilutive, and (ii) Common Stock to be issued under the assumed conversion of the Company’s outstanding convertible senior subordinated notes, which are included under the if-converted method when dilutive. For the three and six months ended June 30, 2005 and the three months ended June 30, 2004, the Company reported a net loss and, therefore, no common stock equivalents were included in the computation of diluted net loss per share for such periods, since such inclusion would have been antidilutive. The calculations of basic and diluted net income (loss) per share are as follows: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gridSpan w:val="6"/>
          </w:tcPr>
          <w:p>
            <w:pPr>
              <w:jc w:val="right"/>
              <w:ind w:right="580"/>
              <w:spacing w:after="0"/>
              <w:rPr>
                <w:sz w:val="20"/>
                <w:szCs w:val="20"/>
                <w:color w:val="auto"/>
              </w:rPr>
            </w:pPr>
            <w:r>
              <w:rPr>
                <w:rFonts w:ascii="Arial" w:cs="Arial" w:eastAsia="Arial" w:hAnsi="Arial"/>
                <w:sz w:val="14"/>
                <w:szCs w:val="14"/>
                <w:color w:val="auto"/>
              </w:rPr>
              <w:t>Three Months Ended 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2005</w:t>
            </w:r>
          </w:p>
        </w:tc>
        <w:tc>
          <w:tcPr>
            <w:tcW w:w="3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2004</w:t>
            </w: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26,999)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14,549)</w:t>
            </w:r>
          </w:p>
        </w:tc>
        <w:tc>
          <w:tcPr>
            <w:tcW w:w="0" w:type="dxa"/>
            <w:vAlign w:val="bottom"/>
          </w:tcPr>
          <w:p>
            <w:pPr>
              <w:spacing w:after="0"/>
              <w:rPr>
                <w:sz w:val="1"/>
                <w:szCs w:val="1"/>
                <w:color w:val="auto"/>
              </w:rPr>
            </w:pPr>
          </w:p>
        </w:tc>
      </w:tr>
      <w:tr>
        <w:trPr>
          <w:trHeight w:val="432"/>
        </w:trPr>
        <w:tc>
          <w:tcPr>
            <w:tcW w:w="8520" w:type="dxa"/>
            <w:vAlign w:val="bottom"/>
            <w:gridSpan w:val="2"/>
          </w:tcPr>
          <w:p>
            <w:pPr>
              <w:spacing w:after="0"/>
              <w:rPr>
                <w:sz w:val="20"/>
                <w:szCs w:val="20"/>
                <w:color w:val="auto"/>
              </w:rPr>
            </w:pPr>
            <w:r>
              <w:rPr>
                <w:rFonts w:ascii="Arial" w:cs="Arial" w:eastAsia="Arial" w:hAnsi="Arial"/>
                <w:sz w:val="18"/>
                <w:szCs w:val="18"/>
                <w:color w:val="auto"/>
              </w:rPr>
              <w:t>Weighted-average shares, in thousands (Denominator)</w:t>
            </w:r>
          </w:p>
        </w:tc>
        <w:tc>
          <w:tcPr>
            <w:tcW w:w="34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55,917</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55,383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60" w:type="dxa"/>
            <w:vAlign w:val="bottom"/>
            <w:gridSpan w:val="6"/>
          </w:tcPr>
          <w:p>
            <w:pPr>
              <w:jc w:val="right"/>
              <w:ind w:right="66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2005</w:t>
            </w:r>
          </w:p>
        </w:tc>
        <w:tc>
          <w:tcPr>
            <w:tcW w:w="3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2004</w:t>
            </w: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(Numerator):</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00"/>
              <w:spacing w:after="0"/>
              <w:rPr>
                <w:sz w:val="20"/>
                <w:szCs w:val="20"/>
                <w:color w:val="auto"/>
              </w:rPr>
            </w:pPr>
            <w:r>
              <w:rPr>
                <w:rFonts w:ascii="Arial" w:cs="Arial" w:eastAsia="Arial" w:hAnsi="Arial"/>
                <w:sz w:val="18"/>
                <w:szCs w:val="18"/>
                <w:color w:val="auto"/>
              </w:rPr>
              <w:t>Net income (loss) for basic per share calculations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31,122)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49,983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 for interest expense on convertible notes</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600"/>
              <w:spacing w:after="0"/>
              <w:rPr>
                <w:sz w:val="20"/>
                <w:szCs w:val="20"/>
                <w:color w:val="auto"/>
              </w:rPr>
            </w:pPr>
            <w:r>
              <w:rPr>
                <w:rFonts w:ascii="Arial" w:cs="Arial" w:eastAsia="Arial" w:hAnsi="Arial"/>
                <w:sz w:val="18"/>
                <w:szCs w:val="18"/>
                <w:color w:val="auto"/>
              </w:rPr>
              <w:t>Adjusted net income (loss) for diluted per share calculations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31,122</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55,483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Shares, in thousands (Denominator):</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00"/>
              <w:spacing w:after="0"/>
              <w:rPr>
                <w:sz w:val="20"/>
                <w:szCs w:val="20"/>
                <w:color w:val="auto"/>
              </w:rPr>
            </w:pPr>
            <w:r>
              <w:rPr>
                <w:rFonts w:ascii="Arial" w:cs="Arial" w:eastAsia="Arial" w:hAnsi="Arial"/>
                <w:sz w:val="18"/>
                <w:szCs w:val="18"/>
                <w:color w:val="auto"/>
              </w:rPr>
              <w:t>Weighted-average shares for basic per share calculations</w:t>
            </w:r>
          </w:p>
        </w:tc>
        <w:tc>
          <w:tcPr>
            <w:tcW w:w="3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55,866</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55,333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Effect of stock options</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00"/>
              <w:spacing w:after="0"/>
              <w:rPr>
                <w:sz w:val="20"/>
                <w:szCs w:val="20"/>
                <w:color w:val="auto"/>
              </w:rPr>
            </w:pPr>
            <w:r>
              <w:rPr>
                <w:rFonts w:ascii="Arial" w:cs="Arial" w:eastAsia="Arial" w:hAnsi="Arial"/>
                <w:sz w:val="18"/>
                <w:szCs w:val="18"/>
                <w:color w:val="auto"/>
              </w:rPr>
              <w:t>Effect of restricted stock awards</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Effect of convertible notes</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600"/>
              <w:spacing w:after="0"/>
              <w:rPr>
                <w:sz w:val="20"/>
                <w:szCs w:val="20"/>
                <w:color w:val="auto"/>
              </w:rPr>
            </w:pPr>
            <w:r>
              <w:rPr>
                <w:rFonts w:ascii="Arial" w:cs="Arial" w:eastAsia="Arial" w:hAnsi="Arial"/>
                <w:sz w:val="18"/>
                <w:szCs w:val="18"/>
                <w:color w:val="auto"/>
              </w:rPr>
              <w:t>Adjusted weighted-average shares for diluted per share calculations</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55,866</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63,209</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0.56)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Shares issuable upon the exercise of stock options, vesting of restricted stock awards, and conversion of convertible debt, which have been excluded from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2005 and 2004 diluted per share amounts because their effect would have been antidilutive, include the following: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20" w:type="dxa"/>
            <w:vAlign w:val="bottom"/>
            <w:gridSpan w:val="6"/>
          </w:tcPr>
          <w:p>
            <w:pPr>
              <w:jc w:val="right"/>
              <w:ind w:right="534"/>
              <w:spacing w:after="0"/>
              <w:rPr>
                <w:sz w:val="20"/>
                <w:szCs w:val="20"/>
                <w:color w:val="auto"/>
              </w:rPr>
            </w:pPr>
            <w:r>
              <w:rPr>
                <w:rFonts w:ascii="Arial" w:cs="Arial" w:eastAsia="Arial" w:hAnsi="Arial"/>
                <w:sz w:val="14"/>
                <w:szCs w:val="14"/>
                <w:color w:val="auto"/>
              </w:rPr>
              <w:t>Three months ended June 30,</w:t>
            </w:r>
          </w:p>
        </w:tc>
      </w:tr>
      <w:tr>
        <w:trPr>
          <w:trHeight w:val="167"/>
        </w:trPr>
        <w:tc>
          <w:tcPr>
            <w:tcW w:w="85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2005</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w w:val="96"/>
              </w:rPr>
              <w:t>2004</w:t>
            </w: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8500" w:type="dxa"/>
            <w:vAlign w:val="bottom"/>
          </w:tcPr>
          <w:p>
            <w:pPr>
              <w:ind w:left="420"/>
              <w:spacing w:after="0"/>
              <w:rPr>
                <w:sz w:val="20"/>
                <w:szCs w:val="20"/>
                <w:color w:val="auto"/>
              </w:rPr>
            </w:pPr>
            <w:r>
              <w:rPr>
                <w:rFonts w:ascii="Arial" w:cs="Arial" w:eastAsia="Arial" w:hAnsi="Arial"/>
                <w:sz w:val="18"/>
                <w:szCs w:val="18"/>
                <w:color w:val="auto"/>
              </w:rPr>
              <w:t>Weighted average number, in thousands</w:t>
            </w:r>
          </w:p>
        </w:tc>
        <w:tc>
          <w:tcPr>
            <w:tcW w:w="1180" w:type="dxa"/>
            <w:vAlign w:val="bottom"/>
            <w:gridSpan w:val="3"/>
          </w:tcPr>
          <w:p>
            <w:pPr>
              <w:jc w:val="right"/>
              <w:ind w:right="256"/>
              <w:spacing w:after="0"/>
              <w:rPr>
                <w:sz w:val="20"/>
                <w:szCs w:val="20"/>
                <w:color w:val="auto"/>
              </w:rPr>
            </w:pPr>
            <w:r>
              <w:rPr>
                <w:rFonts w:ascii="Arial" w:cs="Arial" w:eastAsia="Arial" w:hAnsi="Arial"/>
                <w:sz w:val="18"/>
                <w:szCs w:val="18"/>
                <w:color w:val="auto"/>
              </w:rPr>
              <w:t>13,295</w:t>
            </w:r>
          </w:p>
        </w:tc>
        <w:tc>
          <w:tcPr>
            <w:tcW w:w="1740" w:type="dxa"/>
            <w:vAlign w:val="bottom"/>
            <w:gridSpan w:val="5"/>
          </w:tcPr>
          <w:p>
            <w:pPr>
              <w:jc w:val="right"/>
              <w:ind w:right="254"/>
              <w:spacing w:after="0"/>
              <w:rPr>
                <w:sz w:val="20"/>
                <w:szCs w:val="20"/>
                <w:color w:val="auto"/>
              </w:rPr>
            </w:pPr>
            <w:r>
              <w:rPr>
                <w:rFonts w:ascii="Arial" w:cs="Arial" w:eastAsia="Arial" w:hAnsi="Arial"/>
                <w:sz w:val="18"/>
                <w:szCs w:val="18"/>
                <w:color w:val="auto"/>
              </w:rPr>
              <w:t>13,122</w:t>
            </w:r>
          </w:p>
        </w:tc>
      </w:tr>
      <w:tr>
        <w:trPr>
          <w:trHeight w:val="216"/>
        </w:trPr>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exercise price</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93"/>
              </w:rPr>
              <w:t>14.55</w:t>
            </w: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88"/>
              </w:rPr>
              <w:t>20.33</w:t>
            </w:r>
          </w:p>
        </w:tc>
      </w:tr>
      <w:tr>
        <w:trPr>
          <w:trHeight w:val="432"/>
        </w:trPr>
        <w:tc>
          <w:tcPr>
            <w:tcW w:w="8500" w:type="dxa"/>
            <w:vAlign w:val="bottom"/>
          </w:tcPr>
          <w:p>
            <w:pPr>
              <w:spacing w:after="0"/>
              <w:rPr>
                <w:sz w:val="20"/>
                <w:szCs w:val="20"/>
                <w:color w:val="auto"/>
              </w:rPr>
            </w:pPr>
            <w:r>
              <w:rPr>
                <w:rFonts w:ascii="Arial" w:cs="Arial" w:eastAsia="Arial" w:hAnsi="Arial"/>
                <w:sz w:val="18"/>
                <w:szCs w:val="18"/>
                <w:color w:val="auto"/>
              </w:rPr>
              <w:t>Restricted Stock:</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in thousands</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282</w:t>
            </w:r>
          </w:p>
        </w:tc>
      </w:tr>
      <w:tr>
        <w:trPr>
          <w:trHeight w:val="432"/>
        </w:trPr>
        <w:tc>
          <w:tcPr>
            <w:tcW w:w="8500" w:type="dxa"/>
            <w:vAlign w:val="bottom"/>
          </w:tcPr>
          <w:p>
            <w:pPr>
              <w:spacing w:after="0"/>
              <w:rPr>
                <w:sz w:val="20"/>
                <w:szCs w:val="20"/>
                <w:color w:val="auto"/>
              </w:rPr>
            </w:pPr>
            <w:r>
              <w:rPr>
                <w:rFonts w:ascii="Arial" w:cs="Arial" w:eastAsia="Arial" w:hAnsi="Arial"/>
                <w:sz w:val="18"/>
                <w:szCs w:val="18"/>
                <w:color w:val="auto"/>
              </w:rPr>
              <w:t>Convertible Debt: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in thousands</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93"/>
              </w:rPr>
              <w:t>6,611</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88"/>
              </w:rPr>
              <w:t>6,611</w:t>
            </w:r>
          </w:p>
        </w:tc>
      </w:tr>
      <w:tr>
        <w:trPr>
          <w:trHeight w:val="230"/>
        </w:trPr>
        <w:tc>
          <w:tcPr>
            <w:tcW w:w="8500" w:type="dxa"/>
            <w:vAlign w:val="bottom"/>
          </w:tcPr>
          <w:p>
            <w:pPr>
              <w:ind w:left="420"/>
              <w:spacing w:after="0"/>
              <w:rPr>
                <w:sz w:val="20"/>
                <w:szCs w:val="20"/>
                <w:color w:val="auto"/>
              </w:rPr>
            </w:pPr>
            <w:r>
              <w:rPr>
                <w:rFonts w:ascii="Arial" w:cs="Arial" w:eastAsia="Arial" w:hAnsi="Arial"/>
                <w:sz w:val="18"/>
                <w:szCs w:val="18"/>
                <w:color w:val="auto"/>
              </w:rPr>
              <w:t>Conversion price</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56"/>
              <w:spacing w:after="0"/>
              <w:rPr>
                <w:sz w:val="20"/>
                <w:szCs w:val="20"/>
                <w:color w:val="auto"/>
              </w:rPr>
            </w:pPr>
            <w:r>
              <w:rPr>
                <w:rFonts w:ascii="Arial" w:cs="Arial" w:eastAsia="Arial" w:hAnsi="Arial"/>
                <w:sz w:val="18"/>
                <w:szCs w:val="18"/>
                <w:color w:val="auto"/>
                <w:w w:val="93"/>
              </w:rPr>
              <w:t>30.25</w:t>
            </w: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4"/>
              <w:spacing w:after="0"/>
              <w:rPr>
                <w:sz w:val="20"/>
                <w:szCs w:val="20"/>
                <w:color w:val="auto"/>
              </w:rPr>
            </w:pPr>
            <w:r>
              <w:rPr>
                <w:rFonts w:ascii="Arial" w:cs="Arial" w:eastAsia="Arial" w:hAnsi="Arial"/>
                <w:sz w:val="18"/>
                <w:szCs w:val="18"/>
                <w:color w:val="auto"/>
                <w:w w:val="88"/>
              </w:rPr>
              <w:t>30.25</w:t>
            </w:r>
          </w:p>
        </w:tc>
      </w:tr>
      <w:tr>
        <w:trPr>
          <w:trHeight w:val="332"/>
        </w:trPr>
        <w:tc>
          <w:tcPr>
            <w:tcW w:w="8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20" w:type="dxa"/>
            <w:vAlign w:val="bottom"/>
            <w:gridSpan w:val="6"/>
          </w:tcPr>
          <w:p>
            <w:pPr>
              <w:jc w:val="right"/>
              <w:ind w:right="574"/>
              <w:spacing w:after="0"/>
              <w:rPr>
                <w:sz w:val="20"/>
                <w:szCs w:val="20"/>
                <w:color w:val="auto"/>
              </w:rPr>
            </w:pPr>
            <w:r>
              <w:rPr>
                <w:rFonts w:ascii="Arial" w:cs="Arial" w:eastAsia="Arial" w:hAnsi="Arial"/>
                <w:sz w:val="14"/>
                <w:szCs w:val="14"/>
                <w:color w:val="auto"/>
              </w:rPr>
              <w:t>Six months ended June 30,</w:t>
            </w:r>
          </w:p>
        </w:tc>
      </w:tr>
      <w:tr>
        <w:trPr>
          <w:trHeight w:val="167"/>
        </w:trPr>
        <w:tc>
          <w:tcPr>
            <w:tcW w:w="8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2005</w:t>
            </w:r>
          </w:p>
        </w:tc>
        <w:tc>
          <w:tcPr>
            <w:tcW w:w="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2004</w:t>
            </w: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8500" w:type="dxa"/>
            <w:vAlign w:val="bottom"/>
          </w:tcPr>
          <w:p>
            <w:pPr>
              <w:ind w:left="420"/>
              <w:spacing w:after="0"/>
              <w:rPr>
                <w:sz w:val="20"/>
                <w:szCs w:val="20"/>
                <w:color w:val="auto"/>
              </w:rPr>
            </w:pPr>
            <w:r>
              <w:rPr>
                <w:rFonts w:ascii="Arial" w:cs="Arial" w:eastAsia="Arial" w:hAnsi="Arial"/>
                <w:sz w:val="18"/>
                <w:szCs w:val="18"/>
                <w:color w:val="auto"/>
              </w:rPr>
              <w:t>Weighted average number, in thousands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196"/>
              <w:spacing w:after="0"/>
              <w:rPr>
                <w:sz w:val="20"/>
                <w:szCs w:val="20"/>
                <w:color w:val="auto"/>
              </w:rPr>
            </w:pPr>
            <w:r>
              <w:rPr>
                <w:rFonts w:ascii="Arial" w:cs="Arial" w:eastAsia="Arial" w:hAnsi="Arial"/>
                <w:sz w:val="18"/>
                <w:szCs w:val="18"/>
                <w:color w:val="auto"/>
                <w:w w:val="87"/>
              </w:rPr>
              <w:t>13,385</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254"/>
              <w:spacing w:after="0"/>
              <w:rPr>
                <w:sz w:val="20"/>
                <w:szCs w:val="20"/>
                <w:color w:val="auto"/>
              </w:rPr>
            </w:pPr>
            <w:r>
              <w:rPr>
                <w:rFonts w:ascii="Arial" w:cs="Arial" w:eastAsia="Arial" w:hAnsi="Arial"/>
                <w:sz w:val="18"/>
                <w:szCs w:val="18"/>
                <w:color w:val="auto"/>
                <w:w w:val="88"/>
              </w:rPr>
              <w:t>7,515</w:t>
            </w:r>
          </w:p>
        </w:tc>
      </w:tr>
      <w:tr>
        <w:trPr>
          <w:trHeight w:val="216"/>
        </w:trPr>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exercise price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14.64</w:t>
            </w: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88"/>
              </w:rPr>
              <w:t>27.75</w:t>
            </w:r>
          </w:p>
        </w:tc>
      </w:tr>
      <w:tr>
        <w:trPr>
          <w:trHeight w:val="432"/>
        </w:trPr>
        <w:tc>
          <w:tcPr>
            <w:tcW w:w="8500" w:type="dxa"/>
            <w:vAlign w:val="bottom"/>
          </w:tcPr>
          <w:p>
            <w:pPr>
              <w:spacing w:after="0"/>
              <w:rPr>
                <w:sz w:val="20"/>
                <w:szCs w:val="20"/>
                <w:color w:val="auto"/>
              </w:rPr>
            </w:pPr>
            <w:r>
              <w:rPr>
                <w:rFonts w:ascii="Arial" w:cs="Arial" w:eastAsia="Arial" w:hAnsi="Arial"/>
                <w:sz w:val="18"/>
                <w:szCs w:val="18"/>
                <w:color w:val="auto"/>
              </w:rPr>
              <w:t>Restricted Stock:</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in thousands</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432"/>
        </w:trPr>
        <w:tc>
          <w:tcPr>
            <w:tcW w:w="8500" w:type="dxa"/>
            <w:vAlign w:val="bottom"/>
          </w:tcPr>
          <w:p>
            <w:pPr>
              <w:spacing w:after="0"/>
              <w:rPr>
                <w:sz w:val="20"/>
                <w:szCs w:val="20"/>
                <w:color w:val="auto"/>
              </w:rPr>
            </w:pPr>
            <w:r>
              <w:rPr>
                <w:rFonts w:ascii="Arial" w:cs="Arial" w:eastAsia="Arial" w:hAnsi="Arial"/>
                <w:sz w:val="18"/>
                <w:szCs w:val="18"/>
                <w:color w:val="auto"/>
              </w:rPr>
              <w:t>Convertible Debt: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in thousands</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6,611</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8500" w:type="dxa"/>
            <w:vAlign w:val="bottom"/>
          </w:tcPr>
          <w:p>
            <w:pPr>
              <w:ind w:left="420"/>
              <w:spacing w:after="0"/>
              <w:rPr>
                <w:sz w:val="20"/>
                <w:szCs w:val="20"/>
                <w:color w:val="auto"/>
              </w:rPr>
            </w:pPr>
            <w:r>
              <w:rPr>
                <w:rFonts w:ascii="Arial" w:cs="Arial" w:eastAsia="Arial" w:hAnsi="Arial"/>
                <w:sz w:val="18"/>
                <w:szCs w:val="18"/>
                <w:color w:val="auto"/>
              </w:rPr>
              <w:t>Conversion price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6"/>
              <w:spacing w:after="0"/>
              <w:rPr>
                <w:sz w:val="20"/>
                <w:szCs w:val="20"/>
                <w:color w:val="auto"/>
              </w:rPr>
            </w:pPr>
            <w:r>
              <w:rPr>
                <w:rFonts w:ascii="Arial" w:cs="Arial" w:eastAsia="Arial" w:hAnsi="Arial"/>
                <w:sz w:val="18"/>
                <w:szCs w:val="18"/>
                <w:color w:val="auto"/>
              </w:rPr>
              <w:t>30.25</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Employee Compensation</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Effective January 1, 2005, the Company adopted the fair value based method of accounting for stock-based employee compensation under the provisions of Statement of Financial Accounting Standards No. (“SFAS”)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xml:space="preserve">, using the modified prospective method as described in SFAS 148, </w:t>
      </w:r>
      <w:r>
        <w:rPr>
          <w:rFonts w:ascii="Arial" w:cs="Arial" w:eastAsia="Arial" w:hAnsi="Arial"/>
          <w:sz w:val="17"/>
          <w:szCs w:val="17"/>
          <w:i w:val="1"/>
          <w:iCs w:val="1"/>
          <w:color w:val="auto"/>
        </w:rPr>
        <w:t>Accounting for Stock-Based Compensation- Transition and Disclosure</w:t>
      </w:r>
      <w:r>
        <w:rPr>
          <w:rFonts w:ascii="Arial" w:cs="Arial" w:eastAsia="Arial" w:hAnsi="Arial"/>
          <w:sz w:val="17"/>
          <w:szCs w:val="17"/>
          <w:color w:val="auto"/>
        </w:rPr>
        <w:t xml:space="preserve">. As a result, the Company has begun recognizing expense, in an amount equal to the fair value of share-based payments (including stock option awards) on their date of grant, over the vesting period of the awards. Under the modified prospective method, compensation expense for the Company is recognized for (a) all share based payments granted on or after January 1, 2005, (including replacement options granted under the Company’s stock option exchange program which concluded on January 5, 2005 (see Note 11)) and (b) all awards granted to employees prior to January 1, 2005 that were unvested on that date. Prior to the adoption of the fair value method, the Company accounted for stock-based compensation to employees under the intrinsic value method of accounting set forth in Accounting Principles Board Opinion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and related interpretations. Therefore, compensation expense related to employee stock options was not reflected in operating expenses in any period prior to the first quarter of 2005 and prior period results have not been restated. For the three months ended June 30, 2005, non-cash stock-based employee compensation expense related to stock option awards (“Stock Option Expense”) totaled $5,398, of which $5,348 was recognized in operating expenses and $50 was capitalized in inventory. For the six months ended June 30, 2005, Stock Option Expense totaled $10,939, of which $10,727 was recognized in operating expenses and $212 was capitalized in inventory. For the three and six months ended June 30, 2004, had the Company adopted the fair value based method of accounting for stock-based employee compensation under the provisions of SFAS 123, Stock Option Expense would have totaled $8,584 and $17,510, respectively, and the effect on the Company’s net income (loss) and net income (loss) per share would have been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2020" w:type="dxa"/>
            <w:vAlign w:val="bottom"/>
            <w:gridSpan w:val="5"/>
          </w:tcPr>
          <w:p>
            <w:pPr>
              <w:ind w:left="320"/>
              <w:spacing w:after="0"/>
              <w:rPr>
                <w:sz w:val="20"/>
                <w:szCs w:val="20"/>
                <w:color w:val="auto"/>
              </w:rPr>
            </w:pPr>
            <w:r>
              <w:rPr>
                <w:rFonts w:ascii="Arial" w:cs="Arial" w:eastAsia="Arial" w:hAnsi="Arial"/>
                <w:sz w:val="14"/>
                <w:szCs w:val="14"/>
                <w:color w:val="auto"/>
              </w:rPr>
              <w:t>Three months ended</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w w:val="99"/>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June 30, 2004</w:t>
            </w:r>
          </w:p>
        </w:tc>
        <w:tc>
          <w:tcPr>
            <w:tcW w:w="520" w:type="dxa"/>
            <w:vAlign w:val="bottom"/>
          </w:tcPr>
          <w:p>
            <w:pPr>
              <w:spacing w:after="0"/>
              <w:rPr>
                <w:sz w:val="14"/>
                <w:szCs w:val="14"/>
                <w:color w:val="auto"/>
              </w:rPr>
            </w:pPr>
          </w:p>
        </w:tc>
        <w:tc>
          <w:tcPr>
            <w:tcW w:w="12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June 30, 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7"/>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14,549)</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49,983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Add: Stock-based employee compensation expense included in reported net income (loss)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628</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Deduct: Total stock-based employee compensation expense determined under fair value based method for all</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awards</w:t>
            </w: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(9,212)</w:t>
            </w:r>
          </w:p>
        </w:tc>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(18,809)</w:t>
            </w:r>
          </w:p>
        </w:tc>
        <w:tc>
          <w:tcPr>
            <w:tcW w:w="0" w:type="dxa"/>
            <w:vAlign w:val="bottom"/>
          </w:tcPr>
          <w:p>
            <w:pPr>
              <w:spacing w:after="0"/>
              <w:rPr>
                <w:sz w:val="1"/>
                <w:szCs w:val="1"/>
                <w:color w:val="auto"/>
              </w:rPr>
            </w:pPr>
          </w:p>
        </w:tc>
      </w:tr>
      <w:tr>
        <w:trPr>
          <w:trHeight w:val="20"/>
        </w:trPr>
        <w:tc>
          <w:tcPr>
            <w:tcW w:w="81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160" w:type="dxa"/>
            <w:vAlign w:val="bottom"/>
            <w:gridSpan w:val="2"/>
          </w:tcPr>
          <w:p>
            <w:pPr>
              <w:spacing w:after="0"/>
              <w:rPr>
                <w:sz w:val="20"/>
                <w:szCs w:val="20"/>
                <w:color w:val="auto"/>
              </w:rPr>
            </w:pPr>
            <w:r>
              <w:rPr>
                <w:rFonts w:ascii="Arial" w:cs="Arial" w:eastAsia="Arial" w:hAnsi="Arial"/>
                <w:sz w:val="18"/>
                <w:szCs w:val="18"/>
                <w:color w:val="auto"/>
              </w:rPr>
              <w:t>Pro forma net income (loss), basic</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w w:val="87"/>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23,133)</w:t>
            </w:r>
          </w:p>
        </w:tc>
        <w:tc>
          <w:tcPr>
            <w:tcW w:w="5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32,473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(loss), diluted</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7"/>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23,133)</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37,973</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(loss) per share amounts:</w:t>
            </w: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reported</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7"/>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0.26)</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rPr>
              <w:t>Pro forma</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w w:val="87"/>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0.42)</w:t>
            </w:r>
          </w:p>
        </w:tc>
        <w:tc>
          <w:tcPr>
            <w:tcW w:w="5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 amounts: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00"/>
              <w:spacing w:after="0"/>
              <w:rPr>
                <w:sz w:val="20"/>
                <w:szCs w:val="20"/>
                <w:color w:val="auto"/>
              </w:rPr>
            </w:pPr>
            <w:r>
              <w:rPr>
                <w:rFonts w:ascii="Arial" w:cs="Arial" w:eastAsia="Arial" w:hAnsi="Arial"/>
                <w:sz w:val="18"/>
                <w:szCs w:val="18"/>
                <w:color w:val="auto"/>
              </w:rPr>
              <w:t>As reported</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w w:val="87"/>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0.26)</w:t>
            </w:r>
          </w:p>
        </w:tc>
        <w:tc>
          <w:tcPr>
            <w:tcW w:w="5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 forma</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7"/>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0.42)</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option granted under the Regeneron Pharmaceuticals, Inc. 2000 Long-Term Incentive Plan (“2000 Incentive Plan”) during the three and six months ended June 30, 2005 and 2004 was estimated on the date of grant using the Black-Scholes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option-pricing model. Using this model, fair value is calculated based on assumptions with respect to (i) expected volatility of the Company’s Common Stock price, (ii) the periods of time over which employees and Board Directors are expected to hold their options prior to exercise (expected lives), (iii) expected dividend yield on the Company’s Common Stock, and (iv) risk-free interest rates, which are based on quoted U.S. Treasury rates for securities with maturities approximating the options’ expected lives. Expected volatility has been estimated based on actual movements in the Company’s stock price over the most recent historical periods equivalent to the options’ expected lives. Expected lives are principally based on the Company’s limited historical exercise experience with option grants with similar exercise prices. The expected dividend yield is zero as the Company has never paid dividends and does not currently anticipate paying any in the foreseeable future. The weighted-average fair value of the options granted during the three months ended June 30, 2005 and 2004 was $4.04 and $8.62 per option, respectively. The weighted-average fair value of the options granted during the six months ended June 30, 2005 and 2004 was $5.81 and $10.30 per option, respectively. The following table summarizes the weighted average values of the assumptions used in computing the fair value of option grants.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60" w:type="dxa"/>
            <w:vAlign w:val="bottom"/>
          </w:tcPr>
          <w:p>
            <w:pPr>
              <w:spacing w:after="0"/>
              <w:rPr>
                <w:sz w:val="14"/>
                <w:szCs w:val="14"/>
                <w:color w:val="auto"/>
              </w:rPr>
            </w:pPr>
          </w:p>
        </w:tc>
        <w:tc>
          <w:tcPr>
            <w:tcW w:w="256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color w:val="auto"/>
              </w:rPr>
              <w:t>Three months ended June 30,</w:t>
            </w:r>
          </w:p>
        </w:tc>
      </w:tr>
      <w:tr>
        <w:trPr>
          <w:trHeight w:val="142"/>
        </w:trPr>
        <w:tc>
          <w:tcPr>
            <w:tcW w:w="886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2005</w:t>
            </w:r>
          </w:p>
        </w:tc>
        <w:tc>
          <w:tcPr>
            <w:tcW w:w="56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2004</w:t>
            </w: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70%</w:t>
            </w:r>
          </w:p>
        </w:tc>
        <w:tc>
          <w:tcPr>
            <w:tcW w:w="15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80%</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Expected lives from grant date</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5.0 years</w:t>
            </w:r>
          </w:p>
        </w:tc>
        <w:tc>
          <w:tcPr>
            <w:tcW w:w="5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7.5 years</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0%</w:t>
            </w:r>
          </w:p>
        </w:tc>
      </w:tr>
      <w:tr>
        <w:trPr>
          <w:trHeight w:val="230"/>
        </w:trPr>
        <w:tc>
          <w:tcPr>
            <w:tcW w:w="88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tcPr>
          <w:p>
            <w:pPr>
              <w:jc w:val="right"/>
              <w:ind w:right="96"/>
              <w:spacing w:after="0"/>
              <w:rPr>
                <w:sz w:val="20"/>
                <w:szCs w:val="20"/>
                <w:color w:val="auto"/>
              </w:rPr>
            </w:pPr>
            <w:r>
              <w:rPr>
                <w:rFonts w:ascii="Arial" w:cs="Arial" w:eastAsia="Arial" w:hAnsi="Arial"/>
                <w:sz w:val="18"/>
                <w:szCs w:val="18"/>
                <w:color w:val="auto"/>
              </w:rPr>
              <w:t>3.78%</w:t>
            </w:r>
          </w:p>
        </w:tc>
        <w:tc>
          <w:tcPr>
            <w:tcW w:w="1560" w:type="dxa"/>
            <w:vAlign w:val="bottom"/>
            <w:gridSpan w:val="2"/>
          </w:tcPr>
          <w:p>
            <w:pPr>
              <w:jc w:val="right"/>
              <w:ind w:right="99"/>
              <w:spacing w:after="0"/>
              <w:rPr>
                <w:sz w:val="20"/>
                <w:szCs w:val="20"/>
                <w:color w:val="auto"/>
              </w:rPr>
            </w:pPr>
            <w:r>
              <w:rPr>
                <w:rFonts w:ascii="Arial" w:cs="Arial" w:eastAsia="Arial" w:hAnsi="Arial"/>
                <w:sz w:val="18"/>
                <w:szCs w:val="18"/>
                <w:color w:val="auto"/>
              </w:rPr>
              <w:t>4.07%</w:t>
            </w:r>
          </w:p>
        </w:tc>
      </w:tr>
      <w:tr>
        <w:trPr>
          <w:trHeight w:val="350"/>
        </w:trPr>
        <w:tc>
          <w:tcPr>
            <w:tcW w:w="8860" w:type="dxa"/>
            <w:vAlign w:val="bottom"/>
          </w:tcPr>
          <w:p>
            <w:pPr>
              <w:spacing w:after="0"/>
              <w:rPr>
                <w:sz w:val="24"/>
                <w:szCs w:val="24"/>
                <w:color w:val="auto"/>
              </w:rPr>
            </w:pPr>
          </w:p>
        </w:tc>
        <w:tc>
          <w:tcPr>
            <w:tcW w:w="256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color w:val="auto"/>
              </w:rPr>
              <w:t>Six months ended June 30,</w:t>
            </w:r>
          </w:p>
        </w:tc>
      </w:tr>
      <w:tr>
        <w:trPr>
          <w:trHeight w:val="142"/>
        </w:trPr>
        <w:tc>
          <w:tcPr>
            <w:tcW w:w="886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2005</w:t>
            </w:r>
          </w:p>
        </w:tc>
        <w:tc>
          <w:tcPr>
            <w:tcW w:w="56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2004</w:t>
            </w: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75%</w:t>
            </w:r>
          </w:p>
        </w:tc>
        <w:tc>
          <w:tcPr>
            <w:tcW w:w="15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80%</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Expected lives from grant date</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6.2 years</w:t>
            </w:r>
          </w:p>
        </w:tc>
        <w:tc>
          <w:tcPr>
            <w:tcW w:w="5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7.3 years</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0%</w:t>
            </w:r>
          </w:p>
        </w:tc>
      </w:tr>
      <w:tr>
        <w:trPr>
          <w:trHeight w:val="230"/>
        </w:trPr>
        <w:tc>
          <w:tcPr>
            <w:tcW w:w="88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tcPr>
          <w:p>
            <w:pPr>
              <w:jc w:val="right"/>
              <w:ind w:right="96"/>
              <w:spacing w:after="0"/>
              <w:rPr>
                <w:sz w:val="20"/>
                <w:szCs w:val="20"/>
                <w:color w:val="auto"/>
              </w:rPr>
            </w:pPr>
            <w:r>
              <w:rPr>
                <w:rFonts w:ascii="Arial" w:cs="Arial" w:eastAsia="Arial" w:hAnsi="Arial"/>
                <w:sz w:val="18"/>
                <w:szCs w:val="18"/>
                <w:color w:val="auto"/>
              </w:rPr>
              <w:t>3.96%</w:t>
            </w:r>
          </w:p>
        </w:tc>
        <w:tc>
          <w:tcPr>
            <w:tcW w:w="1560" w:type="dxa"/>
            <w:vAlign w:val="bottom"/>
            <w:gridSpan w:val="2"/>
          </w:tcPr>
          <w:p>
            <w:pPr>
              <w:jc w:val="right"/>
              <w:ind w:right="99"/>
              <w:spacing w:after="0"/>
              <w:rPr>
                <w:sz w:val="20"/>
                <w:szCs w:val="20"/>
                <w:color w:val="auto"/>
              </w:rPr>
            </w:pPr>
            <w:r>
              <w:rPr>
                <w:rFonts w:ascii="Arial" w:cs="Arial" w:eastAsia="Arial" w:hAnsi="Arial"/>
                <w:sz w:val="18"/>
                <w:szCs w:val="18"/>
                <w:color w:val="auto"/>
              </w:rPr>
              <w:t>3.83%</w:t>
            </w:r>
          </w:p>
        </w:tc>
      </w:tr>
    </w:tbl>
    <w:p>
      <w:pPr>
        <w:spacing w:after="0" w:line="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Under the 2000 Incentive Plan, the Company also awards shares of restricted stock. In accordance with generally accepted accounting principles, the Company records unearned compensation in Stockholders’ Equity related to these awards. The amount is based on the fair market value of shares of Common Stock on the grant date of the restricted stock award and is expensed, on a pro rata basis, over the period that the restrictions lapse. For the three months ended June 30, 2005 and 2004, the Company recognized compensation expense related to restricted stock awards of $474 and $628, respectively. For the six months ended June 30, 2005 and 2004, the Company recognized compensation expense related to restricted stock awards of $976 and $1,299,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Statement of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Included in accounts payable and accrued expenses at June 30, 2005 and December 31, 2004 are $1,393 and $550, respectively, of accrued capital expenditures. Included in accounts payable and accrued expenses at June 30, 2004 and December 31, 2003 are $1,114 and $752, respectively, of accrued capital expenditures.</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Included in accounts payable and accrued expenses at December 31, 2004 and 2003 are $632 and $917, respectively, of accrued Company 401(k) Savings Plan contribution expense. In the first quarter of both 2005 and 2004, the Company contributed 90,385 and 64,333 shares, respectively, of Common Stock to the 401(k) Savings Plan in satisfaction of these obligations.</w:t>
      </w:r>
    </w:p>
    <w:p>
      <w:pPr>
        <w:spacing w:after="0" w:line="73"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Included in marketable securities at June 30, 2005 and December 31, 2004 are $2,562 and $2,607, respectively, of accrued interest income. Included in marketable securities at June 30, 2004 and December 31, 2003 are $1,422 and $878, respectively, of accrued interest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revised the classification of its investments in auction rate securities from cash and cash equivalents to short-term investments on its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balance sheets at December 31, 2004 and 2003, and June 30, 2004. Auction rate securities are securities that have stated maturities beyond three months, but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priced and traded as short-term investments due to the liquidity provided through the auction mechanism that generally resets interest rates every 28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 days. The change in classification resulted in decreases in cash and cash equivalents and corresponding increases in short-term marketable securities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$6,005 and $20,808 at December 31, 2004 and 2003, respectively, and $17,812 at June 30, 2004. The Company held no auction rate securities at June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2005. In addition, the Company revised its statements of cash flows to reflect the purchases and sales of these securities as investing activities rather than as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component of cash and cash equivalents, resulting in increases in cash flows from investing activities of $14,803 and $14,230 for the years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2004 and 2003, respectively, and $2,996 for the six months ended June 30, 2004. This change in classification had no impact on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previously reported current assets, net income (loss), or cash flows from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Receivable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as of June 30, 2005 and December 31, 2004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June 30,</w:t>
            </w:r>
          </w:p>
        </w:tc>
        <w:tc>
          <w:tcPr>
            <w:tcW w:w="52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color w:val="auto"/>
                <w:w w:val="93"/>
              </w:rPr>
              <w:t>December 31,</w:t>
            </w:r>
          </w:p>
        </w:tc>
      </w:tr>
      <w:tr>
        <w:trPr>
          <w:trHeight w:val="167"/>
        </w:trPr>
        <w:tc>
          <w:tcPr>
            <w:tcW w:w="8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2005</w:t>
            </w:r>
          </w:p>
        </w:tc>
        <w:tc>
          <w:tcPr>
            <w:tcW w:w="3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2004</w:t>
            </w:r>
          </w:p>
        </w:tc>
        <w:tc>
          <w:tcPr>
            <w:tcW w:w="340" w:type="dxa"/>
            <w:vAlign w:val="bottom"/>
            <w:tcBorders>
              <w:bottom w:val="single" w:sz="8" w:color="auto"/>
            </w:tcBorders>
          </w:tcPr>
          <w:p>
            <w:pPr>
              <w:spacing w:after="0"/>
              <w:rPr>
                <w:sz w:val="14"/>
                <w:szCs w:val="14"/>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the sanofi-aventis Group</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7,782</w:t>
            </w:r>
          </w:p>
        </w:tc>
        <w:tc>
          <w:tcPr>
            <w:tcW w:w="17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$39,362</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Receivable from The Procter &amp; Gamble Company</w:t>
            </w:r>
          </w:p>
        </w:tc>
        <w:tc>
          <w:tcPr>
            <w:tcW w:w="3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8,393</w:t>
            </w:r>
          </w:p>
        </w:tc>
        <w:tc>
          <w:tcPr>
            <w:tcW w:w="1700" w:type="dxa"/>
            <w:vAlign w:val="bottom"/>
            <w:gridSpan w:val="4"/>
          </w:tcPr>
          <w:p>
            <w:pPr>
              <w:jc w:val="right"/>
              <w:ind w:right="340"/>
              <w:spacing w:after="0"/>
              <w:rPr>
                <w:sz w:val="20"/>
                <w:szCs w:val="20"/>
                <w:color w:val="auto"/>
              </w:rPr>
            </w:pPr>
            <w:r>
              <w:rPr>
                <w:rFonts w:ascii="Arial" w:cs="Arial" w:eastAsia="Arial" w:hAnsi="Arial"/>
                <w:sz w:val="18"/>
                <w:szCs w:val="18"/>
                <w:color w:val="auto"/>
              </w:rPr>
              <w:t>2,345</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Merck &amp; Co., Inc.</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575</w:t>
            </w:r>
          </w:p>
        </w:tc>
        <w:tc>
          <w:tcPr>
            <w:tcW w:w="17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1,315</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80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85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16,830</w:t>
            </w:r>
          </w:p>
        </w:tc>
        <w:tc>
          <w:tcPr>
            <w:tcW w:w="32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$43,102</w:t>
            </w:r>
          </w:p>
        </w:tc>
      </w:tr>
      <w:tr>
        <w:trPr>
          <w:trHeight w:val="20"/>
        </w:trPr>
        <w:tc>
          <w:tcPr>
            <w:tcW w:w="8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Inventories consist of raw materials, work-in process, and finished products associated with the production of an intermediate for a Merck &amp; Co.,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pediatric vaccine under a long-term manufacturing agreement which is scheduled to expire in October 2006.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Inventories as of June 30, 2005 and December 31, 2004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4"/>
                <w:szCs w:val="14"/>
                <w:color w:val="auto"/>
              </w:rPr>
              <w:t>June 30,</w:t>
            </w:r>
          </w:p>
        </w:tc>
        <w:tc>
          <w:tcPr>
            <w:tcW w:w="540" w:type="dxa"/>
            <w:vAlign w:val="bottom"/>
          </w:tcPr>
          <w:p>
            <w:pPr>
              <w:spacing w:after="0"/>
              <w:rPr>
                <w:sz w:val="14"/>
                <w:szCs w:val="14"/>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auto"/>
              </w:rPr>
              <w:t>December 31,</w:t>
            </w:r>
          </w:p>
        </w:tc>
      </w:tr>
      <w:tr>
        <w:trPr>
          <w:trHeight w:val="167"/>
        </w:trPr>
        <w:tc>
          <w:tcPr>
            <w:tcW w:w="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3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340" w:type="dxa"/>
            <w:vAlign w:val="bottom"/>
            <w:tcBorders>
              <w:bottom w:val="single" w:sz="8" w:color="auto"/>
            </w:tcBorders>
          </w:tcPr>
          <w:p>
            <w:pPr>
              <w:spacing w:after="0"/>
              <w:rPr>
                <w:sz w:val="14"/>
                <w:szCs w:val="14"/>
                <w:color w:val="auto"/>
              </w:rPr>
            </w:pPr>
          </w:p>
        </w:tc>
      </w:tr>
      <w:tr>
        <w:trPr>
          <w:trHeight w:val="210"/>
        </w:trPr>
        <w:tc>
          <w:tcPr>
            <w:tcW w:w="8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310</w:t>
            </w:r>
          </w:p>
        </w:tc>
      </w:tr>
      <w:tr>
        <w:trPr>
          <w:trHeight w:val="216"/>
        </w:trPr>
        <w:tc>
          <w:tcPr>
            <w:tcW w:w="8740" w:type="dxa"/>
            <w:vAlign w:val="bottom"/>
            <w:gridSpan w:val="3"/>
          </w:tcPr>
          <w:p>
            <w:pPr>
              <w:spacing w:after="0"/>
              <w:rPr>
                <w:sz w:val="20"/>
                <w:szCs w:val="20"/>
                <w:color w:val="auto"/>
              </w:rPr>
            </w:pPr>
            <w:r>
              <w:rPr>
                <w:rFonts w:ascii="Arial" w:cs="Arial" w:eastAsia="Arial" w:hAnsi="Arial"/>
                <w:sz w:val="18"/>
                <w:szCs w:val="18"/>
                <w:color w:val="auto"/>
              </w:rPr>
              <w:t>Work-in-process</w:t>
            </w:r>
          </w:p>
        </w:tc>
        <w:tc>
          <w:tcPr>
            <w:tcW w:w="32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543</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692</w:t>
            </w:r>
            <w:r>
              <w:rPr>
                <w:rFonts w:ascii="Arial" w:cs="Arial" w:eastAsia="Arial" w:hAnsi="Arial"/>
                <w:sz w:val="15"/>
                <w:szCs w:val="15"/>
                <w:color w:val="auto"/>
              </w:rPr>
              <w:t>(2)</w:t>
            </w:r>
          </w:p>
        </w:tc>
      </w:tr>
      <w:tr>
        <w:trPr>
          <w:trHeight w:val="216"/>
        </w:trPr>
        <w:tc>
          <w:tcPr>
            <w:tcW w:w="8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2,813</w:t>
            </w:r>
            <w:r>
              <w:rPr>
                <w:rFonts w:ascii="Arial" w:cs="Arial" w:eastAsia="Arial" w:hAnsi="Arial"/>
                <w:sz w:val="15"/>
                <w:szCs w:val="15"/>
                <w:color w:val="auto"/>
                <w:w w:val="88"/>
              </w:rPr>
              <w:t>(1)</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2,227</w:t>
            </w:r>
          </w:p>
        </w:tc>
      </w:tr>
      <w:tr>
        <w:trPr>
          <w:trHeight w:val="223"/>
        </w:trPr>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3,746</w:t>
            </w:r>
          </w:p>
        </w:tc>
        <w:tc>
          <w:tcPr>
            <w:tcW w:w="3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3,229</w:t>
            </w:r>
          </w:p>
        </w:tc>
        <w:tc>
          <w:tcPr>
            <w:tcW w:w="34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91"/>
        </w:trPr>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6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7"/>
        </w:trPr>
        <w:tc>
          <w:tcPr>
            <w:tcW w:w="320" w:type="dxa"/>
            <w:vAlign w:val="bottom"/>
          </w:tcPr>
          <w:p>
            <w:pPr>
              <w:spacing w:after="0"/>
              <w:rPr>
                <w:sz w:val="20"/>
                <w:szCs w:val="20"/>
                <w:color w:val="auto"/>
              </w:rPr>
            </w:pPr>
            <w:r>
              <w:rPr>
                <w:rFonts w:ascii="Arial" w:cs="Arial" w:eastAsia="Arial" w:hAnsi="Arial"/>
                <w:sz w:val="15"/>
                <w:szCs w:val="15"/>
                <w:color w:val="auto"/>
              </w:rPr>
              <w:t>(1)</w:t>
            </w: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Net of reserves of $427.</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84"/>
        </w:trPr>
        <w:tc>
          <w:tcPr>
            <w:tcW w:w="320" w:type="dxa"/>
            <w:vAlign w:val="bottom"/>
          </w:tcPr>
          <w:p>
            <w:pPr>
              <w:spacing w:after="0"/>
              <w:rPr>
                <w:sz w:val="20"/>
                <w:szCs w:val="20"/>
                <w:color w:val="auto"/>
              </w:rPr>
            </w:pPr>
            <w:r>
              <w:rPr>
                <w:rFonts w:ascii="Arial" w:cs="Arial" w:eastAsia="Arial" w:hAnsi="Arial"/>
                <w:sz w:val="15"/>
                <w:szCs w:val="15"/>
                <w:color w:val="auto"/>
              </w:rPr>
              <w:t>(2)</w:t>
            </w: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Net of reserves of $256.</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Accounts Payable and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as of June 30, 2005 and December 31, 2004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June 30,</w:t>
            </w:r>
          </w:p>
        </w:tc>
        <w:tc>
          <w:tcPr>
            <w:tcW w:w="52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41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2005</w:t>
            </w:r>
          </w:p>
        </w:tc>
        <w:tc>
          <w:tcPr>
            <w:tcW w:w="3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2004</w:t>
            </w: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3,297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4,407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4,835</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7,972</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trial expense</w:t>
            </w:r>
          </w:p>
        </w:tc>
        <w:tc>
          <w:tcPr>
            <w:tcW w:w="4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3,692</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Accrued expenses, other</w:t>
            </w: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2,927</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convertible notes</w:t>
            </w:r>
          </w:p>
        </w:tc>
        <w:tc>
          <w:tcPr>
            <w:tcW w:w="4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2,292</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19"/>
                <w:szCs w:val="19"/>
                <w:color w:val="auto"/>
              </w:rPr>
            </w:pP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17,043</w:t>
            </w:r>
          </w:p>
        </w:tc>
        <w:tc>
          <w:tcPr>
            <w:tcW w:w="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18,872</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4440" w:type="dxa"/>
            <w:vAlign w:val="bottom"/>
            <w:vMerge w:val="restart"/>
          </w:tcPr>
          <w:p>
            <w:pPr>
              <w:jc w:val="right"/>
              <w:ind w:right="269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14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4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 (Loss)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Comprehensive income (loss) represents the change in net assets of a business enterprise during a period from transactions and other events and circumstances from non-owner sources. Comprehensive income (loss) of the Company includes net income (loss) adjusted for the change in net unrealized gain (loss) on marketable securities. The net effect of income taxes on comprehensive income (loss) is immaterial. For the three months ended June 30, 2005 and 2004, the components of comprehensive loss are: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gridSpan w:val="7"/>
          </w:tcPr>
          <w:p>
            <w:pPr>
              <w:jc w:val="right"/>
              <w:ind w:right="620"/>
              <w:spacing w:after="0"/>
              <w:rPr>
                <w:sz w:val="20"/>
                <w:szCs w:val="20"/>
                <w:color w:val="auto"/>
              </w:rPr>
            </w:pPr>
            <w:r>
              <w:rPr>
                <w:rFonts w:ascii="Arial" w:cs="Arial" w:eastAsia="Arial" w:hAnsi="Arial"/>
                <w:sz w:val="14"/>
                <w:szCs w:val="14"/>
                <w:color w:val="auto"/>
              </w:rPr>
              <w:t>Three months ended June 30,</w:t>
            </w:r>
          </w:p>
        </w:tc>
        <w:tc>
          <w:tcPr>
            <w:tcW w:w="0" w:type="dxa"/>
            <w:vAlign w:val="bottom"/>
          </w:tcPr>
          <w:p>
            <w:pPr>
              <w:spacing w:after="0"/>
              <w:rPr>
                <w:sz w:val="1"/>
                <w:szCs w:val="1"/>
                <w:color w:val="auto"/>
              </w:rPr>
            </w:pPr>
          </w:p>
        </w:tc>
      </w:tr>
      <w:tr>
        <w:trPr>
          <w:trHeight w:val="167"/>
        </w:trPr>
        <w:tc>
          <w:tcPr>
            <w:tcW w:w="8500" w:type="dxa"/>
            <w:vAlign w:val="bottom"/>
          </w:tcPr>
          <w:p>
            <w:pPr>
              <w:spacing w:after="0"/>
              <w:rPr>
                <w:sz w:val="14"/>
                <w:szCs w:val="14"/>
                <w:color w:val="auto"/>
              </w:rPr>
            </w:pPr>
          </w:p>
        </w:tc>
        <w:tc>
          <w:tcPr>
            <w:tcW w:w="8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color w:val="auto"/>
              </w:rPr>
              <w:t>2005</w:t>
            </w:r>
          </w:p>
        </w:tc>
        <w:tc>
          <w:tcPr>
            <w:tcW w:w="340" w:type="dxa"/>
            <w:vAlign w:val="bottom"/>
            <w:tcBorders>
              <w:bottom w:val="single" w:sz="8" w:color="auto"/>
            </w:tcBorders>
          </w:tcPr>
          <w:p>
            <w:pPr>
              <w:spacing w:after="0"/>
              <w:rPr>
                <w:sz w:val="14"/>
                <w:szCs w:val="14"/>
                <w:color w:val="auto"/>
              </w:rPr>
            </w:pPr>
          </w:p>
        </w:tc>
        <w:tc>
          <w:tcPr>
            <w:tcW w:w="560" w:type="dxa"/>
            <w:vAlign w:val="bottom"/>
            <w:gridSpan w:val="2"/>
          </w:tcPr>
          <w:p>
            <w:pPr>
              <w:spacing w:after="0"/>
              <w:rPr>
                <w:sz w:val="14"/>
                <w:szCs w:val="14"/>
                <w:color w:val="auto"/>
              </w:rPr>
            </w:pPr>
          </w:p>
        </w:tc>
        <w:tc>
          <w:tcPr>
            <w:tcW w:w="8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2004</w:t>
            </w: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($26,999)</w:t>
            </w:r>
          </w:p>
        </w:tc>
        <w:tc>
          <w:tcPr>
            <w:tcW w:w="174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($14,549)</w:t>
            </w: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360" w:type="dxa"/>
            <w:vAlign w:val="bottom"/>
            <w:gridSpan w:val="2"/>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401</w:t>
            </w:r>
          </w:p>
        </w:tc>
        <w:tc>
          <w:tcPr>
            <w:tcW w:w="340" w:type="dxa"/>
            <w:vAlign w:val="bottom"/>
          </w:tcPr>
          <w:p>
            <w:pPr>
              <w:spacing w:after="0"/>
              <w:rPr>
                <w:sz w:val="18"/>
                <w:szCs w:val="18"/>
                <w:color w:val="auto"/>
              </w:rPr>
            </w:pPr>
          </w:p>
        </w:tc>
        <w:tc>
          <w:tcPr>
            <w:tcW w:w="1740" w:type="dxa"/>
            <w:vAlign w:val="bottom"/>
            <w:gridSpan w:val="5"/>
          </w:tcPr>
          <w:p>
            <w:pPr>
              <w:jc w:val="right"/>
              <w:ind w:right="28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loss</w:t>
            </w:r>
          </w:p>
        </w:tc>
        <w:tc>
          <w:tcPr>
            <w:tcW w:w="11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($26,598)</w:t>
            </w:r>
          </w:p>
        </w:tc>
        <w:tc>
          <w:tcPr>
            <w:tcW w:w="174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($14,933)</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8"/>
                <w:szCs w:val="18"/>
                <w:color w:val="auto"/>
              </w:rPr>
              <w:t>For the six months ended June 30, 2005 and 2004, the components of comprehensive income (loss) are:</w:t>
            </w: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8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60" w:type="dxa"/>
            <w:vAlign w:val="bottom"/>
            <w:gridSpan w:val="7"/>
          </w:tcPr>
          <w:p>
            <w:pPr>
              <w:jc w:val="right"/>
              <w:ind w:right="68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67"/>
        </w:trPr>
        <w:tc>
          <w:tcPr>
            <w:tcW w:w="8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2005</w:t>
            </w: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2004</w:t>
            </w: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($31,122)</w:t>
            </w:r>
          </w:p>
        </w:tc>
        <w:tc>
          <w:tcPr>
            <w:tcW w:w="174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$49,983</w:t>
            </w: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360" w:type="dxa"/>
            <w:vAlign w:val="bottom"/>
            <w:gridSpan w:val="2"/>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900" w:type="dxa"/>
            <w:vAlign w:val="bottom"/>
            <w:gridSpan w:val="3"/>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income (loss)</w:t>
            </w:r>
          </w:p>
        </w:tc>
        <w:tc>
          <w:tcPr>
            <w:tcW w:w="11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($31,062)</w:t>
            </w:r>
          </w:p>
        </w:tc>
        <w:tc>
          <w:tcPr>
            <w:tcW w:w="174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$49,668</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Research and Development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The sanofi-aventis Group</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September 2003, the Company entered into a collaboration agreement (the “s-a Agreement”) with Aventis Pharmaceuticals Inc., now a member of the sanofi-aventis Group, to jointly develop and commercialize the Company’s Vascular Endothelial Growth Factor (“VEGF”) Trap. In connection with this agreement, Aventis Pharmaceuticals made a non-refundable up-front payment of $80.0 million and purchased $45.0 million of newly issued, unregistered shares of the Company’s Common Stock.</w:t>
      </w:r>
    </w:p>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January 2005, the Company and the sanofi-aventis Group amended the s-a Agreement to exclude rights to develop and commercialize the VEGF Trap for eye diseases through local delivery systems, and these VEGF Trap product rights reverted to Regeneron. 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connection with this amendment, the sanofi-aventis Group made a one-time $25.0 million payment to Regeneron in January 2005. Under the s-a Agreement, as amended, Regeneron and the sanofi-aventis Group will share co-promotion rights for and profits on sales, if any, from the VEGF Trap, for disease indications included in the companies’ collaboration.</w:t>
      </w:r>
    </w:p>
    <w:p>
      <w:pPr>
        <w:spacing w:after="0" w:line="7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Under the s-a Agreement, as amended, agreed upon development expenses incurred by both companies during the term of the agreement will be funded by the sanofi-aventis Group. If the collaboration becomes profitable, Regeneron will reimburse the sanofi-aventis Group for 50 percent of the VEGF Trap development expenses, including 50 percent of the $25.0 million payment received in connection with the January 2005 amendment to the collaboration agreement, in accordance with a formula based on the amount of development expenses and Regeneron’s share of the collaboration profits, or at a faster rate at Regeneron’s option. In addition, if the first commercial sale of a VEGF Trap product for diseases of the eye through local delivery systems predates the first commercial sale of a VEGF Trap product under the collaboration, Regeneron will begin reimbursing the sanofi-aventis Group for up to $7.5 million of VEGF Trap development expenses commencing two years after such initial commercialization outside the collaboration in accordance with a defined formula, until the first commercial VEGF Trap sale under the collaboration occurs.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The Procter &amp; Gamble Company</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June 30, 2005, the Company and The Procter &amp; Gamble Company agreed to amend their collaboration agreement (the “Collaboration Agreement”) entered into as of December 31, 2000. Pursuant to the terms of the amendment and agreement (the “Amendment”) entered into by the parties on June 30, 2005, the Company and Procter &amp; Gamble agreed that the research activities of the parties under the Collaboration Agreement were completed on June 30, 2005, six months prior to the December 31, 2005 expiration date in the Collaboration Agreement. In connection with the Amendment, Procter &amp; Gamble agreed to make a one-time $5.6 million payment to Regeneron, which was received in July 2005, and the Company agreed to pay $950 to Procter &amp; Gamble to acquire certain capital equipment owned by Procter &amp; Gamble and located at the Company’s facilities. Procter &amp; Gamble also funded Regeneron’s research for the second quarter of 2005 under the terms of the Collaboration Agreement. Procter &amp; Gamble and the Company divided rights to research programs and pre-clinical product candidates that were developed during the research term of the Collaboration Agreement. Neither party has the right to participate in the development or commercialization of the other party’s product candidates. The Company is entitled to receive royalties based on any future product sales of a Procter &amp; Gamble pre-clinical candidate arising from the collaboration. Neither party is entitled to receive royalties or other payments based on any other products arising from the collaboration.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Option Exchange Program</w:t>
      </w:r>
    </w:p>
    <w:p>
      <w:pPr>
        <w:spacing w:after="0" w:line="12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In December 2004, the Company’s shareholders approved a stock option exchange program. Under the program, Company regular employees who worked an average of 20 hours per week, other than the Company’s chairman and the Company’s president and chief executive officer, were provided the opportunity to make a one-time election to surrender options granted under the Company’s Long-Term Incentive Plans that had an exercise price per share of at least $18.00 and exchange them for replacement options granted under the 2000 Incentive Plan in accordance with the following exchange ratios: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w w:val="93"/>
              </w:rPr>
              <w:t>Exchange Ratio</w:t>
            </w: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96"/>
              </w:rPr>
              <w:t>(Number of Eligible Options</w:t>
            </w: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91"/>
              </w:rPr>
              <w:t>Surrendered and Cancelled for Each</w:t>
            </w:r>
          </w:p>
        </w:tc>
      </w:tr>
      <w:tr>
        <w:trPr>
          <w:trHeight w:val="167"/>
        </w:trPr>
        <w:tc>
          <w:tcPr>
            <w:tcW w:w="8820" w:type="dxa"/>
            <w:vAlign w:val="bottom"/>
            <w:gridSpan w:val="2"/>
          </w:tcPr>
          <w:p>
            <w:pPr>
              <w:spacing w:after="0"/>
              <w:rPr>
                <w:sz w:val="20"/>
                <w:szCs w:val="20"/>
                <w:color w:val="auto"/>
              </w:rPr>
            </w:pPr>
            <w:r>
              <w:rPr>
                <w:rFonts w:ascii="Arial" w:cs="Arial" w:eastAsia="Arial" w:hAnsi="Arial"/>
                <w:sz w:val="14"/>
                <w:szCs w:val="14"/>
                <w:color w:val="auto"/>
              </w:rPr>
              <w:t>Exercise Price of Eligible Options</w:t>
            </w:r>
          </w:p>
        </w:tc>
        <w:tc>
          <w:tcPr>
            <w:tcW w:w="50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w w:val="93"/>
              </w:rPr>
              <w:t>Replacement Option)</w:t>
            </w:r>
          </w:p>
        </w:tc>
      </w:tr>
      <w:tr>
        <w:trPr>
          <w:trHeight w:val="210"/>
        </w:trPr>
        <w:tc>
          <w:tcPr>
            <w:tcW w:w="20" w:type="dxa"/>
            <w:vAlign w:val="bottom"/>
          </w:tcPr>
          <w:p>
            <w:pPr>
              <w:spacing w:after="0"/>
              <w:rPr>
                <w:sz w:val="18"/>
                <w:szCs w:val="18"/>
                <w:color w:val="auto"/>
              </w:rPr>
            </w:pPr>
          </w:p>
        </w:tc>
        <w:tc>
          <w:tcPr>
            <w:tcW w:w="8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$18.00 to $28.00</w:t>
            </w:r>
          </w:p>
        </w:tc>
        <w:tc>
          <w:tcPr>
            <w:tcW w:w="500" w:type="dxa"/>
            <w:vAlign w:val="bottom"/>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1.50</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$28.01 to $37.00</w:t>
            </w:r>
          </w:p>
        </w:tc>
        <w:tc>
          <w:tcPr>
            <w:tcW w:w="2600" w:type="dxa"/>
            <w:vAlign w:val="bottom"/>
            <w:gridSpan w:val="2"/>
          </w:tcPr>
          <w:p>
            <w:pPr>
              <w:jc w:val="center"/>
              <w:ind w:left="410"/>
              <w:spacing w:after="0"/>
              <w:rPr>
                <w:sz w:val="20"/>
                <w:szCs w:val="20"/>
                <w:color w:val="auto"/>
              </w:rPr>
            </w:pPr>
            <w:r>
              <w:rPr>
                <w:rFonts w:ascii="Arial" w:cs="Arial" w:eastAsia="Arial" w:hAnsi="Arial"/>
                <w:sz w:val="18"/>
                <w:szCs w:val="18"/>
                <w:color w:val="auto"/>
                <w:w w:val="85"/>
              </w:rPr>
              <w:t>2.00</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$37.01 and up</w:t>
            </w:r>
          </w:p>
        </w:tc>
        <w:tc>
          <w:tcPr>
            <w:tcW w:w="26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5"/>
              </w:rPr>
              <w:t>3.00</w:t>
            </w:r>
          </w:p>
        </w:tc>
      </w:tr>
    </w:tbl>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Participation in the stock option exchange program was voluntary, and non-employee directors, consultants, former employees, and retirees were not eligible to participate. The participation deadline for the program was January 5, 2005. Eligible employees elected to exchange options with a total of 3,665,819 underlying shares of Common Stock, and on January 5, 2005, the Company issued replacement options with respect to a total of 1,977,840 underlying shares of Common Stock at an exercise price of $8.50 per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operations are managed in two business segments: research and development, and contract manufacturing.</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Research and development</w:t>
      </w:r>
      <w:r>
        <w:rPr>
          <w:rFonts w:ascii="Arial" w:cs="Arial" w:eastAsia="Arial" w:hAnsi="Arial"/>
          <w:sz w:val="18"/>
          <w:szCs w:val="18"/>
          <w:color w:val="auto"/>
        </w:rPr>
        <w:t>: Includes all activities related to the discovery of potential therapeutics for human medical conditions, and the development and commercialization of these discoveries. Also includes revenues and expenses related to (i) the development of manufacturing processes prior to commencing commercial production of a product under contract manufacturing arrangements, and (ii) the supply of specified, ordered research materials using Regeneron-developed proprietary technology.</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Contract manufacturing</w:t>
      </w:r>
      <w:r>
        <w:rPr>
          <w:rFonts w:ascii="Arial" w:cs="Arial" w:eastAsia="Arial" w:hAnsi="Arial"/>
          <w:sz w:val="16"/>
          <w:szCs w:val="16"/>
          <w:color w:val="auto"/>
        </w:rPr>
        <w:t>: Includes all revenues and expenses related to the commercial production of products under contract manufacturing arrangements.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produces an intermediate for a Merck &amp; Co., Inc. pediatric vaccine under a long-term manufacturing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information about reported segments for the three and six months ended June 30, 2005 and 2004.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color w:val="auto"/>
              </w:rPr>
              <w:t>Three months ended June 30, 2005</w:t>
            </w: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23"/>
        </w:trPr>
        <w:tc>
          <w:tcPr>
            <w:tcW w:w="5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3"/>
          </w:tcPr>
          <w:p>
            <w:pPr>
              <w:jc w:val="right"/>
              <w:ind w:right="280"/>
              <w:spacing w:after="0" w:line="123" w:lineRule="exact"/>
              <w:rPr>
                <w:sz w:val="20"/>
                <w:szCs w:val="20"/>
                <w:color w:val="auto"/>
              </w:rPr>
            </w:pPr>
            <w:r>
              <w:rPr>
                <w:rFonts w:ascii="Arial" w:cs="Arial" w:eastAsia="Arial" w:hAnsi="Arial"/>
                <w:sz w:val="14"/>
                <w:szCs w:val="14"/>
                <w:color w:val="auto"/>
              </w:rPr>
              <w:t>Research &amp;</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3"/>
          </w:tcPr>
          <w:p>
            <w:pPr>
              <w:jc w:val="right"/>
              <w:ind w:right="320"/>
              <w:spacing w:after="0" w:line="123" w:lineRule="exact"/>
              <w:rPr>
                <w:sz w:val="20"/>
                <w:szCs w:val="20"/>
                <w:color w:val="auto"/>
              </w:rPr>
            </w:pPr>
            <w:r>
              <w:rPr>
                <w:rFonts w:ascii="Arial" w:cs="Arial" w:eastAsia="Arial" w:hAnsi="Arial"/>
                <w:sz w:val="14"/>
                <w:szCs w:val="14"/>
                <w:color w:val="auto"/>
              </w:rPr>
              <w:t>Contract</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6"/>
              </w:rPr>
              <w:t>Reconciling</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67"/>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color w:val="auto"/>
              </w:rPr>
              <w:t>Development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rPr>
              <w:t>Manufacturing</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color w:val="auto"/>
                <w:w w:val="93"/>
              </w:rPr>
              <w:t>Items</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Total</w:t>
            </w:r>
          </w:p>
        </w:tc>
      </w:tr>
      <w:tr>
        <w:trPr>
          <w:trHeight w:val="210"/>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$ 13,545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118"/>
              <w:spacing w:after="0"/>
              <w:rPr>
                <w:sz w:val="20"/>
                <w:szCs w:val="20"/>
                <w:color w:val="auto"/>
              </w:rPr>
            </w:pPr>
            <w:r>
              <w:rPr>
                <w:rFonts w:ascii="Arial" w:cs="Arial" w:eastAsia="Arial" w:hAnsi="Arial"/>
                <w:sz w:val="18"/>
                <w:szCs w:val="18"/>
                <w:color w:val="auto"/>
              </w:rPr>
              <w:t>$2,821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640" w:type="dxa"/>
            <w:vAlign w:val="bottom"/>
            <w:gridSpan w:val="5"/>
            <w:shd w:val="clear" w:color="auto" w:fill="CCEEFF"/>
          </w:tcPr>
          <w:p>
            <w:pPr>
              <w:jc w:val="right"/>
              <w:ind w:right="228"/>
              <w:spacing w:after="0"/>
              <w:rPr>
                <w:sz w:val="20"/>
                <w:szCs w:val="20"/>
                <w:color w:val="auto"/>
              </w:rPr>
            </w:pPr>
            <w:r>
              <w:rPr>
                <w:rFonts w:ascii="Arial" w:cs="Arial" w:eastAsia="Arial" w:hAnsi="Arial"/>
                <w:sz w:val="18"/>
                <w:szCs w:val="18"/>
                <w:color w:val="auto"/>
              </w:rPr>
              <w:t>$ 16,366</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3,570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261</w:t>
            </w:r>
          </w:p>
        </w:tc>
        <w:tc>
          <w:tcPr>
            <w:tcW w:w="1640" w:type="dxa"/>
            <w:vAlign w:val="bottom"/>
            <w:gridSpan w:val="5"/>
          </w:tcPr>
          <w:p>
            <w:pPr>
              <w:jc w:val="right"/>
              <w:ind w:right="228"/>
              <w:spacing w:after="0"/>
              <w:rPr>
                <w:sz w:val="20"/>
                <w:szCs w:val="20"/>
                <w:color w:val="auto"/>
              </w:rPr>
            </w:pPr>
            <w:r>
              <w:rPr>
                <w:rFonts w:ascii="Arial" w:cs="Arial" w:eastAsia="Arial" w:hAnsi="Arial"/>
                <w:sz w:val="18"/>
                <w:szCs w:val="18"/>
                <w:color w:val="auto"/>
              </w:rPr>
              <w:t>3,831</w:t>
            </w: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4"/>
              </w:rPr>
              <w:t>3,011</w:t>
            </w:r>
          </w:p>
        </w:tc>
        <w:tc>
          <w:tcPr>
            <w:tcW w:w="1640" w:type="dxa"/>
            <w:vAlign w:val="bottom"/>
            <w:gridSpan w:val="5"/>
            <w:shd w:val="clear" w:color="auto" w:fill="CCEEFF"/>
          </w:tcPr>
          <w:p>
            <w:pPr>
              <w:jc w:val="right"/>
              <w:ind w:right="228"/>
              <w:spacing w:after="0"/>
              <w:rPr>
                <w:sz w:val="20"/>
                <w:szCs w:val="20"/>
                <w:color w:val="auto"/>
              </w:rPr>
            </w:pPr>
            <w:r>
              <w:rPr>
                <w:rFonts w:ascii="Arial" w:cs="Arial" w:eastAsia="Arial" w:hAnsi="Arial"/>
                <w:sz w:val="18"/>
                <w:szCs w:val="18"/>
                <w:color w:val="auto"/>
              </w:rPr>
              <w:t>3,011</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Other contract income</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5,640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40" w:type="dxa"/>
            <w:vAlign w:val="bottom"/>
            <w:gridSpan w:val="5"/>
          </w:tcPr>
          <w:p>
            <w:pPr>
              <w:jc w:val="right"/>
              <w:ind w:right="228"/>
              <w:spacing w:after="0"/>
              <w:rPr>
                <w:sz w:val="20"/>
                <w:szCs w:val="20"/>
                <w:color w:val="auto"/>
              </w:rPr>
            </w:pPr>
            <w:r>
              <w:rPr>
                <w:rFonts w:ascii="Arial" w:cs="Arial" w:eastAsia="Arial" w:hAnsi="Arial"/>
                <w:sz w:val="18"/>
                <w:szCs w:val="18"/>
                <w:color w:val="auto"/>
              </w:rPr>
              <w:t>5,640</w:t>
            </w: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(27,673)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118"/>
              <w:spacing w:after="0"/>
              <w:rPr>
                <w:sz w:val="20"/>
                <w:szCs w:val="20"/>
                <w:color w:val="auto"/>
              </w:rPr>
            </w:pPr>
            <w:r>
              <w:rPr>
                <w:rFonts w:ascii="Arial" w:cs="Arial" w:eastAsia="Arial" w:hAnsi="Arial"/>
                <w:sz w:val="18"/>
                <w:szCs w:val="18"/>
                <w:color w:val="auto"/>
              </w:rPr>
              <w:t>1,146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r>
              <w:rPr>
                <w:rFonts w:ascii="Arial" w:cs="Arial" w:eastAsia="Arial" w:hAnsi="Arial"/>
                <w:sz w:val="15"/>
                <w:szCs w:val="15"/>
                <w:color w:val="auto"/>
              </w:rPr>
              <w:t>(2)</w:t>
            </w:r>
          </w:p>
        </w:tc>
        <w:tc>
          <w:tcPr>
            <w:tcW w:w="1640" w:type="dxa"/>
            <w:vAlign w:val="bottom"/>
            <w:gridSpan w:val="5"/>
            <w:shd w:val="clear" w:color="auto" w:fill="CCEEFF"/>
          </w:tcPr>
          <w:p>
            <w:pPr>
              <w:jc w:val="right"/>
              <w:ind w:right="168"/>
              <w:spacing w:after="0"/>
              <w:rPr>
                <w:sz w:val="20"/>
                <w:szCs w:val="20"/>
                <w:color w:val="auto"/>
              </w:rPr>
            </w:pPr>
            <w:r>
              <w:rPr>
                <w:rFonts w:ascii="Arial" w:cs="Arial" w:eastAsia="Arial" w:hAnsi="Arial"/>
                <w:sz w:val="18"/>
                <w:szCs w:val="18"/>
                <w:color w:val="auto"/>
              </w:rPr>
              <w:t>(26,999)</w:t>
            </w:r>
          </w:p>
        </w:tc>
      </w:tr>
      <w:tr>
        <w:trPr>
          <w:trHeight w:val="230"/>
        </w:trPr>
        <w:tc>
          <w:tcPr>
            <w:tcW w:w="544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2,115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640" w:type="dxa"/>
            <w:vAlign w:val="bottom"/>
            <w:gridSpan w:val="5"/>
          </w:tcPr>
          <w:p>
            <w:pPr>
              <w:jc w:val="right"/>
              <w:ind w:right="228"/>
              <w:spacing w:after="0"/>
              <w:rPr>
                <w:sz w:val="20"/>
                <w:szCs w:val="20"/>
                <w:color w:val="auto"/>
              </w:rPr>
            </w:pPr>
            <w:r>
              <w:rPr>
                <w:rFonts w:ascii="Arial" w:cs="Arial" w:eastAsia="Arial" w:hAnsi="Arial"/>
                <w:sz w:val="18"/>
                <w:szCs w:val="18"/>
                <w:color w:val="auto"/>
              </w:rPr>
              <w:t>2,115</w:t>
            </w:r>
          </w:p>
        </w:tc>
      </w:tr>
      <w:tr>
        <w:trPr>
          <w:trHeight w:val="350"/>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jc w:val="right"/>
              <w:ind w:right="292"/>
              <w:spacing w:after="0"/>
              <w:rPr>
                <w:sz w:val="20"/>
                <w:szCs w:val="20"/>
                <w:color w:val="auto"/>
              </w:rPr>
            </w:pPr>
            <w:r>
              <w:rPr>
                <w:rFonts w:ascii="Arial" w:cs="Arial" w:eastAsia="Arial" w:hAnsi="Arial"/>
                <w:sz w:val="14"/>
                <w:szCs w:val="14"/>
                <w:color w:val="auto"/>
              </w:rPr>
              <w:t>Three months ended June 30, 2004</w:t>
            </w: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23"/>
        </w:trPr>
        <w:tc>
          <w:tcPr>
            <w:tcW w:w="5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3"/>
          </w:tcPr>
          <w:p>
            <w:pPr>
              <w:ind w:left="220"/>
              <w:spacing w:after="0" w:line="123" w:lineRule="exact"/>
              <w:rPr>
                <w:sz w:val="20"/>
                <w:szCs w:val="20"/>
                <w:color w:val="auto"/>
              </w:rPr>
            </w:pPr>
            <w:r>
              <w:rPr>
                <w:rFonts w:ascii="Arial" w:cs="Arial" w:eastAsia="Arial" w:hAnsi="Arial"/>
                <w:sz w:val="14"/>
                <w:szCs w:val="14"/>
                <w:color w:val="auto"/>
              </w:rPr>
              <w:t>Research &amp;</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3"/>
          </w:tcPr>
          <w:p>
            <w:pPr>
              <w:ind w:left="260"/>
              <w:spacing w:after="0" w:line="123" w:lineRule="exact"/>
              <w:rPr>
                <w:sz w:val="20"/>
                <w:szCs w:val="20"/>
                <w:color w:val="auto"/>
              </w:rPr>
            </w:pPr>
            <w:r>
              <w:rPr>
                <w:rFonts w:ascii="Arial" w:cs="Arial" w:eastAsia="Arial" w:hAnsi="Arial"/>
                <w:sz w:val="14"/>
                <w:szCs w:val="14"/>
                <w:color w:val="auto"/>
              </w:rPr>
              <w:t>Contract</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6"/>
              </w:rPr>
              <w:t>Reconciling</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67"/>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Development</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Manufacturing</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color w:val="auto"/>
                <w:w w:val="93"/>
              </w:rPr>
              <w:t>Items</w:t>
            </w:r>
          </w:p>
        </w:tc>
        <w:tc>
          <w:tcPr>
            <w:tcW w:w="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Total</w:t>
            </w:r>
          </w:p>
        </w:tc>
      </w:tr>
      <w:tr>
        <w:trPr>
          <w:trHeight w:val="210"/>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11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$ 27,146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178"/>
              <w:spacing w:after="0"/>
              <w:rPr>
                <w:sz w:val="20"/>
                <w:szCs w:val="20"/>
                <w:color w:val="auto"/>
              </w:rPr>
            </w:pPr>
            <w:r>
              <w:rPr>
                <w:rFonts w:ascii="Arial" w:cs="Arial" w:eastAsia="Arial" w:hAnsi="Arial"/>
                <w:sz w:val="18"/>
                <w:szCs w:val="18"/>
                <w:color w:val="auto"/>
              </w:rPr>
              <w:t>$1,272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640" w:type="dxa"/>
            <w:vAlign w:val="bottom"/>
            <w:gridSpan w:val="5"/>
            <w:shd w:val="clear" w:color="auto" w:fill="CCEEFF"/>
          </w:tcPr>
          <w:p>
            <w:pPr>
              <w:jc w:val="right"/>
              <w:ind w:right="208"/>
              <w:spacing w:after="0"/>
              <w:rPr>
                <w:sz w:val="20"/>
                <w:szCs w:val="20"/>
                <w:color w:val="auto"/>
              </w:rPr>
            </w:pPr>
            <w:r>
              <w:rPr>
                <w:rFonts w:ascii="Arial" w:cs="Arial" w:eastAsia="Arial" w:hAnsi="Arial"/>
                <w:sz w:val="18"/>
                <w:szCs w:val="18"/>
                <w:color w:val="auto"/>
              </w:rPr>
              <w:t>$ 28,418</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3,536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2"/>
              <w:spacing w:after="0"/>
              <w:rPr>
                <w:sz w:val="20"/>
                <w:szCs w:val="20"/>
                <w:color w:val="auto"/>
              </w:rPr>
            </w:pPr>
            <w:r>
              <w:rPr>
                <w:rFonts w:ascii="Arial" w:cs="Arial" w:eastAsia="Arial" w:hAnsi="Arial"/>
                <w:sz w:val="18"/>
                <w:szCs w:val="18"/>
                <w:color w:val="auto"/>
              </w:rPr>
              <w:t>261</w:t>
            </w:r>
          </w:p>
        </w:tc>
        <w:tc>
          <w:tcPr>
            <w:tcW w:w="1640" w:type="dxa"/>
            <w:vAlign w:val="bottom"/>
            <w:gridSpan w:val="5"/>
          </w:tcPr>
          <w:p>
            <w:pPr>
              <w:jc w:val="right"/>
              <w:ind w:right="208"/>
              <w:spacing w:after="0"/>
              <w:rPr>
                <w:sz w:val="20"/>
                <w:szCs w:val="20"/>
                <w:color w:val="auto"/>
              </w:rPr>
            </w:pPr>
            <w:r>
              <w:rPr>
                <w:rFonts w:ascii="Arial" w:cs="Arial" w:eastAsia="Arial" w:hAnsi="Arial"/>
                <w:sz w:val="18"/>
                <w:szCs w:val="18"/>
                <w:color w:val="auto"/>
              </w:rPr>
              <w:t>3,797</w:t>
            </w: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8"/>
              </w:rPr>
              <w:t>3,011</w:t>
            </w:r>
          </w:p>
        </w:tc>
        <w:tc>
          <w:tcPr>
            <w:tcW w:w="1640" w:type="dxa"/>
            <w:vAlign w:val="bottom"/>
            <w:gridSpan w:val="5"/>
            <w:shd w:val="clear" w:color="auto" w:fill="CCEEFF"/>
          </w:tcPr>
          <w:p>
            <w:pPr>
              <w:jc w:val="right"/>
              <w:ind w:right="208"/>
              <w:spacing w:after="0"/>
              <w:rPr>
                <w:sz w:val="20"/>
                <w:szCs w:val="20"/>
                <w:color w:val="auto"/>
              </w:rPr>
            </w:pPr>
            <w:r>
              <w:rPr>
                <w:rFonts w:ascii="Arial" w:cs="Arial" w:eastAsia="Arial" w:hAnsi="Arial"/>
                <w:sz w:val="18"/>
                <w:szCs w:val="18"/>
                <w:color w:val="auto"/>
              </w:rPr>
              <w:t>3,011</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(13,386)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4"/>
          </w:tcPr>
          <w:p>
            <w:pPr>
              <w:jc w:val="right"/>
              <w:ind w:right="178"/>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5"/>
          </w:tcPr>
          <w:p>
            <w:pPr>
              <w:jc w:val="right"/>
              <w:spacing w:after="0"/>
              <w:rPr>
                <w:sz w:val="20"/>
                <w:szCs w:val="20"/>
                <w:color w:val="auto"/>
              </w:rPr>
            </w:pPr>
            <w:r>
              <w:rPr>
                <w:rFonts w:ascii="Arial" w:cs="Arial" w:eastAsia="Arial" w:hAnsi="Arial"/>
                <w:sz w:val="18"/>
                <w:szCs w:val="18"/>
                <w:color w:val="auto"/>
              </w:rPr>
              <w:t>(1,906)</w:t>
            </w:r>
            <w:r>
              <w:rPr>
                <w:rFonts w:ascii="Arial" w:cs="Arial" w:eastAsia="Arial" w:hAnsi="Arial"/>
                <w:sz w:val="15"/>
                <w:szCs w:val="15"/>
                <w:color w:val="auto"/>
              </w:rPr>
              <w:t>(2)</w:t>
            </w:r>
          </w:p>
        </w:tc>
        <w:tc>
          <w:tcPr>
            <w:tcW w:w="1640" w:type="dxa"/>
            <w:vAlign w:val="bottom"/>
            <w:gridSpan w:val="5"/>
          </w:tcPr>
          <w:p>
            <w:pPr>
              <w:jc w:val="right"/>
              <w:ind w:right="148"/>
              <w:spacing w:after="0"/>
              <w:rPr>
                <w:sz w:val="20"/>
                <w:szCs w:val="20"/>
                <w:color w:val="auto"/>
              </w:rPr>
            </w:pPr>
            <w:r>
              <w:rPr>
                <w:rFonts w:ascii="Arial" w:cs="Arial" w:eastAsia="Arial" w:hAnsi="Arial"/>
                <w:sz w:val="18"/>
                <w:szCs w:val="18"/>
                <w:color w:val="auto"/>
              </w:rPr>
              <w:t>(14,549)</w:t>
            </w: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1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2,214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640" w:type="dxa"/>
            <w:vAlign w:val="bottom"/>
            <w:gridSpan w:val="5"/>
            <w:shd w:val="clear" w:color="auto" w:fill="CCEEFF"/>
          </w:tcPr>
          <w:p>
            <w:pPr>
              <w:jc w:val="right"/>
              <w:ind w:right="208"/>
              <w:spacing w:after="0"/>
              <w:rPr>
                <w:sz w:val="20"/>
                <w:szCs w:val="20"/>
                <w:color w:val="auto"/>
              </w:rPr>
            </w:pPr>
            <w:r>
              <w:rPr>
                <w:rFonts w:ascii="Arial" w:cs="Arial" w:eastAsia="Arial" w:hAnsi="Arial"/>
                <w:sz w:val="18"/>
                <w:szCs w:val="18"/>
                <w:color w:val="auto"/>
              </w:rPr>
              <w:t>2,214</w:t>
            </w:r>
          </w:p>
        </w:tc>
      </w:tr>
      <w:tr>
        <w:trPr>
          <w:trHeight w:val="365"/>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color w:val="auto"/>
              </w:rPr>
              <w:t>Six months ended June 30, 2005</w:t>
            </w: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23"/>
        </w:trPr>
        <w:tc>
          <w:tcPr>
            <w:tcW w:w="5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3"/>
          </w:tcPr>
          <w:p>
            <w:pPr>
              <w:ind w:left="140"/>
              <w:spacing w:after="0" w:line="123" w:lineRule="exact"/>
              <w:rPr>
                <w:sz w:val="20"/>
                <w:szCs w:val="20"/>
                <w:color w:val="auto"/>
              </w:rPr>
            </w:pPr>
            <w:r>
              <w:rPr>
                <w:rFonts w:ascii="Arial" w:cs="Arial" w:eastAsia="Arial" w:hAnsi="Arial"/>
                <w:sz w:val="14"/>
                <w:szCs w:val="14"/>
                <w:color w:val="auto"/>
              </w:rPr>
              <w:t>Research &amp;</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3"/>
          </w:tcPr>
          <w:p>
            <w:pPr>
              <w:ind w:left="140"/>
              <w:spacing w:after="0" w:line="123" w:lineRule="exact"/>
              <w:rPr>
                <w:sz w:val="20"/>
                <w:szCs w:val="20"/>
                <w:color w:val="auto"/>
              </w:rPr>
            </w:pPr>
            <w:r>
              <w:rPr>
                <w:rFonts w:ascii="Arial" w:cs="Arial" w:eastAsia="Arial" w:hAnsi="Arial"/>
                <w:sz w:val="14"/>
                <w:szCs w:val="14"/>
                <w:color w:val="auto"/>
              </w:rPr>
              <w:t>Contract</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right"/>
              <w:ind w:right="152"/>
              <w:spacing w:after="0" w:line="123" w:lineRule="exact"/>
              <w:rPr>
                <w:sz w:val="20"/>
                <w:szCs w:val="20"/>
                <w:color w:val="auto"/>
              </w:rPr>
            </w:pPr>
            <w:r>
              <w:rPr>
                <w:rFonts w:ascii="Arial" w:cs="Arial" w:eastAsia="Arial" w:hAnsi="Arial"/>
                <w:sz w:val="14"/>
                <w:szCs w:val="14"/>
                <w:color w:val="auto"/>
              </w:rPr>
              <w:t>Reconciling</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67"/>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Development</w:t>
            </w:r>
          </w:p>
        </w:tc>
        <w:tc>
          <w:tcPr>
            <w:tcW w:w="14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58"/>
              <w:spacing w:after="0"/>
              <w:rPr>
                <w:sz w:val="20"/>
                <w:szCs w:val="20"/>
                <w:color w:val="auto"/>
              </w:rPr>
            </w:pPr>
            <w:r>
              <w:rPr>
                <w:rFonts w:ascii="Arial" w:cs="Arial" w:eastAsia="Arial" w:hAnsi="Arial"/>
                <w:sz w:val="14"/>
                <w:szCs w:val="14"/>
                <w:color w:val="auto"/>
                <w:w w:val="96"/>
              </w:rPr>
              <w:t>Manufacturing</w:t>
            </w:r>
          </w:p>
        </w:tc>
        <w:tc>
          <w:tcPr>
            <w:tcW w:w="16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4"/>
                <w:szCs w:val="14"/>
                <w:color w:val="auto"/>
              </w:rPr>
              <w:t>Items</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Total</w:t>
            </w:r>
          </w:p>
        </w:tc>
      </w:tr>
      <w:tr>
        <w:trPr>
          <w:trHeight w:val="210"/>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11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$ 27,047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78"/>
              <w:spacing w:after="0"/>
              <w:rPr>
                <w:sz w:val="20"/>
                <w:szCs w:val="20"/>
                <w:color w:val="auto"/>
              </w:rPr>
            </w:pPr>
            <w:r>
              <w:rPr>
                <w:rFonts w:ascii="Arial" w:cs="Arial" w:eastAsia="Arial" w:hAnsi="Arial"/>
                <w:sz w:val="18"/>
                <w:szCs w:val="18"/>
                <w:color w:val="auto"/>
              </w:rPr>
              <w:t>$5,528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640" w:type="dxa"/>
            <w:vAlign w:val="bottom"/>
            <w:gridSpan w:val="5"/>
            <w:shd w:val="clear" w:color="auto" w:fill="CCEEFF"/>
          </w:tcPr>
          <w:p>
            <w:pPr>
              <w:jc w:val="right"/>
              <w:ind w:right="208"/>
              <w:spacing w:after="0"/>
              <w:rPr>
                <w:sz w:val="20"/>
                <w:szCs w:val="20"/>
                <w:color w:val="auto"/>
              </w:rPr>
            </w:pPr>
            <w:r>
              <w:rPr>
                <w:rFonts w:ascii="Arial" w:cs="Arial" w:eastAsia="Arial" w:hAnsi="Arial"/>
                <w:sz w:val="18"/>
                <w:szCs w:val="18"/>
                <w:color w:val="auto"/>
              </w:rPr>
              <w:t>$ 32,575</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jc w:val="right"/>
              <w:ind w:right="254"/>
              <w:spacing w:after="0"/>
              <w:rPr>
                <w:sz w:val="20"/>
                <w:szCs w:val="20"/>
                <w:color w:val="auto"/>
              </w:rPr>
            </w:pPr>
            <w:r>
              <w:rPr>
                <w:rFonts w:ascii="Arial" w:cs="Arial" w:eastAsia="Arial" w:hAnsi="Arial"/>
                <w:sz w:val="18"/>
                <w:szCs w:val="18"/>
                <w:color w:val="auto"/>
              </w:rPr>
              <w:t>7,167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780" w:type="dxa"/>
            <w:vAlign w:val="bottom"/>
            <w:gridSpan w:val="4"/>
          </w:tcPr>
          <w:p>
            <w:pPr>
              <w:jc w:val="right"/>
              <w:ind w:right="12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522</w:t>
            </w:r>
          </w:p>
        </w:tc>
        <w:tc>
          <w:tcPr>
            <w:tcW w:w="1640" w:type="dxa"/>
            <w:vAlign w:val="bottom"/>
            <w:gridSpan w:val="5"/>
          </w:tcPr>
          <w:p>
            <w:pPr>
              <w:jc w:val="right"/>
              <w:ind w:right="208"/>
              <w:spacing w:after="0"/>
              <w:rPr>
                <w:sz w:val="20"/>
                <w:szCs w:val="20"/>
                <w:color w:val="auto"/>
              </w:rPr>
            </w:pPr>
            <w:r>
              <w:rPr>
                <w:rFonts w:ascii="Arial" w:cs="Arial" w:eastAsia="Arial" w:hAnsi="Arial"/>
                <w:sz w:val="18"/>
                <w:szCs w:val="18"/>
                <w:color w:val="auto"/>
              </w:rPr>
              <w:t>7,689</w:t>
            </w: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4"/>
              </w:rPr>
              <w:t>6,024</w:t>
            </w:r>
          </w:p>
        </w:tc>
        <w:tc>
          <w:tcPr>
            <w:tcW w:w="1640" w:type="dxa"/>
            <w:vAlign w:val="bottom"/>
            <w:gridSpan w:val="5"/>
            <w:shd w:val="clear" w:color="auto" w:fill="CCEEFF"/>
          </w:tcPr>
          <w:p>
            <w:pPr>
              <w:jc w:val="right"/>
              <w:ind w:right="208"/>
              <w:spacing w:after="0"/>
              <w:rPr>
                <w:sz w:val="20"/>
                <w:szCs w:val="20"/>
                <w:color w:val="auto"/>
              </w:rPr>
            </w:pPr>
            <w:r>
              <w:rPr>
                <w:rFonts w:ascii="Arial" w:cs="Arial" w:eastAsia="Arial" w:hAnsi="Arial"/>
                <w:sz w:val="18"/>
                <w:szCs w:val="18"/>
                <w:color w:val="auto"/>
              </w:rPr>
              <w:t>6,024</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Other contract income</w:t>
            </w:r>
          </w:p>
        </w:tc>
        <w:tc>
          <w:tcPr>
            <w:tcW w:w="1100" w:type="dxa"/>
            <w:vAlign w:val="bottom"/>
          </w:tcPr>
          <w:p>
            <w:pPr>
              <w:jc w:val="right"/>
              <w:ind w:right="254"/>
              <w:spacing w:after="0"/>
              <w:rPr>
                <w:sz w:val="20"/>
                <w:szCs w:val="20"/>
                <w:color w:val="auto"/>
              </w:rPr>
            </w:pPr>
            <w:r>
              <w:rPr>
                <w:rFonts w:ascii="Arial" w:cs="Arial" w:eastAsia="Arial" w:hAnsi="Arial"/>
                <w:sz w:val="18"/>
                <w:szCs w:val="18"/>
                <w:color w:val="auto"/>
              </w:rPr>
              <w:t>30,640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640" w:type="dxa"/>
            <w:vAlign w:val="bottom"/>
            <w:gridSpan w:val="5"/>
          </w:tcPr>
          <w:p>
            <w:pPr>
              <w:jc w:val="right"/>
              <w:ind w:right="208"/>
              <w:spacing w:after="0"/>
              <w:rPr>
                <w:sz w:val="20"/>
                <w:szCs w:val="20"/>
                <w:color w:val="auto"/>
              </w:rPr>
            </w:pPr>
            <w:r>
              <w:rPr>
                <w:rFonts w:ascii="Arial" w:cs="Arial" w:eastAsia="Arial" w:hAnsi="Arial"/>
                <w:sz w:val="18"/>
                <w:szCs w:val="18"/>
                <w:color w:val="auto"/>
              </w:rPr>
              <w:t>30,640</w:t>
            </w: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(31,229)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78"/>
              <w:spacing w:after="0"/>
              <w:rPr>
                <w:sz w:val="20"/>
                <w:szCs w:val="20"/>
                <w:color w:val="auto"/>
              </w:rPr>
            </w:pPr>
            <w:r>
              <w:rPr>
                <w:rFonts w:ascii="Arial" w:cs="Arial" w:eastAsia="Arial" w:hAnsi="Arial"/>
                <w:sz w:val="18"/>
                <w:szCs w:val="18"/>
                <w:color w:val="auto"/>
              </w:rPr>
              <w:t>1,362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(1,255)</w:t>
            </w:r>
            <w:r>
              <w:rPr>
                <w:rFonts w:ascii="Arial" w:cs="Arial" w:eastAsia="Arial" w:hAnsi="Arial"/>
                <w:sz w:val="15"/>
                <w:szCs w:val="15"/>
                <w:color w:val="auto"/>
              </w:rPr>
              <w:t>(2)</w:t>
            </w:r>
          </w:p>
        </w:tc>
        <w:tc>
          <w:tcPr>
            <w:tcW w:w="1640" w:type="dxa"/>
            <w:vAlign w:val="bottom"/>
            <w:gridSpan w:val="5"/>
            <w:shd w:val="clear" w:color="auto" w:fill="CCEEFF"/>
          </w:tcPr>
          <w:p>
            <w:pPr>
              <w:jc w:val="right"/>
              <w:ind w:right="148"/>
              <w:spacing w:after="0"/>
              <w:rPr>
                <w:sz w:val="20"/>
                <w:szCs w:val="20"/>
                <w:color w:val="auto"/>
              </w:rPr>
            </w:pPr>
            <w:r>
              <w:rPr>
                <w:rFonts w:ascii="Arial" w:cs="Arial" w:eastAsia="Arial" w:hAnsi="Arial"/>
                <w:sz w:val="18"/>
                <w:szCs w:val="18"/>
                <w:color w:val="auto"/>
              </w:rPr>
              <w:t>(31,122)</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1100" w:type="dxa"/>
            <w:vAlign w:val="bottom"/>
          </w:tcPr>
          <w:p>
            <w:pPr>
              <w:jc w:val="right"/>
              <w:ind w:right="254"/>
              <w:spacing w:after="0"/>
              <w:rPr>
                <w:sz w:val="20"/>
                <w:szCs w:val="20"/>
                <w:color w:val="auto"/>
              </w:rPr>
            </w:pPr>
            <w:r>
              <w:rPr>
                <w:rFonts w:ascii="Arial" w:cs="Arial" w:eastAsia="Arial" w:hAnsi="Arial"/>
                <w:sz w:val="18"/>
                <w:szCs w:val="18"/>
                <w:color w:val="auto"/>
              </w:rPr>
              <w:t>3,752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640" w:type="dxa"/>
            <w:vAlign w:val="bottom"/>
            <w:gridSpan w:val="5"/>
          </w:tcPr>
          <w:p>
            <w:pPr>
              <w:jc w:val="right"/>
              <w:ind w:right="208"/>
              <w:spacing w:after="0"/>
              <w:rPr>
                <w:sz w:val="20"/>
                <w:szCs w:val="20"/>
                <w:color w:val="auto"/>
              </w:rPr>
            </w:pPr>
            <w:r>
              <w:rPr>
                <w:rFonts w:ascii="Arial" w:cs="Arial" w:eastAsia="Arial" w:hAnsi="Arial"/>
                <w:sz w:val="18"/>
                <w:szCs w:val="18"/>
                <w:color w:val="auto"/>
              </w:rPr>
              <w:t>3,752</w:t>
            </w: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81,936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78"/>
              <w:spacing w:after="0"/>
              <w:rPr>
                <w:sz w:val="20"/>
                <w:szCs w:val="20"/>
                <w:color w:val="auto"/>
              </w:rPr>
            </w:pPr>
            <w:r>
              <w:rPr>
                <w:rFonts w:ascii="Arial" w:cs="Arial" w:eastAsia="Arial" w:hAnsi="Arial"/>
                <w:sz w:val="18"/>
                <w:szCs w:val="18"/>
                <w:color w:val="auto"/>
              </w:rPr>
              <w:t>6,006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52"/>
              <w:spacing w:after="0"/>
              <w:rPr>
                <w:sz w:val="20"/>
                <w:szCs w:val="20"/>
                <w:color w:val="auto"/>
              </w:rPr>
            </w:pPr>
            <w:r>
              <w:rPr>
                <w:rFonts w:ascii="Arial" w:cs="Arial" w:eastAsia="Arial" w:hAnsi="Arial"/>
                <w:sz w:val="18"/>
                <w:szCs w:val="18"/>
                <w:color w:val="auto"/>
              </w:rPr>
              <w:t>359,006</w:t>
            </w:r>
            <w:r>
              <w:rPr>
                <w:rFonts w:ascii="Arial" w:cs="Arial" w:eastAsia="Arial" w:hAnsi="Arial"/>
                <w:sz w:val="15"/>
                <w:szCs w:val="15"/>
                <w:color w:val="auto"/>
              </w:rPr>
              <w:t>(3)</w:t>
            </w:r>
          </w:p>
        </w:tc>
        <w:tc>
          <w:tcPr>
            <w:tcW w:w="1640" w:type="dxa"/>
            <w:vAlign w:val="bottom"/>
            <w:gridSpan w:val="5"/>
            <w:shd w:val="clear" w:color="auto" w:fill="CCEEFF"/>
          </w:tcPr>
          <w:p>
            <w:pPr>
              <w:jc w:val="right"/>
              <w:ind w:right="208"/>
              <w:spacing w:after="0"/>
              <w:rPr>
                <w:sz w:val="20"/>
                <w:szCs w:val="20"/>
                <w:color w:val="auto"/>
              </w:rPr>
            </w:pPr>
            <w:r>
              <w:rPr>
                <w:rFonts w:ascii="Arial" w:cs="Arial" w:eastAsia="Arial" w:hAnsi="Arial"/>
                <w:sz w:val="18"/>
                <w:szCs w:val="18"/>
                <w:color w:val="auto"/>
              </w:rPr>
              <w:t>446,948</w:t>
            </w:r>
          </w:p>
        </w:tc>
      </w:tr>
      <w:tr>
        <w:trPr>
          <w:trHeight w:val="405"/>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jc w:val="right"/>
              <w:ind w:right="654"/>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6"/>
        </w:trPr>
        <w:tc>
          <w:tcPr>
            <w:tcW w:w="5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color w:val="auto"/>
              </w:rPr>
              <w:t>Six months ended June 30, 2004</w:t>
            </w:r>
          </w:p>
        </w:tc>
        <w:tc>
          <w:tcPr>
            <w:tcW w:w="4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23"/>
        </w:trPr>
        <w:tc>
          <w:tcPr>
            <w:tcW w:w="5280" w:type="dxa"/>
            <w:vAlign w:val="bottom"/>
          </w:tcPr>
          <w:p>
            <w:pPr>
              <w:spacing w:after="0"/>
              <w:rPr>
                <w:sz w:val="10"/>
                <w:szCs w:val="10"/>
                <w:color w:val="auto"/>
              </w:rPr>
            </w:pPr>
          </w:p>
        </w:tc>
        <w:tc>
          <w:tcPr>
            <w:tcW w:w="1180" w:type="dxa"/>
            <w:vAlign w:val="bottom"/>
          </w:tcPr>
          <w:p>
            <w:pPr>
              <w:jc w:val="right"/>
              <w:ind w:right="174"/>
              <w:spacing w:after="0" w:line="123" w:lineRule="exact"/>
              <w:rPr>
                <w:sz w:val="20"/>
                <w:szCs w:val="20"/>
                <w:color w:val="auto"/>
              </w:rPr>
            </w:pPr>
            <w:r>
              <w:rPr>
                <w:rFonts w:ascii="Arial" w:cs="Arial" w:eastAsia="Arial" w:hAnsi="Arial"/>
                <w:sz w:val="14"/>
                <w:szCs w:val="14"/>
                <w:color w:val="auto"/>
              </w:rPr>
              <w:t>Research &amp;</w:t>
            </w:r>
          </w:p>
        </w:tc>
        <w:tc>
          <w:tcPr>
            <w:tcW w:w="440" w:type="dxa"/>
            <w:vAlign w:val="bottom"/>
          </w:tcPr>
          <w:p>
            <w:pPr>
              <w:spacing w:after="0"/>
              <w:rPr>
                <w:sz w:val="10"/>
                <w:szCs w:val="10"/>
                <w:color w:val="auto"/>
              </w:rPr>
            </w:pPr>
          </w:p>
        </w:tc>
        <w:tc>
          <w:tcPr>
            <w:tcW w:w="1240" w:type="dxa"/>
            <w:vAlign w:val="bottom"/>
          </w:tcPr>
          <w:p>
            <w:pPr>
              <w:jc w:val="right"/>
              <w:ind w:right="279"/>
              <w:spacing w:after="0" w:line="123" w:lineRule="exact"/>
              <w:rPr>
                <w:sz w:val="20"/>
                <w:szCs w:val="20"/>
                <w:color w:val="auto"/>
              </w:rPr>
            </w:pPr>
            <w:r>
              <w:rPr>
                <w:rFonts w:ascii="Arial" w:cs="Arial" w:eastAsia="Arial" w:hAnsi="Arial"/>
                <w:sz w:val="14"/>
                <w:szCs w:val="14"/>
                <w:color w:val="auto"/>
              </w:rPr>
              <w:t>Contract</w:t>
            </w:r>
          </w:p>
        </w:tc>
        <w:tc>
          <w:tcPr>
            <w:tcW w:w="460" w:type="dxa"/>
            <w:vAlign w:val="bottom"/>
          </w:tcPr>
          <w:p>
            <w:pPr>
              <w:spacing w:after="0"/>
              <w:rPr>
                <w:sz w:val="10"/>
                <w:szCs w:val="10"/>
                <w:color w:val="auto"/>
              </w:rPr>
            </w:pPr>
          </w:p>
        </w:tc>
        <w:tc>
          <w:tcPr>
            <w:tcW w:w="1200" w:type="dxa"/>
            <w:vAlign w:val="bottom"/>
            <w:gridSpan w:val="2"/>
          </w:tcPr>
          <w:p>
            <w:pPr>
              <w:jc w:val="right"/>
              <w:ind w:right="172"/>
              <w:spacing w:after="0" w:line="123" w:lineRule="exact"/>
              <w:rPr>
                <w:sz w:val="20"/>
                <w:szCs w:val="20"/>
                <w:color w:val="auto"/>
              </w:rPr>
            </w:pPr>
            <w:r>
              <w:rPr>
                <w:rFonts w:ascii="Arial" w:cs="Arial" w:eastAsia="Arial" w:hAnsi="Arial"/>
                <w:sz w:val="14"/>
                <w:szCs w:val="14"/>
                <w:color w:val="auto"/>
              </w:rPr>
              <w:t>Reconciling</w:t>
            </w:r>
          </w:p>
        </w:tc>
        <w:tc>
          <w:tcPr>
            <w:tcW w:w="46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67"/>
        </w:trPr>
        <w:tc>
          <w:tcPr>
            <w:tcW w:w="5280" w:type="dxa"/>
            <w:vAlign w:val="bottom"/>
          </w:tcPr>
          <w:p>
            <w:pPr>
              <w:spacing w:after="0"/>
              <w:rPr>
                <w:sz w:val="14"/>
                <w:szCs w:val="14"/>
                <w:color w:val="auto"/>
              </w:rPr>
            </w:pP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Development</w:t>
            </w:r>
          </w:p>
        </w:tc>
        <w:tc>
          <w:tcPr>
            <w:tcW w:w="440" w:type="dxa"/>
            <w:vAlign w:val="bottom"/>
          </w:tcPr>
          <w:p>
            <w:pPr>
              <w:spacing w:after="0"/>
              <w:rPr>
                <w:sz w:val="14"/>
                <w:szCs w:val="14"/>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rPr>
              <w:t>Manufacturing</w:t>
            </w: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Items</w:t>
            </w:r>
          </w:p>
        </w:tc>
        <w:tc>
          <w:tcPr>
            <w:tcW w:w="460" w:type="dxa"/>
            <w:vAlign w:val="bottom"/>
          </w:tcPr>
          <w:p>
            <w:pPr>
              <w:spacing w:after="0"/>
              <w:rPr>
                <w:sz w:val="14"/>
                <w:szCs w:val="14"/>
                <w:color w:val="auto"/>
              </w:rPr>
            </w:pP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Total</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$86,526</w:t>
            </w:r>
          </w:p>
        </w:tc>
        <w:tc>
          <w:tcPr>
            <w:tcW w:w="168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$ 3,882</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$ 90,408</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jc w:val="right"/>
              <w:ind w:right="254"/>
              <w:spacing w:after="0"/>
              <w:rPr>
                <w:sz w:val="20"/>
                <w:szCs w:val="20"/>
                <w:color w:val="auto"/>
              </w:rPr>
            </w:pPr>
            <w:r>
              <w:rPr>
                <w:rFonts w:ascii="Arial" w:cs="Arial" w:eastAsia="Arial" w:hAnsi="Arial"/>
                <w:sz w:val="18"/>
                <w:szCs w:val="18"/>
                <w:color w:val="auto"/>
              </w:rPr>
              <w:t>7,048</w:t>
            </w:r>
          </w:p>
        </w:tc>
        <w:tc>
          <w:tcPr>
            <w:tcW w:w="1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522</w:t>
            </w:r>
          </w:p>
        </w:tc>
        <w:tc>
          <w:tcPr>
            <w:tcW w:w="1620" w:type="dxa"/>
            <w:vAlign w:val="bottom"/>
            <w:gridSpan w:val="2"/>
          </w:tcPr>
          <w:p>
            <w:pPr>
              <w:jc w:val="right"/>
              <w:ind w:right="208"/>
              <w:spacing w:after="0"/>
              <w:rPr>
                <w:sz w:val="20"/>
                <w:szCs w:val="20"/>
                <w:color w:val="auto"/>
              </w:rPr>
            </w:pPr>
            <w:r>
              <w:rPr>
                <w:rFonts w:ascii="Arial" w:cs="Arial" w:eastAsia="Arial" w:hAnsi="Arial"/>
                <w:sz w:val="18"/>
                <w:szCs w:val="18"/>
                <w:color w:val="auto"/>
              </w:rPr>
              <w:t>7,570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126</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6,021</w:t>
            </w:r>
          </w:p>
        </w:tc>
        <w:tc>
          <w:tcPr>
            <w:tcW w:w="16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6,147</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Other contract income</w:t>
            </w:r>
          </w:p>
        </w:tc>
        <w:tc>
          <w:tcPr>
            <w:tcW w:w="1180" w:type="dxa"/>
            <w:vAlign w:val="bottom"/>
          </w:tcPr>
          <w:p>
            <w:pPr>
              <w:jc w:val="right"/>
              <w:ind w:right="254"/>
              <w:spacing w:after="0"/>
              <w:rPr>
                <w:sz w:val="20"/>
                <w:szCs w:val="20"/>
                <w:color w:val="auto"/>
              </w:rPr>
            </w:pPr>
            <w:r>
              <w:rPr>
                <w:rFonts w:ascii="Arial" w:cs="Arial" w:eastAsia="Arial" w:hAnsi="Arial"/>
                <w:sz w:val="18"/>
                <w:szCs w:val="18"/>
                <w:color w:val="auto"/>
              </w:rPr>
              <w:t>42,750</w:t>
            </w:r>
          </w:p>
        </w:tc>
        <w:tc>
          <w:tcPr>
            <w:tcW w:w="440" w:type="dxa"/>
            <w:vAlign w:val="bottom"/>
          </w:tcPr>
          <w:p>
            <w:pPr>
              <w:spacing w:after="0"/>
              <w:rPr>
                <w:sz w:val="18"/>
                <w:szCs w:val="18"/>
                <w:color w:val="auto"/>
              </w:rPr>
            </w:pPr>
          </w:p>
        </w:tc>
        <w:tc>
          <w:tcPr>
            <w:tcW w:w="1240" w:type="dxa"/>
            <w:vAlign w:val="bottom"/>
          </w:tcPr>
          <w:p>
            <w:pPr>
              <w:jc w:val="right"/>
              <w:ind w:right="279"/>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8"/>
              <w:spacing w:after="0"/>
              <w:rPr>
                <w:sz w:val="20"/>
                <w:szCs w:val="20"/>
                <w:color w:val="auto"/>
              </w:rPr>
            </w:pPr>
            <w:r>
              <w:rPr>
                <w:rFonts w:ascii="Arial" w:cs="Arial" w:eastAsia="Arial" w:hAnsi="Arial"/>
                <w:sz w:val="18"/>
                <w:szCs w:val="18"/>
                <w:color w:val="auto"/>
              </w:rPr>
              <w:t>42,750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52,647</w:t>
            </w:r>
          </w:p>
        </w:tc>
        <w:tc>
          <w:tcPr>
            <w:tcW w:w="168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1,128</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r>
              <w:rPr>
                <w:rFonts w:ascii="Arial" w:cs="Arial" w:eastAsia="Arial" w:hAnsi="Arial"/>
                <w:sz w:val="15"/>
                <w:szCs w:val="15"/>
                <w:color w:val="auto"/>
              </w:rPr>
              <w:t>(2)</w:t>
            </w:r>
          </w:p>
        </w:tc>
        <w:tc>
          <w:tcPr>
            <w:tcW w:w="16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49,983</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Capital expenditures</w:t>
            </w:r>
          </w:p>
        </w:tc>
        <w:tc>
          <w:tcPr>
            <w:tcW w:w="1180" w:type="dxa"/>
            <w:vAlign w:val="bottom"/>
          </w:tcPr>
          <w:p>
            <w:pPr>
              <w:jc w:val="right"/>
              <w:ind w:right="254"/>
              <w:spacing w:after="0"/>
              <w:rPr>
                <w:sz w:val="20"/>
                <w:szCs w:val="20"/>
                <w:color w:val="auto"/>
              </w:rPr>
            </w:pPr>
            <w:r>
              <w:rPr>
                <w:rFonts w:ascii="Arial" w:cs="Arial" w:eastAsia="Arial" w:hAnsi="Arial"/>
                <w:sz w:val="18"/>
                <w:szCs w:val="18"/>
                <w:color w:val="auto"/>
              </w:rPr>
              <w:t>2,899</w:t>
            </w:r>
          </w:p>
        </w:tc>
        <w:tc>
          <w:tcPr>
            <w:tcW w:w="440" w:type="dxa"/>
            <w:vAlign w:val="bottom"/>
          </w:tcPr>
          <w:p>
            <w:pPr>
              <w:spacing w:after="0"/>
              <w:rPr>
                <w:sz w:val="18"/>
                <w:szCs w:val="18"/>
                <w:color w:val="auto"/>
              </w:rPr>
            </w:pPr>
          </w:p>
        </w:tc>
        <w:tc>
          <w:tcPr>
            <w:tcW w:w="1240" w:type="dxa"/>
            <w:vAlign w:val="bottom"/>
          </w:tcPr>
          <w:p>
            <w:pPr>
              <w:jc w:val="right"/>
              <w:ind w:right="279"/>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8"/>
              <w:spacing w:after="0"/>
              <w:rPr>
                <w:sz w:val="20"/>
                <w:szCs w:val="20"/>
                <w:color w:val="auto"/>
              </w:rPr>
            </w:pPr>
            <w:r>
              <w:rPr>
                <w:rFonts w:ascii="Arial" w:cs="Arial" w:eastAsia="Arial" w:hAnsi="Arial"/>
                <w:sz w:val="18"/>
                <w:szCs w:val="18"/>
                <w:color w:val="auto"/>
              </w:rPr>
              <w:t>2,899</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96,816</w:t>
            </w:r>
          </w:p>
        </w:tc>
        <w:tc>
          <w:tcPr>
            <w:tcW w:w="168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15,417</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1"/>
              </w:rPr>
              <w:t>375,941</w:t>
            </w:r>
            <w:r>
              <w:rPr>
                <w:rFonts w:ascii="Arial" w:cs="Arial" w:eastAsia="Arial" w:hAnsi="Arial"/>
                <w:sz w:val="15"/>
                <w:szCs w:val="15"/>
                <w:color w:val="auto"/>
                <w:w w:val="91"/>
              </w:rPr>
              <w:t>(3)</w:t>
            </w:r>
          </w:p>
        </w:tc>
        <w:tc>
          <w:tcPr>
            <w:tcW w:w="16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488,174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Depreciation and amortization related to contract manufacturing is capitalized into inventory and included in contract manufacturing expense when the product is shipped.</w:t>
      </w:r>
    </w:p>
    <w:p>
      <w:pPr>
        <w:spacing w:after="0" w:line="21" w:lineRule="exact"/>
        <w:rPr>
          <w:rFonts w:ascii="Arial" w:cs="Arial" w:eastAsia="Arial" w:hAnsi="Arial"/>
          <w:sz w:val="15"/>
          <w:szCs w:val="15"/>
          <w:color w:val="auto"/>
        </w:rPr>
      </w:pPr>
    </w:p>
    <w:p>
      <w:pPr>
        <w:ind w:left="460" w:hanging="452"/>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Represents investment income, net of interest expense related primarily to convertible notes issued in October 2001.</w:t>
      </w:r>
    </w:p>
    <w:p>
      <w:pPr>
        <w:spacing w:after="0" w:line="76" w:lineRule="exact"/>
        <w:rPr>
          <w:rFonts w:ascii="Arial" w:cs="Arial" w:eastAsia="Arial" w:hAnsi="Arial"/>
          <w:sz w:val="15"/>
          <w:szCs w:val="15"/>
          <w:color w:val="auto"/>
        </w:rPr>
      </w:pPr>
    </w:p>
    <w:p>
      <w:pPr>
        <w:ind w:left="460" w:hanging="452"/>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6"/>
          <w:szCs w:val="16"/>
          <w:color w:val="auto"/>
        </w:rPr>
        <w:t>Includes cash and cash equivalents, marketable securities, restricted marketable securities, prepaid expenses and other current assets, and other assets.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Matters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May 2003, securities class action lawsuits were commenced against Regeneron and certain of the Company’s officers and directors in the United States District Court for the Southern District of New York. A consolidated amended class action complaint was filed in October 2003. The complaint, which purports to be brought on behalf of a class consisting of investors in the Company’s publicly traded securities between March 28, 2000 and March 30, 2003, alleges that the defendants misstated or omitted material information concerning the safety and efficacy of AXOKINE, a product then being developed by the Company for the treatment of obesity, in violation of Sections 10(b) and 20(a) of the Securities and Exchange Act of 1934 and Rule 10b-5 promulgated thereunder.</w:t>
      </w:r>
    </w:p>
    <w:p>
      <w:pPr>
        <w:spacing w:after="0" w:line="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August 3, 2005, the plaintiffs and the Company entered into a Stipulation and Agreement of Settlement settling all claims against the Company in this lawsuit. The settlement requires no payment by the Company or any of the individual defendants named in the lawsuit. The Company’s primary insurance carrier agreed to make the required payment under the settlement, which is in an immaterial amount to the Company. The settlement includes no admission of wrongdoing by the Company or any of the individual in defendants. The settlement must be finally approved by the United States District Court for the Southern District of New York following notice and hearing.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Separately, the plaintiffs and the individual defendants named in the lawsuit entered into a Stipulation of Voluntary Dismissal, dismissing all claims against the individuals. This voluntary dismissal shall automatically become a dismissal with prejudice, without costs, upon the court entering an order and final judgment approving the settlement.</w:t>
      </w:r>
    </w:p>
    <w:p>
      <w:pPr>
        <w:spacing w:after="0" w:line="7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from time to time, has been subject to other legal claims arising in connection with its business. While the ultimate results of the legal claims cannot be predicted with certainty, at June 30, 2005 there were no asserted claims against the Company which, in the opinion of management, if adversely decided would have a material adverse effect on the Company’s financial position, results of operations, and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Future Impact of Recently Issued Accounting Standards</w:t>
      </w:r>
    </w:p>
    <w:p>
      <w:pPr>
        <w:spacing w:after="0" w:line="12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 xml:space="preserve">In December 2004, the Financial Accounting Standards Board (“FASB”) issued Statement of Financial Accounting Standards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SFAS 123R is a revision of SFAS 123,</w:t>
      </w:r>
      <w:r>
        <w:rPr>
          <w:rFonts w:ascii="Arial" w:cs="Arial" w:eastAsia="Arial" w:hAnsi="Arial"/>
          <w:sz w:val="16"/>
          <w:szCs w:val="16"/>
          <w:i w:val="1"/>
          <w:iCs w:val="1"/>
          <w:color w:val="auto"/>
        </w:rPr>
        <w:t xml:space="preserve"> Accounting for Stock-Based Compensation </w:t>
      </w:r>
      <w:r>
        <w:rPr>
          <w:rFonts w:ascii="Arial" w:cs="Arial" w:eastAsia="Arial" w:hAnsi="Arial"/>
          <w:sz w:val="16"/>
          <w:szCs w:val="16"/>
          <w:color w:val="auto"/>
        </w:rPr>
        <w:t>(which we adopted effective January 1, 2005 – see Note</w:t>
      </w:r>
    </w:p>
    <w:p>
      <w:pPr>
        <w:spacing w:after="0" w:line="281" w:lineRule="auto"/>
        <w:rPr>
          <w:sz w:val="20"/>
          <w:szCs w:val="20"/>
          <w:color w:val="auto"/>
        </w:rPr>
      </w:pPr>
      <w:r>
        <w:rPr>
          <w:rFonts w:ascii="Arial" w:cs="Arial" w:eastAsia="Arial" w:hAnsi="Arial"/>
          <w:sz w:val="16"/>
          <w:szCs w:val="16"/>
          <w:color w:val="auto"/>
        </w:rPr>
        <w:t xml:space="preserve">3), and supersedes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its related implementation guidance. SFAS 123R focuses primarily on accounting for transactions in which an entity obtains employee services in share-based payment transactions, and requires the recognition of compensation expense in an amount equal to the fair value of the share-based payment (including stock options and restricted stock) issued to employees. SFAS 123R is effective for fiscal years beginning after June 15, 2005. In March 2005, the U.S. Securities and Exchange Commission (‘SEC”) issued Staff Accounting Bulletin No. 107 (“SAB 107”) which expresses views of the SEC staff regarding the application of SFAS 123R. Among other things, SAB 107 provides interpretive guidance related to the interaction between SFAS 123R and certain SEC rules and regulations as well as the SEC staff’s views regarding the valuation of share-based payment arrangements for public companies. The Company will be required to adopt SFAS 123R effective for the fiscal year beginning January 1, 2006, and intends to do so using the modified prospective method. Under the modified prospective method, compensation cost is recognized beginning with the effective date based on (a) the requirements of SFAS 123R for all share-based payments granted after the effective date and</w:t>
      </w:r>
    </w:p>
    <w:p>
      <w:pPr>
        <w:spacing w:after="0" w:line="6" w:lineRule="exact"/>
        <w:rPr>
          <w:sz w:val="20"/>
          <w:szCs w:val="20"/>
          <w:color w:val="auto"/>
        </w:rPr>
      </w:pPr>
    </w:p>
    <w:p>
      <w:pPr>
        <w:ind w:right="80" w:firstLine="8"/>
        <w:spacing w:after="0" w:line="302"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requirements of SFAS 123 for all awards granted to employees prior to the effective date of SFAS 123R that remain unvested on the effective date. In addition, the Company will consider the guidance of SAB 107 as it adopts SFAS 123R. Although the impact of adopting SFAS 123R has not yet been quantified, management believes that the future adoption of this standard may have a material impact on the Company’s financial statements.</w:t>
      </w:r>
    </w:p>
    <w:p>
      <w:pPr>
        <w:spacing w:after="0" w:line="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In March 2005, the FASB issued SFAS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xml:space="preserve">. SFAS 154 replaces APB Opinion No. 20,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and SFAS 3, </w:t>
      </w:r>
      <w:r>
        <w:rPr>
          <w:rFonts w:ascii="Arial" w:cs="Arial" w:eastAsia="Arial" w:hAnsi="Arial"/>
          <w:sz w:val="18"/>
          <w:szCs w:val="18"/>
          <w:i w:val="1"/>
          <w:iCs w:val="1"/>
          <w:color w:val="auto"/>
        </w:rPr>
        <w:t>Reporting Accounting Changes in Interim Financial Statements</w:t>
      </w:r>
      <w:r>
        <w:rPr>
          <w:rFonts w:ascii="Arial" w:cs="Arial" w:eastAsia="Arial" w:hAnsi="Arial"/>
          <w:sz w:val="18"/>
          <w:szCs w:val="18"/>
          <w:color w:val="auto"/>
        </w:rPr>
        <w:t>, and requires retrospective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application to prior-period financial statements of changes in accounting principle, unless it is impracticable to determine either the period-specific effects or the cumulative effect of a change. SFAS 154 also redefines “restatement” as the revising of previously issued financial statements to reflect the correction of an error. SFAS 154 is effective for accounting changes and corrections of errors made in fiscal years beginning after December 15, 2005. The Company is required to adopt the provisions of SFAS 154, as applicable, effective for the fiscal year beginning January 1, 2006.</w:t>
      </w:r>
    </w:p>
    <w:p>
      <w:pPr>
        <w:spacing w:after="0" w:line="6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In March 2005, the FASB issued Interpretation No. 47, </w:t>
      </w:r>
      <w:r>
        <w:rPr>
          <w:rFonts w:ascii="Arial" w:cs="Arial" w:eastAsia="Arial" w:hAnsi="Arial"/>
          <w:sz w:val="17"/>
          <w:szCs w:val="17"/>
          <w:i w:val="1"/>
          <w:iCs w:val="1"/>
          <w:color w:val="auto"/>
        </w:rPr>
        <w:t>Accounting for Conditional Asset Retirement Obligations</w:t>
      </w:r>
      <w:r>
        <w:rPr>
          <w:rFonts w:ascii="Arial" w:cs="Arial" w:eastAsia="Arial" w:hAnsi="Arial"/>
          <w:sz w:val="17"/>
          <w:szCs w:val="17"/>
          <w:color w:val="auto"/>
        </w:rPr>
        <w:t xml:space="preserve"> (“FIN 47”), which clarifies that the term “conditional asset retirement”, as used in SFAS 143, </w:t>
      </w:r>
      <w:r>
        <w:rPr>
          <w:rFonts w:ascii="Arial" w:cs="Arial" w:eastAsia="Arial" w:hAnsi="Arial"/>
          <w:sz w:val="17"/>
          <w:szCs w:val="17"/>
          <w:i w:val="1"/>
          <w:iCs w:val="1"/>
          <w:color w:val="auto"/>
        </w:rPr>
        <w:t>Accounting for Asset Retirement Obligations,</w:t>
      </w:r>
      <w:r>
        <w:rPr>
          <w:rFonts w:ascii="Arial" w:cs="Arial" w:eastAsia="Arial" w:hAnsi="Arial"/>
          <w:sz w:val="17"/>
          <w:szCs w:val="17"/>
          <w:color w:val="auto"/>
        </w:rPr>
        <w:t xml:space="preserve"> refers to a legal obligation to perform an asset retirement activity in which the timing and/or method of settlement are conditional on a future event that may or may not be within the control of the entity. FIN 47 requires that a liability be recognized for the fair value of a conditional asset retirement obligation when incurred, if the fair value of the liability can be reasonably estimated. Uncertainty about the timing and method of settlement of a conditional asset retirement obligation would be factored into the measurement of the liability when sufficient information exists. FIN 47 is effective no later than the end of fiscal years ending after December 15, 2005. Management believes that the future adoption of FIN 47 will not have a material impact on the Company’s financial statements.</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94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ind w:right="60" w:firstLine="225"/>
        <w:spacing w:after="0" w:line="254" w:lineRule="auto"/>
        <w:rPr>
          <w:sz w:val="20"/>
          <w:szCs w:val="20"/>
          <w:color w:val="auto"/>
        </w:rPr>
      </w:pPr>
      <w:r>
        <w:rPr>
          <w:rFonts w:ascii="Arial" w:cs="Arial" w:eastAsia="Arial" w:hAnsi="Arial"/>
          <w:sz w:val="18"/>
          <w:szCs w:val="18"/>
          <w:i w:val="1"/>
          <w:iCs w:val="1"/>
          <w:color w:val="auto"/>
        </w:rPr>
        <w:t>The discussion below contains forward-looking statements that involve risks and uncertainties relating to future events and the future financial performance of Regeneron Pharmaceuticals, Inc. and actual events or results may differ materially. These statements concern, among other things, the possible success and therapeutic applications of our product candidates and research programs,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“Risk Factors”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84"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Regeneron Pharmaceuticals, Inc. is a biopharmaceutical company that discovers, develops, and intends to commercialize pharmaceutical products for the treatment of serious medical conditions. We are strategically focused in 2005 on the development of the VEGF Trap in oncology, the VEGF Trap in eye diseases, and the IL-1 Trap in various indications in which interleukin-1 is believed to play a role, including rheumatoid arthritis and other inflammatory conditions. Our clinical and preclinical pipeline also includes product candidates for the treatment of allergies, asthma, and other diseases and disorders. Developing and commercializing new medicines entails significant risk and expense. Since inception we have not generated any sales or profits from the commercialization of any of our product candidates.</w:t>
      </w:r>
    </w:p>
    <w:p>
      <w:pPr>
        <w:spacing w:after="0" w:line="85"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Our core business strategy is to maintain a strong foundation in basic scientific research and discovery-enabling technology and combine that foundation with our manufacturing and clinical development capabilities to build a successful, integrated biopharmaceutical company. Our efforts have yielded a diverse pipeline of product candidates that we believe has the potential to address a variety of serious medical conditions. We believe that our ability to develop product candidates is enhanced by the application of our technology platforms. These platforms are designed to discover specific genes of therapeutic interest for a particular disease or cell type and validate targets through high-throughput production of mammalian models. We continue to invest in the development of enabling technologies to assist in our efforts to identify, develop, and commercialize new product candidates.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Here is a summary of the clinical status of our clinical candidates as of June 30, 2005:</w:t>
      </w:r>
    </w:p>
    <w:p>
      <w:pPr>
        <w:spacing w:after="0" w:line="113" w:lineRule="exact"/>
        <w:rPr>
          <w:sz w:val="20"/>
          <w:szCs w:val="20"/>
          <w:color w:val="auto"/>
        </w:rPr>
      </w:pPr>
    </w:p>
    <w:p>
      <w:pPr>
        <w:ind w:left="660" w:right="160" w:hanging="436"/>
        <w:spacing w:after="0" w:line="261"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VEGF TRAP — Oncology: </w:t>
      </w:r>
      <w:r>
        <w:rPr>
          <w:rFonts w:ascii="Arial" w:cs="Arial" w:eastAsia="Arial" w:hAnsi="Arial"/>
          <w:sz w:val="18"/>
          <w:szCs w:val="18"/>
          <w:color w:val="auto"/>
        </w:rPr>
        <w:t>Protein-based product candidate designed to bind Vascular Endothelial Growth Factor (called VEGF, also known as</w:t>
      </w:r>
      <w:r>
        <w:rPr>
          <w:rFonts w:ascii="Arial" w:cs="Arial" w:eastAsia="Arial" w:hAnsi="Arial"/>
          <w:sz w:val="18"/>
          <w:szCs w:val="18"/>
          <w:b w:val="1"/>
          <w:bCs w:val="1"/>
          <w:color w:val="auto"/>
        </w:rPr>
        <w:t xml:space="preserve"> </w:t>
      </w:r>
      <w:r>
        <w:rPr>
          <w:rFonts w:ascii="Arial" w:cs="Arial" w:eastAsia="Arial" w:hAnsi="Arial"/>
          <w:sz w:val="18"/>
          <w:szCs w:val="18"/>
          <w:color w:val="auto"/>
        </w:rPr>
        <w:t>Vascular Permeability Factor or VPF) and the related Placental Growth Factor (called PlGF), and prevent their interaction with cell surface receptors. VEGF (and to a less validated degree, PlGF) is required for the growth of new blood vessels that are needed for tumors to grow and is a potent regulator of vascular permeability and leakage.</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240" w:right="40"/>
        <w:spacing w:after="0" w:line="286" w:lineRule="auto"/>
        <w:rPr>
          <w:sz w:val="20"/>
          <w:szCs w:val="20"/>
          <w:color w:val="auto"/>
        </w:rPr>
      </w:pPr>
      <w:r>
        <w:rPr>
          <w:rFonts w:ascii="Arial" w:cs="Arial" w:eastAsia="Arial" w:hAnsi="Arial"/>
          <w:sz w:val="17"/>
          <w:szCs w:val="17"/>
          <w:color w:val="auto"/>
        </w:rPr>
        <w:t>In April 2004, we initiated a phase 1 trial designed to evaluate the safety, tolerability, and pharmacokinetics of intravenous VEGF Trap in advanced cancer patients. A total of 27 patients were enrolled and were given one of five dose levels in this ongoing study. Preliminary results of this trial, which were announced at the annual meeting of the American Society of Clinical Oncology (ASCO) in May 2005, indicated that:</w:t>
      </w:r>
    </w:p>
    <w:p>
      <w:pPr>
        <w:spacing w:after="0" w:line="57"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VEGF Trap was generally well-tolerated at the dose levels evaluated,</w:t>
      </w:r>
    </w:p>
    <w:p>
      <w:pPr>
        <w:spacing w:after="0" w:line="130" w:lineRule="exact"/>
        <w:rPr>
          <w:rFonts w:ascii="Arial" w:cs="Arial" w:eastAsia="Arial" w:hAnsi="Arial"/>
          <w:sz w:val="18"/>
          <w:szCs w:val="18"/>
          <w:b w:val="1"/>
          <w:bCs w:val="1"/>
          <w:color w:val="auto"/>
        </w:rPr>
      </w:pPr>
    </w:p>
    <w:p>
      <w:pPr>
        <w:ind w:left="660" w:right="32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preliminary analyses of tumor blood flow and volume by dynamic contrast-enhanced Magnetic Resonance Imaging (MRI) scans suggest that the VEGF Trap rapidly induces a tumor vascular response, and</w:t>
      </w:r>
    </w:p>
    <w:p>
      <w:pPr>
        <w:spacing w:after="0" w:line="75"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preliminary efficacy analyses show evidence of tumor size reduction and prolonged stable disease in some patients after receiving the VEGF Trap as a single agent.</w:t>
      </w:r>
    </w:p>
    <w:p>
      <w:pPr>
        <w:spacing w:after="0" w:line="62" w:lineRule="exact"/>
        <w:rPr>
          <w:sz w:val="20"/>
          <w:szCs w:val="20"/>
          <w:color w:val="auto"/>
        </w:rPr>
      </w:pPr>
    </w:p>
    <w:p>
      <w:pPr>
        <w:ind w:left="240" w:right="100"/>
        <w:spacing w:after="0" w:line="254" w:lineRule="auto"/>
        <w:rPr>
          <w:sz w:val="20"/>
          <w:szCs w:val="20"/>
          <w:color w:val="auto"/>
        </w:rPr>
      </w:pPr>
      <w:r>
        <w:rPr>
          <w:rFonts w:ascii="Arial" w:cs="Arial" w:eastAsia="Arial" w:hAnsi="Arial"/>
          <w:sz w:val="18"/>
          <w:szCs w:val="18"/>
          <w:color w:val="auto"/>
        </w:rPr>
        <w:t>The VEGF Trap is being developed in collaboration with the sanofi-aventis Group, as described below. In May 2005, we and the sanofi-aventis Group initiated a safety and tolerability study of the VEGF Trap in combination with a standard chemotherapy regimen in patients with advanced solid malignancies. The study includes patients with solid malignancies that are metastatic or unresectable. In July 2005, we and the sanofi–aventis Group initiated a second Phase 1 study of the VEGF Trap in combination with another standard chemotherapy regimen in advanced cancer patients. We and the sanofi-aventis Group plan to initiate additional clinical studies in 2005 to evaluate the VEGF Trap as a single-agent and in combination with other therapies in various cancer indications. During the third quarter of 2004, the U.S. Food and Drug Administration (FDA) granted Fast Track designation to the VEGF Trap for a specific niche cancer indication. As a result of the FDA’s decision, we and the sanofi–aventis Group plan to initiate a clinical trial in that indication.</w:t>
      </w:r>
    </w:p>
    <w:p>
      <w:pPr>
        <w:spacing w:after="0" w:line="84" w:lineRule="exact"/>
        <w:rPr>
          <w:sz w:val="20"/>
          <w:szCs w:val="20"/>
          <w:color w:val="auto"/>
        </w:rPr>
      </w:pPr>
    </w:p>
    <w:p>
      <w:pPr>
        <w:ind w:left="240" w:right="200"/>
        <w:spacing w:after="0" w:line="293" w:lineRule="auto"/>
        <w:rPr>
          <w:sz w:val="20"/>
          <w:szCs w:val="20"/>
          <w:color w:val="auto"/>
        </w:rPr>
      </w:pPr>
      <w:r>
        <w:rPr>
          <w:rFonts w:ascii="Arial" w:cs="Arial" w:eastAsia="Arial" w:hAnsi="Arial"/>
          <w:sz w:val="16"/>
          <w:szCs w:val="16"/>
          <w:color w:val="auto"/>
        </w:rPr>
        <w:t>In September 2003, we entered into a collaboration agreement with Aventis Pharmaceuticals, Inc. (now a member of the sanofi-aventis Group) to jointly develop and commercialize the VEGF Trap throughout the world with the exception of Japan, where product rights remain with us. Under the collaboration agreement, as amended in January 2005, we and the sanofi-aventis Group will share co-promotion rights and profits on sales, if any, of the VEGF Trap for disease indications included in our collaboration. In December 2004, we earned a $25.0 million payment from the sanofi-aventis Group, which was received in January 2005, upon the achievement of an early stage clinical milestone. We may also receive up to $360.0 million in additional milestone payments upon receipt of specified marketing approvals for up to eight VEGF Trap indications in Europe or the United States</w:t>
      </w:r>
    </w:p>
    <w:p>
      <w:pPr>
        <w:spacing w:after="0" w:line="57"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color w:val="auto"/>
        </w:rPr>
        <w:t>Under the collaboration agreement, agreed upon development expenses incurred by both companies during the term of the agreement will be funded by the sanofi-aventis Group. If the collaboration becomes profitable, we will reimburse the sanofi-aventis Group for 50% of the VEGF Trap development expenses in accordance with a formula based on the amount of development expenses and our share of the collaboration profit, or at a faster rate at our option.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right="20" w:hanging="452"/>
        <w:spacing w:after="0" w:line="261" w:lineRule="auto"/>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VEGF TRAP – Eye Diseases</w:t>
      </w:r>
      <w:r>
        <w:rPr>
          <w:rFonts w:ascii="Arial" w:cs="Arial" w:eastAsia="Arial" w:hAnsi="Arial"/>
          <w:sz w:val="18"/>
          <w:szCs w:val="18"/>
          <w:color w:val="auto"/>
        </w:rPr>
        <w:t>: VEGF both stimulates angiogenesis and increases vascular permeability. It has been shown in preclinical studies to be a</w:t>
      </w:r>
      <w:r>
        <w:rPr>
          <w:rFonts w:ascii="Arial" w:cs="Arial" w:eastAsia="Arial" w:hAnsi="Arial"/>
          <w:sz w:val="18"/>
          <w:szCs w:val="18"/>
          <w:b w:val="1"/>
          <w:bCs w:val="1"/>
          <w:color w:val="auto"/>
        </w:rPr>
        <w:t xml:space="preserve"> </w:t>
      </w:r>
      <w:r>
        <w:rPr>
          <w:rFonts w:ascii="Arial" w:cs="Arial" w:eastAsia="Arial" w:hAnsi="Arial"/>
          <w:sz w:val="18"/>
          <w:szCs w:val="18"/>
          <w:color w:val="auto"/>
        </w:rPr>
        <w:t>major pathogenic factor in diabetic retinopathy, diabetic macular edema, and age-related macular degeneration, and is believed to be involved in other medical problems affecting the eyes. In January 2005, we and the sanofi-aventis Group amended our collaboration agreement to exclude rights to develop and commercialize the VEGF Trap for eye diseases through local delivery systems.</w:t>
      </w:r>
    </w:p>
    <w:p>
      <w:pPr>
        <w:spacing w:after="0" w:line="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We now have the exclusive right to develop and commercialize the VEGF Trap for eye diseases through local administration to the eye; and, in</w:t>
      </w:r>
    </w:p>
    <w:p>
      <w:pPr>
        <w:spacing w:after="0" w:line="34" w:lineRule="exact"/>
        <w:rPr>
          <w:rFonts w:ascii="Arial" w:cs="Arial" w:eastAsia="Arial" w:hAnsi="Arial"/>
          <w:sz w:val="18"/>
          <w:szCs w:val="18"/>
          <w:b w:val="1"/>
          <w:bCs w:val="1"/>
          <w:color w:val="auto"/>
        </w:rPr>
      </w:pPr>
    </w:p>
    <w:p>
      <w:pPr>
        <w:ind w:left="460" w:right="140"/>
        <w:spacing w:after="0" w:line="295" w:lineRule="auto"/>
        <w:rPr>
          <w:rFonts w:ascii="Arial" w:cs="Arial" w:eastAsia="Arial" w:hAnsi="Arial"/>
          <w:sz w:val="18"/>
          <w:szCs w:val="18"/>
          <w:b w:val="1"/>
          <w:bCs w:val="1"/>
          <w:color w:val="auto"/>
        </w:rPr>
      </w:pPr>
      <w:r>
        <w:rPr>
          <w:rFonts w:ascii="Arial" w:cs="Arial" w:eastAsia="Arial" w:hAnsi="Arial"/>
          <w:sz w:val="16"/>
          <w:szCs w:val="16"/>
          <w:color w:val="auto"/>
        </w:rPr>
        <w:t>June 2005, we initiated a clinical trial of the VEGF Trap delivered through intravitreal injection. This phase 1 trial is a dose-escalating study designed to assess the safety and tolerability of the VEGF Trap in patients with the neovascular form of age-related macular degeneration (wet AMD). In the initial part of the trial, patients will receive a single dose of the VEGF Trap delivered by intravitreal injection into the eye, after which they will be evaluated for three months to measure the durability of effects and provide guidance for dosing regimens to be used in future trials.</w:t>
      </w:r>
    </w:p>
    <w:p>
      <w:pPr>
        <w:spacing w:after="0" w:line="66" w:lineRule="exact"/>
        <w:rPr>
          <w:rFonts w:ascii="Arial" w:cs="Arial" w:eastAsia="Arial" w:hAnsi="Arial"/>
          <w:sz w:val="18"/>
          <w:szCs w:val="18"/>
          <w:b w:val="1"/>
          <w:bCs w:val="1"/>
          <w:color w:val="auto"/>
        </w:rPr>
      </w:pPr>
    </w:p>
    <w:p>
      <w:pPr>
        <w:ind w:left="460" w:right="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Two phase 1 clinical trials of the VEGF Trap delivered systemically in patients with wet AMD and diabetic macular edema (DME) were completed in 2004. The results of the study of the VEGF Trap in 25 patients with advanced wet AMD were discussed at the annual meeting of the Association for Research in Vision and Ophthalmology (ARVO) in May 2005. The trial successfully met its pre-specified efficacy endpoint as preliminary results from the trial indicated that the VEGF Trap demonstrated a statistically significant decrease in excess retinal thickness in treated patients, which increased in both magnitude and duration with higher doses. The trial results also showed that the VEGF Trap caused a dose-dependent increase in blood pressure (hypertension), which appears to be a “class-effect” of systemically administered anti-VEGF agents. While use of the VEGF Trap for eye diseases using systemic delivery remains part of our collaboration with the sanofi-aventis Group, we and the sanofi-aventis Group do not currently intend to pursue further clinical development using systemic delivery of the VEGF Trap for eye diseases.</w:t>
      </w:r>
    </w:p>
    <w:p>
      <w:pPr>
        <w:spacing w:after="0" w:line="80" w:lineRule="exact"/>
        <w:rPr>
          <w:rFonts w:ascii="Arial" w:cs="Arial" w:eastAsia="Arial" w:hAnsi="Arial"/>
          <w:sz w:val="18"/>
          <w:szCs w:val="18"/>
          <w:b w:val="1"/>
          <w:bCs w:val="1"/>
          <w:color w:val="auto"/>
        </w:rPr>
      </w:pPr>
    </w:p>
    <w:p>
      <w:pPr>
        <w:jc w:val="both"/>
        <w:ind w:left="460" w:right="360" w:hanging="452"/>
        <w:spacing w:after="0" w:line="266" w:lineRule="auto"/>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INTERLEUKIN-1 TRAP (IL-1 Trap): </w:t>
      </w:r>
      <w:r>
        <w:rPr>
          <w:rFonts w:ascii="Arial" w:cs="Arial" w:eastAsia="Arial" w:hAnsi="Arial"/>
          <w:sz w:val="18"/>
          <w:szCs w:val="18"/>
          <w:color w:val="auto"/>
        </w:rPr>
        <w:t>Protein-based product candidate designed to bind the interleukin-1 (called IL-1) cytokine and prevent its</w:t>
      </w:r>
      <w:r>
        <w:rPr>
          <w:rFonts w:ascii="Arial" w:cs="Arial" w:eastAsia="Arial" w:hAnsi="Arial"/>
          <w:sz w:val="18"/>
          <w:szCs w:val="18"/>
          <w:b w:val="1"/>
          <w:bCs w:val="1"/>
          <w:color w:val="auto"/>
        </w:rPr>
        <w:t xml:space="preserve"> </w:t>
      </w:r>
      <w:r>
        <w:rPr>
          <w:rFonts w:ascii="Arial" w:cs="Arial" w:eastAsia="Arial" w:hAnsi="Arial"/>
          <w:sz w:val="18"/>
          <w:szCs w:val="18"/>
          <w:color w:val="auto"/>
        </w:rPr>
        <w:t>interaction with cell surface receptors. IL-1 may play an important role in a number of rheumatological and other diseases and disorders, including diseases associated with inflammation in blood vessels.</w:t>
      </w:r>
    </w:p>
    <w:p>
      <w:pPr>
        <w:spacing w:after="0" w:line="85" w:lineRule="exact"/>
        <w:rPr>
          <w:rFonts w:ascii="Arial" w:cs="Arial" w:eastAsia="Arial" w:hAnsi="Arial"/>
          <w:sz w:val="18"/>
          <w:szCs w:val="18"/>
          <w:b w:val="1"/>
          <w:bCs w:val="1"/>
          <w:color w:val="auto"/>
        </w:rPr>
      </w:pPr>
    </w:p>
    <w:p>
      <w:pPr>
        <w:ind w:left="4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October 2003, we announced that the IL-1 Trap demonstrated evidence of clinical activity and safety in patients with rheumatoid arthritis in a phase 2 dose-ranging study in approximately 200 patients. Patients treated with the highest dose, 100 milligrams of the IL-1 Trap, exhibited non-statistically significant improvements in the proportion of American College of Rheumatology (ACR) 20 responses versus placebo, the primary endpoint of the trial. Patients treated with the IL-1 Trap also exhibited improvements in secondary endpoints of the trial. Patients in this trial experienced statistically significant reductions in C-reactive protein (CRP) levels, and the improvements in CRP levels demonstrated a clear dose response to the IL-1 Trap. The IL-1 Trap was generally well tolerated and no serious drug-related adverse events were reported.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In July 2005, we initiated a phase 2b study to further evaluate the safety and efficacy of the IL-1 Trap in rheumatoid arthritis in a double blind, placebo-controlled, multi-center trial. This trial will enroll 600 patients in clinical sites in North America, Latin America, and Europe. Patients will be treated with doses of 160 milligrams and 320 milligrams of IL-1 Trap delivered in two subcutaneous injections once a week for 14 weeks. The primary endpoint of the study will be to measure the efficacy of the IL-1 Trap compared with placebo in patients with moderately or severely active rheumatoid arthritis who are being treated concomitantly with methotrexate. Following the initial 14-week period, patients will continue to receive weekly injections of the IL-1 Trap in a 14-week follow-on safety evaluation phase. Additional trials of the IL-1 Trap may be required to support an application seeking approval to market the IL-1 Trap for rheumatoid arthritis.</w:t>
      </w:r>
    </w:p>
    <w:p>
      <w:pPr>
        <w:spacing w:after="0" w:line="95"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 xml:space="preserve">In the fourth quarter of 2004, we initiated a pilot study of the IL-1 Trap in patients with </w:t>
      </w:r>
      <w:r>
        <w:rPr>
          <w:rFonts w:ascii="Arial" w:cs="Arial" w:eastAsia="Arial" w:hAnsi="Arial"/>
          <w:sz w:val="18"/>
          <w:szCs w:val="18"/>
          <w:i w:val="1"/>
          <w:iCs w:val="1"/>
          <w:color w:val="auto"/>
        </w:rPr>
        <w:t>CIAS</w:t>
      </w:r>
      <w:r>
        <w:rPr>
          <w:rFonts w:ascii="Arial" w:cs="Arial" w:eastAsia="Arial" w:hAnsi="Arial"/>
          <w:sz w:val="18"/>
          <w:szCs w:val="18"/>
          <w:color w:val="auto"/>
        </w:rPr>
        <w:t xml:space="preserve">1-Associated Periodic Syndrome (CAPS), a spectrum of rare diseases associated with mutations in the </w:t>
      </w:r>
      <w:r>
        <w:rPr>
          <w:rFonts w:ascii="Arial" w:cs="Arial" w:eastAsia="Arial" w:hAnsi="Arial"/>
          <w:sz w:val="18"/>
          <w:szCs w:val="18"/>
          <w:i w:val="1"/>
          <w:iCs w:val="1"/>
          <w:color w:val="auto"/>
        </w:rPr>
        <w:t>CIAS</w:t>
      </w:r>
      <w:r>
        <w:rPr>
          <w:rFonts w:ascii="Arial" w:cs="Arial" w:eastAsia="Arial" w:hAnsi="Arial"/>
          <w:sz w:val="18"/>
          <w:szCs w:val="18"/>
          <w:color w:val="auto"/>
        </w:rPr>
        <w:t>1 gene. IL-1 appears to play a significant role in these diseases and, in December 2004, the FDA granted orphan drug status to the IL-1 Trap for the treatment of CAPS. In June 2005, we reported positive preliminary results from this ongoing study in CAPS. All four patients enrolled in the study as of that date demonstrated a positive response both to a subcutaneous loading dose of the IL-1 Trap (including a sizable reduction in daily diary scores and acute reactant levels) and in the ongoing chronic dosing phase of the study. We expect to initiate an advanced trial in CAPS in 2005.</w:t>
      </w:r>
    </w:p>
    <w:p>
      <w:pPr>
        <w:spacing w:after="0" w:line="99" w:lineRule="exact"/>
        <w:rPr>
          <w:sz w:val="20"/>
          <w:szCs w:val="20"/>
          <w:color w:val="auto"/>
        </w:rPr>
      </w:pPr>
    </w:p>
    <w:p>
      <w:pPr>
        <w:ind w:left="460" w:right="460"/>
        <w:spacing w:after="0" w:line="259" w:lineRule="auto"/>
        <w:rPr>
          <w:sz w:val="20"/>
          <w:szCs w:val="20"/>
          <w:color w:val="auto"/>
        </w:rPr>
      </w:pPr>
      <w:r>
        <w:rPr>
          <w:rFonts w:ascii="Arial" w:cs="Arial" w:eastAsia="Arial" w:hAnsi="Arial"/>
          <w:sz w:val="18"/>
          <w:szCs w:val="18"/>
          <w:color w:val="auto"/>
        </w:rPr>
        <w:t>We believe blocking IL-1 could also be useful in a number of other potential indications where inflammation plays a role. Examples include such indications as osteoarthritis, Still’s disease, and cardiovascular diseases. In April 2005, we initiated a proof-of-concept study of the IL-1 Trap in osteoarthritis. Later this year, we plan to initiate several other proof-of-concept studies to identify indications where the IL-1 Trap demonstrates evidence of efficacy and safety.</w:t>
      </w:r>
    </w:p>
    <w:p>
      <w:pPr>
        <w:spacing w:after="0" w:line="92" w:lineRule="exact"/>
        <w:rPr>
          <w:sz w:val="20"/>
          <w:szCs w:val="20"/>
          <w:color w:val="auto"/>
        </w:rPr>
      </w:pPr>
    </w:p>
    <w:p>
      <w:pPr>
        <w:ind w:left="460" w:right="140"/>
        <w:spacing w:after="0" w:line="286" w:lineRule="auto"/>
        <w:rPr>
          <w:sz w:val="20"/>
          <w:szCs w:val="20"/>
          <w:color w:val="auto"/>
        </w:rPr>
      </w:pPr>
      <w:r>
        <w:rPr>
          <w:rFonts w:ascii="Arial" w:cs="Arial" w:eastAsia="Arial" w:hAnsi="Arial"/>
          <w:sz w:val="17"/>
          <w:szCs w:val="17"/>
          <w:color w:val="auto"/>
        </w:rPr>
        <w:t>Under the terms of our March 2003 collaboration agreement with Novartis Pharma AG, we retain the right to elect to collaborate in the future development and commercialization of a Novartis IL-1 antibody, which is in clinical development, and Novartis has the right to elect to collaborate in the development and commercialization of our second generation IL-1 Trap, should we decide to develop this product candidate.</w:t>
      </w:r>
    </w:p>
    <w:p>
      <w:pPr>
        <w:spacing w:after="0" w:line="67" w:lineRule="exact"/>
        <w:rPr>
          <w:sz w:val="20"/>
          <w:szCs w:val="20"/>
          <w:color w:val="auto"/>
        </w:rPr>
      </w:pPr>
    </w:p>
    <w:p>
      <w:pPr>
        <w:ind w:left="460" w:hanging="452"/>
        <w:spacing w:after="0" w:line="256" w:lineRule="auto"/>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INTERLEUKIN-4/INTERLEUKIN-13 TRAP (IL-4/13 Trap): </w:t>
      </w:r>
      <w:r>
        <w:rPr>
          <w:rFonts w:ascii="Arial" w:cs="Arial" w:eastAsia="Arial" w:hAnsi="Arial"/>
          <w:sz w:val="18"/>
          <w:szCs w:val="18"/>
          <w:color w:val="auto"/>
        </w:rPr>
        <w:t>Protein-based product candidate designed to bind both the interleukin-4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interleukin-13 (called IL-4 and IL-13) cytokines and prevent their interaction with cell surface receptors. Based on preclinical data, IL-4 and IL-13 are thought to play a role in diseases such as asthma, allergic disorders, and other inflammatory diseases. At a scientific conference during the second quarter of 2004, we presented the results of a placebo-controlled, double-blind, dose escalation phase 1 trial of the IL-4/13 Trap using subcutaneous injections in adult subjects with mild to moderate asthma. The IL-4/13 Trap was generally safe and well tolerated at the doses tested. We plan to initiate a phase 2 trial in the next twelve months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evaluate the safety and potential efficacy of the IL-4/13 Trap in asthma or allergy indications.</w:t>
      </w:r>
    </w:p>
    <w:p>
      <w:pPr>
        <w:spacing w:after="0" w:line="11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In addition to our clinical programs, we have research programs focused on angiogenesis, metabolic diseases, muscle atrophy and related disorders, inflammatory conditions, and other diseases and disorders. We also use our Velocigene® and Trap technology platforms to discover and develop new product candidates and are developing our Velocimmune</w:t>
      </w:r>
      <w:r>
        <w:rPr>
          <w:rFonts w:ascii="Arial" w:cs="Arial" w:eastAsia="Arial" w:hAnsi="Arial"/>
          <w:sz w:val="15"/>
          <w:szCs w:val="15"/>
          <w:color w:val="auto"/>
        </w:rPr>
        <w:t>TM</w:t>
      </w:r>
      <w:r>
        <w:rPr>
          <w:rFonts w:ascii="Arial" w:cs="Arial" w:eastAsia="Arial" w:hAnsi="Arial"/>
          <w:sz w:val="18"/>
          <w:szCs w:val="18"/>
          <w:color w:val="auto"/>
        </w:rPr>
        <w:t xml:space="preserve"> platform to create fully human, therapeutic antibodies.</w:t>
      </w:r>
    </w:p>
    <w:p>
      <w:pPr>
        <w:spacing w:after="0" w:line="73" w:lineRule="exact"/>
        <w:rPr>
          <w:sz w:val="20"/>
          <w:szCs w:val="20"/>
          <w:color w:val="auto"/>
        </w:rPr>
      </w:pPr>
    </w:p>
    <w:p>
      <w:pPr>
        <w:jc w:val="both"/>
        <w:ind w:right="140" w:firstLine="225"/>
        <w:spacing w:after="0" w:line="288" w:lineRule="auto"/>
        <w:rPr>
          <w:sz w:val="20"/>
          <w:szCs w:val="20"/>
          <w:color w:val="auto"/>
        </w:rPr>
      </w:pPr>
      <w:r>
        <w:rPr>
          <w:rFonts w:ascii="Arial" w:cs="Arial" w:eastAsia="Arial" w:hAnsi="Arial"/>
          <w:sz w:val="16"/>
          <w:szCs w:val="16"/>
          <w:color w:val="auto"/>
        </w:rPr>
        <w:t>In June 2005, we and The Procter &amp; Gamble Company amended our Focused Collaboration Agreement entered into as of December 31, 2000. Under the terms of the modified agreement, the two companies agreed that the research activities being pursued under the collaboration agreement were completed on June 30, 2005, six months prior to the December 31, 2005 expiration date in the original agreement. Procter &amp; Gamble agreed to make a one-time</w:t>
      </w:r>
    </w:p>
    <w:p>
      <w:pPr>
        <w:ind w:right="20"/>
        <w:spacing w:after="0" w:line="270" w:lineRule="auto"/>
        <w:rPr>
          <w:sz w:val="20"/>
          <w:szCs w:val="20"/>
          <w:color w:val="auto"/>
        </w:rPr>
      </w:pPr>
      <w:r>
        <w:rPr>
          <w:rFonts w:ascii="Arial" w:cs="Arial" w:eastAsia="Arial" w:hAnsi="Arial"/>
          <w:sz w:val="17"/>
          <w:szCs w:val="17"/>
          <w:color w:val="auto"/>
        </w:rPr>
        <w:t>$5.6 million payment to Regeneron, which was received in July 2005, and to fund Regeneron’s research for the second quarter of 2005 under the terms of the collaboration agreement. We agreed to pay Procter &amp; Gamble $950,000 to acquire certain capital equipment located at our facilities. We and Procter &amp; Gamble divided rights to research programs and pre-clinical product candidates that were developed during the research term of the collaboration. Neither party has the right to participate in the development or commercialization of the other party’s product candidates. We are entitled to receive royalties based on any future product sales of a Procter &amp; Gamble pre-clinical candidate arising from the collaboration. Neither party is entitled to receive royalties or other payments based on any other products arising from the collaboration.</w:t>
      </w:r>
    </w:p>
    <w:p>
      <w:pPr>
        <w:spacing w:after="0" w:line="71"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Developing and commercializing new medicines entails significant risk and expense. Since inception we have not generated any sales or profits from the commercialization of any of our product candidates and may never receive such revenues. Before revenues from the commercialization of our product candidates can be realized, we (or our collaborators) must overcome a number of hurdles which include successfully completing research and development and obtaining regulatory approval from the U.S. Food and Drug Administration (or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85"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From inception on January 8, 1988 through June 30, 2005, we had a cumulative loss of $521.0 million. In the absence of revenues from the commercialization of our product candidates or other sources, the amount, timing, nature, or source of which cannot be predicted, our losses will continue as we conduct our research and development activities. We expect to incur substantial losses over the next several years as we continue the clinical development of the VEGF Trap, IL-1 Trap, and IL-4/13 Trap; advance new product candidates into clinical development from our existing research programs; continue our research and development programs; and commercialize product candidates that receive regulatory approval, if any.</w:t>
      </w:r>
    </w:p>
    <w:p>
      <w:pPr>
        <w:spacing w:after="0" w:line="64" w:lineRule="exact"/>
        <w:rPr>
          <w:sz w:val="20"/>
          <w:szCs w:val="20"/>
          <w:color w:val="auto"/>
        </w:rPr>
      </w:pPr>
    </w:p>
    <w:p>
      <w:pPr>
        <w:ind w:right="480" w:firstLine="225"/>
        <w:spacing w:after="0" w:line="342" w:lineRule="auto"/>
        <w:rPr>
          <w:sz w:val="20"/>
          <w:szCs w:val="20"/>
          <w:color w:val="auto"/>
        </w:rPr>
      </w:pPr>
      <w:r>
        <w:rPr>
          <w:rFonts w:ascii="Arial" w:cs="Arial" w:eastAsia="Arial" w:hAnsi="Arial"/>
          <w:sz w:val="16"/>
          <w:szCs w:val="16"/>
          <w:color w:val="auto"/>
        </w:rPr>
        <w:t>Our activities may expand over time and may require additional resources, and we expect our operating losses to be substantial over at least the next several years. Our losses may fluctuate from quarter to quarter and will depend, among other factors, on the progress of our research and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development efforts, the timing of certain expenses, and the amount and timing of payments that we receive from collaborators.</w:t>
      </w:r>
    </w:p>
    <w:p>
      <w:pPr>
        <w:spacing w:after="0" w:line="117" w:lineRule="exact"/>
        <w:rPr>
          <w:sz w:val="20"/>
          <w:szCs w:val="20"/>
          <w:color w:val="auto"/>
        </w:rPr>
      </w:pPr>
    </w:p>
    <w:p>
      <w:pPr>
        <w:ind w:right="520" w:firstLine="222"/>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first half of 2005 clinical events and plans for the remainder of 2005 are as follows:</w:t>
      </w:r>
    </w:p>
    <w:p>
      <w:pPr>
        <w:sectPr>
          <w:pgSz w:w="11900" w:h="16838" w:orient="portrait"/>
          <w:cols w:equalWidth="0" w:num="1">
            <w:col w:w="11400"/>
          </w:cols>
          <w:pgMar w:left="240" w:top="419" w:right="259" w:bottom="1440" w:gutter="0" w:footer="0" w:header="0"/>
        </w:sectPr>
      </w:pP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Product Candidate</w:t>
            </w:r>
          </w:p>
        </w:tc>
        <w:tc>
          <w:tcPr>
            <w:tcW w:w="50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416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2005 Events to Date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60" w:type="dxa"/>
            <w:vAlign w:val="bottom"/>
          </w:tcPr>
          <w:p>
            <w:pPr>
              <w:spacing w:after="0" w:line="195" w:lineRule="exact"/>
              <w:rPr>
                <w:sz w:val="20"/>
                <w:szCs w:val="20"/>
                <w:color w:val="auto"/>
              </w:rPr>
            </w:pPr>
            <w:r>
              <w:rPr>
                <w:rFonts w:ascii="Arial" w:cs="Arial" w:eastAsia="Arial" w:hAnsi="Arial"/>
                <w:sz w:val="18"/>
                <w:szCs w:val="18"/>
                <w:color w:val="auto"/>
              </w:rPr>
              <w:t>VEGF Trap —</w:t>
            </w:r>
          </w:p>
        </w:tc>
        <w:tc>
          <w:tcPr>
            <w:tcW w:w="5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160" w:type="dxa"/>
            <w:vAlign w:val="bottom"/>
          </w:tcPr>
          <w:p>
            <w:pPr>
              <w:spacing w:after="0" w:line="195" w:lineRule="exact"/>
              <w:rPr>
                <w:sz w:val="20"/>
                <w:szCs w:val="20"/>
                <w:color w:val="auto"/>
              </w:rPr>
            </w:pPr>
            <w:r>
              <w:rPr>
                <w:rFonts w:ascii="Arial" w:cs="Arial" w:eastAsia="Arial" w:hAnsi="Arial"/>
                <w:sz w:val="18"/>
                <w:szCs w:val="18"/>
                <w:color w:val="auto"/>
                <w:w w:val="96"/>
              </w:rPr>
              <w:t>The sanofi-aventis Group reaffirmed their commitment</w:t>
            </w:r>
          </w:p>
        </w:tc>
        <w:tc>
          <w:tcPr>
            <w:tcW w:w="0" w:type="dxa"/>
            <w:vAlign w:val="bottom"/>
          </w:tcPr>
          <w:p>
            <w:pPr>
              <w:spacing w:after="0"/>
              <w:rPr>
                <w:sz w:val="1"/>
                <w:szCs w:val="1"/>
                <w:color w:val="auto"/>
              </w:rPr>
            </w:pP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Oncology</w:t>
            </w:r>
          </w:p>
        </w:tc>
        <w:tc>
          <w:tcPr>
            <w:tcW w:w="500" w:type="dxa"/>
            <w:vAlign w:val="bottom"/>
          </w:tcPr>
          <w:p>
            <w:pPr>
              <w:spacing w:after="0"/>
              <w:rPr>
                <w:sz w:val="18"/>
                <w:szCs w:val="18"/>
                <w:color w:val="auto"/>
              </w:rPr>
            </w:pPr>
          </w:p>
        </w:tc>
        <w:tc>
          <w:tcPr>
            <w:tcW w:w="4300" w:type="dxa"/>
            <w:vAlign w:val="bottom"/>
            <w:gridSpan w:val="2"/>
          </w:tcPr>
          <w:p>
            <w:pPr>
              <w:ind w:left="140"/>
              <w:spacing w:after="0"/>
              <w:rPr>
                <w:sz w:val="20"/>
                <w:szCs w:val="20"/>
                <w:color w:val="auto"/>
              </w:rPr>
            </w:pPr>
            <w:r>
              <w:rPr>
                <w:rFonts w:ascii="Arial" w:cs="Arial" w:eastAsia="Arial" w:hAnsi="Arial"/>
                <w:sz w:val="18"/>
                <w:szCs w:val="18"/>
                <w:color w:val="auto"/>
                <w:w w:val="97"/>
              </w:rPr>
              <w:t>to the collaborative development of the VEGF Trap 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00" w:type="dxa"/>
            <w:vAlign w:val="bottom"/>
            <w:gridSpan w:val="2"/>
          </w:tcPr>
          <w:p>
            <w:pPr>
              <w:ind w:left="140"/>
              <w:spacing w:after="0"/>
              <w:rPr>
                <w:sz w:val="20"/>
                <w:szCs w:val="20"/>
                <w:color w:val="auto"/>
              </w:rPr>
            </w:pPr>
            <w:r>
              <w:rPr>
                <w:rFonts w:ascii="Arial" w:cs="Arial" w:eastAsia="Arial" w:hAnsi="Arial"/>
                <w:sz w:val="18"/>
                <w:szCs w:val="18"/>
                <w:color w:val="auto"/>
              </w:rPr>
              <w:t>oncology</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4300" w:type="dxa"/>
            <w:vAlign w:val="bottom"/>
            <w:gridSpan w:val="2"/>
          </w:tcPr>
          <w:p>
            <w:pPr>
              <w:ind w:left="140"/>
              <w:spacing w:after="0"/>
              <w:rPr>
                <w:sz w:val="20"/>
                <w:szCs w:val="20"/>
                <w:color w:val="auto"/>
              </w:rPr>
            </w:pPr>
            <w:r>
              <w:rPr>
                <w:rFonts w:ascii="Arial" w:cs="Arial" w:eastAsia="Arial" w:hAnsi="Arial"/>
                <w:sz w:val="18"/>
                <w:szCs w:val="18"/>
                <w:color w:val="auto"/>
                <w:w w:val="99"/>
              </w:rPr>
              <w:t>Reported positive preliminary results of phase 1 trial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00" w:type="dxa"/>
            <w:vAlign w:val="bottom"/>
            <w:gridSpan w:val="2"/>
          </w:tcPr>
          <w:p>
            <w:pPr>
              <w:ind w:left="140"/>
              <w:spacing w:after="0"/>
              <w:rPr>
                <w:sz w:val="20"/>
                <w:szCs w:val="20"/>
                <w:color w:val="auto"/>
              </w:rPr>
            </w:pPr>
            <w:r>
              <w:rPr>
                <w:rFonts w:ascii="Arial" w:cs="Arial" w:eastAsia="Arial" w:hAnsi="Arial"/>
                <w:sz w:val="18"/>
                <w:szCs w:val="18"/>
                <w:color w:val="auto"/>
              </w:rPr>
              <w:t>utilizing intravenous injections</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4300" w:type="dxa"/>
            <w:vAlign w:val="bottom"/>
            <w:gridSpan w:val="2"/>
          </w:tcPr>
          <w:p>
            <w:pPr>
              <w:ind w:left="140"/>
              <w:spacing w:after="0"/>
              <w:rPr>
                <w:sz w:val="20"/>
                <w:szCs w:val="20"/>
                <w:color w:val="auto"/>
              </w:rPr>
            </w:pPr>
            <w:r>
              <w:rPr>
                <w:rFonts w:ascii="Arial" w:cs="Arial" w:eastAsia="Arial" w:hAnsi="Arial"/>
                <w:sz w:val="18"/>
                <w:szCs w:val="18"/>
                <w:color w:val="auto"/>
              </w:rPr>
              <w:t>Initiated two phase 1 studies of the VEGF Trap 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00" w:type="dxa"/>
            <w:vAlign w:val="bottom"/>
            <w:gridSpan w:val="2"/>
          </w:tcPr>
          <w:p>
            <w:pPr>
              <w:ind w:left="140"/>
              <w:spacing w:after="0"/>
              <w:rPr>
                <w:sz w:val="20"/>
                <w:szCs w:val="20"/>
                <w:color w:val="auto"/>
              </w:rPr>
            </w:pPr>
            <w:r>
              <w:rPr>
                <w:rFonts w:ascii="Arial" w:cs="Arial" w:eastAsia="Arial" w:hAnsi="Arial"/>
                <w:sz w:val="18"/>
                <w:szCs w:val="18"/>
                <w:color w:val="auto"/>
              </w:rPr>
              <w:t>combination with standard chemotherapy regimens</w:t>
            </w:r>
          </w:p>
        </w:tc>
        <w:tc>
          <w:tcPr>
            <w:tcW w:w="0" w:type="dxa"/>
            <w:vAlign w:val="bottom"/>
          </w:tcPr>
          <w:p>
            <w:pPr>
              <w:spacing w:after="0"/>
              <w:rPr>
                <w:sz w:val="1"/>
                <w:szCs w:val="1"/>
                <w:color w:val="auto"/>
              </w:rPr>
            </w:pPr>
          </w:p>
        </w:tc>
      </w:tr>
      <w:tr>
        <w:trPr>
          <w:trHeight w:val="418"/>
        </w:trPr>
        <w:tc>
          <w:tcPr>
            <w:tcW w:w="1780" w:type="dxa"/>
            <w:vAlign w:val="bottom"/>
            <w:gridSpan w:val="2"/>
          </w:tcPr>
          <w:p>
            <w:pPr>
              <w:spacing w:after="0"/>
              <w:rPr>
                <w:sz w:val="20"/>
                <w:szCs w:val="20"/>
                <w:color w:val="auto"/>
              </w:rPr>
            </w:pPr>
            <w:r>
              <w:rPr>
                <w:rFonts w:ascii="Arial" w:cs="Arial" w:eastAsia="Arial" w:hAnsi="Arial"/>
                <w:sz w:val="18"/>
                <w:szCs w:val="18"/>
                <w:color w:val="auto"/>
              </w:rPr>
              <w:t>VEGF Trap — Eye</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4300" w:type="dxa"/>
            <w:vAlign w:val="bottom"/>
            <w:gridSpan w:val="2"/>
          </w:tcPr>
          <w:p>
            <w:pPr>
              <w:ind w:left="140"/>
              <w:spacing w:after="0"/>
              <w:rPr>
                <w:sz w:val="20"/>
                <w:szCs w:val="20"/>
                <w:color w:val="auto"/>
              </w:rPr>
            </w:pPr>
            <w:r>
              <w:rPr>
                <w:rFonts w:ascii="Arial" w:cs="Arial" w:eastAsia="Arial" w:hAnsi="Arial"/>
                <w:sz w:val="18"/>
                <w:szCs w:val="18"/>
                <w:color w:val="auto"/>
                <w:w w:val="96"/>
              </w:rPr>
              <w:t>Reported positive results from phase 1 trial in patients</w:t>
            </w:r>
          </w:p>
        </w:tc>
        <w:tc>
          <w:tcPr>
            <w:tcW w:w="0" w:type="dxa"/>
            <w:vAlign w:val="bottom"/>
          </w:tcPr>
          <w:p>
            <w:pPr>
              <w:spacing w:after="0"/>
              <w:rPr>
                <w:sz w:val="1"/>
                <w:szCs w:val="1"/>
                <w:color w:val="auto"/>
              </w:rPr>
            </w:pP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Diseases</w:t>
            </w:r>
          </w:p>
        </w:tc>
        <w:tc>
          <w:tcPr>
            <w:tcW w:w="500" w:type="dxa"/>
            <w:vAlign w:val="bottom"/>
          </w:tcPr>
          <w:p>
            <w:pPr>
              <w:spacing w:after="0"/>
              <w:rPr>
                <w:sz w:val="20"/>
                <w:szCs w:val="20"/>
                <w:color w:val="auto"/>
              </w:rPr>
            </w:pPr>
          </w:p>
        </w:tc>
        <w:tc>
          <w:tcPr>
            <w:tcW w:w="4300" w:type="dxa"/>
            <w:vAlign w:val="bottom"/>
            <w:gridSpan w:val="2"/>
          </w:tcPr>
          <w:p>
            <w:pPr>
              <w:ind w:left="140"/>
              <w:spacing w:after="0"/>
              <w:rPr>
                <w:sz w:val="20"/>
                <w:szCs w:val="20"/>
                <w:color w:val="auto"/>
              </w:rPr>
            </w:pPr>
            <w:r>
              <w:rPr>
                <w:rFonts w:ascii="Arial" w:cs="Arial" w:eastAsia="Arial" w:hAnsi="Arial"/>
                <w:sz w:val="18"/>
                <w:szCs w:val="18"/>
                <w:color w:val="auto"/>
              </w:rPr>
              <w:t>with wet AMD utilizing subcutaneous injections</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4300" w:type="dxa"/>
            <w:vAlign w:val="bottom"/>
            <w:gridSpan w:val="2"/>
          </w:tcPr>
          <w:p>
            <w:pPr>
              <w:ind w:left="140"/>
              <w:spacing w:after="0"/>
              <w:rPr>
                <w:sz w:val="20"/>
                <w:szCs w:val="20"/>
                <w:color w:val="auto"/>
              </w:rPr>
            </w:pPr>
            <w:r>
              <w:rPr>
                <w:rFonts w:ascii="Arial" w:cs="Arial" w:eastAsia="Arial" w:hAnsi="Arial"/>
                <w:sz w:val="18"/>
                <w:szCs w:val="18"/>
                <w:color w:val="auto"/>
              </w:rPr>
              <w:t>Initiated phase 1 study in patients with wet AMD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00" w:type="dxa"/>
            <w:vAlign w:val="bottom"/>
            <w:gridSpan w:val="2"/>
          </w:tcPr>
          <w:p>
            <w:pPr>
              <w:ind w:left="140"/>
              <w:spacing w:after="0"/>
              <w:rPr>
                <w:sz w:val="20"/>
                <w:szCs w:val="20"/>
                <w:color w:val="auto"/>
              </w:rPr>
            </w:pPr>
            <w:r>
              <w:rPr>
                <w:rFonts w:ascii="Arial" w:cs="Arial" w:eastAsia="Arial" w:hAnsi="Arial"/>
                <w:sz w:val="18"/>
                <w:szCs w:val="18"/>
                <w:color w:val="auto"/>
              </w:rPr>
              <w:t>utilizing local delivery by intravitreal injections</w:t>
            </w:r>
          </w:p>
        </w:tc>
        <w:tc>
          <w:tcPr>
            <w:tcW w:w="0" w:type="dxa"/>
            <w:vAlign w:val="bottom"/>
          </w:tcPr>
          <w:p>
            <w:pPr>
              <w:spacing w:after="0"/>
              <w:rPr>
                <w:sz w:val="1"/>
                <w:szCs w:val="1"/>
                <w:color w:val="auto"/>
              </w:rPr>
            </w:pPr>
          </w:p>
        </w:tc>
      </w:tr>
      <w:tr>
        <w:trPr>
          <w:trHeight w:val="418"/>
        </w:trPr>
        <w:tc>
          <w:tcPr>
            <w:tcW w:w="1780" w:type="dxa"/>
            <w:vAlign w:val="bottom"/>
            <w:gridSpan w:val="2"/>
          </w:tcPr>
          <w:p>
            <w:pPr>
              <w:spacing w:after="0"/>
              <w:rPr>
                <w:sz w:val="20"/>
                <w:szCs w:val="20"/>
                <w:color w:val="auto"/>
              </w:rPr>
            </w:pPr>
            <w:r>
              <w:rPr>
                <w:rFonts w:ascii="Arial" w:cs="Arial" w:eastAsia="Arial" w:hAnsi="Arial"/>
                <w:sz w:val="18"/>
                <w:szCs w:val="18"/>
                <w:color w:val="auto"/>
              </w:rPr>
              <w:t>IL-1 Trap</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4300" w:type="dxa"/>
            <w:vAlign w:val="bottom"/>
            <w:gridSpan w:val="2"/>
          </w:tcPr>
          <w:p>
            <w:pPr>
              <w:ind w:left="140"/>
              <w:spacing w:after="0"/>
              <w:rPr>
                <w:sz w:val="20"/>
                <w:szCs w:val="20"/>
                <w:color w:val="auto"/>
              </w:rPr>
            </w:pPr>
            <w:r>
              <w:rPr>
                <w:rFonts w:ascii="Arial" w:cs="Arial" w:eastAsia="Arial" w:hAnsi="Arial"/>
                <w:sz w:val="18"/>
                <w:szCs w:val="18"/>
                <w:color w:val="auto"/>
                <w:w w:val="93"/>
              </w:rPr>
              <w:t>Completed safety and tolerability studies of IL-1 Trap at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00" w:type="dxa"/>
            <w:vAlign w:val="bottom"/>
            <w:gridSpan w:val="2"/>
          </w:tcPr>
          <w:p>
            <w:pPr>
              <w:ind w:left="140"/>
              <w:spacing w:after="0"/>
              <w:rPr>
                <w:sz w:val="20"/>
                <w:szCs w:val="20"/>
                <w:color w:val="auto"/>
              </w:rPr>
            </w:pPr>
            <w:r>
              <w:rPr>
                <w:rFonts w:ascii="Arial" w:cs="Arial" w:eastAsia="Arial" w:hAnsi="Arial"/>
                <w:sz w:val="18"/>
                <w:szCs w:val="18"/>
                <w:color w:val="auto"/>
              </w:rPr>
              <w:t>higher doses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4300" w:type="dxa"/>
            <w:vAlign w:val="bottom"/>
            <w:gridSpan w:val="2"/>
          </w:tcPr>
          <w:p>
            <w:pPr>
              <w:ind w:left="140"/>
              <w:spacing w:after="0"/>
              <w:rPr>
                <w:sz w:val="20"/>
                <w:szCs w:val="20"/>
                <w:color w:val="auto"/>
              </w:rPr>
            </w:pPr>
            <w:r>
              <w:rPr>
                <w:rFonts w:ascii="Arial" w:cs="Arial" w:eastAsia="Arial" w:hAnsi="Arial"/>
                <w:sz w:val="18"/>
                <w:szCs w:val="18"/>
                <w:color w:val="auto"/>
              </w:rPr>
              <w:t>Initiated clinical trial in osteoarthritis</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4300" w:type="dxa"/>
            <w:vAlign w:val="bottom"/>
            <w:gridSpan w:val="2"/>
          </w:tcPr>
          <w:p>
            <w:pPr>
              <w:ind w:left="140"/>
              <w:spacing w:after="0"/>
              <w:rPr>
                <w:sz w:val="20"/>
                <w:szCs w:val="20"/>
                <w:color w:val="auto"/>
              </w:rPr>
            </w:pPr>
            <w:r>
              <w:rPr>
                <w:rFonts w:ascii="Arial" w:cs="Arial" w:eastAsia="Arial" w:hAnsi="Arial"/>
                <w:sz w:val="18"/>
                <w:szCs w:val="18"/>
                <w:color w:val="auto"/>
                <w:w w:val="93"/>
              </w:rPr>
              <w:t>Successfully completed initial treatment phase of proof-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00" w:type="dxa"/>
            <w:vAlign w:val="bottom"/>
            <w:gridSpan w:val="2"/>
          </w:tcPr>
          <w:p>
            <w:pPr>
              <w:ind w:left="140"/>
              <w:spacing w:after="0"/>
              <w:rPr>
                <w:sz w:val="20"/>
                <w:szCs w:val="20"/>
                <w:color w:val="auto"/>
              </w:rPr>
            </w:pPr>
            <w:r>
              <w:rPr>
                <w:rFonts w:ascii="Arial" w:cs="Arial" w:eastAsia="Arial" w:hAnsi="Arial"/>
                <w:sz w:val="18"/>
                <w:szCs w:val="18"/>
                <w:color w:val="auto"/>
              </w:rPr>
              <w:t>of-concept study in CAPS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4300" w:type="dxa"/>
            <w:vAlign w:val="bottom"/>
            <w:gridSpan w:val="2"/>
          </w:tcPr>
          <w:p>
            <w:pPr>
              <w:ind w:left="140"/>
              <w:spacing w:after="0"/>
              <w:rPr>
                <w:sz w:val="20"/>
                <w:szCs w:val="20"/>
                <w:color w:val="auto"/>
              </w:rPr>
            </w:pPr>
            <w:r>
              <w:rPr>
                <w:rFonts w:ascii="Arial" w:cs="Arial" w:eastAsia="Arial" w:hAnsi="Arial"/>
                <w:sz w:val="18"/>
                <w:szCs w:val="18"/>
                <w:color w:val="auto"/>
              </w:rPr>
              <w:t>Initiated phase 2b study in rheumatoid arthritis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776"/>
        <w:spacing w:after="0"/>
        <w:rPr>
          <w:sz w:val="20"/>
          <w:szCs w:val="20"/>
          <w:color w:val="auto"/>
        </w:rPr>
      </w:pPr>
      <w:r>
        <w:rPr>
          <w:rFonts w:ascii="Arial" w:cs="Arial" w:eastAsia="Arial" w:hAnsi="Arial"/>
          <w:sz w:val="14"/>
          <w:szCs w:val="14"/>
          <w:b w:val="1"/>
          <w:bCs w:val="1"/>
          <w:color w:val="auto"/>
        </w:rPr>
        <w:t>Additional 2005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6350</wp:posOffset>
            </wp:positionV>
            <wp:extent cx="2667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 w:lineRule="exact"/>
        <w:rPr>
          <w:sz w:val="20"/>
          <w:szCs w:val="20"/>
          <w:color w:val="auto"/>
        </w:rPr>
      </w:pPr>
    </w:p>
    <w:p>
      <w:pPr>
        <w:ind w:left="356" w:right="140" w:hanging="356"/>
        <w:spacing w:after="0" w:line="259" w:lineRule="auto"/>
        <w:tabs>
          <w:tab w:leader="none" w:pos="356"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Initiate additional single-agent and combination trials in cancer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56" w:right="480" w:hanging="356"/>
        <w:spacing w:after="0" w:line="277" w:lineRule="auto"/>
        <w:tabs>
          <w:tab w:leader="none" w:pos="3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phase 2 clinical trial in eye disease utilizing intravitreal injections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356" w:right="520" w:hanging="356"/>
        <w:spacing w:after="0" w:line="277" w:lineRule="auto"/>
        <w:tabs>
          <w:tab w:leader="none" w:pos="3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exploratory proof-of-concept trials in other indications</w:t>
      </w:r>
    </w:p>
    <w:p>
      <w:pPr>
        <w:spacing w:after="0" w:line="170" w:lineRule="exact"/>
        <w:rPr>
          <w:rFonts w:ascii="Arial" w:cs="Arial" w:eastAsia="Arial" w:hAnsi="Arial"/>
          <w:sz w:val="18"/>
          <w:szCs w:val="18"/>
          <w:color w:val="auto"/>
        </w:rPr>
      </w:pPr>
    </w:p>
    <w:p>
      <w:pPr>
        <w:ind w:left="356" w:right="160" w:hanging="356"/>
        <w:spacing w:after="0" w:line="277" w:lineRule="auto"/>
        <w:tabs>
          <w:tab w:leader="none" w:pos="3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Complete CAPS proof-of-concept study and commence additional trial in this indication</w:t>
      </w:r>
    </w:p>
    <w:p>
      <w:pPr>
        <w:spacing w:after="0" w:line="170" w:lineRule="exact"/>
        <w:rPr>
          <w:rFonts w:ascii="Arial" w:cs="Arial" w:eastAsia="Arial" w:hAnsi="Arial"/>
          <w:sz w:val="18"/>
          <w:szCs w:val="18"/>
          <w:color w:val="auto"/>
        </w:rPr>
      </w:pPr>
    </w:p>
    <w:p>
      <w:pPr>
        <w:ind w:left="356" w:hanging="356"/>
        <w:spacing w:after="0"/>
        <w:tabs>
          <w:tab w:leader="none" w:pos="356" w:val="left"/>
        </w:tabs>
        <w:numPr>
          <w:ilvl w:val="0"/>
          <w:numId w:val="10"/>
        </w:numPr>
        <w:rPr>
          <w:rFonts w:ascii="Arial" w:cs="Arial" w:eastAsia="Arial" w:hAnsi="Arial"/>
          <w:sz w:val="17"/>
          <w:szCs w:val="17"/>
          <w:color w:val="auto"/>
        </w:rPr>
      </w:pPr>
      <w:r>
        <w:rPr>
          <w:rFonts w:ascii="Arial" w:cs="Arial" w:eastAsia="Arial" w:hAnsi="Arial"/>
          <w:sz w:val="17"/>
          <w:szCs w:val="17"/>
          <w:color w:val="auto"/>
        </w:rPr>
        <w:t>Evaluate IL-1 Trap in other inflammatory conditions</w:t>
      </w:r>
    </w:p>
    <w:p>
      <w:pPr>
        <w:spacing w:after="0" w:line="881" w:lineRule="exact"/>
        <w:rPr>
          <w:sz w:val="20"/>
          <w:szCs w:val="20"/>
          <w:color w:val="auto"/>
        </w:rPr>
      </w:pPr>
    </w:p>
    <w:p>
      <w:pPr>
        <w:sectPr>
          <w:pgSz w:w="11900" w:h="16838" w:orient="portrait"/>
          <w:cols w:equalWidth="0" w:num="2">
            <w:col w:w="6580" w:space="284"/>
            <w:col w:w="4536"/>
          </w:cols>
          <w:pgMar w:left="240" w:top="419" w:right="2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Accounting for Stock-based Employee Compensation</w:t>
      </w:r>
    </w:p>
    <w:p>
      <w:pPr>
        <w:spacing w:after="0" w:line="12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Effective January 1, 2005, we adopted the fair value based method of accounting for stock-based employee compensation under the provisions of Statement of Financial Accounting Standards No. (SFAS)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using the modified prospective method as described in SFAS 148, </w:t>
      </w:r>
      <w:r>
        <w:rPr>
          <w:rFonts w:ascii="Arial" w:cs="Arial" w:eastAsia="Arial" w:hAnsi="Arial"/>
          <w:sz w:val="18"/>
          <w:szCs w:val="18"/>
          <w:i w:val="1"/>
          <w:iCs w:val="1"/>
          <w:color w:val="auto"/>
        </w:rPr>
        <w:t>Accounting for Stock-Based Compensation- Transition and Disclosure</w:t>
      </w:r>
      <w:r>
        <w:rPr>
          <w:rFonts w:ascii="Arial" w:cs="Arial" w:eastAsia="Arial" w:hAnsi="Arial"/>
          <w:sz w:val="18"/>
          <w:szCs w:val="18"/>
          <w:color w:val="auto"/>
        </w:rPr>
        <w:t>. As a result, we have begun recognizing expense, in an amount equal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to the fair value of share-based payments (including stock option awards) on their date of grant, over the vesting period of the awards. Under the modified prospective method, we recognize compensation expense for (a) all share based payments granted on or after January 1, 2005, (including replacement options granted under our stock option exchange program which concluded on January 5, 2005) and (b) all awards granted to employees prior to January 1, 2005 that were unvested on that date. Prior to the adoption of the fair value method, we accounted for stock-based compensation to employees under the intrinsic value method of accounting set forth in Accounting Principles Board Opinion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xml:space="preserve"> (APB 25), and related interpretations. Therefore, compensation expense related to employee stock options was not reflected in operating expenses in any period prior to the first quarter of 2005 and prior period operating results have not been restated. For the three months ended June 30, 2005, non-cash stock-based employee compensation expense related to stock options awards (“Stock Option Expense”) totaled $5.4 million, of which $5.3 million was recognized in operating expenses and $0.1 million was capitalized in inventory. For the six months ended June 30, 2005, Stock Option Expense totaled $10.9 million, of which $10.7 million was recognized in operating expenses and $0.2 million was capitalized in inventory.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right="80" w:firstLine="222"/>
        <w:spacing w:after="0" w:line="253" w:lineRule="auto"/>
        <w:rPr>
          <w:sz w:val="20"/>
          <w:szCs w:val="20"/>
          <w:color w:val="auto"/>
        </w:rPr>
      </w:pPr>
      <w:r>
        <w:rPr>
          <w:rFonts w:ascii="Arial" w:cs="Arial" w:eastAsia="Arial" w:hAnsi="Arial"/>
          <w:sz w:val="18"/>
          <w:szCs w:val="18"/>
          <w:color w:val="auto"/>
        </w:rPr>
        <w:t>We use the Black-Scholes model to estimate the fair value of each option granted under the Regeneron Pharmaceuticals, Inc. 2000 Long-Term Incentive Plan. Using this model, fair value is calculated based on assumptions with respect to (i) expected volatility of our Common Stock price, (ii) the periods of time over which employees and Board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has been estimated based on actual movements in our stock price over the most recent historical periods equivalent to the options’ expected lives. Expected lives are principally based on our limited historical exercise experience with option grants with similar exercise prices. The expected dividend yield is zero as we have never paid dividends and do not currently anticipate paying any in the foreseeable future. The following table summarizes the weighted average values of the assumptions we used in computing the fair value of option grants during the three and six months ended June 30, 2005: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5140" w:type="dxa"/>
            <w:vAlign w:val="bottom"/>
            <w:gridSpan w:val="3"/>
          </w:tcPr>
          <w:p>
            <w:pPr>
              <w:ind w:left="3440"/>
              <w:spacing w:after="0"/>
              <w:rPr>
                <w:sz w:val="20"/>
                <w:szCs w:val="20"/>
                <w:color w:val="auto"/>
              </w:rPr>
            </w:pPr>
            <w:r>
              <w:rPr>
                <w:rFonts w:ascii="Arial" w:cs="Arial" w:eastAsia="Arial" w:hAnsi="Arial"/>
                <w:sz w:val="14"/>
                <w:szCs w:val="14"/>
                <w:color w:val="auto"/>
              </w:rPr>
              <w:t>Three months ended</w:t>
            </w:r>
          </w:p>
        </w:tc>
        <w:tc>
          <w:tcPr>
            <w:tcW w:w="1060" w:type="dxa"/>
            <w:vAlign w:val="bottom"/>
          </w:tcPr>
          <w:p>
            <w:pPr>
              <w:jc w:val="right"/>
              <w:spacing w:after="0"/>
              <w:rPr>
                <w:sz w:val="20"/>
                <w:szCs w:val="20"/>
                <w:color w:val="auto"/>
              </w:rPr>
            </w:pPr>
            <w:r>
              <w:rPr>
                <w:rFonts w:ascii="Arial" w:cs="Arial" w:eastAsia="Arial" w:hAnsi="Arial"/>
                <w:sz w:val="14"/>
                <w:szCs w:val="14"/>
                <w:color w:val="auto"/>
                <w:w w:val="90"/>
              </w:rPr>
              <w:t>Six months ended</w:t>
            </w:r>
          </w:p>
        </w:tc>
      </w:tr>
      <w:tr>
        <w:trPr>
          <w:trHeight w:val="167"/>
        </w:trPr>
        <w:tc>
          <w:tcPr>
            <w:tcW w:w="5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rPr>
              <w:t>June 30, 2005</w:t>
            </w:r>
          </w:p>
        </w:tc>
        <w:tc>
          <w:tcPr>
            <w:tcW w:w="540" w:type="dxa"/>
            <w:vAlign w:val="bottom"/>
          </w:tcPr>
          <w:p>
            <w:pPr>
              <w:spacing w:after="0"/>
              <w:rPr>
                <w:sz w:val="14"/>
                <w:szCs w:val="14"/>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June 30, 2005</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Expected lives</w:t>
            </w:r>
          </w:p>
        </w:tc>
        <w:tc>
          <w:tcPr>
            <w:tcW w:w="3440" w:type="dxa"/>
            <w:vAlign w:val="bottom"/>
          </w:tcPr>
          <w:p>
            <w:pPr>
              <w:spacing w:after="0"/>
              <w:rPr>
                <w:sz w:val="18"/>
                <w:szCs w:val="18"/>
                <w:color w:val="auto"/>
              </w:rPr>
            </w:pPr>
          </w:p>
        </w:tc>
        <w:tc>
          <w:tcPr>
            <w:tcW w:w="1700" w:type="dxa"/>
            <w:vAlign w:val="bottom"/>
            <w:gridSpan w:val="2"/>
          </w:tcPr>
          <w:p>
            <w:pPr>
              <w:ind w:left="520"/>
              <w:spacing w:after="0"/>
              <w:rPr>
                <w:sz w:val="20"/>
                <w:szCs w:val="20"/>
                <w:color w:val="auto"/>
              </w:rPr>
            </w:pPr>
            <w:r>
              <w:rPr>
                <w:rFonts w:ascii="Arial" w:cs="Arial" w:eastAsia="Arial" w:hAnsi="Arial"/>
                <w:sz w:val="18"/>
                <w:szCs w:val="18"/>
                <w:color w:val="auto"/>
              </w:rPr>
              <w:t>5.0 years</w:t>
            </w:r>
          </w:p>
        </w:tc>
        <w:tc>
          <w:tcPr>
            <w:tcW w:w="1060" w:type="dxa"/>
            <w:vAlign w:val="bottom"/>
          </w:tcPr>
          <w:p>
            <w:pPr>
              <w:jc w:val="right"/>
              <w:spacing w:after="0"/>
              <w:rPr>
                <w:sz w:val="20"/>
                <w:szCs w:val="20"/>
                <w:color w:val="auto"/>
              </w:rPr>
            </w:pPr>
            <w:r>
              <w:rPr>
                <w:rFonts w:ascii="Arial" w:cs="Arial" w:eastAsia="Arial" w:hAnsi="Arial"/>
                <w:sz w:val="18"/>
                <w:szCs w:val="18"/>
                <w:color w:val="auto"/>
              </w:rPr>
              <w:t>6.2 years</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60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3.96%</w:t>
            </w:r>
          </w:p>
        </w:tc>
      </w:tr>
    </w:tbl>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any of these estimates may materially affect the fair value of stock options granted and the amount of stock-based compensation recognized in any period.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jc w:val="both"/>
        <w:ind w:right="20" w:firstLine="215"/>
        <w:spacing w:after="0" w:line="264" w:lineRule="auto"/>
        <w:rPr>
          <w:sz w:val="20"/>
          <w:szCs w:val="20"/>
          <w:color w:val="auto"/>
        </w:rPr>
      </w:pPr>
      <w:r>
        <w:rPr>
          <w:rFonts w:ascii="Arial" w:cs="Arial" w:eastAsia="Arial" w:hAnsi="Arial"/>
          <w:sz w:val="18"/>
          <w:szCs w:val="18"/>
          <w:color w:val="auto"/>
        </w:rPr>
        <w:t>As described above, effective January 1, 2005, Regeneron began recognizing Stock Option Expense in accordance with SFAS 123 in each of the categories of expense in our Statement of Operations. Prior to the adoption of SFAS 123, Stock Option Expense was not reflected in operating expenses and prior period operating results have not been restated.</w:t>
      </w:r>
    </w:p>
    <w:p>
      <w:pPr>
        <w:spacing w:after="0" w:line="73" w:lineRule="exact"/>
        <w:rPr>
          <w:sz w:val="20"/>
          <w:szCs w:val="20"/>
          <w:color w:val="auto"/>
        </w:rPr>
      </w:pPr>
    </w:p>
    <w:p>
      <w:pPr>
        <w:ind w:right="100" w:firstLine="222"/>
        <w:spacing w:after="0" w:line="293" w:lineRule="auto"/>
        <w:rPr>
          <w:sz w:val="20"/>
          <w:szCs w:val="20"/>
          <w:color w:val="auto"/>
        </w:rPr>
      </w:pPr>
      <w:r>
        <w:rPr>
          <w:rFonts w:ascii="Arial" w:cs="Arial" w:eastAsia="Arial" w:hAnsi="Arial"/>
          <w:sz w:val="16"/>
          <w:szCs w:val="16"/>
          <w:color w:val="auto"/>
        </w:rPr>
        <w:t>The discussion of our results of operations for the three and six months ended June 30, 2005 and 2004 includes certain financial measures that are calculated in a manner different from generally accepted accounting principles (GAAP) and are considered non-GAAP financial measures under United States Securities and Exchange Commission (SEC) rules. These non-GAAP financial measures for the three and six months ended June 30, 2005 are: (1) pro forma net income and pro forma net income per share (basic and diluted), exclusive of Stock Option Expense and (2) research and development expenses, general and administrative expenses, and contract manufacturing expenses, all exclusive of Stock Option Expense. Our management does not intend that the presentation of non-GAAP financial measures be considered in isolation or as a substitute for results prepared in accordance with GAAP.</w:t>
      </w:r>
    </w:p>
    <w:p>
      <w:pPr>
        <w:spacing w:after="0" w:line="57"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Our management believes that the non-GAAP financial measures described above present helpful information to investors and other users of Regeneron’s financial statements by providing greater transparency about the nature of and trends in our operating expenses and net income and a more useful basis for comparing our operating results for the three and six months ended June 30, 2005 and 2004. In addition, Regeneron’s management uses non-GAAP financial measures which exclude Stock Option Expense internally for operating, budgeting, and financial planning purposes. In our discussion below we have included tables which provide a reconciliation of the differences between these non-GAAP financial measures and the most directly comparable financial measures calculated and presented in accordance with GAAP.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2005 and 2004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Regeneron reported a net loss of $27.0 million, or $0.48 per share (basic and diluted) for the second quarter of 2005 compared with net loss of</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$14.5 million, or $0.26 per share (basic and diluted) for the second quarter of 2004. Excluding Stock Option Expense, Regeneron had a pro forma net loss of $ 21.7 million, or $0.38 per share (basic and diluted), in the second quarter of 2005 as follows: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June 30, 2005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4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rPr>
              <w:t>Net Loss</w:t>
            </w:r>
          </w:p>
        </w:tc>
        <w:tc>
          <w:tcPr>
            <w:tcW w:w="56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w w:val="89"/>
              </w:rPr>
              <w:t>Net Loss per Share</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40" w:type="dxa"/>
            <w:vAlign w:val="bottom"/>
            <w:tcBorders>
              <w:bottom w:val="single" w:sz="8" w:color="auto"/>
            </w:tcBorders>
            <w:gridSpan w:val="4"/>
            <w:vMerge w:val="continue"/>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Basic and Diluted</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4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9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Add: Stock Option Expense</w:t>
            </w:r>
          </w:p>
        </w:tc>
        <w:tc>
          <w:tcPr>
            <w:tcW w:w="3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5"/>
              </w:rPr>
              <w:t>0.10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net loss, exclusive of Stock Option Expense</w:t>
            </w:r>
          </w:p>
        </w:tc>
        <w:tc>
          <w:tcPr>
            <w:tcW w:w="4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9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880" w:type="dxa"/>
            <w:vAlign w:val="bottom"/>
            <w:vMerge w:val="restart"/>
          </w:tcPr>
          <w:p>
            <w:pPr>
              <w:jc w:val="right"/>
              <w:ind w:right="297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8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98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Revenues for the three months ended June 30, 2005 and 2004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i w:val="1"/>
                <w:iCs w:val="1"/>
                <w:color w:val="auto"/>
                <w:w w:val="94"/>
              </w:rPr>
              <w:t>(In millions)</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&amp; development revenue</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The sanofi-aventis Group</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The Procter &amp; Gamble Company</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23"/>
        </w:trPr>
        <w:tc>
          <w:tcPr>
            <w:tcW w:w="9280" w:type="dxa"/>
            <w:vAlign w:val="bottom"/>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contract research &amp; development revenue</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Contract manufacturing revenue</w:t>
            </w:r>
          </w:p>
        </w:tc>
        <w:tc>
          <w:tcPr>
            <w:tcW w:w="1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revenue</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r>
      <w:tr>
        <w:trPr>
          <w:trHeight w:val="20"/>
        </w:trPr>
        <w:tc>
          <w:tcPr>
            <w:tcW w:w="9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 xml:space="preserve">Our total revenue decreased to $16.4 million in the second quarter of 2005 from $28.4 million in the same period of 2004 due primarily to lower revenues related to our collaboration with the sanofi-aventis Group on the VEGF Trap. Contract research and development revenue, as detailed below, consists partly of reimbursement for research and development expenses and partly of the recognition of revenue related to a non-refundable, up-front payment received from the sanofi-aventis Group in September 2003. Non-refundable, up-front payments are recorded as deferred revenue and recognized ratably over the period over which we are obligated to perform services in accordance with Staff Accounting Bulletin No. 104,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(SAB 104).</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Contract research &amp; development revenues earned from the sanofi-aventis Group for the three months ended June 30, 2005 and 2004 were as follows: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June 30, 2005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2280" w:type="dxa"/>
            <w:vAlign w:val="bottom"/>
            <w:gridSpan w:val="4"/>
            <w:vMerge w:val="restart"/>
          </w:tcPr>
          <w:p>
            <w:pPr>
              <w:jc w:val="center"/>
              <w:ind w:left="208"/>
              <w:spacing w:after="0"/>
              <w:rPr>
                <w:sz w:val="20"/>
                <w:szCs w:val="20"/>
                <w:color w:val="auto"/>
              </w:rPr>
            </w:pPr>
            <w:r>
              <w:rPr>
                <w:rFonts w:ascii="Arial" w:cs="Arial" w:eastAsia="Arial" w:hAnsi="Arial"/>
                <w:sz w:val="14"/>
                <w:szCs w:val="14"/>
                <w:b w:val="1"/>
                <w:bCs w:val="1"/>
                <w:color w:val="auto"/>
                <w:w w:val="92"/>
              </w:rPr>
              <w:t>2005 Regeneron</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right="22"/>
              <w:spacing w:after="0"/>
              <w:rPr>
                <w:sz w:val="20"/>
                <w:szCs w:val="20"/>
                <w:color w:val="auto"/>
              </w:rPr>
            </w:pPr>
            <w:r>
              <w:rPr>
                <w:rFonts w:ascii="Arial" w:cs="Arial" w:eastAsia="Arial" w:hAnsi="Arial"/>
                <w:sz w:val="14"/>
                <w:szCs w:val="14"/>
                <w:b w:val="1"/>
                <w:bCs w:val="1"/>
                <w:color w:val="auto"/>
                <w:w w:val="93"/>
              </w:rPr>
              <w:t>Up-front Payment to Regeneron</w:t>
            </w:r>
          </w:p>
        </w:tc>
        <w:tc>
          <w:tcPr>
            <w:tcW w:w="6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1"/>
              </w:rPr>
              <w:t>Total Revenue</w:t>
            </w:r>
          </w:p>
        </w:tc>
        <w:tc>
          <w:tcPr>
            <w:tcW w:w="0" w:type="dxa"/>
            <w:vAlign w:val="bottom"/>
          </w:tcPr>
          <w:p>
            <w:pPr>
              <w:spacing w:after="0"/>
              <w:rPr>
                <w:sz w:val="1"/>
                <w:szCs w:val="1"/>
                <w:color w:val="auto"/>
              </w:rPr>
            </w:pPr>
          </w:p>
        </w:tc>
      </w:tr>
      <w:tr>
        <w:trPr>
          <w:trHeight w:val="119"/>
        </w:trPr>
        <w:tc>
          <w:tcPr>
            <w:tcW w:w="4000" w:type="dxa"/>
            <w:vAlign w:val="bottom"/>
          </w:tcPr>
          <w:p>
            <w:pPr>
              <w:spacing w:after="0"/>
              <w:rPr>
                <w:sz w:val="10"/>
                <w:szCs w:val="10"/>
                <w:color w:val="auto"/>
              </w:rPr>
            </w:pPr>
          </w:p>
        </w:tc>
        <w:tc>
          <w:tcPr>
            <w:tcW w:w="228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44"/>
              <w:spacing w:after="0" w:line="119" w:lineRule="exact"/>
              <w:rPr>
                <w:sz w:val="20"/>
                <w:szCs w:val="20"/>
                <w:color w:val="auto"/>
              </w:rPr>
            </w:pPr>
            <w:r>
              <w:rPr>
                <w:rFonts w:ascii="Arial" w:cs="Arial" w:eastAsia="Arial" w:hAnsi="Arial"/>
                <w:sz w:val="13"/>
                <w:szCs w:val="13"/>
                <w:b w:val="1"/>
                <w:bCs w:val="1"/>
                <w:color w:val="auto"/>
              </w:rPr>
              <w:t>Amount</w:t>
            </w:r>
          </w:p>
        </w:tc>
        <w:tc>
          <w:tcPr>
            <w:tcW w:w="540" w:type="dxa"/>
            <w:vAlign w:val="bottom"/>
          </w:tcPr>
          <w:p>
            <w:pPr>
              <w:spacing w:after="0"/>
              <w:rPr>
                <w:sz w:val="10"/>
                <w:szCs w:val="10"/>
                <w:color w:val="auto"/>
              </w:rPr>
            </w:pPr>
          </w:p>
        </w:tc>
        <w:tc>
          <w:tcPr>
            <w:tcW w:w="1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Deferred Revenue</w:t>
            </w:r>
          </w:p>
        </w:tc>
        <w:tc>
          <w:tcPr>
            <w:tcW w:w="9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Expense</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Recognized</w:t>
            </w:r>
          </w:p>
        </w:tc>
        <w:tc>
          <w:tcPr>
            <w:tcW w:w="54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Recognized</w:t>
            </w:r>
          </w:p>
        </w:tc>
        <w:tc>
          <w:tcPr>
            <w:tcW w:w="0" w:type="dxa"/>
            <w:vAlign w:val="bottom"/>
          </w:tcPr>
          <w:p>
            <w:pPr>
              <w:spacing w:after="0"/>
              <w:rPr>
                <w:sz w:val="1"/>
                <w:szCs w:val="1"/>
                <w:color w:val="auto"/>
              </w:rPr>
            </w:pPr>
          </w:p>
        </w:tc>
      </w:tr>
      <w:tr>
        <w:trPr>
          <w:trHeight w:val="171"/>
        </w:trPr>
        <w:tc>
          <w:tcPr>
            <w:tcW w:w="4000" w:type="dxa"/>
            <w:vAlign w:val="bottom"/>
            <w:vMerge w:val="restart"/>
          </w:tcPr>
          <w:p>
            <w:pPr>
              <w:spacing w:after="0"/>
              <w:rPr>
                <w:sz w:val="20"/>
                <w:szCs w:val="20"/>
                <w:color w:val="auto"/>
              </w:rPr>
            </w:pPr>
            <w:r>
              <w:rPr>
                <w:rFonts w:ascii="Arial" w:cs="Arial" w:eastAsia="Arial" w:hAnsi="Arial"/>
                <w:sz w:val="18"/>
                <w:szCs w:val="18"/>
                <w:color w:val="auto"/>
              </w:rPr>
              <w:t>The sanofi-aventis Group</w:t>
            </w:r>
          </w:p>
        </w:tc>
        <w:tc>
          <w:tcPr>
            <w:tcW w:w="228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4"/>
              </w:rPr>
              <w:t>Reimbursement</w:t>
            </w:r>
          </w:p>
        </w:tc>
        <w:tc>
          <w:tcPr>
            <w:tcW w:w="120" w:type="dxa"/>
            <w:vAlign w:val="bottom"/>
          </w:tcPr>
          <w:p>
            <w:pPr>
              <w:spacing w:after="0"/>
              <w:rPr>
                <w:sz w:val="14"/>
                <w:szCs w:val="14"/>
                <w:color w:val="auto"/>
              </w:rPr>
            </w:pPr>
          </w:p>
        </w:tc>
        <w:tc>
          <w:tcPr>
            <w:tcW w:w="660" w:type="dxa"/>
            <w:vAlign w:val="bottom"/>
          </w:tcPr>
          <w:p>
            <w:pPr>
              <w:jc w:val="right"/>
              <w:ind w:right="42"/>
              <w:spacing w:after="0"/>
              <w:rPr>
                <w:sz w:val="20"/>
                <w:szCs w:val="20"/>
                <w:color w:val="auto"/>
              </w:rPr>
            </w:pPr>
            <w:r>
              <w:rPr>
                <w:rFonts w:ascii="Arial" w:cs="Arial" w:eastAsia="Arial" w:hAnsi="Arial"/>
                <w:sz w:val="14"/>
                <w:szCs w:val="14"/>
                <w:b w:val="1"/>
                <w:bCs w:val="1"/>
                <w:color w:val="auto"/>
                <w:w w:val="89"/>
              </w:rPr>
              <w:t>Payment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24"/>
              <w:spacing w:after="0"/>
              <w:rPr>
                <w:sz w:val="20"/>
                <w:szCs w:val="20"/>
                <w:color w:val="auto"/>
              </w:rPr>
            </w:pPr>
            <w:r>
              <w:rPr>
                <w:rFonts w:ascii="Arial" w:cs="Arial" w:eastAsia="Arial" w:hAnsi="Arial"/>
                <w:sz w:val="14"/>
                <w:szCs w:val="14"/>
                <w:b w:val="1"/>
                <w:bCs w:val="1"/>
                <w:color w:val="auto"/>
                <w:w w:val="92"/>
              </w:rPr>
              <w:t>in 2005</w:t>
            </w:r>
          </w:p>
        </w:tc>
        <w:tc>
          <w:tcPr>
            <w:tcW w:w="540" w:type="dxa"/>
            <w:vAlign w:val="bottom"/>
          </w:tcPr>
          <w:p>
            <w:pPr>
              <w:spacing w:after="0"/>
              <w:rPr>
                <w:sz w:val="14"/>
                <w:szCs w:val="14"/>
                <w:color w:val="auto"/>
              </w:rPr>
            </w:pPr>
          </w:p>
        </w:tc>
        <w:tc>
          <w:tcPr>
            <w:tcW w:w="1640" w:type="dxa"/>
            <w:vAlign w:val="bottom"/>
            <w:gridSpan w:val="3"/>
          </w:tcPr>
          <w:p>
            <w:pPr>
              <w:ind w:left="60"/>
              <w:spacing w:after="0"/>
              <w:rPr>
                <w:sz w:val="20"/>
                <w:szCs w:val="20"/>
                <w:color w:val="auto"/>
              </w:rPr>
            </w:pPr>
            <w:r>
              <w:rPr>
                <w:rFonts w:ascii="Arial" w:cs="Arial" w:eastAsia="Arial" w:hAnsi="Arial"/>
                <w:sz w:val="14"/>
                <w:szCs w:val="14"/>
                <w:b w:val="1"/>
                <w:bCs w:val="1"/>
                <w:color w:val="auto"/>
              </w:rPr>
              <w:t>at June 30, 2005</w:t>
            </w:r>
          </w:p>
        </w:tc>
        <w:tc>
          <w:tcPr>
            <w:tcW w:w="1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 2005</w:t>
            </w:r>
          </w:p>
        </w:tc>
        <w:tc>
          <w:tcPr>
            <w:tcW w:w="0" w:type="dxa"/>
            <w:vAlign w:val="bottom"/>
          </w:tcPr>
          <w:p>
            <w:pPr>
              <w:spacing w:after="0"/>
              <w:rPr>
                <w:sz w:val="1"/>
                <w:szCs w:val="1"/>
                <w:color w:val="auto"/>
              </w:rPr>
            </w:pPr>
          </w:p>
        </w:tc>
      </w:tr>
      <w:tr>
        <w:trPr>
          <w:trHeight w:val="224"/>
        </w:trPr>
        <w:tc>
          <w:tcPr>
            <w:tcW w:w="400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rPr>
              <w:t>7.1</w:t>
            </w:r>
          </w:p>
        </w:tc>
        <w:tc>
          <w:tcPr>
            <w:tcW w:w="5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80.0</w:t>
            </w:r>
          </w:p>
        </w:tc>
        <w:tc>
          <w:tcPr>
            <w:tcW w:w="5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center"/>
              <w:ind w:left="164"/>
              <w:spacing w:after="0"/>
              <w:rPr>
                <w:sz w:val="20"/>
                <w:szCs w:val="20"/>
                <w:color w:val="auto"/>
              </w:rPr>
            </w:pPr>
            <w:r>
              <w:rPr>
                <w:rFonts w:ascii="Arial" w:cs="Arial" w:eastAsia="Arial" w:hAnsi="Arial"/>
                <w:sz w:val="18"/>
                <w:szCs w:val="18"/>
                <w:color w:val="auto"/>
                <w:w w:val="87"/>
              </w:rPr>
              <w:t>2.3</w:t>
            </w:r>
          </w:p>
        </w:tc>
        <w:tc>
          <w:tcPr>
            <w:tcW w:w="540" w:type="dxa"/>
            <w:vAlign w:val="bottom"/>
          </w:tcPr>
          <w:p>
            <w:pPr>
              <w:spacing w:after="0"/>
              <w:rPr>
                <w:sz w:val="19"/>
                <w:szCs w:val="19"/>
                <w:color w:val="auto"/>
              </w:rPr>
            </w:pPr>
          </w:p>
        </w:tc>
        <w:tc>
          <w:tcPr>
            <w:tcW w:w="4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61.1</w:t>
            </w:r>
          </w:p>
        </w:tc>
        <w:tc>
          <w:tcPr>
            <w:tcW w:w="5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4000" w:type="dxa"/>
            <w:vAlign w:val="bottom"/>
          </w:tcPr>
          <w:p>
            <w:pPr>
              <w:spacing w:after="0"/>
              <w:rPr>
                <w:sz w:val="20"/>
                <w:szCs w:val="20"/>
                <w:color w:val="auto"/>
              </w:rPr>
            </w:pPr>
            <w:r>
              <w:rPr>
                <w:rFonts w:ascii="Arial" w:cs="Arial" w:eastAsia="Arial" w:hAnsi="Arial"/>
                <w:sz w:val="18"/>
                <w:szCs w:val="18"/>
                <w:b w:val="1"/>
                <w:bCs w:val="1"/>
                <w:color w:val="auto"/>
              </w:rPr>
              <w:t>For the three months ended June 30, 2004</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b w:val="1"/>
                <w:bCs w:val="1"/>
                <w:i w:val="1"/>
                <w:iCs w:val="1"/>
                <w:color w:val="auto"/>
              </w:rPr>
              <w:t>(in millions)</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000" w:type="dxa"/>
            <w:vAlign w:val="bottom"/>
          </w:tcPr>
          <w:p>
            <w:pPr>
              <w:spacing w:after="0"/>
              <w:rPr>
                <w:sz w:val="24"/>
                <w:szCs w:val="24"/>
                <w:color w:val="auto"/>
              </w:rPr>
            </w:pPr>
          </w:p>
        </w:tc>
        <w:tc>
          <w:tcPr>
            <w:tcW w:w="2280" w:type="dxa"/>
            <w:vAlign w:val="bottom"/>
            <w:gridSpan w:val="4"/>
            <w:vMerge w:val="restart"/>
          </w:tcPr>
          <w:p>
            <w:pPr>
              <w:jc w:val="center"/>
              <w:ind w:left="208"/>
              <w:spacing w:after="0"/>
              <w:rPr>
                <w:sz w:val="20"/>
                <w:szCs w:val="20"/>
                <w:color w:val="auto"/>
              </w:rPr>
            </w:pPr>
            <w:r>
              <w:rPr>
                <w:rFonts w:ascii="Arial" w:cs="Arial" w:eastAsia="Arial" w:hAnsi="Arial"/>
                <w:sz w:val="14"/>
                <w:szCs w:val="14"/>
                <w:b w:val="1"/>
                <w:bCs w:val="1"/>
                <w:color w:val="auto"/>
                <w:w w:val="92"/>
              </w:rPr>
              <w:t>2004 Regeneron</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ind w:right="22"/>
              <w:spacing w:after="0"/>
              <w:rPr>
                <w:sz w:val="20"/>
                <w:szCs w:val="20"/>
                <w:color w:val="auto"/>
              </w:rPr>
            </w:pPr>
            <w:r>
              <w:rPr>
                <w:rFonts w:ascii="Arial" w:cs="Arial" w:eastAsia="Arial" w:hAnsi="Arial"/>
                <w:sz w:val="14"/>
                <w:szCs w:val="14"/>
                <w:b w:val="1"/>
                <w:bCs w:val="1"/>
                <w:color w:val="auto"/>
                <w:w w:val="93"/>
              </w:rPr>
              <w:t>Up-front Payment to Regeneron</w:t>
            </w:r>
          </w:p>
        </w:tc>
        <w:tc>
          <w:tcPr>
            <w:tcW w:w="66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1"/>
              </w:rPr>
              <w:t>Total Revenue</w:t>
            </w:r>
          </w:p>
        </w:tc>
        <w:tc>
          <w:tcPr>
            <w:tcW w:w="0" w:type="dxa"/>
            <w:vAlign w:val="bottom"/>
          </w:tcPr>
          <w:p>
            <w:pPr>
              <w:spacing w:after="0"/>
              <w:rPr>
                <w:sz w:val="1"/>
                <w:szCs w:val="1"/>
                <w:color w:val="auto"/>
              </w:rPr>
            </w:pPr>
          </w:p>
        </w:tc>
      </w:tr>
      <w:tr>
        <w:trPr>
          <w:trHeight w:val="119"/>
        </w:trPr>
        <w:tc>
          <w:tcPr>
            <w:tcW w:w="4000" w:type="dxa"/>
            <w:vAlign w:val="bottom"/>
          </w:tcPr>
          <w:p>
            <w:pPr>
              <w:spacing w:after="0"/>
              <w:rPr>
                <w:sz w:val="10"/>
                <w:szCs w:val="10"/>
                <w:color w:val="auto"/>
              </w:rPr>
            </w:pPr>
          </w:p>
        </w:tc>
        <w:tc>
          <w:tcPr>
            <w:tcW w:w="228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44"/>
              <w:spacing w:after="0" w:line="119" w:lineRule="exact"/>
              <w:rPr>
                <w:sz w:val="20"/>
                <w:szCs w:val="20"/>
                <w:color w:val="auto"/>
              </w:rPr>
            </w:pPr>
            <w:r>
              <w:rPr>
                <w:rFonts w:ascii="Arial" w:cs="Arial" w:eastAsia="Arial" w:hAnsi="Arial"/>
                <w:sz w:val="13"/>
                <w:szCs w:val="13"/>
                <w:b w:val="1"/>
                <w:bCs w:val="1"/>
                <w:color w:val="auto"/>
              </w:rPr>
              <w:t>Amount</w:t>
            </w:r>
          </w:p>
        </w:tc>
        <w:tc>
          <w:tcPr>
            <w:tcW w:w="540" w:type="dxa"/>
            <w:vAlign w:val="bottom"/>
          </w:tcPr>
          <w:p>
            <w:pPr>
              <w:spacing w:after="0"/>
              <w:rPr>
                <w:sz w:val="10"/>
                <w:szCs w:val="10"/>
                <w:color w:val="auto"/>
              </w:rPr>
            </w:pPr>
          </w:p>
        </w:tc>
        <w:tc>
          <w:tcPr>
            <w:tcW w:w="1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Deferred Revenue</w:t>
            </w:r>
          </w:p>
        </w:tc>
        <w:tc>
          <w:tcPr>
            <w:tcW w:w="9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Expense</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Recognized</w:t>
            </w:r>
          </w:p>
        </w:tc>
        <w:tc>
          <w:tcPr>
            <w:tcW w:w="54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Recognized</w:t>
            </w:r>
          </w:p>
        </w:tc>
        <w:tc>
          <w:tcPr>
            <w:tcW w:w="0" w:type="dxa"/>
            <w:vAlign w:val="bottom"/>
          </w:tcPr>
          <w:p>
            <w:pPr>
              <w:spacing w:after="0"/>
              <w:rPr>
                <w:sz w:val="1"/>
                <w:szCs w:val="1"/>
                <w:color w:val="auto"/>
              </w:rPr>
            </w:pPr>
          </w:p>
        </w:tc>
      </w:tr>
      <w:tr>
        <w:trPr>
          <w:trHeight w:val="171"/>
        </w:trPr>
        <w:tc>
          <w:tcPr>
            <w:tcW w:w="4000" w:type="dxa"/>
            <w:vAlign w:val="bottom"/>
            <w:vMerge w:val="restart"/>
          </w:tcPr>
          <w:p>
            <w:pPr>
              <w:spacing w:after="0"/>
              <w:rPr>
                <w:sz w:val="20"/>
                <w:szCs w:val="20"/>
                <w:color w:val="auto"/>
              </w:rPr>
            </w:pPr>
            <w:r>
              <w:rPr>
                <w:rFonts w:ascii="Arial" w:cs="Arial" w:eastAsia="Arial" w:hAnsi="Arial"/>
                <w:sz w:val="18"/>
                <w:szCs w:val="18"/>
                <w:color w:val="auto"/>
              </w:rPr>
              <w:t>The sanofi-aventis Group</w:t>
            </w:r>
          </w:p>
        </w:tc>
        <w:tc>
          <w:tcPr>
            <w:tcW w:w="228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4"/>
              </w:rPr>
              <w:t>Reimbursement</w:t>
            </w:r>
          </w:p>
        </w:tc>
        <w:tc>
          <w:tcPr>
            <w:tcW w:w="120" w:type="dxa"/>
            <w:vAlign w:val="bottom"/>
          </w:tcPr>
          <w:p>
            <w:pPr>
              <w:spacing w:after="0"/>
              <w:rPr>
                <w:sz w:val="14"/>
                <w:szCs w:val="14"/>
                <w:color w:val="auto"/>
              </w:rPr>
            </w:pPr>
          </w:p>
        </w:tc>
        <w:tc>
          <w:tcPr>
            <w:tcW w:w="660" w:type="dxa"/>
            <w:vAlign w:val="bottom"/>
          </w:tcPr>
          <w:p>
            <w:pPr>
              <w:jc w:val="right"/>
              <w:ind w:right="42"/>
              <w:spacing w:after="0"/>
              <w:rPr>
                <w:sz w:val="20"/>
                <w:szCs w:val="20"/>
                <w:color w:val="auto"/>
              </w:rPr>
            </w:pPr>
            <w:r>
              <w:rPr>
                <w:rFonts w:ascii="Arial" w:cs="Arial" w:eastAsia="Arial" w:hAnsi="Arial"/>
                <w:sz w:val="14"/>
                <w:szCs w:val="14"/>
                <w:b w:val="1"/>
                <w:bCs w:val="1"/>
                <w:color w:val="auto"/>
                <w:w w:val="89"/>
              </w:rPr>
              <w:t>Payment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24"/>
              <w:spacing w:after="0"/>
              <w:rPr>
                <w:sz w:val="20"/>
                <w:szCs w:val="20"/>
                <w:color w:val="auto"/>
              </w:rPr>
            </w:pPr>
            <w:r>
              <w:rPr>
                <w:rFonts w:ascii="Arial" w:cs="Arial" w:eastAsia="Arial" w:hAnsi="Arial"/>
                <w:sz w:val="14"/>
                <w:szCs w:val="14"/>
                <w:b w:val="1"/>
                <w:bCs w:val="1"/>
                <w:color w:val="auto"/>
                <w:w w:val="92"/>
              </w:rPr>
              <w:t>in 2004</w:t>
            </w:r>
          </w:p>
        </w:tc>
        <w:tc>
          <w:tcPr>
            <w:tcW w:w="540" w:type="dxa"/>
            <w:vAlign w:val="bottom"/>
          </w:tcPr>
          <w:p>
            <w:pPr>
              <w:spacing w:after="0"/>
              <w:rPr>
                <w:sz w:val="14"/>
                <w:szCs w:val="14"/>
                <w:color w:val="auto"/>
              </w:rPr>
            </w:pPr>
          </w:p>
        </w:tc>
        <w:tc>
          <w:tcPr>
            <w:tcW w:w="1640" w:type="dxa"/>
            <w:vAlign w:val="bottom"/>
            <w:gridSpan w:val="3"/>
          </w:tcPr>
          <w:p>
            <w:pPr>
              <w:ind w:left="60"/>
              <w:spacing w:after="0"/>
              <w:rPr>
                <w:sz w:val="20"/>
                <w:szCs w:val="20"/>
                <w:color w:val="auto"/>
              </w:rPr>
            </w:pPr>
            <w:r>
              <w:rPr>
                <w:rFonts w:ascii="Arial" w:cs="Arial" w:eastAsia="Arial" w:hAnsi="Arial"/>
                <w:sz w:val="14"/>
                <w:szCs w:val="14"/>
                <w:b w:val="1"/>
                <w:bCs w:val="1"/>
                <w:color w:val="auto"/>
              </w:rPr>
              <w:t>at June 30, 2004</w:t>
            </w:r>
          </w:p>
        </w:tc>
        <w:tc>
          <w:tcPr>
            <w:tcW w:w="1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 2004</w:t>
            </w:r>
          </w:p>
        </w:tc>
        <w:tc>
          <w:tcPr>
            <w:tcW w:w="0" w:type="dxa"/>
            <w:vAlign w:val="bottom"/>
          </w:tcPr>
          <w:p>
            <w:pPr>
              <w:spacing w:after="0"/>
              <w:rPr>
                <w:sz w:val="1"/>
                <w:szCs w:val="1"/>
                <w:color w:val="auto"/>
              </w:rPr>
            </w:pPr>
          </w:p>
        </w:tc>
      </w:tr>
      <w:tr>
        <w:trPr>
          <w:trHeight w:val="224"/>
        </w:trPr>
        <w:tc>
          <w:tcPr>
            <w:tcW w:w="400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rPr>
              <w:t>20.7</w:t>
            </w:r>
          </w:p>
        </w:tc>
        <w:tc>
          <w:tcPr>
            <w:tcW w:w="5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80.0</w:t>
            </w:r>
          </w:p>
        </w:tc>
        <w:tc>
          <w:tcPr>
            <w:tcW w:w="5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center"/>
              <w:ind w:left="164"/>
              <w:spacing w:after="0"/>
              <w:rPr>
                <w:sz w:val="20"/>
                <w:szCs w:val="20"/>
                <w:color w:val="auto"/>
              </w:rPr>
            </w:pPr>
            <w:r>
              <w:rPr>
                <w:rFonts w:ascii="Arial" w:cs="Arial" w:eastAsia="Arial" w:hAnsi="Arial"/>
                <w:sz w:val="18"/>
                <w:szCs w:val="18"/>
                <w:color w:val="auto"/>
                <w:w w:val="87"/>
              </w:rPr>
              <w:t>2.7</w:t>
            </w:r>
          </w:p>
        </w:tc>
        <w:tc>
          <w:tcPr>
            <w:tcW w:w="540" w:type="dxa"/>
            <w:vAlign w:val="bottom"/>
          </w:tcPr>
          <w:p>
            <w:pPr>
              <w:spacing w:after="0"/>
              <w:rPr>
                <w:sz w:val="19"/>
                <w:szCs w:val="19"/>
                <w:color w:val="auto"/>
              </w:rPr>
            </w:pPr>
          </w:p>
        </w:tc>
        <w:tc>
          <w:tcPr>
            <w:tcW w:w="4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70.9</w:t>
            </w:r>
          </w:p>
        </w:tc>
        <w:tc>
          <w:tcPr>
            <w:tcW w:w="5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sanofi-aventis Group reimbursement of Regeneron VEGF Trap expenses decreased in the second quarter of 2005 from the same period in 2004, primarily due to lower costs in 2005 related to our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manufacture of VEGF Trap clinical supplies. We manufactured clinical supplies of VEGF Trap during the second quarter of 2004, but not during the second quarter of 2005.</w:t>
      </w:r>
    </w:p>
    <w:p>
      <w:pPr>
        <w:spacing w:after="0" w:line="62" w:lineRule="exact"/>
        <w:rPr>
          <w:sz w:val="20"/>
          <w:szCs w:val="20"/>
          <w:color w:val="auto"/>
        </w:rPr>
      </w:pPr>
    </w:p>
    <w:p>
      <w:pPr>
        <w:ind w:right="40" w:firstLine="225"/>
        <w:spacing w:after="0" w:line="253" w:lineRule="auto"/>
        <w:rPr>
          <w:sz w:val="20"/>
          <w:szCs w:val="20"/>
          <w:color w:val="auto"/>
        </w:rPr>
      </w:pPr>
      <w:r>
        <w:rPr>
          <w:rFonts w:ascii="Arial" w:cs="Arial" w:eastAsia="Arial" w:hAnsi="Arial"/>
          <w:sz w:val="18"/>
          <w:szCs w:val="18"/>
          <w:color w:val="auto"/>
        </w:rPr>
        <w:t>Contract manufacturing revenue relates to our long-term agreement with Merck &amp; Co., Inc. to manufacture a vaccine intermediate at our Rensselaer, New York facility. Contract manufacturing revenue increased to $2.8 million in the second quarter of 2005 from $1.3 million in the same period of 2004 as we shipped more product to Merck. Revenue and the related manufacturing expense are recognized as product is shipped, after acceptance by Merck. Included in contract manufacturing revenue in the second quarter of 2005 and 2004 was $0.3 million and $0.1 million, respectively, of deferred revenue associated with capital improvement reimbursements paid by Merck prior to commencement of production. This deferred revenue is being recognized as product is shipped to Merck based on the total amount of product expected to be shipped over the life of the agreement. In February 2005, we agreed to extend the manufacturing agreement by one year through October 2006 and provide Merck an opportunity, upon twelve months’ prior notice, to extend the agreement for an additional year through October 2007. As a result, we are recognizing the remaining $2.7 million deferred balance of Merck’s capital improvement reimbursements as of December 31, 2004 as revenue as product is shipped to Merck, based upon our estimate of Merck’s order quantities through October 2006.</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Total operating expenses increased to $48.5 million in the second quarter of 2005 from $41.0 million in the same period of 2004. Operating expenses in the second quarter of 2005 include a total of $5.3 million of Stock Option Expense, as follows: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June 30,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2005</w:t>
            </w: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Expenses</w:t>
            </w:r>
          </w:p>
        </w:tc>
        <w:tc>
          <w:tcPr>
            <w:tcW w:w="780" w:type="dxa"/>
            <w:vAlign w:val="bottom"/>
            <w:gridSpan w:val="5"/>
          </w:tcPr>
          <w:p>
            <w:pPr>
              <w:ind w:left="40"/>
              <w:spacing w:after="0" w:line="119" w:lineRule="exact"/>
              <w:rPr>
                <w:sz w:val="20"/>
                <w:szCs w:val="20"/>
                <w:color w:val="auto"/>
              </w:rPr>
            </w:pPr>
            <w:r>
              <w:rPr>
                <w:rFonts w:ascii="Arial" w:cs="Arial" w:eastAsia="Arial" w:hAnsi="Arial"/>
                <w:sz w:val="13"/>
                <w:szCs w:val="13"/>
                <w:b w:val="1"/>
                <w:bCs w:val="1"/>
                <w:color w:val="auto"/>
                <w:w w:val="91"/>
              </w:rPr>
              <w:t>Expenses as</w:t>
            </w:r>
          </w:p>
        </w:tc>
        <w:tc>
          <w:tcPr>
            <w:tcW w:w="540" w:type="dxa"/>
            <w:vAlign w:val="bottom"/>
          </w:tcPr>
          <w:p>
            <w:pPr>
              <w:spacing w:after="0"/>
              <w:rPr>
                <w:sz w:val="10"/>
                <w:szCs w:val="10"/>
                <w:color w:val="auto"/>
              </w:rPr>
            </w:pPr>
          </w:p>
        </w:tc>
        <w:tc>
          <w:tcPr>
            <w:tcW w:w="134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Stock Option</w:t>
            </w:r>
          </w:p>
        </w:tc>
        <w:tc>
          <w:tcPr>
            <w:tcW w:w="190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Expenses exclusive of</w:t>
            </w:r>
          </w:p>
        </w:tc>
        <w:tc>
          <w:tcPr>
            <w:tcW w:w="78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w w:val="93"/>
              </w:rPr>
              <w:t>Expenses as</w:t>
            </w:r>
          </w:p>
        </w:tc>
        <w:tc>
          <w:tcPr>
            <w:tcW w:w="0" w:type="dxa"/>
            <w:vAlign w:val="bottom"/>
          </w:tcPr>
          <w:p>
            <w:pPr>
              <w:spacing w:after="0"/>
              <w:rPr>
                <w:sz w:val="1"/>
                <w:szCs w:val="1"/>
                <w:color w:val="auto"/>
              </w:rPr>
            </w:pPr>
          </w:p>
        </w:tc>
      </w:tr>
      <w:tr>
        <w:trPr>
          <w:trHeight w:val="171"/>
        </w:trPr>
        <w:tc>
          <w:tcPr>
            <w:tcW w:w="6080" w:type="dxa"/>
            <w:vAlign w:val="bottom"/>
            <w:gridSpan w:val="3"/>
            <w:vMerge w:val="continue"/>
          </w:tcPr>
          <w:p>
            <w:pPr>
              <w:spacing w:after="0"/>
              <w:rPr>
                <w:sz w:val="14"/>
                <w:szCs w:val="14"/>
                <w:color w:val="auto"/>
              </w:rPr>
            </w:pPr>
          </w:p>
        </w:tc>
        <w:tc>
          <w:tcPr>
            <w:tcW w:w="780" w:type="dxa"/>
            <w:vAlign w:val="bottom"/>
            <w:gridSpan w:val="5"/>
          </w:tcPr>
          <w:p>
            <w:pPr>
              <w:ind w:left="100"/>
              <w:spacing w:after="0"/>
              <w:rPr>
                <w:sz w:val="20"/>
                <w:szCs w:val="20"/>
                <w:color w:val="auto"/>
              </w:rPr>
            </w:pPr>
            <w:r>
              <w:rPr>
                <w:rFonts w:ascii="Arial" w:cs="Arial" w:eastAsia="Arial" w:hAnsi="Arial"/>
                <w:sz w:val="14"/>
                <w:szCs w:val="14"/>
                <w:b w:val="1"/>
                <w:bCs w:val="1"/>
                <w:color w:val="auto"/>
              </w:rPr>
              <w:t>Reported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6"/>
              </w:rPr>
              <w:t>Expense</w:t>
            </w:r>
          </w:p>
        </w:tc>
        <w:tc>
          <w:tcPr>
            <w:tcW w:w="1900" w:type="dxa"/>
            <w:vAlign w:val="bottom"/>
            <w:gridSpan w:val="5"/>
          </w:tcPr>
          <w:p>
            <w:pPr>
              <w:spacing w:after="0"/>
              <w:rPr>
                <w:sz w:val="20"/>
                <w:szCs w:val="20"/>
                <w:color w:val="auto"/>
              </w:rPr>
            </w:pPr>
            <w:r>
              <w:rPr>
                <w:rFonts w:ascii="Arial" w:cs="Arial" w:eastAsia="Arial" w:hAnsi="Arial"/>
                <w:sz w:val="14"/>
                <w:szCs w:val="14"/>
                <w:b w:val="1"/>
                <w:bCs w:val="1"/>
                <w:color w:val="auto"/>
              </w:rPr>
              <w:t>Stock Option Expense</w:t>
            </w:r>
          </w:p>
        </w:tc>
        <w:tc>
          <w:tcPr>
            <w:tcW w:w="780" w:type="dxa"/>
            <w:vAlign w:val="bottom"/>
            <w:gridSpan w:val="4"/>
          </w:tcPr>
          <w:p>
            <w:pPr>
              <w:ind w:left="100"/>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w:t>
            </w: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540" w:type="dxa"/>
            <w:vAlign w:val="bottom"/>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w:t>
            </w: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Contract manufacturing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$0.1 million of Stock Option Expense was capitalized into inventory, for a total of $5.4 million of Stock Option Expense recognized in the second quarter of 2005. Stock Option Expense was not included in operating expenses in the second quarter of 2004, as reported in our Statement of Operations. In the second quarter of 2004, had we adopted the fair value based method of accounting for stock-based employee compensation under the provisions of SFAS 123, Stock Option Expense would have totaled $8.6 million. The decrease in total Stock Option Expense of $3.2 million in the second quarter of 2005 was partly due to lower exercise prices of annual employee option grants made by us in December 2004 in comparison to the exercise prices of annual grants in recent prior years. Exercise prices of these option grants were generally equal to the fair market value of our Common Stock on the date of grant. The decrease in Stock Option Expense in the second quarter of 2005 was also due, in part, to the exchange of options by eligible employees in connection with our stock option exchange program in January 2005, as the unamortized fair value of the surrendered options on the date of the exchange is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being recognized as Stock Option Expense over a longer time period (the vesting period of the replacement options) in accordance with SFAS 123.</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Research and development expenses, exclusive of Stock Option Expense, increased slightly to $37.3 million in the second quarter of 2005 from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$36.3 million in the same period of 2004. The following table summarizes the major categories of our research and development expenses for the three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months ended June 30, 2005 and 2004: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June 30,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780" w:type="dxa"/>
            <w:vAlign w:val="bottom"/>
            <w:gridSpan w:val="5"/>
          </w:tcPr>
          <w:p>
            <w:pPr>
              <w:ind w:left="40"/>
              <w:spacing w:after="0" w:line="119" w:lineRule="exact"/>
              <w:rPr>
                <w:sz w:val="20"/>
                <w:szCs w:val="20"/>
                <w:color w:val="auto"/>
              </w:rPr>
            </w:pPr>
            <w:r>
              <w:rPr>
                <w:rFonts w:ascii="Arial" w:cs="Arial" w:eastAsia="Arial" w:hAnsi="Arial"/>
                <w:sz w:val="13"/>
                <w:szCs w:val="13"/>
                <w:b w:val="1"/>
                <w:bCs w:val="1"/>
                <w:color w:val="auto"/>
                <w:w w:val="91"/>
              </w:rPr>
              <w:t>Expenses as</w:t>
            </w:r>
          </w:p>
        </w:tc>
        <w:tc>
          <w:tcPr>
            <w:tcW w:w="540" w:type="dxa"/>
            <w:vAlign w:val="bottom"/>
          </w:tcPr>
          <w:p>
            <w:pPr>
              <w:spacing w:after="0"/>
              <w:rPr>
                <w:sz w:val="10"/>
                <w:szCs w:val="10"/>
                <w:color w:val="auto"/>
              </w:rPr>
            </w:pPr>
          </w:p>
        </w:tc>
        <w:tc>
          <w:tcPr>
            <w:tcW w:w="120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Stock Option</w:t>
            </w:r>
          </w:p>
        </w:tc>
        <w:tc>
          <w:tcPr>
            <w:tcW w:w="120" w:type="dxa"/>
            <w:vAlign w:val="bottom"/>
          </w:tcPr>
          <w:p>
            <w:pPr>
              <w:spacing w:after="0"/>
              <w:rPr>
                <w:sz w:val="10"/>
                <w:szCs w:val="10"/>
                <w:color w:val="auto"/>
              </w:rPr>
            </w:pPr>
          </w:p>
        </w:tc>
        <w:tc>
          <w:tcPr>
            <w:tcW w:w="188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Expenses exclusive of</w:t>
            </w:r>
          </w:p>
        </w:tc>
        <w:tc>
          <w:tcPr>
            <w:tcW w:w="78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w w:val="93"/>
              </w:rPr>
              <w:t>Expenses as</w:t>
            </w:r>
          </w:p>
        </w:tc>
        <w:tc>
          <w:tcPr>
            <w:tcW w:w="0" w:type="dxa"/>
            <w:vAlign w:val="bottom"/>
          </w:tcPr>
          <w:p>
            <w:pPr>
              <w:spacing w:after="0"/>
              <w:rPr>
                <w:sz w:val="1"/>
                <w:szCs w:val="1"/>
                <w:color w:val="auto"/>
              </w:rPr>
            </w:pPr>
          </w:p>
        </w:tc>
      </w:tr>
      <w:tr>
        <w:trPr>
          <w:trHeight w:val="171"/>
        </w:trPr>
        <w:tc>
          <w:tcPr>
            <w:tcW w:w="6120" w:type="dxa"/>
            <w:vAlign w:val="bottom"/>
            <w:gridSpan w:val="4"/>
            <w:vMerge w:val="continue"/>
          </w:tcPr>
          <w:p>
            <w:pPr>
              <w:spacing w:after="0"/>
              <w:rPr>
                <w:sz w:val="14"/>
                <w:szCs w:val="14"/>
                <w:color w:val="auto"/>
              </w:rPr>
            </w:pPr>
          </w:p>
        </w:tc>
        <w:tc>
          <w:tcPr>
            <w:tcW w:w="780" w:type="dxa"/>
            <w:vAlign w:val="bottom"/>
            <w:gridSpan w:val="5"/>
          </w:tcPr>
          <w:p>
            <w:pPr>
              <w:ind w:left="100"/>
              <w:spacing w:after="0"/>
              <w:rPr>
                <w:sz w:val="20"/>
                <w:szCs w:val="20"/>
                <w:color w:val="auto"/>
              </w:rPr>
            </w:pPr>
            <w:r>
              <w:rPr>
                <w:rFonts w:ascii="Arial" w:cs="Arial" w:eastAsia="Arial" w:hAnsi="Arial"/>
                <w:sz w:val="14"/>
                <w:szCs w:val="14"/>
                <w:b w:val="1"/>
                <w:bCs w:val="1"/>
                <w:color w:val="auto"/>
              </w:rPr>
              <w:t>Reported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0"/>
              </w:rPr>
              <w:t>Expense</w:t>
            </w:r>
          </w:p>
        </w:tc>
        <w:tc>
          <w:tcPr>
            <w:tcW w:w="2000" w:type="dxa"/>
            <w:vAlign w:val="bottom"/>
            <w:gridSpan w:val="6"/>
          </w:tcPr>
          <w:p>
            <w:pPr>
              <w:ind w:left="120"/>
              <w:spacing w:after="0"/>
              <w:rPr>
                <w:sz w:val="20"/>
                <w:szCs w:val="20"/>
                <w:color w:val="auto"/>
              </w:rPr>
            </w:pPr>
            <w:r>
              <w:rPr>
                <w:rFonts w:ascii="Arial" w:cs="Arial" w:eastAsia="Arial" w:hAnsi="Arial"/>
                <w:sz w:val="14"/>
                <w:szCs w:val="14"/>
                <w:b w:val="1"/>
                <w:bCs w:val="1"/>
                <w:color w:val="auto"/>
              </w:rPr>
              <w:t>Stock Option Expense</w:t>
            </w: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w w:val="92"/>
              </w:rPr>
              <w:t>Reported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Payroll and benefits</w:t>
            </w:r>
          </w:p>
        </w:tc>
        <w:tc>
          <w:tcPr>
            <w:tcW w:w="520" w:type="dxa"/>
            <w:vAlign w:val="bottom"/>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tcPr>
          <w:p>
            <w:pPr>
              <w:spacing w:after="0"/>
              <w:rPr>
                <w:sz w:val="20"/>
                <w:szCs w:val="20"/>
                <w:color w:val="auto"/>
              </w:rPr>
            </w:pPr>
            <w:r>
              <w:rPr>
                <w:rFonts w:ascii="Arial" w:cs="Arial" w:eastAsia="Arial" w:hAnsi="Arial"/>
                <w:sz w:val="18"/>
                <w:szCs w:val="18"/>
                <w:color w:val="auto"/>
              </w:rPr>
              <w:t>Clinical trial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Clinical manufacturing costs (1)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tcPr>
          <w:p>
            <w:pPr>
              <w:spacing w:after="0"/>
              <w:rPr>
                <w:sz w:val="20"/>
                <w:szCs w:val="20"/>
                <w:color w:val="auto"/>
              </w:rPr>
            </w:pPr>
            <w:r>
              <w:rPr>
                <w:rFonts w:ascii="Arial" w:cs="Arial" w:eastAsia="Arial" w:hAnsi="Arial"/>
                <w:sz w:val="18"/>
                <w:szCs w:val="18"/>
                <w:color w:val="auto"/>
              </w:rPr>
              <w:t>Research and preclinical development costs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Occupancy and other operating costs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gridSpan w:val="3"/>
          </w:tcPr>
          <w:p>
            <w:pPr>
              <w:ind w:left="400"/>
              <w:spacing w:after="0"/>
              <w:rPr>
                <w:sz w:val="20"/>
                <w:szCs w:val="20"/>
                <w:color w:val="auto"/>
              </w:rPr>
            </w:pPr>
            <w:r>
              <w:rPr>
                <w:rFonts w:ascii="Arial" w:cs="Arial" w:eastAsia="Arial" w:hAnsi="Arial"/>
                <w:sz w:val="18"/>
                <w:szCs w:val="18"/>
                <w:color w:val="auto"/>
              </w:rPr>
              <w:t>Total research and development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ind w:left="560"/>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3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60" w:right="32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full cost of manufacturing drug for use in research, preclinical development and clinical trials, including related payroll and benefits, manufacturing materials and supplies, depreciation, and occupancy costs of our Rensselaer manufacturing facility.</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2004, research and development expenses as reported in our Statement of Operations did not include Stock Option Expense.</w:t>
      </w:r>
    </w:p>
    <w:p>
      <w:pPr>
        <w:spacing w:after="0" w:line="117"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Payroll and benefits, exclusive of Stock Option Expense, increased $0.3 million in the second quarter of 2005 compared to the same period in 2004 as we added research and development personnel to support our clinical and research programs, especially for the VEGF Trap and IL-1 Trap. Clinical trial expenses increased $4.0 million in the second quarter of 2005 compared to the same period in 2004 as we both initiated and prepared to initiate new trials in our VEGF Trap and IL-1 Trap clinical programs in 2005. Clinical manufacturing costs, exclusive of Stock Option Expense, decreased $2.7 million in the second quarter of 2005 compared to the same period in 2004 as higher costs in 2004 related to manufacturing clinical supplies of VEGF Trap were partly offset in 2005 by costs to manufacture clinical supplies of IL-1 Trap. Research and preclinical development costs decreased by $1.0 million in the second quarter of 2005 compared to the same period in 2004, due primarily to higher preclinical VEGF Trap development costs in 2004. Occupancy and other operating costs increased by $0.4 million in the second quarter of 2005 compared to the same period in 2004.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Manufacturing Expenses:</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Contract manufacturing expenses, exclusive of Stock Option Expense, increased to $1.6 million in the second quarter of 2005 compared to $0.5 million in the same period of 2004, primarily because we shipped more product to Merck.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General and administrative expenses, exclusive of Stock Option Expense, increased to $4.3 million in the second quarter of 2005 from $4.2 million in the same period of 2004.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 June 2005, we and Procter &amp; Gamble amended our collaboration agreement and agreed that the research activities of both companies under the collaboration agreement were completed. In connection with the amendment, Procter &amp; Gamble agreed to make a one-time $5.6 million payment to us, which we recognized as other contract income in the second quarter of 2005.</w:t>
      </w:r>
    </w:p>
    <w:p>
      <w:pPr>
        <w:spacing w:after="0" w:line="73"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Investment income increased to $2.5 million in the second quarter of 2005 from $1.1 million in the same period of 2004 due primarily to higher effective interest rates on investment securities in 2005. Interest expense was $3.0 million for both the second quarter of 2005 and 2004. Interest expense is attributable primarily to $200.0 million of convertible notes issued in October 2001, which mature in 2008 and bear interest at 5.5% per annum.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2005 and 2004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Regeneron reported a net loss of $31.1 million, or $0.56 per share (basic and diluted) for the first half of 2005 compared with net income of $50.0 million, or $0.90 per basic share and $0.88 per diluted share, for the same period of 2004. Excluding Stock Option Expense, Regeneron had pro forma net loss of $20.4 million, or $0.37 per share (basic and diluted), in the first half of 2005 as follows: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2005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7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Net Loss</w:t>
            </w:r>
          </w:p>
        </w:tc>
        <w:tc>
          <w:tcPr>
            <w:tcW w:w="360" w:type="dxa"/>
            <w:vAlign w:val="bottom"/>
            <w:vMerge w:val="restart"/>
          </w:tcPr>
          <w:p>
            <w:pPr>
              <w:spacing w:after="0"/>
              <w:rPr>
                <w:sz w:val="14"/>
                <w:szCs w:val="14"/>
                <w:color w:val="auto"/>
              </w:rPr>
            </w:pPr>
          </w:p>
        </w:tc>
        <w:tc>
          <w:tcPr>
            <w:tcW w:w="1640" w:type="dxa"/>
            <w:vAlign w:val="bottom"/>
            <w:gridSpan w:val="5"/>
          </w:tcPr>
          <w:p>
            <w:pPr>
              <w:jc w:val="center"/>
              <w:ind w:left="96"/>
              <w:spacing w:after="0"/>
              <w:rPr>
                <w:sz w:val="20"/>
                <w:szCs w:val="20"/>
                <w:color w:val="auto"/>
              </w:rPr>
            </w:pPr>
            <w:r>
              <w:rPr>
                <w:rFonts w:ascii="Arial" w:cs="Arial" w:eastAsia="Arial" w:hAnsi="Arial"/>
                <w:sz w:val="14"/>
                <w:szCs w:val="14"/>
                <w:b w:val="1"/>
                <w:bCs w:val="1"/>
                <w:color w:val="auto"/>
                <w:w w:val="92"/>
              </w:rPr>
              <w:t>Net Loss per Share -</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720" w:type="dxa"/>
            <w:vAlign w:val="bottom"/>
            <w:tcBorders>
              <w:bottom w:val="single" w:sz="8" w:color="auto"/>
            </w:tcBorders>
            <w:gridSpan w:val="3"/>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Basic and Diluted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4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31.1)</w:t>
            </w: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7"/>
              </w:rPr>
              <w:t>0.56)</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Add: Stock Option Expense</w:t>
            </w:r>
          </w:p>
        </w:tc>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net loss, exclusive of Stock Option Expense</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20.4)</w:t>
            </w: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7"/>
              </w:rPr>
              <w:t>0.37)</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720" w:type="dxa"/>
            <w:vAlign w:val="bottom"/>
            <w:vMerge w:val="restart"/>
          </w:tcPr>
          <w:p>
            <w:pPr>
              <w:jc w:val="right"/>
              <w:ind w:right="281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8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98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Revenues for the six months ended June 30, 2005 and 2004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i w:val="1"/>
                <w:iCs w:val="1"/>
                <w:color w:val="auto"/>
                <w:w w:val="94"/>
              </w:rPr>
              <w:t>(In millions)</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&amp; development revenue</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The sanofi-aventis Group</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19.2</w:t>
            </w: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Novartis Pharma AG</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Procter &amp; Gamble</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23"/>
        </w:trPr>
        <w:tc>
          <w:tcPr>
            <w:tcW w:w="9280" w:type="dxa"/>
            <w:vAlign w:val="bottom"/>
          </w:tcPr>
          <w:p>
            <w:pPr>
              <w:ind w:left="620"/>
              <w:spacing w:after="0"/>
              <w:rPr>
                <w:sz w:val="20"/>
                <w:szCs w:val="20"/>
                <w:color w:val="auto"/>
              </w:rPr>
            </w:pPr>
            <w:r>
              <w:rPr>
                <w:rFonts w:ascii="Arial" w:cs="Arial" w:eastAsia="Arial" w:hAnsi="Arial"/>
                <w:sz w:val="18"/>
                <w:szCs w:val="18"/>
                <w:color w:val="auto"/>
              </w:rPr>
              <w:t>Total contract research &amp; development revenue</w:t>
            </w: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Research progress payment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Contract manufacturing revenue</w:t>
            </w:r>
          </w:p>
        </w:tc>
        <w:tc>
          <w:tcPr>
            <w:tcW w:w="1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revenue</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w:t>
            </w:r>
          </w:p>
        </w:tc>
      </w:tr>
      <w:tr>
        <w:trPr>
          <w:trHeight w:val="20"/>
        </w:trPr>
        <w:tc>
          <w:tcPr>
            <w:tcW w:w="9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total revenue decreased to $32.6 million in the first half of 2005 from $90.4 million in the same period of 2004 due primarily to lower revenues related to our collaboration with the sanofi-aventis Group on the VEGF Trap and the absence in the 2005 period of revenues related to our collaboration with Novartis on the IL-1 Trap which ended in 2004. Collaboration revenue earned from the sanofi-aventis Group and Novartis is comprised of contract research and development revenue and research progress payments. Contract research and development revenue, as detailed below, consists partly of reimbursement for research and development expenses and partly of the recognition of revenue related to non-refundable, up-front payments. Non-refundable, up-front payments are recorded as deferred revenue and recognized ratably over the period over which we are obligated to perform services in accordance with SAB 104.</w:t>
      </w:r>
    </w:p>
    <w:p>
      <w:pPr>
        <w:spacing w:after="0" w:line="57"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Contract research &amp; development revenues earned from the sanofi-aventis Group and Novartis for the six months ended June 30, 2005 and 2004 were as follows: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2005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520" w:type="dxa"/>
            <w:vAlign w:val="bottom"/>
            <w:gridSpan w:val="7"/>
            <w:vMerge w:val="restart"/>
          </w:tcPr>
          <w:p>
            <w:pPr>
              <w:jc w:val="center"/>
              <w:ind w:right="520"/>
              <w:spacing w:after="0"/>
              <w:rPr>
                <w:sz w:val="20"/>
                <w:szCs w:val="20"/>
                <w:color w:val="auto"/>
              </w:rPr>
            </w:pPr>
            <w:r>
              <w:rPr>
                <w:rFonts w:ascii="Arial" w:cs="Arial" w:eastAsia="Arial" w:hAnsi="Arial"/>
                <w:sz w:val="14"/>
                <w:szCs w:val="14"/>
                <w:b w:val="1"/>
                <w:bCs w:val="1"/>
                <w:color w:val="auto"/>
                <w:w w:val="92"/>
              </w:rPr>
              <w:t>2005 Regeneron</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Up-front Payment to Regeneron</w:t>
            </w: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1"/>
              </w:rPr>
              <w:t>Total Revenue</w:t>
            </w:r>
          </w:p>
        </w:tc>
        <w:tc>
          <w:tcPr>
            <w:tcW w:w="0" w:type="dxa"/>
            <w:vAlign w:val="bottom"/>
          </w:tcPr>
          <w:p>
            <w:pPr>
              <w:spacing w:after="0"/>
              <w:rPr>
                <w:sz w:val="1"/>
                <w:szCs w:val="1"/>
                <w:color w:val="auto"/>
              </w:rPr>
            </w:pPr>
          </w:p>
        </w:tc>
      </w:tr>
      <w:tr>
        <w:trPr>
          <w:trHeight w:val="119"/>
        </w:trPr>
        <w:tc>
          <w:tcPr>
            <w:tcW w:w="4780" w:type="dxa"/>
            <w:vAlign w:val="bottom"/>
          </w:tcPr>
          <w:p>
            <w:pPr>
              <w:spacing w:after="0"/>
              <w:rPr>
                <w:sz w:val="10"/>
                <w:szCs w:val="10"/>
                <w:color w:val="auto"/>
              </w:rPr>
            </w:pPr>
          </w:p>
        </w:tc>
        <w:tc>
          <w:tcPr>
            <w:tcW w:w="1520" w:type="dxa"/>
            <w:vAlign w:val="bottom"/>
            <w:gridSpan w:val="7"/>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Amount</w:t>
            </w:r>
          </w:p>
        </w:tc>
        <w:tc>
          <w:tcPr>
            <w:tcW w:w="540" w:type="dxa"/>
            <w:vAlign w:val="bottom"/>
          </w:tcPr>
          <w:p>
            <w:pPr>
              <w:spacing w:after="0"/>
              <w:rPr>
                <w:sz w:val="10"/>
                <w:szCs w:val="10"/>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Deferred Revenue</w:t>
            </w:r>
          </w:p>
        </w:tc>
        <w:tc>
          <w:tcPr>
            <w:tcW w:w="9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5"/>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Expense</w:t>
            </w: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1"/>
              </w:rPr>
              <w:t>Recognized</w:t>
            </w:r>
          </w:p>
        </w:tc>
        <w:tc>
          <w:tcPr>
            <w:tcW w:w="540" w:type="dxa"/>
            <w:vAlign w:val="bottom"/>
          </w:tcPr>
          <w:p>
            <w:pPr>
              <w:spacing w:after="0"/>
              <w:rPr>
                <w:sz w:val="12"/>
                <w:szCs w:val="12"/>
                <w:color w:val="auto"/>
              </w:rPr>
            </w:pPr>
          </w:p>
        </w:tc>
        <w:tc>
          <w:tcPr>
            <w:tcW w:w="1640" w:type="dxa"/>
            <w:vAlign w:val="bottom"/>
            <w:gridSpan w:val="5"/>
            <w:vMerge w:val="continue"/>
          </w:tcPr>
          <w:p>
            <w:pPr>
              <w:spacing w:after="0"/>
              <w:rPr>
                <w:sz w:val="12"/>
                <w:szCs w:val="12"/>
                <w:color w:val="auto"/>
              </w:rPr>
            </w:pPr>
          </w:p>
        </w:tc>
        <w:tc>
          <w:tcPr>
            <w:tcW w:w="9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Recognized</w:t>
            </w:r>
          </w:p>
        </w:tc>
        <w:tc>
          <w:tcPr>
            <w:tcW w:w="0" w:type="dxa"/>
            <w:vAlign w:val="bottom"/>
          </w:tcPr>
          <w:p>
            <w:pPr>
              <w:spacing w:after="0"/>
              <w:rPr>
                <w:sz w:val="1"/>
                <w:szCs w:val="1"/>
                <w:color w:val="auto"/>
              </w:rPr>
            </w:pPr>
          </w:p>
        </w:tc>
      </w:tr>
      <w:tr>
        <w:trPr>
          <w:trHeight w:val="171"/>
        </w:trPr>
        <w:tc>
          <w:tcPr>
            <w:tcW w:w="4780" w:type="dxa"/>
            <w:vAlign w:val="bottom"/>
            <w:vMerge w:val="restart"/>
          </w:tcPr>
          <w:p>
            <w:pPr>
              <w:spacing w:after="0"/>
              <w:rPr>
                <w:sz w:val="20"/>
                <w:szCs w:val="20"/>
                <w:color w:val="auto"/>
              </w:rPr>
            </w:pPr>
            <w:r>
              <w:rPr>
                <w:rFonts w:ascii="Arial" w:cs="Arial" w:eastAsia="Arial" w:hAnsi="Arial"/>
                <w:sz w:val="18"/>
                <w:szCs w:val="18"/>
                <w:color w:val="auto"/>
              </w:rPr>
              <w:t>The sanofi-aventis Group</w:t>
            </w:r>
          </w:p>
        </w:tc>
        <w:tc>
          <w:tcPr>
            <w:tcW w:w="1520" w:type="dxa"/>
            <w:vAlign w:val="bottom"/>
            <w:gridSpan w:val="7"/>
          </w:tcPr>
          <w:p>
            <w:pPr>
              <w:jc w:val="center"/>
              <w:ind w:right="520"/>
              <w:spacing w:after="0"/>
              <w:rPr>
                <w:sz w:val="20"/>
                <w:szCs w:val="20"/>
                <w:color w:val="auto"/>
              </w:rPr>
            </w:pPr>
            <w:r>
              <w:rPr>
                <w:rFonts w:ascii="Arial" w:cs="Arial" w:eastAsia="Arial" w:hAnsi="Arial"/>
                <w:sz w:val="14"/>
                <w:szCs w:val="14"/>
                <w:b w:val="1"/>
                <w:bCs w:val="1"/>
                <w:color w:val="auto"/>
                <w:w w:val="94"/>
              </w:rPr>
              <w:t>Reimbursement</w:t>
            </w:r>
          </w:p>
        </w:tc>
        <w:tc>
          <w:tcPr>
            <w:tcW w:w="10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Payment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 2005</w:t>
            </w:r>
          </w:p>
        </w:tc>
        <w:tc>
          <w:tcPr>
            <w:tcW w:w="540" w:type="dxa"/>
            <w:vAlign w:val="bottom"/>
          </w:tcPr>
          <w:p>
            <w:pPr>
              <w:spacing w:after="0"/>
              <w:rPr>
                <w:sz w:val="14"/>
                <w:szCs w:val="14"/>
                <w:color w:val="auto"/>
              </w:rPr>
            </w:pPr>
          </w:p>
        </w:tc>
        <w:tc>
          <w:tcPr>
            <w:tcW w:w="1640" w:type="dxa"/>
            <w:vAlign w:val="bottom"/>
            <w:gridSpan w:val="5"/>
          </w:tcPr>
          <w:p>
            <w:pPr>
              <w:ind w:left="60"/>
              <w:spacing w:after="0"/>
              <w:rPr>
                <w:sz w:val="20"/>
                <w:szCs w:val="20"/>
                <w:color w:val="auto"/>
              </w:rPr>
            </w:pPr>
            <w:r>
              <w:rPr>
                <w:rFonts w:ascii="Arial" w:cs="Arial" w:eastAsia="Arial" w:hAnsi="Arial"/>
                <w:sz w:val="14"/>
                <w:szCs w:val="14"/>
                <w:b w:val="1"/>
                <w:bCs w:val="1"/>
                <w:color w:val="auto"/>
              </w:rPr>
              <w:t>at June 30, 2005</w:t>
            </w:r>
          </w:p>
        </w:tc>
        <w:tc>
          <w:tcPr>
            <w:tcW w:w="180" w:type="dxa"/>
            <w:vAlign w:val="bottom"/>
          </w:tcPr>
          <w:p>
            <w:pPr>
              <w:spacing w:after="0"/>
              <w:rPr>
                <w:sz w:val="14"/>
                <w:szCs w:val="14"/>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in 2005</w:t>
            </w:r>
          </w:p>
        </w:tc>
        <w:tc>
          <w:tcPr>
            <w:tcW w:w="0" w:type="dxa"/>
            <w:vAlign w:val="bottom"/>
          </w:tcPr>
          <w:p>
            <w:pPr>
              <w:spacing w:after="0"/>
              <w:rPr>
                <w:sz w:val="1"/>
                <w:szCs w:val="1"/>
                <w:color w:val="auto"/>
              </w:rPr>
            </w:pPr>
          </w:p>
        </w:tc>
      </w:tr>
      <w:tr>
        <w:trPr>
          <w:trHeight w:val="224"/>
        </w:trPr>
        <w:tc>
          <w:tcPr>
            <w:tcW w:w="47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14.5</w:t>
            </w:r>
          </w:p>
        </w:tc>
        <w:tc>
          <w:tcPr>
            <w:tcW w:w="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80.0</w:t>
            </w:r>
          </w:p>
        </w:tc>
        <w:tc>
          <w:tcPr>
            <w:tcW w:w="52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4.7</w:t>
            </w:r>
          </w:p>
        </w:tc>
        <w:tc>
          <w:tcPr>
            <w:tcW w:w="540" w:type="dxa"/>
            <w:vAlign w:val="bottom"/>
          </w:tcPr>
          <w:p>
            <w:pPr>
              <w:spacing w:after="0"/>
              <w:rPr>
                <w:sz w:val="19"/>
                <w:szCs w:val="19"/>
                <w:color w:val="auto"/>
              </w:rPr>
            </w:pPr>
          </w:p>
        </w:tc>
        <w:tc>
          <w:tcPr>
            <w:tcW w:w="44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61.1</w:t>
            </w:r>
          </w:p>
        </w:tc>
        <w:tc>
          <w:tcPr>
            <w:tcW w:w="5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4780" w:type="dxa"/>
            <w:vAlign w:val="bottom"/>
          </w:tcPr>
          <w:p>
            <w:pPr>
              <w:spacing w:after="0"/>
              <w:rPr>
                <w:sz w:val="20"/>
                <w:szCs w:val="20"/>
                <w:color w:val="auto"/>
              </w:rPr>
            </w:pPr>
            <w:r>
              <w:rPr>
                <w:rFonts w:ascii="Arial" w:cs="Arial" w:eastAsia="Arial" w:hAnsi="Arial"/>
                <w:sz w:val="18"/>
                <w:szCs w:val="18"/>
                <w:b w:val="1"/>
                <w:bCs w:val="1"/>
                <w:color w:val="auto"/>
              </w:rPr>
              <w:t>For the six months ended June 30, 2004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780" w:type="dxa"/>
            <w:vAlign w:val="bottom"/>
          </w:tcPr>
          <w:p>
            <w:pPr>
              <w:spacing w:after="0"/>
              <w:rPr>
                <w:sz w:val="24"/>
                <w:szCs w:val="24"/>
                <w:color w:val="auto"/>
              </w:rPr>
            </w:pPr>
          </w:p>
        </w:tc>
        <w:tc>
          <w:tcPr>
            <w:tcW w:w="1500" w:type="dxa"/>
            <w:vAlign w:val="bottom"/>
            <w:gridSpan w:val="6"/>
            <w:vMerge w:val="restart"/>
          </w:tcPr>
          <w:p>
            <w:pPr>
              <w:jc w:val="center"/>
              <w:ind w:right="520"/>
              <w:spacing w:after="0"/>
              <w:rPr>
                <w:sz w:val="20"/>
                <w:szCs w:val="20"/>
                <w:color w:val="auto"/>
              </w:rPr>
            </w:pPr>
            <w:r>
              <w:rPr>
                <w:rFonts w:ascii="Arial" w:cs="Arial" w:eastAsia="Arial" w:hAnsi="Arial"/>
                <w:sz w:val="14"/>
                <w:szCs w:val="14"/>
                <w:b w:val="1"/>
                <w:bCs w:val="1"/>
                <w:color w:val="auto"/>
                <w:w w:val="90"/>
              </w:rPr>
              <w:t>2004 Regeneron</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Up-front Payment to Regeneron</w:t>
            </w: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1"/>
              </w:rPr>
              <w:t>Total Revenue</w:t>
            </w:r>
          </w:p>
        </w:tc>
        <w:tc>
          <w:tcPr>
            <w:tcW w:w="0" w:type="dxa"/>
            <w:vAlign w:val="bottom"/>
          </w:tcPr>
          <w:p>
            <w:pPr>
              <w:spacing w:after="0"/>
              <w:rPr>
                <w:sz w:val="1"/>
                <w:szCs w:val="1"/>
                <w:color w:val="auto"/>
              </w:rPr>
            </w:pPr>
          </w:p>
        </w:tc>
      </w:tr>
      <w:tr>
        <w:trPr>
          <w:trHeight w:val="119"/>
        </w:trPr>
        <w:tc>
          <w:tcPr>
            <w:tcW w:w="4780" w:type="dxa"/>
            <w:vAlign w:val="bottom"/>
          </w:tcPr>
          <w:p>
            <w:pPr>
              <w:spacing w:after="0"/>
              <w:rPr>
                <w:sz w:val="10"/>
                <w:szCs w:val="10"/>
                <w:color w:val="auto"/>
              </w:rPr>
            </w:pPr>
          </w:p>
        </w:tc>
        <w:tc>
          <w:tcPr>
            <w:tcW w:w="1500" w:type="dxa"/>
            <w:vAlign w:val="bottom"/>
            <w:gridSpan w:val="6"/>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Amount</w:t>
            </w:r>
          </w:p>
        </w:tc>
        <w:tc>
          <w:tcPr>
            <w:tcW w:w="540" w:type="dxa"/>
            <w:vAlign w:val="bottom"/>
          </w:tcPr>
          <w:p>
            <w:pPr>
              <w:spacing w:after="0"/>
              <w:rPr>
                <w:sz w:val="10"/>
                <w:szCs w:val="10"/>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Deferred Revenue</w:t>
            </w:r>
          </w:p>
        </w:tc>
        <w:tc>
          <w:tcPr>
            <w:tcW w:w="9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5"/>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Expense</w:t>
            </w: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1"/>
              </w:rPr>
              <w:t>Recognized</w:t>
            </w:r>
          </w:p>
        </w:tc>
        <w:tc>
          <w:tcPr>
            <w:tcW w:w="540" w:type="dxa"/>
            <w:vAlign w:val="bottom"/>
          </w:tcPr>
          <w:p>
            <w:pPr>
              <w:spacing w:after="0"/>
              <w:rPr>
                <w:sz w:val="12"/>
                <w:szCs w:val="12"/>
                <w:color w:val="auto"/>
              </w:rPr>
            </w:pPr>
          </w:p>
        </w:tc>
        <w:tc>
          <w:tcPr>
            <w:tcW w:w="1640" w:type="dxa"/>
            <w:vAlign w:val="bottom"/>
            <w:gridSpan w:val="5"/>
            <w:vMerge w:val="continue"/>
          </w:tcPr>
          <w:p>
            <w:pPr>
              <w:spacing w:after="0"/>
              <w:rPr>
                <w:sz w:val="12"/>
                <w:szCs w:val="12"/>
                <w:color w:val="auto"/>
              </w:rPr>
            </w:pPr>
          </w:p>
        </w:tc>
        <w:tc>
          <w:tcPr>
            <w:tcW w:w="9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Recognized</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520" w:type="dxa"/>
            <w:vAlign w:val="bottom"/>
            <w:gridSpan w:val="7"/>
          </w:tcPr>
          <w:p>
            <w:pPr>
              <w:jc w:val="center"/>
              <w:ind w:right="540"/>
              <w:spacing w:after="0"/>
              <w:rPr>
                <w:sz w:val="20"/>
                <w:szCs w:val="20"/>
                <w:color w:val="auto"/>
              </w:rPr>
            </w:pPr>
            <w:r>
              <w:rPr>
                <w:rFonts w:ascii="Arial" w:cs="Arial" w:eastAsia="Arial" w:hAnsi="Arial"/>
                <w:sz w:val="14"/>
                <w:szCs w:val="14"/>
                <w:b w:val="1"/>
                <w:bCs w:val="1"/>
                <w:color w:val="auto"/>
                <w:w w:val="92"/>
              </w:rPr>
              <w:t>Reimbursement</w:t>
            </w:r>
          </w:p>
        </w:tc>
        <w:tc>
          <w:tcPr>
            <w:tcW w:w="10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Payment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 2004</w:t>
            </w:r>
          </w:p>
        </w:tc>
        <w:tc>
          <w:tcPr>
            <w:tcW w:w="540" w:type="dxa"/>
            <w:vAlign w:val="bottom"/>
          </w:tcPr>
          <w:p>
            <w:pPr>
              <w:spacing w:after="0"/>
              <w:rPr>
                <w:sz w:val="14"/>
                <w:szCs w:val="14"/>
                <w:color w:val="auto"/>
              </w:rPr>
            </w:pPr>
          </w:p>
        </w:tc>
        <w:tc>
          <w:tcPr>
            <w:tcW w:w="1640" w:type="dxa"/>
            <w:vAlign w:val="bottom"/>
            <w:gridSpan w:val="5"/>
          </w:tcPr>
          <w:p>
            <w:pPr>
              <w:ind w:left="60"/>
              <w:spacing w:after="0"/>
              <w:rPr>
                <w:sz w:val="20"/>
                <w:szCs w:val="20"/>
                <w:color w:val="auto"/>
              </w:rPr>
            </w:pPr>
            <w:r>
              <w:rPr>
                <w:rFonts w:ascii="Arial" w:cs="Arial" w:eastAsia="Arial" w:hAnsi="Arial"/>
                <w:sz w:val="14"/>
                <w:szCs w:val="14"/>
                <w:b w:val="1"/>
                <w:bCs w:val="1"/>
                <w:color w:val="auto"/>
              </w:rPr>
              <w:t>at June 30, 2004</w:t>
            </w:r>
          </w:p>
        </w:tc>
        <w:tc>
          <w:tcPr>
            <w:tcW w:w="180" w:type="dxa"/>
            <w:vAlign w:val="bottom"/>
          </w:tcPr>
          <w:p>
            <w:pPr>
              <w:spacing w:after="0"/>
              <w:rPr>
                <w:sz w:val="14"/>
                <w:szCs w:val="14"/>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in 2004</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The sanofi-aventis Group</w:t>
            </w:r>
          </w:p>
        </w:tc>
        <w:tc>
          <w:tcPr>
            <w:tcW w:w="18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540" w:type="dxa"/>
            <w:vAlign w:val="bottom"/>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70.9</w:t>
            </w: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Novartis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107.0</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9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70.9</w:t>
            </w: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4"/>
          </w:tcPr>
          <w:p>
            <w:pPr>
              <w:jc w:val="right"/>
              <w:ind w:right="48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7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sanofi-aventis Group reimbursement of Regeneron VEGF Trap expenses decreased in the first half of 2005 from the same period in 2004, primarily due to lower costs in 2005 related to our manufacture of VEGF Trap clinical supplies. We manufactured clinical supplies of VEGF Trap during the first six months of 2004, but not during the first six months of 2005. In the first quarter of 2004, Novartis provided notice of its intention not to proceed with the joint development of the IL-1 Trap and the remaining balance of the $27.0 million up-front payment received from Novartis in March 2003 was recognized as contract research and development revenue. Since the first quarter of 2004, we have not received, and do not expect to receive, any further contract research and development revenue from Novartis.</w:t>
      </w:r>
    </w:p>
    <w:p>
      <w:pPr>
        <w:spacing w:after="0" w:line="85"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In March 2004, Novartis forgave all of its outstanding loans, including interest, to us, totaling $17.8 million, based upon our achievement of a pre-defined IL-1 Trap development milestone, which was recognized as a research progress payment.</w:t>
      </w:r>
    </w:p>
    <w:p>
      <w:pPr>
        <w:spacing w:after="0" w:line="62" w:lineRule="exact"/>
        <w:rPr>
          <w:sz w:val="20"/>
          <w:szCs w:val="20"/>
          <w:color w:val="auto"/>
        </w:rPr>
      </w:pPr>
    </w:p>
    <w:p>
      <w:pPr>
        <w:ind w:right="340" w:firstLine="225"/>
        <w:spacing w:after="0" w:line="279" w:lineRule="auto"/>
        <w:rPr>
          <w:sz w:val="20"/>
          <w:szCs w:val="20"/>
          <w:color w:val="auto"/>
        </w:rPr>
      </w:pPr>
      <w:r>
        <w:rPr>
          <w:rFonts w:ascii="Arial" w:cs="Arial" w:eastAsia="Arial" w:hAnsi="Arial"/>
          <w:sz w:val="17"/>
          <w:szCs w:val="17"/>
          <w:color w:val="auto"/>
        </w:rPr>
        <w:t>Contract manufacturing revenue increased to $5.5 million in the first half of 2005 from $3.9 million in the same period of 2004 as we shipped more product to Merck in 2005. Included in contract manufacturing revenue in both the first six months of 2005 and 2004 was $0.6 million of deferred revenue associated with capital improvement reimbursements paid by Merck prior to commencement of production. This deferred revenue is being recognized as product is shipped to Merck based on the total amount of product expected to be shipped over the term of the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Total operating expenses increased to $93.1 million in the first half of 2005 from $79.3 million in the same period of 2004. Operating expenses in the first half of 2005 include a total of $10.7 million of Stock Option Expense, as follows: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2005</w:t>
            </w: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Expenses</w:t>
            </w:r>
          </w:p>
        </w:tc>
        <w:tc>
          <w:tcPr>
            <w:tcW w:w="780" w:type="dxa"/>
            <w:vAlign w:val="bottom"/>
            <w:gridSpan w:val="5"/>
          </w:tcPr>
          <w:p>
            <w:pPr>
              <w:ind w:left="40"/>
              <w:spacing w:after="0" w:line="119" w:lineRule="exact"/>
              <w:rPr>
                <w:sz w:val="20"/>
                <w:szCs w:val="20"/>
                <w:color w:val="auto"/>
              </w:rPr>
            </w:pPr>
            <w:r>
              <w:rPr>
                <w:rFonts w:ascii="Arial" w:cs="Arial" w:eastAsia="Arial" w:hAnsi="Arial"/>
                <w:sz w:val="13"/>
                <w:szCs w:val="13"/>
                <w:b w:val="1"/>
                <w:bCs w:val="1"/>
                <w:color w:val="auto"/>
                <w:w w:val="91"/>
              </w:rPr>
              <w:t>Expenses as</w:t>
            </w:r>
          </w:p>
        </w:tc>
        <w:tc>
          <w:tcPr>
            <w:tcW w:w="540" w:type="dxa"/>
            <w:vAlign w:val="bottom"/>
          </w:tcPr>
          <w:p>
            <w:pPr>
              <w:spacing w:after="0"/>
              <w:rPr>
                <w:sz w:val="10"/>
                <w:szCs w:val="10"/>
                <w:color w:val="auto"/>
              </w:rPr>
            </w:pPr>
          </w:p>
        </w:tc>
        <w:tc>
          <w:tcPr>
            <w:tcW w:w="134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Stock Option</w:t>
            </w:r>
          </w:p>
        </w:tc>
        <w:tc>
          <w:tcPr>
            <w:tcW w:w="136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w w:val="95"/>
              </w:rPr>
              <w:t>Expenses exclusive of</w:t>
            </w:r>
          </w:p>
        </w:tc>
        <w:tc>
          <w:tcPr>
            <w:tcW w:w="540" w:type="dxa"/>
            <w:vAlign w:val="bottom"/>
          </w:tcPr>
          <w:p>
            <w:pPr>
              <w:spacing w:after="0"/>
              <w:rPr>
                <w:sz w:val="10"/>
                <w:szCs w:val="10"/>
                <w:color w:val="auto"/>
              </w:rPr>
            </w:pPr>
          </w:p>
        </w:tc>
        <w:tc>
          <w:tcPr>
            <w:tcW w:w="78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w w:val="93"/>
              </w:rPr>
              <w:t>Expenses as</w:t>
            </w:r>
          </w:p>
        </w:tc>
        <w:tc>
          <w:tcPr>
            <w:tcW w:w="0" w:type="dxa"/>
            <w:vAlign w:val="bottom"/>
          </w:tcPr>
          <w:p>
            <w:pPr>
              <w:spacing w:after="0"/>
              <w:rPr>
                <w:sz w:val="1"/>
                <w:szCs w:val="1"/>
                <w:color w:val="auto"/>
              </w:rPr>
            </w:pPr>
          </w:p>
        </w:tc>
      </w:tr>
      <w:tr>
        <w:trPr>
          <w:trHeight w:val="171"/>
        </w:trPr>
        <w:tc>
          <w:tcPr>
            <w:tcW w:w="6080" w:type="dxa"/>
            <w:vAlign w:val="bottom"/>
            <w:gridSpan w:val="3"/>
            <w:vMerge w:val="continue"/>
          </w:tcPr>
          <w:p>
            <w:pPr>
              <w:spacing w:after="0"/>
              <w:rPr>
                <w:sz w:val="14"/>
                <w:szCs w:val="14"/>
                <w:color w:val="auto"/>
              </w:rPr>
            </w:pPr>
          </w:p>
        </w:tc>
        <w:tc>
          <w:tcPr>
            <w:tcW w:w="780" w:type="dxa"/>
            <w:vAlign w:val="bottom"/>
            <w:gridSpan w:val="5"/>
          </w:tcPr>
          <w:p>
            <w:pPr>
              <w:ind w:left="100"/>
              <w:spacing w:after="0"/>
              <w:rPr>
                <w:sz w:val="20"/>
                <w:szCs w:val="20"/>
                <w:color w:val="auto"/>
              </w:rPr>
            </w:pPr>
            <w:r>
              <w:rPr>
                <w:rFonts w:ascii="Arial" w:cs="Arial" w:eastAsia="Arial" w:hAnsi="Arial"/>
                <w:sz w:val="14"/>
                <w:szCs w:val="14"/>
                <w:b w:val="1"/>
                <w:bCs w:val="1"/>
                <w:color w:val="auto"/>
              </w:rPr>
              <w:t>Reported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6"/>
              </w:rPr>
              <w:t>Expense</w:t>
            </w:r>
          </w:p>
        </w:tc>
        <w:tc>
          <w:tcPr>
            <w:tcW w:w="1900" w:type="dxa"/>
            <w:vAlign w:val="bottom"/>
            <w:gridSpan w:val="5"/>
          </w:tcPr>
          <w:p>
            <w:pPr>
              <w:spacing w:after="0"/>
              <w:rPr>
                <w:sz w:val="20"/>
                <w:szCs w:val="20"/>
                <w:color w:val="auto"/>
              </w:rPr>
            </w:pPr>
            <w:r>
              <w:rPr>
                <w:rFonts w:ascii="Arial" w:cs="Arial" w:eastAsia="Arial" w:hAnsi="Arial"/>
                <w:sz w:val="14"/>
                <w:szCs w:val="14"/>
                <w:b w:val="1"/>
                <w:bCs w:val="1"/>
                <w:color w:val="auto"/>
              </w:rPr>
              <w:t>Stock Option Expense</w:t>
            </w:r>
          </w:p>
        </w:tc>
        <w:tc>
          <w:tcPr>
            <w:tcW w:w="780" w:type="dxa"/>
            <w:vAlign w:val="bottom"/>
            <w:gridSpan w:val="4"/>
          </w:tcPr>
          <w:p>
            <w:pPr>
              <w:ind w:left="100"/>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76.5</w:t>
            </w: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540" w:type="dxa"/>
            <w:vAlign w:val="bottom"/>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w:t>
            </w: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Contract manufacturing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addition, $0.2 million of Stock Option Expense was capitalized into inventory, for a total of $10.9 million of Stock Option Expense recognized in the first half of 2005. Stock Option Expense was not included in operating expenses in the first half of 2004, as reported in our Statement of Operations. In the first half of 2004, had we adopted the fair value based method of accounting for stock-based employee compensation under the provisions of SFAS 123, Stock Option Expense would have totaled $17.5 million. The decrease in total Stock Option Expense of $6.6 million in the first half of 2005 was partly due to lower exercise prices of annual employee option grants made by us in December 2004 in comparison to the exercise prices of annual grants in recent prior years. Exercise prices of these option grants were generally equal to the fair market value of our Common Stock on the date of grant. The decrease in Stock Option Expense in the first half of 2005 was also due, in part, to the exchange of options by eligible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employees in connection with our stock option exchange program in January 2005, as the unamortized fair value of the surrendered options on the date of the exchange is being recognized as Stock Option Expense over a longer time period (the vesting period of the replacement options) in accordance with SFAS 123.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Research and development expenses, exclusive of Stock Option Expense, increased to $69.8 million in the first half of 2005 from $68.5 million in the same period of 2004. The following table summarizes the major categories of our research and development expenses for the six months ended June 30, 2005 and 2004:</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2005</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780" w:type="dxa"/>
            <w:vAlign w:val="bottom"/>
            <w:gridSpan w:val="5"/>
          </w:tcPr>
          <w:p>
            <w:pPr>
              <w:ind w:left="40"/>
              <w:spacing w:after="0" w:line="119" w:lineRule="exact"/>
              <w:rPr>
                <w:sz w:val="20"/>
                <w:szCs w:val="20"/>
                <w:color w:val="auto"/>
              </w:rPr>
            </w:pPr>
            <w:r>
              <w:rPr>
                <w:rFonts w:ascii="Arial" w:cs="Arial" w:eastAsia="Arial" w:hAnsi="Arial"/>
                <w:sz w:val="13"/>
                <w:szCs w:val="13"/>
                <w:b w:val="1"/>
                <w:bCs w:val="1"/>
                <w:color w:val="auto"/>
                <w:w w:val="91"/>
              </w:rPr>
              <w:t>Expenses as</w:t>
            </w:r>
          </w:p>
        </w:tc>
        <w:tc>
          <w:tcPr>
            <w:tcW w:w="540" w:type="dxa"/>
            <w:vAlign w:val="bottom"/>
          </w:tcPr>
          <w:p>
            <w:pPr>
              <w:spacing w:after="0"/>
              <w:rPr>
                <w:sz w:val="10"/>
                <w:szCs w:val="10"/>
                <w:color w:val="auto"/>
              </w:rPr>
            </w:pPr>
          </w:p>
        </w:tc>
        <w:tc>
          <w:tcPr>
            <w:tcW w:w="108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Stock Option</w:t>
            </w:r>
          </w:p>
        </w:tc>
        <w:tc>
          <w:tcPr>
            <w:tcW w:w="240" w:type="dxa"/>
            <w:vAlign w:val="bottom"/>
          </w:tcPr>
          <w:p>
            <w:pPr>
              <w:spacing w:after="0"/>
              <w:rPr>
                <w:sz w:val="10"/>
                <w:szCs w:val="10"/>
                <w:color w:val="auto"/>
              </w:rPr>
            </w:pPr>
          </w:p>
        </w:tc>
        <w:tc>
          <w:tcPr>
            <w:tcW w:w="1340" w:type="dxa"/>
            <w:vAlign w:val="bottom"/>
            <w:gridSpan w:val="4"/>
          </w:tcPr>
          <w:p>
            <w:pPr>
              <w:jc w:val="right"/>
              <w:spacing w:after="0" w:line="119" w:lineRule="exact"/>
              <w:rPr>
                <w:sz w:val="20"/>
                <w:szCs w:val="20"/>
                <w:color w:val="auto"/>
              </w:rPr>
            </w:pPr>
            <w:r>
              <w:rPr>
                <w:rFonts w:ascii="Arial" w:cs="Arial" w:eastAsia="Arial" w:hAnsi="Arial"/>
                <w:sz w:val="13"/>
                <w:szCs w:val="13"/>
                <w:b w:val="1"/>
                <w:bCs w:val="1"/>
                <w:color w:val="auto"/>
                <w:w w:val="95"/>
              </w:rPr>
              <w:t>Expenses exclusive of</w:t>
            </w:r>
          </w:p>
        </w:tc>
        <w:tc>
          <w:tcPr>
            <w:tcW w:w="540" w:type="dxa"/>
            <w:vAlign w:val="bottom"/>
          </w:tcPr>
          <w:p>
            <w:pPr>
              <w:spacing w:after="0"/>
              <w:rPr>
                <w:sz w:val="10"/>
                <w:szCs w:val="10"/>
                <w:color w:val="auto"/>
              </w:rPr>
            </w:pPr>
          </w:p>
        </w:tc>
        <w:tc>
          <w:tcPr>
            <w:tcW w:w="78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w w:val="93"/>
              </w:rPr>
              <w:t>Expenses as</w:t>
            </w:r>
          </w:p>
        </w:tc>
        <w:tc>
          <w:tcPr>
            <w:tcW w:w="0" w:type="dxa"/>
            <w:vAlign w:val="bottom"/>
          </w:tcPr>
          <w:p>
            <w:pPr>
              <w:spacing w:after="0"/>
              <w:rPr>
                <w:sz w:val="1"/>
                <w:szCs w:val="1"/>
                <w:color w:val="auto"/>
              </w:rPr>
            </w:pPr>
          </w:p>
        </w:tc>
      </w:tr>
      <w:tr>
        <w:trPr>
          <w:trHeight w:val="171"/>
        </w:trPr>
        <w:tc>
          <w:tcPr>
            <w:tcW w:w="6120" w:type="dxa"/>
            <w:vAlign w:val="bottom"/>
            <w:gridSpan w:val="4"/>
            <w:vMerge w:val="continue"/>
          </w:tcPr>
          <w:p>
            <w:pPr>
              <w:spacing w:after="0"/>
              <w:rPr>
                <w:sz w:val="14"/>
                <w:szCs w:val="14"/>
                <w:color w:val="auto"/>
              </w:rPr>
            </w:pPr>
          </w:p>
        </w:tc>
        <w:tc>
          <w:tcPr>
            <w:tcW w:w="780" w:type="dxa"/>
            <w:vAlign w:val="bottom"/>
            <w:gridSpan w:val="5"/>
          </w:tcPr>
          <w:p>
            <w:pPr>
              <w:ind w:left="100"/>
              <w:spacing w:after="0"/>
              <w:rPr>
                <w:sz w:val="20"/>
                <w:szCs w:val="20"/>
                <w:color w:val="auto"/>
              </w:rPr>
            </w:pPr>
            <w:r>
              <w:rPr>
                <w:rFonts w:ascii="Arial" w:cs="Arial" w:eastAsia="Arial" w:hAnsi="Arial"/>
                <w:sz w:val="14"/>
                <w:szCs w:val="14"/>
                <w:b w:val="1"/>
                <w:bCs w:val="1"/>
                <w:color w:val="auto"/>
              </w:rPr>
              <w:t>Reported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0"/>
              </w:rPr>
              <w:t>Expense</w:t>
            </w:r>
          </w:p>
        </w:tc>
        <w:tc>
          <w:tcPr>
            <w:tcW w:w="2120" w:type="dxa"/>
            <w:vAlign w:val="bottom"/>
            <w:gridSpan w:val="6"/>
          </w:tcPr>
          <w:p>
            <w:pPr>
              <w:ind w:left="240"/>
              <w:spacing w:after="0"/>
              <w:rPr>
                <w:sz w:val="20"/>
                <w:szCs w:val="20"/>
                <w:color w:val="auto"/>
              </w:rPr>
            </w:pPr>
            <w:r>
              <w:rPr>
                <w:rFonts w:ascii="Arial" w:cs="Arial" w:eastAsia="Arial" w:hAnsi="Arial"/>
                <w:sz w:val="14"/>
                <w:szCs w:val="14"/>
                <w:b w:val="1"/>
                <w:bCs w:val="1"/>
                <w:color w:val="auto"/>
              </w:rPr>
              <w:t>Stock Option Expense</w:t>
            </w: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w w:val="92"/>
              </w:rPr>
              <w:t>Reported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Payroll and benefits</w:t>
            </w:r>
          </w:p>
        </w:tc>
        <w:tc>
          <w:tcPr>
            <w:tcW w:w="520" w:type="dxa"/>
            <w:vAlign w:val="bottom"/>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w:t>
            </w: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tcPr>
          <w:p>
            <w:pPr>
              <w:spacing w:after="0"/>
              <w:rPr>
                <w:sz w:val="20"/>
                <w:szCs w:val="20"/>
                <w:color w:val="auto"/>
              </w:rPr>
            </w:pPr>
            <w:r>
              <w:rPr>
                <w:rFonts w:ascii="Arial" w:cs="Arial" w:eastAsia="Arial" w:hAnsi="Arial"/>
                <w:sz w:val="18"/>
                <w:szCs w:val="18"/>
                <w:color w:val="auto"/>
              </w:rPr>
              <w:t>Clinical trial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Clinical manufacturing costs (1)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tcPr>
          <w:p>
            <w:pPr>
              <w:spacing w:after="0"/>
              <w:rPr>
                <w:sz w:val="20"/>
                <w:szCs w:val="20"/>
                <w:color w:val="auto"/>
              </w:rPr>
            </w:pPr>
            <w:r>
              <w:rPr>
                <w:rFonts w:ascii="Arial" w:cs="Arial" w:eastAsia="Arial" w:hAnsi="Arial"/>
                <w:sz w:val="18"/>
                <w:szCs w:val="18"/>
                <w:color w:val="auto"/>
              </w:rPr>
              <w:t>Research and preclinical development costs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Occupancy and other operating costs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gridSpan w:val="3"/>
          </w:tcPr>
          <w:p>
            <w:pPr>
              <w:ind w:left="400"/>
              <w:spacing w:after="0"/>
              <w:rPr>
                <w:sz w:val="20"/>
                <w:szCs w:val="20"/>
                <w:color w:val="auto"/>
              </w:rPr>
            </w:pPr>
            <w:r>
              <w:rPr>
                <w:rFonts w:ascii="Arial" w:cs="Arial" w:eastAsia="Arial" w:hAnsi="Arial"/>
                <w:sz w:val="18"/>
                <w:szCs w:val="18"/>
                <w:color w:val="auto"/>
              </w:rPr>
              <w:t>Total research and development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ind w:left="560"/>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3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60" w:right="32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full cost of manufacturing drug for use in research, preclinical development and clinical trials, including related payroll and benefits, manufacturing materials and supplies, depreciation, and occupancy costs of our Rensselaer manufacturing facility.</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2004, research and development expenses as reported in our Statement of Operations did not include Stock Option Expense.</w:t>
      </w:r>
    </w:p>
    <w:p>
      <w:pPr>
        <w:spacing w:after="0" w:line="117" w:lineRule="exact"/>
        <w:rPr>
          <w:sz w:val="20"/>
          <w:szCs w:val="20"/>
          <w:color w:val="auto"/>
        </w:rPr>
      </w:pPr>
    </w:p>
    <w:p>
      <w:pPr>
        <w:ind w:right="80" w:firstLine="225"/>
        <w:spacing w:after="0" w:line="271" w:lineRule="auto"/>
        <w:rPr>
          <w:sz w:val="20"/>
          <w:szCs w:val="20"/>
          <w:color w:val="auto"/>
        </w:rPr>
      </w:pPr>
      <w:r>
        <w:rPr>
          <w:rFonts w:ascii="Arial" w:cs="Arial" w:eastAsia="Arial" w:hAnsi="Arial"/>
          <w:sz w:val="17"/>
          <w:szCs w:val="17"/>
          <w:color w:val="auto"/>
        </w:rPr>
        <w:t>Payroll and benefits, exclusive of Stock Option Expense, increased $1.6 million in the first half of 2005 compared to the same period in 2004 as we added research and development personnel to support our clinical and research programs, especially for the VEGF Trap and IL-1 Trap. Clinical trial expenses increased $2.7 million in the first half of 2005 compared to the same period in 2004 as we both initiated and prepared to initiate new trials in our VEGF Trap and IL-1 Trap clinical programs in 2005. Clinical manufacturing costs, exclusive of Stock Option Expense, decreased $2.4 million in the first half of 2005 compared to the same period in 2004 as higher costs in 2004 related to manufacturing clinical supplies of VEGF Trap were partly offset in 2005 by costs to manufacture clinical supplies of IL-1 Trap. Research and preclinical development costs decreased by $1.1 million in the first half of 2005 compared to the same period in 2004 due primarily to higher preclinical VEGF Trap development costs in 2004. Occupancy and other operating costs increased by $0.5 million in the first half of 2005 compared to the same period in 2004.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Manufacturing Expenses:</w:t>
      </w:r>
    </w:p>
    <w:p>
      <w:pPr>
        <w:spacing w:after="0" w:line="117"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Contract manufacturing expenses, exclusive of Stock Option Expense, increased to $4.1 million in the first half of 2005 from $2.8 million in the same period of 2004, primarily because we shipped more product to Merck in 2005.</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General and administrative expenses, exclusive of Stock Option Expense, increased to $8.5 million in the first half of 2005 from $8.0 million in the same period of 2004 due primarily to higher administrative personnel and facility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In June 2005, we and Procter &amp; Gamble amended our collaboration agreement and agreed that the research activities of both companies under the collaboration agreement were completed. In connection with the amendment, Procter &amp; Gamble agreed to make a one-time $5.6 million payment to us, which we recognized as other contract income in the second quarter of 2005. In January 2005, we and the sanofi-aventis Group amended our collaboration agreement to exclude rights to develop and commercialization the VEGF Trap for eye diseases through local delivery systems. In connection with the amendment, the sanofi-aventis Group made a one-time $25.0 million payment to us, which was recognized as other contract income in the first quarter of 2005. In the first quarter of 2004, Novartis notified us of its decision to forgo its right under the collaboration to jointly develop the IL-1 Trap and agreed to pay us $42.75 million to satisfy its obligation to fund development costs for the IL-1 Trap for the nine-month period following its notification and for the two months prior to that notice. The $42.75 million was included in other contract income in the first quarter of 2004.</w:t>
      </w:r>
    </w:p>
    <w:p>
      <w:pPr>
        <w:spacing w:after="0" w:line="7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Investment income increased to $4.8 million in the first half of 2005 from $2.2 million in the same period of 2004 due primarily to higher effective interest rates on investment securities in 2005. Interest expense decreased slightly to $6.0 million in the first half of 2005 from $6.1 million in the same period of 2004. Interest expense is attributable primarily to $200.0 million of convertible notes issued in October 2001, which mature in 2008 and bear interest at 5.5% per annum.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Since our inception in 1988, we have financed our operations primarily through offerings of our equity securities, a private placement of convertible debt, revenue earned under our past and present research and development and contract manufacturing agreements, including our agreements with the sanofi-aventis Group, Novartis, Procter &amp; Gamble, and Merck, and investment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Classification</w:t>
      </w:r>
    </w:p>
    <w:p>
      <w:pPr>
        <w:spacing w:after="0" w:line="117" w:lineRule="exact"/>
        <w:rPr>
          <w:sz w:val="20"/>
          <w:szCs w:val="20"/>
          <w:color w:val="auto"/>
        </w:rPr>
      </w:pPr>
    </w:p>
    <w:p>
      <w:pPr>
        <w:ind w:right="80" w:firstLine="222"/>
        <w:spacing w:after="0" w:line="273" w:lineRule="auto"/>
        <w:rPr>
          <w:sz w:val="20"/>
          <w:szCs w:val="20"/>
          <w:color w:val="auto"/>
        </w:rPr>
      </w:pPr>
      <w:r>
        <w:rPr>
          <w:rFonts w:ascii="Arial" w:cs="Arial" w:eastAsia="Arial" w:hAnsi="Arial"/>
          <w:sz w:val="17"/>
          <w:szCs w:val="17"/>
          <w:color w:val="auto"/>
        </w:rPr>
        <w:t>We have revised the classification of our investments in auction rate securities from cash and cash equivalents to short-term investments in our previously issued financial statements. Auction rate securities are securities that have stated maturities beyond three months, but are priced and traded as short-term investments due to the liquidity provided through the auction mechanism that generally resets interest rates every 28 or 35 days. The change in classification resulted in a decrease in cash and cash equivalents and corresponding increase in short-term marketable securities at each balance sheet date. In addition, we revised our statements of cash flows to reflect the purchases and sales of these securities as investing activities rather than as a component of cash and cash equivalents. This change in classification had no impact on our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previously reported current assets, net income (loss), or cash flows from operations. We held no auction rate securities at June 30, 2005.</w:t>
      </w:r>
    </w:p>
    <w:p>
      <w:pPr>
        <w:spacing w:after="0" w:line="117"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impact of the revision to the classification of our investments in auction rate securities on previously reported amounts for cash and cash equivalents and short-term marketable securities at December 31, 2004 and 2003, and cash flows provided by (used in) investing activities for the three month, six month, and nine month periods ended March 31, 2004, June 30, 2004, and September 30, 2004, respectively, and the years ended December 31, 2004 and 2003, is as follows: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Impact at December 31, 2004 and 2003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 originally reported:</w:t>
            </w: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Revised to reflect auction rate securities as short-term investments: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95.2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b w:val="1"/>
          <w:bCs w:val="1"/>
          <w:color w:val="auto"/>
        </w:rPr>
        <w:t>Statement of Cash Flows Impact for the three month, six month, and nine month periods ended March 31, June 30, and September 30, 2004, respectively, and the years ended December 31, 2004 and 2003</w:t>
      </w:r>
    </w:p>
    <w:p>
      <w:pPr>
        <w:spacing w:after="0"/>
        <w:rPr>
          <w:sz w:val="20"/>
          <w:szCs w:val="20"/>
          <w:color w:val="auto"/>
        </w:rPr>
      </w:pPr>
      <w:r>
        <w:rPr>
          <w:rFonts w:ascii="Arial" w:cs="Arial" w:eastAsia="Arial" w:hAnsi="Arial"/>
          <w:sz w:val="18"/>
          <w:szCs w:val="18"/>
          <w:b w:val="1"/>
          <w:bCs w:val="1"/>
          <w:i w:val="1"/>
          <w:i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6"/>
              </w:rPr>
              <w:t>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2"/>
                <w:szCs w:val="12"/>
                <w:color w:val="auto"/>
              </w:rPr>
            </w:pPr>
          </w:p>
        </w:tc>
        <w:tc>
          <w:tcPr>
            <w:tcW w:w="88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2004</w:t>
            </w: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As originally reported:</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Cash flows provided by (used in) investing activities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70.2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1.2</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($12.1)</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w w:val="98"/>
              </w:rPr>
              <w:t>($63.8)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Revised to reflect auction rate securities as short-term</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Cash flows provided by (used in) investing activities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73.2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4.2</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($4.7)</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w w:val="98"/>
              </w:rPr>
              <w:t>($49.6)</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These revised amounts, as applicable, are reflected in this Quarterly Report on Form 10-Q for the period ended June 30, 2005, and will be included in our Quarterly Report on Form 10-Q for the period ended September 30, 2005 and our Annual Report on Form 10-K for the year ended December 31, 2005.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2005 and 2004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Operations:</w:t>
      </w:r>
    </w:p>
    <w:p>
      <w:pPr>
        <w:spacing w:after="0" w:line="117" w:lineRule="exact"/>
        <w:rPr>
          <w:sz w:val="20"/>
          <w:szCs w:val="20"/>
          <w:color w:val="auto"/>
        </w:rPr>
      </w:pPr>
    </w:p>
    <w:p>
      <w:pPr>
        <w:ind w:right="140" w:firstLine="215"/>
        <w:spacing w:after="0" w:line="259" w:lineRule="auto"/>
        <w:rPr>
          <w:sz w:val="20"/>
          <w:szCs w:val="20"/>
          <w:color w:val="auto"/>
        </w:rPr>
      </w:pPr>
      <w:r>
        <w:rPr>
          <w:rFonts w:ascii="Arial" w:cs="Arial" w:eastAsia="Arial" w:hAnsi="Arial"/>
          <w:sz w:val="18"/>
          <w:szCs w:val="18"/>
          <w:color w:val="auto"/>
        </w:rPr>
        <w:t>At June 30, 2005, we had $351.6 million in cash, cash equivalents, and marketable securities compared with $348.9 million at December 31, 2004. In January 2005, we received two $25.0 million payments from the sanofi-aventis Group. One payment was related to a VEGF Trap clinical milestone that was earned in December 2004. The second payment related to changes to our collaboration agreement with the sanofi-aventis Group that were made in January 2005.</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In the first half of 2005, our net loss was $31.1 million but cash provided by our operations was $4.5 million, principally due to receipts during this period from the sanofi-aventis Group for (i) reimbursement of VEGF Trap development expenses incurred by us and (ii) the $25.0 million clinical milestone payment earned in December 2004. In addition, our net loss in the first half of 2005 included $11.7 million of non-cash stock-based employee compensation costs, of which $10.7 million represents Stock Option Expense resulting from our adoption of SFAS 123 in January 2005. In the first half of 2004, our net income was $50.0 million but we used $1.1 million of cash in operations. The difference between net income and cash usage was primarily due to the recognition of $39.9 million of non-cash deferred and research progress payment revenue pursuant to our collaboration agreement with Novartis.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Investing Activities:</w:t>
      </w:r>
    </w:p>
    <w:p>
      <w:pPr>
        <w:spacing w:after="0" w:line="117" w:lineRule="exact"/>
        <w:rPr>
          <w:sz w:val="20"/>
          <w:szCs w:val="20"/>
          <w:color w:val="auto"/>
        </w:rPr>
      </w:pPr>
    </w:p>
    <w:p>
      <w:pPr>
        <w:ind w:right="20" w:firstLine="225"/>
        <w:spacing w:after="0" w:line="312" w:lineRule="auto"/>
        <w:rPr>
          <w:sz w:val="20"/>
          <w:szCs w:val="20"/>
          <w:color w:val="auto"/>
        </w:rPr>
      </w:pPr>
      <w:r>
        <w:rPr>
          <w:rFonts w:ascii="Arial" w:cs="Arial" w:eastAsia="Arial" w:hAnsi="Arial"/>
          <w:sz w:val="16"/>
          <w:szCs w:val="16"/>
          <w:color w:val="auto"/>
        </w:rPr>
        <w:t>Net cash provided by investing activities increased to $44.4 million in the first half of 2005 from $4.2 million in the same period in 2004, due primarily to an increase in sales or maturities of marketable securities, net of purchases. In the first half of 2005, sales or maturities of marketable securities exceeded purchases by $47.3 million, whereas in the first half of 2004, sales or maturities of marketable securities exceeded purchases by $6.8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Cash provided by financing activities decreased to $1.0 million in the first half of 2005 from $4.4 million in the same period in 2004. In accordance with our collaboration agreement with Novartis, we elected to fund our share of 2003 IL-1 Trap development expenses through a loan from Novartis that was forgiven in March 2004 upon our achievement of a pre-defined IL-1 Trap development milestone. In the first quarter of 2004, we drew $3.8 million, excluding interest, against this loan facility for expenses incurred during 2003.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sanofi-aventis Group Agreement:</w:t>
      </w:r>
    </w:p>
    <w:p>
      <w:pPr>
        <w:spacing w:after="0" w:line="117" w:lineRule="exact"/>
        <w:rPr>
          <w:sz w:val="20"/>
          <w:szCs w:val="20"/>
          <w:color w:val="auto"/>
        </w:rPr>
      </w:pPr>
    </w:p>
    <w:p>
      <w:pPr>
        <w:jc w:val="both"/>
        <w:ind w:right="40" w:firstLine="225"/>
        <w:spacing w:after="0" w:line="276" w:lineRule="auto"/>
        <w:rPr>
          <w:sz w:val="20"/>
          <w:szCs w:val="20"/>
          <w:color w:val="auto"/>
        </w:rPr>
      </w:pPr>
      <w:r>
        <w:rPr>
          <w:rFonts w:ascii="Arial" w:cs="Arial" w:eastAsia="Arial" w:hAnsi="Arial"/>
          <w:sz w:val="17"/>
          <w:szCs w:val="17"/>
          <w:color w:val="auto"/>
        </w:rPr>
        <w:t>In January 2005, we and the sanofi-aventis Group amended our collaboration agreement to exclude rights to develop and commercialize the VEGF Trap for eye diseases through local delivery systems. In connection with this amendment, the sanofi-aventis Group made a one-time $25.0 million payment to us. Under the collaboration agreement, as amended, we and the sanofi-aventis Group will share co-promotion rights for and profits on sales, if any, of the VEGF Trap for disease indications included in our collaboration. We will manufacture clinical supplies of the VEGF Trap at our plant in Rensselaer, New York and the sanofi-aventis Group is responsible for providing commercial scale manufacturing capacity for the VEGF Trap.</w:t>
      </w:r>
    </w:p>
    <w:p>
      <w:pPr>
        <w:spacing w:after="0" w:line="64"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Under the collaboration agreement, as amended, agreed upon development expenses incurred by both companies during the term of the agreement, including costs associated with the manufacture of clinical drug supply, will be funded by the sanofi-aventis Group. If the collaboration becomes profitable, we will reimburse the sanofi-aventis Group for 50% of these development expenses, including 50% of the $25.0 million payment received in connection with the January 2005 amendment to our collaboration agreement, in accordance with a formula based on the amount of development expenses and our share of the collaboration profits, or at a faster rate at our option. In addition, if the first commercial sale of a VEGF Trap product for diseases of the eye through</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local delivery systems predates the first commercial sale of a VEGF Trap product under the collaboration, we will begin reimbursing the sanofi-aventis Group for up to $7.5 million of VEGF Trap development expenses commencing two years after such initial commercialization outside the collaboration in accordance with a formula until the first commercial VEGF Trap sale under the collaboration occurs.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Our additions to property, plant, and equipment totaled $3.8 million and $2.9 million for the first six months of 2005 and 2004, respectively. During the remainder of 2005, we expect to incur approximately $4 million to $6 million in capital expenditures which primarily consists of equipment for our manufacturing, research, and development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460" w:firstLine="222"/>
        <w:spacing w:after="0" w:line="276" w:lineRule="auto"/>
        <w:rPr>
          <w:sz w:val="20"/>
          <w:szCs w:val="20"/>
          <w:color w:val="auto"/>
        </w:rPr>
      </w:pPr>
      <w:r>
        <w:rPr>
          <w:rFonts w:ascii="Arial" w:cs="Arial" w:eastAsia="Arial" w:hAnsi="Arial"/>
          <w:sz w:val="17"/>
          <w:szCs w:val="17"/>
          <w:color w:val="auto"/>
        </w:rPr>
        <w:t>We expect to continue to incur substantial funding requirements primarily for research and development activities (including preclinical and clinical testing). We currently anticipate that for all of 2005, approximately 55%-65% of our expenditures will be directed toward the preclinical and clinical development of product candidates, including the VEGF Trap for oncology, VEGF Trap for eye diseases, IL-1 Trap, and IL-4/13 Trap; approximately 20%-30% of our expenditures will be applied to our basic research activities and the continued development of our novel technology platforms; and the remainder of our expenditures for 2005 will be used for capital expenditures and general corporate purposes.</w:t>
      </w:r>
    </w:p>
    <w:p>
      <w:pPr>
        <w:spacing w:after="0" w:line="64" w:lineRule="exact"/>
        <w:rPr>
          <w:sz w:val="20"/>
          <w:szCs w:val="20"/>
          <w:color w:val="auto"/>
        </w:rPr>
      </w:pPr>
    </w:p>
    <w:p>
      <w:pPr>
        <w:ind w:right="60" w:firstLine="222"/>
        <w:spacing w:after="0" w:line="253" w:lineRule="auto"/>
        <w:rPr>
          <w:sz w:val="20"/>
          <w:szCs w:val="20"/>
          <w:color w:val="auto"/>
        </w:rPr>
      </w:pPr>
      <w:r>
        <w:rPr>
          <w:rFonts w:ascii="Arial" w:cs="Arial" w:eastAsia="Arial" w:hAnsi="Arial"/>
          <w:sz w:val="18"/>
          <w:szCs w:val="18"/>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any collaborative research and development collaborations. Clinical trial costs are dependent, among other things, on the size and duration of trials, fees charged for services provided by clinical trial investigators and other third parties, the costs for manufacturing the product candidate for use in the trials, supplies, laboratory tests, and other expenses. The amount of funding that will be required for our clinical programs depends upon the results of our research and preclinical programs and early-stage clinical trials, regulatory requirements, the clinical trials underway plus additional clinical trials that we decide to initiate, and the various factors that affect the cost of each trial as described above. In the future, if we are able to successfully develop, market, and sell certain of our product candidates, we may be required to pay royalties or otherwise share the profits generated on such sales in connection with our collaboration and licensing agreements.</w:t>
      </w:r>
    </w:p>
    <w:p>
      <w:pPr>
        <w:spacing w:after="0" w:line="87" w:lineRule="exact"/>
        <w:rPr>
          <w:sz w:val="20"/>
          <w:szCs w:val="20"/>
          <w:color w:val="auto"/>
        </w:rPr>
      </w:pPr>
    </w:p>
    <w:p>
      <w:pPr>
        <w:ind w:right="60" w:firstLine="215"/>
        <w:spacing w:after="0" w:line="257" w:lineRule="auto"/>
        <w:rPr>
          <w:sz w:val="20"/>
          <w:szCs w:val="20"/>
          <w:color w:val="auto"/>
        </w:rPr>
      </w:pPr>
      <w:r>
        <w:rPr>
          <w:rFonts w:ascii="Arial" w:cs="Arial" w:eastAsia="Arial" w:hAnsi="Arial"/>
          <w:sz w:val="18"/>
          <w:szCs w:val="18"/>
          <w:color w:val="auto"/>
        </w:rPr>
        <w:t>Also, under the terms of the the sanofi-aventis Group collaboration agreement, if the collaboration becomes profitable, we will reimburse the sanofi-aventis Group for 50% of the VEGF Trap development expenses, including 50% of the $25.0 million payment received in connection with amending our collaboration agreement in January 2005, in accordance with a formula based on the amount of development expenses and our share of the collaboration profits, or at a faster rate at our option. In addition, if the first commercial sale of a VEGF Trap product for diseases of the eye through local delivery systems predates the first commercial sale of a VEGF Trap product under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collaboration, we will begin reimbursing the sanofi-aventis Group for up to $7.5 million of VEGF Trap development expenses commencing two years after such initial commercialization outside the collaboration in accordance with a formula until the first commercial VEGF Trap sale under the collaboration occurs. The sanofi-aventis Group has the right to terminate the agreement without cause with at least twelve months advance notice. Upon termination of the agreement for any reason, any remaining obligation to reimburse the sanofi-aventis Group for 50% of the VEGF Trap development expenses will terminate and we will retain all rights to the VEGF Trap.</w:t>
      </w:r>
    </w:p>
    <w:p>
      <w:pPr>
        <w:spacing w:after="0" w:line="80"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62" w:lineRule="exact"/>
        <w:rPr>
          <w:sz w:val="20"/>
          <w:szCs w:val="20"/>
          <w:color w:val="auto"/>
        </w:rPr>
      </w:pPr>
    </w:p>
    <w:p>
      <w:pPr>
        <w:ind w:firstLine="222"/>
        <w:spacing w:after="0" w:line="268" w:lineRule="auto"/>
        <w:rPr>
          <w:sz w:val="20"/>
          <w:szCs w:val="20"/>
          <w:color w:val="auto"/>
        </w:rPr>
      </w:pPr>
      <w:r>
        <w:rPr>
          <w:rFonts w:ascii="Arial" w:cs="Arial" w:eastAsia="Arial" w:hAnsi="Arial"/>
          <w:sz w:val="17"/>
          <w:szCs w:val="17"/>
          <w:color w:val="auto"/>
        </w:rPr>
        <w:t>We believe that our existing capital resources will enable us to meet operating needs through at least mid-2007. However, this is a forward-looking statement based on our current operating plan, and there may be a change in projected revenues or expenses that would lead to our capital being consumed significantly before such time. If there is insufficient capital to fund all of our planned operations and activities, we believe we would prioritize available capital to fund preclinical and clinical development of our product candidates. We have no off-balance sheet arrangements and do not guarantee the obligations of any other entity. As of June 30, 2005,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In January 2005, we filed a shelf registration statement on Form S-3 to sell, in one or more offerings, up to $200.0 million of equity or debt securities, together or separately, which registration statement was declared effective in February 2005. However, there is no assurance that we will be able to complete any such offerings of securities.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During the six months ended June 30, 2005, there were no changes to our critical accounting policies and significant judgments and estimates, as described in our Annual Report on Form 10-K for the year ended December 31, 2004.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121"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 xml:space="preserve">In December 2004, the Financial Accounting Standards Board issued SFAS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123R is a revision of SFAS 123, </w:t>
      </w:r>
      <w:r>
        <w:rPr>
          <w:rFonts w:ascii="Arial" w:cs="Arial" w:eastAsia="Arial" w:hAnsi="Arial"/>
          <w:sz w:val="18"/>
          <w:szCs w:val="18"/>
          <w:i w:val="1"/>
          <w:iCs w:val="1"/>
          <w:color w:val="auto"/>
        </w:rPr>
        <w:t xml:space="preserve">Accounting for Stock-Based Compensation </w:t>
      </w:r>
      <w:r>
        <w:rPr>
          <w:rFonts w:ascii="Arial" w:cs="Arial" w:eastAsia="Arial" w:hAnsi="Arial"/>
          <w:sz w:val="18"/>
          <w:szCs w:val="18"/>
          <w:color w:val="auto"/>
        </w:rPr>
        <w:t>(which we adopted effective January 1, 2005), and supersedes APB 25,</w:t>
      </w:r>
      <w:r>
        <w:rPr>
          <w:rFonts w:ascii="Arial" w:cs="Arial" w:eastAsia="Arial" w:hAnsi="Arial"/>
          <w:sz w:val="18"/>
          <w:szCs w:val="18"/>
          <w:i w:val="1"/>
          <w:iCs w:val="1"/>
          <w:color w:val="auto"/>
        </w:rPr>
        <w:t xml:space="preserve"> Accounting for Stock Issued to Employees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its related implementation guidance. SFAS 123R focuses primarily on accounting for transactions in which an entity obtains employee services in share-based payment transactions, and requires the recognition of compensation expense in an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amount equal to the fair value of the share-based payment (including stock options and restricted stock) issued to employees. SFAS 123R is effective for fiscal years beginning after June 15, 2005. In March 2005, the U.S. Securities and Exchange Commission (SEC) issued Staff Accounting Bulletin No. 107 (SAB 107) which expresses views of the SEC staff regarding the application of SFAS 123R. Among other things, SAB 107 provides interpretive guidance related to the interaction between SFAS 123R and certain SEC rules and regulations as well as the SEC staff’s views regarding the valuation of share-based payment arrangements for public companies. We will be required to adopt SFAS 123R effective for the fiscal year beginning January 1, 2006, and intend to do so using the modified prospective method. Under the modified prospective method, compensation cost is recognized beginning with the effective date based on (a) the requirements of SFAS 123R for all share-based payments granted after the effective date and (b) the requirements of SFAS 123 for all awards granted to employees prior to the effective date of SFAS 123R that remain unvested on the effective date. In addition, we will consider the guidance of SAB 107 as we adopt SFAS 123R. Although the impact of adopting SFAS 123R has not yet been quantified, management believes that the future adoption of this standard may have a material impact on our financial statements.</w:t>
      </w:r>
    </w:p>
    <w:p>
      <w:pPr>
        <w:spacing w:after="0" w:line="70" w:lineRule="exact"/>
        <w:rPr>
          <w:sz w:val="20"/>
          <w:szCs w:val="20"/>
          <w:color w:val="auto"/>
        </w:rPr>
      </w:pPr>
    </w:p>
    <w:p>
      <w:pPr>
        <w:ind w:right="140" w:firstLine="225"/>
        <w:spacing w:after="0" w:line="273" w:lineRule="auto"/>
        <w:rPr>
          <w:sz w:val="20"/>
          <w:szCs w:val="20"/>
          <w:color w:val="auto"/>
        </w:rPr>
      </w:pPr>
      <w:r>
        <w:rPr>
          <w:rFonts w:ascii="Arial" w:cs="Arial" w:eastAsia="Arial" w:hAnsi="Arial"/>
          <w:sz w:val="17"/>
          <w:szCs w:val="17"/>
          <w:color w:val="auto"/>
        </w:rPr>
        <w:t xml:space="preserve">In March 2005, the FASB issued SFAS 154, </w:t>
      </w:r>
      <w:r>
        <w:rPr>
          <w:rFonts w:ascii="Arial" w:cs="Arial" w:eastAsia="Arial" w:hAnsi="Arial"/>
          <w:sz w:val="17"/>
          <w:szCs w:val="17"/>
          <w:i w:val="1"/>
          <w:iCs w:val="1"/>
          <w:color w:val="auto"/>
        </w:rPr>
        <w:t>Accounting Changes and Error Corrections</w:t>
      </w:r>
      <w:r>
        <w:rPr>
          <w:rFonts w:ascii="Arial" w:cs="Arial" w:eastAsia="Arial" w:hAnsi="Arial"/>
          <w:sz w:val="17"/>
          <w:szCs w:val="17"/>
          <w:color w:val="auto"/>
        </w:rPr>
        <w:t xml:space="preserve">. SFAS 154 replaces APB Opinion No. 20, </w:t>
      </w:r>
      <w:r>
        <w:rPr>
          <w:rFonts w:ascii="Arial" w:cs="Arial" w:eastAsia="Arial" w:hAnsi="Arial"/>
          <w:sz w:val="17"/>
          <w:szCs w:val="17"/>
          <w:i w:val="1"/>
          <w:iCs w:val="1"/>
          <w:color w:val="auto"/>
        </w:rPr>
        <w:t>Accounting Changes</w:t>
      </w:r>
      <w:r>
        <w:rPr>
          <w:rFonts w:ascii="Arial" w:cs="Arial" w:eastAsia="Arial" w:hAnsi="Arial"/>
          <w:sz w:val="17"/>
          <w:szCs w:val="17"/>
          <w:color w:val="auto"/>
        </w:rPr>
        <w:t xml:space="preserve">, and SFAS 3, </w:t>
      </w:r>
      <w:r>
        <w:rPr>
          <w:rFonts w:ascii="Arial" w:cs="Arial" w:eastAsia="Arial" w:hAnsi="Arial"/>
          <w:sz w:val="17"/>
          <w:szCs w:val="17"/>
          <w:i w:val="1"/>
          <w:iCs w:val="1"/>
          <w:color w:val="auto"/>
        </w:rPr>
        <w:t>Reporting Accounting Changes in Interim Financial Statements</w:t>
      </w:r>
      <w:r>
        <w:rPr>
          <w:rFonts w:ascii="Arial" w:cs="Arial" w:eastAsia="Arial" w:hAnsi="Arial"/>
          <w:sz w:val="17"/>
          <w:szCs w:val="17"/>
          <w:color w:val="auto"/>
        </w:rPr>
        <w:t>, and requires retrospective application to prior-period financial statements of changes in accounting principle, unless it is impracticable to determine either the period-specific effects or the cumulative effect of a change. SFAS 154 also redefines “restatement” as the revising of previously issued financial statements to reflect the correction of an error. SFAS 154 is effective for accounting changes and corrections of errors made in fiscal years beginning after December 15, 2005. We are required to adopt the provisions of SFAS 154, as applicable, effective for the fiscal year beginning January 1, 2006.</w:t>
      </w:r>
    </w:p>
    <w:p>
      <w:pPr>
        <w:spacing w:after="0" w:line="70" w:lineRule="exact"/>
        <w:rPr>
          <w:sz w:val="20"/>
          <w:szCs w:val="20"/>
          <w:color w:val="auto"/>
        </w:rPr>
      </w:pPr>
    </w:p>
    <w:p>
      <w:pPr>
        <w:ind w:right="160" w:firstLine="225"/>
        <w:spacing w:after="0" w:line="272" w:lineRule="auto"/>
        <w:rPr>
          <w:sz w:val="20"/>
          <w:szCs w:val="20"/>
          <w:color w:val="auto"/>
        </w:rPr>
      </w:pPr>
      <w:r>
        <w:rPr>
          <w:rFonts w:ascii="Arial" w:cs="Arial" w:eastAsia="Arial" w:hAnsi="Arial"/>
          <w:sz w:val="17"/>
          <w:szCs w:val="17"/>
          <w:color w:val="auto"/>
        </w:rPr>
        <w:t xml:space="preserve">In March 2005, the FASB issued Interpretation No. 47, </w:t>
      </w:r>
      <w:r>
        <w:rPr>
          <w:rFonts w:ascii="Arial" w:cs="Arial" w:eastAsia="Arial" w:hAnsi="Arial"/>
          <w:sz w:val="17"/>
          <w:szCs w:val="17"/>
          <w:i w:val="1"/>
          <w:iCs w:val="1"/>
          <w:color w:val="auto"/>
        </w:rPr>
        <w:t>Accounting for Conditional Asset Retirement Obligations</w:t>
      </w:r>
      <w:r>
        <w:rPr>
          <w:rFonts w:ascii="Arial" w:cs="Arial" w:eastAsia="Arial" w:hAnsi="Arial"/>
          <w:sz w:val="17"/>
          <w:szCs w:val="17"/>
          <w:color w:val="auto"/>
        </w:rPr>
        <w:t xml:space="preserve"> (FIN 47) which clarifies that the term “conditional asset retirement”, as used in SFAS 143, </w:t>
      </w:r>
      <w:r>
        <w:rPr>
          <w:rFonts w:ascii="Arial" w:cs="Arial" w:eastAsia="Arial" w:hAnsi="Arial"/>
          <w:sz w:val="17"/>
          <w:szCs w:val="17"/>
          <w:i w:val="1"/>
          <w:iCs w:val="1"/>
          <w:color w:val="auto"/>
        </w:rPr>
        <w:t>Accounting for Asset Retirement Obligations,</w:t>
      </w:r>
      <w:r>
        <w:rPr>
          <w:rFonts w:ascii="Arial" w:cs="Arial" w:eastAsia="Arial" w:hAnsi="Arial"/>
          <w:sz w:val="17"/>
          <w:szCs w:val="17"/>
          <w:color w:val="auto"/>
        </w:rPr>
        <w:t xml:space="preserve"> refers to a legal obligation to perform an asset retirement activity in which the timing and/or method of settlement are conditional on a future event that may or may not be within the control of the entity. FIN 47 requires that a liability be recognized for the fair value of a conditional asset retirement obligation when incurred, if the fair value of the liability can be reasonably estimated. Uncertainty about the timing and method of settlement of a conditional asset retirement obligation would be factored into the measurement of the liability when sufficient information exists. FIN 47 is effective no later than the end of fiscal years ending after December 15, 2005. Management believes that the future adoption of FIN 47 will not have a material impact on our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 and our actual results may differ substantially from those discussed in these forward-looking statements. Additional risks and</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uncertainties not currently known to us or that we currently deem immaterial may also impair our business operations. Furthermore, additional risks and uncertainties are described under other captions in this report and our Annual Report on Form 10-K and should be considered by our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Additional Financing</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had a history of operating losses and we may never achieve profitability. If we continue to incur operating losses, we may be unable to continue our operations.</w:t>
      </w:r>
    </w:p>
    <w:p>
      <w:pPr>
        <w:spacing w:after="0" w:line="62"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From inception on January 8, 1988 through June 30, 2005, we had a cumulative loss of $521.0 million. If we continue to incur operating losses and fail to become a profitable company, we may be unable to continue our operations. We have no products that are available for sale and do not know when we will have products available for sale, if ever. In the absence of revenue from the sale of products or other sources, the amount, timing, nature or source of which cannot be predicted, our losses will continue as we conduct our research and development activities. We currently receive contract manufacturing revenue from our agreement with Merck and, until June 30, 2005, we received contract research and development revenue from our agreement with Procter &amp; Gamble. Our agreement with Merck is scheduled to expire before the end of 2006, unless extended for one additional year by Merck. Our agreement with Procter &amp; Gamble expired in June 2005. The expiration of these agreements will result in a significant loss of revenue to the Company, which may negatively affect our business, operating results, and financial condition.</w:t>
      </w:r>
    </w:p>
    <w:p>
      <w:pPr>
        <w:spacing w:after="0" w:line="7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will need additional funding in the future, which may not be available to us, and which may force us to delay, reduce or eliminate our product development programs or commercialization efforts.</w:t>
      </w:r>
    </w:p>
    <w:p>
      <w:pPr>
        <w:spacing w:after="0" w:line="62" w:lineRule="exact"/>
        <w:rPr>
          <w:sz w:val="20"/>
          <w:szCs w:val="20"/>
          <w:color w:val="auto"/>
        </w:rPr>
      </w:pPr>
    </w:p>
    <w:p>
      <w:pPr>
        <w:ind w:right="100" w:firstLine="222"/>
        <w:spacing w:after="0" w:line="290" w:lineRule="auto"/>
        <w:rPr>
          <w:sz w:val="20"/>
          <w:szCs w:val="20"/>
          <w:color w:val="auto"/>
        </w:rPr>
      </w:pPr>
      <w:r>
        <w:rPr>
          <w:rFonts w:ascii="Arial" w:cs="Arial" w:eastAsia="Arial" w:hAnsi="Arial"/>
          <w:sz w:val="16"/>
          <w:szCs w:val="16"/>
          <w:color w:val="auto"/>
        </w:rPr>
        <w:t>We will need to expend substantial resources for research and development, including costs associated with clinical testing of our product candidates. We believe our existing capital resources will enable us to meet operating needs through at least mid-2007; however, our projected revenue may decrease or our expenses may increase and that would lead to our capital being consumed significantly before such time. We will likely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our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5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a significant amount of debt and may have insufficient cash to satisfy our debt service and repayment obligations. In addition, the amount of our debt could impede our operations and flexibility.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have a significant amount of convertible debt and semi-annual interest payment obligations. This debt, unless converted to shares of our common stock, will mature in October 2008. We may be unable to generate sufficient cash flow or otherwise obtain funds necessary to make required payments on our debt. Even if we are able to meet our debt service obligations, the amount of debt we already have could hurt our ability to obtain any necessary financing in the future for working capital, capital expenditures, debt service requirements or other purposes. In addition, our debt obligations could require us to use a substantial portion of cash to pay principal and interest on our debt, instead of applying those funds to other purposes, such as research and development, working capital, and capital expenditures.</w:t>
      </w:r>
    </w:p>
    <w:p>
      <w:pPr>
        <w:spacing w:after="0" w:line="85" w:lineRule="exact"/>
        <w:rPr>
          <w:sz w:val="20"/>
          <w:szCs w:val="20"/>
          <w:color w:val="auto"/>
        </w:rPr>
      </w:pPr>
    </w:p>
    <w:p>
      <w:pPr>
        <w:ind w:right="680"/>
        <w:spacing w:after="0" w:line="375" w:lineRule="auto"/>
        <w:rPr>
          <w:sz w:val="20"/>
          <w:szCs w:val="20"/>
          <w:color w:val="auto"/>
        </w:rPr>
      </w:pPr>
      <w:r>
        <w:rPr>
          <w:rFonts w:ascii="Arial" w:cs="Arial" w:eastAsia="Arial" w:hAnsi="Arial"/>
          <w:sz w:val="15"/>
          <w:szCs w:val="15"/>
          <w:b w:val="1"/>
          <w:bCs w:val="1"/>
          <w:i w:val="1"/>
          <w:iCs w:val="1"/>
          <w:color w:val="auto"/>
        </w:rPr>
        <w:t>We have adopted, effective January 1, 2005, the fair market value based method of accounting for stock-based employee compensation. This will materially increase operating expenses in our Statement of Operations, primarily due to non-cash compensation costs related to stock options.</w:t>
      </w:r>
    </w:p>
    <w:p>
      <w:pPr>
        <w:spacing w:after="0" w:line="1" w:lineRule="exact"/>
        <w:rPr>
          <w:sz w:val="20"/>
          <w:szCs w:val="20"/>
          <w:color w:val="auto"/>
        </w:rPr>
      </w:pPr>
    </w:p>
    <w:p>
      <w:pPr>
        <w:ind w:right="60" w:firstLine="222"/>
        <w:spacing w:after="0" w:line="271" w:lineRule="auto"/>
        <w:rPr>
          <w:sz w:val="20"/>
          <w:szCs w:val="20"/>
          <w:color w:val="auto"/>
        </w:rPr>
      </w:pPr>
      <w:r>
        <w:rPr>
          <w:rFonts w:ascii="Arial" w:cs="Arial" w:eastAsia="Arial" w:hAnsi="Arial"/>
          <w:sz w:val="17"/>
          <w:szCs w:val="17"/>
          <w:color w:val="auto"/>
        </w:rPr>
        <w:t xml:space="preserve">We have adopted, effective January 1, 2005, the fair value based method of accounting for stock-based employee compensation under the provisions of SFAS 123, </w:t>
      </w:r>
      <w:r>
        <w:rPr>
          <w:rFonts w:ascii="Arial" w:cs="Arial" w:eastAsia="Arial" w:hAnsi="Arial"/>
          <w:sz w:val="17"/>
          <w:szCs w:val="17"/>
          <w:i w:val="1"/>
          <w:iCs w:val="1"/>
          <w:color w:val="auto"/>
        </w:rPr>
        <w:t>Accounting for Stock Based Compensation</w:t>
      </w:r>
      <w:r>
        <w:rPr>
          <w:rFonts w:ascii="Arial" w:cs="Arial" w:eastAsia="Arial" w:hAnsi="Arial"/>
          <w:sz w:val="17"/>
          <w:szCs w:val="17"/>
          <w:color w:val="auto"/>
        </w:rPr>
        <w:t xml:space="preserve">, using the modified prospective method as described in SFAS 148, </w:t>
      </w:r>
      <w:r>
        <w:rPr>
          <w:rFonts w:ascii="Arial" w:cs="Arial" w:eastAsia="Arial" w:hAnsi="Arial"/>
          <w:sz w:val="17"/>
          <w:szCs w:val="17"/>
          <w:i w:val="1"/>
          <w:iCs w:val="1"/>
          <w:color w:val="auto"/>
        </w:rPr>
        <w:t>Accounting for Stock Based</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 Transition and Disclosure</w:t>
      </w:r>
      <w:r>
        <w:rPr>
          <w:rFonts w:ascii="Arial" w:cs="Arial" w:eastAsia="Arial" w:hAnsi="Arial"/>
          <w:sz w:val="17"/>
          <w:szCs w:val="17"/>
          <w:color w:val="auto"/>
        </w:rPr>
        <w:t>. As a result, we have begun recognizing expense in an amount equal to the fair value of share-based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stock option awards) on their date of grant over the vesting period of the awards. Although the impact of adopting SFAS 123 has not been quantified for the full year 2005, in the first half of 2005, non-cash stock-based employee compensation expense of $10.7 million related to stock options awards was recognized in operating expenses in our Statement of Operations, which decreased our basic net income per share by $0.19 per share. Also, if we had adopted SFAS 123 effective January 1, 2004, our net income for the full year 2004 would have decreased by approximately $33.6 million and our basic net income per share in 2004 would have been $0.15 per share instead of $0.75 per share.</w:t>
      </w:r>
    </w:p>
    <w:p>
      <w:pPr>
        <w:spacing w:after="0" w:line="7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In addition, in December 2004, the FASB issued SFAS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which is a revision of SFAS 123 and supersedes APB 25,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Stock Issued to Employees</w:t>
      </w:r>
      <w:r>
        <w:rPr>
          <w:rFonts w:ascii="Arial" w:cs="Arial" w:eastAsia="Arial" w:hAnsi="Arial"/>
          <w:sz w:val="18"/>
          <w:szCs w:val="18"/>
          <w:color w:val="auto"/>
        </w:rPr>
        <w:t>. SFAS 123R requires the recognition of compensation expense in an amount equal to the fair value of share-based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stock options) issued to employees. We will be required to adopt SFAS 123R effective for the fiscal year beginning January 1, 2006. The impact of adopting SFAS 123R has not yet been quantified.</w:t>
      </w:r>
    </w:p>
    <w:p>
      <w:pPr>
        <w:spacing w:after="0" w:line="79"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 negative impact on our income (loss) as a result of adopting SFAS 123 as of January 1, 2005, and subsequently adopting SFAS 123R commencing January 1, 2006, may negatively affect our stock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development of any of our product candidates is highly uncertain.</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Only a small minority of all research and development programs ultimately result in commercially successful drugs. We have never developed a drug that has been approved for marketing and sale, and we may never succeed in developing an approved drug. Even if clinical</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payors and on our and our partners’ ability to successfully manufacture and commercialize our product candidates. Our product candidates are delivered either by intravenous infusion or by intravitreal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85"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In October 2003, we reported results from the first phase 2 trial of our IL-1 Trap in rheumatoid arthritis. We have initiated a large-scale rheumatoid arthritis trial of the IL-1 Trap in a larger patient population, testing higher doses than were tested in the previous phase 2 trial for a longer period of time. However, higher doses may not lead to better results than were demonstrated in the previous phase 2 trial. In addition, safety or tolerability concerns may arise which limit our ability to deliver higher doses of the IL-1 Trap to patients. The dose levels that are being tested are substantially higher than the dose levels of other biological therapeutics currently approved for the treatment of rheumatoid arthritis. The higher doses may affect the safety and/or tolerability of the IL-1 Trap, which could delay or prevent its being approved for marketing and sale and could limit its commercial potential if the product candidate is ever approved.</w:t>
      </w:r>
    </w:p>
    <w:p>
      <w:pPr>
        <w:spacing w:after="0" w:line="81"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intend to study our lead product candidates, the VEGF Trap and IL-1 Trap, in a wide variety of indications. We intend to study the VEGF Trap in a variety of cancer settings and ophthalmologic indications and the IL-1 Trap in a wide variety of inflammatory disorders. The specific indications were selected based on available preclinical and clinical data from medical publications, our product candidates, and competitive agents. The purpose of these exploratory studies is to identify what diseases, if any, are best suited for treatment with these product candidates. However, it is likely that our product candidates will not demonstrate the requisite efficacy and/or safety profile to support continued development for most of the indications that are to be studied in these studies. In fact, our product candidates may not demonstrate the requisite efficacy and safety profile to support the continued development for any of the indications studied in these early-stage trials.</w:t>
      </w:r>
    </w:p>
    <w:p>
      <w:pPr>
        <w:spacing w:after="0" w:line="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Clinical trials required for our product candidates are expensive and time-consuming, and their outcome is highly uncertain. If any of our drug trials are delayed or achieve unfavorable results, we will have to delay or may be unable to obtain regulatory approval for our product candidates.</w:t>
      </w:r>
    </w:p>
    <w:p>
      <w:pPr>
        <w:spacing w:after="0" w:line="16"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and the failure of clinical investigators, trial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monitors and other consultants, or trial subjects to comply with the trial plan or protocol. A clinical trial may fail because it did not include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 For example, we are studying higher doses of the IL-1 Trap after a previous phase 2 trial of the IL-1 Trap in subjects with rheumatoid arthritis failed to achieve its primary endpoint.</w:t>
      </w:r>
    </w:p>
    <w:p>
      <w:pPr>
        <w:spacing w:after="0" w:line="80"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us, have suffered significant setbacks in clinical trials, even after promising results have been obtained in earlier trials. The failure of clinical trials to demonstrate safety and effectiveness for the desired indication(s) could harm the development of the product candidate(s), and our business, financial condition, and results of operations may be materially harmed.</w:t>
      </w:r>
    </w:p>
    <w:p>
      <w:pPr>
        <w:spacing w:after="0" w:line="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development of serious or life-threatening side effects with any of our product candidates would lead to delay or discontinuation of development, which could severely harm our business.</w:t>
      </w:r>
    </w:p>
    <w:p>
      <w:pPr>
        <w:spacing w:after="0" w:line="62"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Although our current drug candidates appeared to be generally well tolerated in clinical trials conducted to date, it is possible as we test any of them in larger, longer, and more extensive clinical programs, illnesses, injuries, and discomforts that were observed in earlier trials, as well as conditions that did not occur or went undetected in smaller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58" w:lineRule="exact"/>
        <w:rPr>
          <w:sz w:val="20"/>
          <w:szCs w:val="20"/>
          <w:color w:val="auto"/>
        </w:rPr>
      </w:pPr>
    </w:p>
    <w:p>
      <w:pPr>
        <w:ind w:right="260" w:firstLine="225"/>
        <w:spacing w:after="0" w:line="293" w:lineRule="auto"/>
        <w:rPr>
          <w:sz w:val="20"/>
          <w:szCs w:val="20"/>
          <w:color w:val="auto"/>
        </w:rPr>
      </w:pPr>
      <w:r>
        <w:rPr>
          <w:rFonts w:ascii="Arial" w:cs="Arial" w:eastAsia="Arial" w:hAnsi="Arial"/>
          <w:sz w:val="16"/>
          <w:szCs w:val="16"/>
          <w:color w:val="auto"/>
        </w:rPr>
        <w:t>Our VEGF Trap is being studied for the potential treatment of certain types of cancer and diseases of the eye. There are many potential safety concerns associated with significant blockade of vascular endothelial growth factor, or VEGF. These risks, based on the clinical and preclinical experience of systemically delivered VEGF inhibitors, including the VEGF Trap, include bleeding, hypertension, and proteinuria. These serious side effects and other serious side effects have been reported in our VEGF Trap studies in cancer and diseases of the eye. In addition, patients given infusions of any protein, including the VEGF Trap delivered through intravenous administration, may develop severe hypersensitivity reactions, referred to as infusion reactions. These and other complications or side effects could harm the development of the VEGF Trap for either the treatment of cancer or diseases of the eye.</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15"/>
        <w:spacing w:after="0" w:line="293" w:lineRule="auto"/>
        <w:rPr>
          <w:sz w:val="20"/>
          <w:szCs w:val="20"/>
          <w:color w:val="auto"/>
        </w:rPr>
      </w:pPr>
      <w:r>
        <w:rPr>
          <w:rFonts w:ascii="Arial" w:cs="Arial" w:eastAsia="Arial" w:hAnsi="Arial"/>
          <w:sz w:val="16"/>
          <w:szCs w:val="16"/>
          <w:color w:val="auto"/>
        </w:rPr>
        <w:t>Although the IL-1 Trap was generally well tolerated and was not associated with any drug-related serious adverse events in the phase 2 rheumatoid arthritis study completed in 2003, safety or tolerability concerns may arise as we test higher doses of the IL-1 Trap in patients with rheumatoid arthritis and other inflammatory diseases and disorders. Like TNF-antagonists such as EnbrelÒ (a registered trademark of Amgen) and RemicadeÒ (a registered trademark of Centocor), the IL-1 Trap affects the immune defense system of the body by blocking some of its functions. Therefore, there may be an increased risk for infections to develop in patients treated with the IL-1 Trap. In addition, patients given infusions of the IL-1 Trap have developed hypersensitivity reactions, referred to as infusion reactions. These and other complications or side effects could harm the development of the IL-1 Trap.</w:t>
      </w:r>
    </w:p>
    <w:p>
      <w:pPr>
        <w:spacing w:after="0" w:line="5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62"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appearance is often delayed, so that there can be no assurance that neutralizing antibodies will not be created at a later date — in some cases even after pivotal clinical trials have been completed. Subjects who received the IL-1 Trap in clinical trials have developed antibodies. It is possible that as we test the VEGF Trap with more sensitive assays in different patient populations and larger clinical trials, we will find that subjects given the VEGF Trap develop antibodies to the product candidate.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regulatory approval for our product candidates, we will not be able to market or sell them.</w:t>
      </w:r>
    </w:p>
    <w:p>
      <w:pPr>
        <w:spacing w:after="0" w:line="117" w:lineRule="exact"/>
        <w:rPr>
          <w:sz w:val="20"/>
          <w:szCs w:val="20"/>
          <w:color w:val="auto"/>
        </w:rPr>
      </w:pPr>
    </w:p>
    <w:p>
      <w:pPr>
        <w:ind w:right="80" w:firstLine="222"/>
        <w:spacing w:after="0" w:line="273" w:lineRule="auto"/>
        <w:rPr>
          <w:sz w:val="20"/>
          <w:szCs w:val="20"/>
          <w:color w:val="auto"/>
        </w:rPr>
      </w:pPr>
      <w:r>
        <w:rPr>
          <w:rFonts w:ascii="Arial" w:cs="Arial" w:eastAsia="Arial" w:hAnsi="Arial"/>
          <w:sz w:val="17"/>
          <w:szCs w:val="17"/>
          <w:color w:val="auto"/>
        </w:rPr>
        <w:t>We cannot sell or market products without regulatory approval. If we do not obtain and maintain regulatory approval for our product candidates, the value of our company and our results of operations will be harmed. In the United States, we must obtain and maintain approval from the United States Food and Drug Administration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None of our product candidates has ever received regulatory approval to be marketed and sold in the United States or any other country. We may never receive regulatory approval for any of our product candidates.</w:t>
      </w:r>
    </w:p>
    <w:p>
      <w:pPr>
        <w:spacing w:after="0" w:line="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the testing or use of our products harms people, we could be subject to costly and damaging product liability claims. We could also face costly and damaging claims arising from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law, securities law, environmental law, or other applicable laws governing our operations.</w:t>
      </w:r>
    </w:p>
    <w:p>
      <w:pPr>
        <w:spacing w:after="0" w:line="11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We are currently involved in a product liability lawsuit brought by a subject who participated in a clinical trial of one of our drug candidates. Any informed consent or waivers obtained from people who sign up for our clinical trials may not protect us from liability or the cost of litigation.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8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62" w:lineRule="exact"/>
        <w:rPr>
          <w:sz w:val="20"/>
          <w:szCs w:val="20"/>
          <w:color w:val="auto"/>
        </w:rPr>
      </w:pPr>
    </w:p>
    <w:p>
      <w:pPr>
        <w:ind w:right="60" w:firstLine="215"/>
        <w:spacing w:after="0" w:line="276" w:lineRule="auto"/>
        <w:rPr>
          <w:sz w:val="20"/>
          <w:szCs w:val="20"/>
          <w:color w:val="auto"/>
        </w:rPr>
      </w:pPr>
      <w:r>
        <w:rPr>
          <w:rFonts w:ascii="Arial" w:cs="Arial" w:eastAsia="Arial" w:hAnsi="Arial"/>
          <w:sz w:val="17"/>
          <w:szCs w:val="17"/>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securities laws and regulations have increased, and are likely to continue to increase, our costs.</w:t>
      </w:r>
    </w:p>
    <w:p>
      <w:pPr>
        <w:spacing w:after="0" w:line="117"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Sarbanes-Oxley Act of 2002, which became law in July 2002, has required changes in some of our corporate governance, securities disclosure and compliance practices. In response to the requirements of that Act, the SEC and The Nasdaq Stock Market have promulgated new rules and listing standards covering a variety of subjects. Compliance with these new rules and listing standards has increased our legal costs, and significantly increased our accounting and auditing costs, and we expect these increased costs to continue. These developments may make it more difficult and more expensive for us to obtain directors’ and officers’ liability insurance. Likewise, these developments may make it more difficult for us to attract and retain qualified members of our board of directors, particularly independent directors, or qualified executive officers.</w:t>
      </w:r>
    </w:p>
    <w:p>
      <w:pPr>
        <w:spacing w:after="0" w:line="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In future years, if we or our independent registered public accounting firm are unable to conclude that our internal control over financial reporting is effective, the market value of our common stock could be adversely affected.</w:t>
      </w:r>
    </w:p>
    <w:p>
      <w:pPr>
        <w:spacing w:after="0" w:line="62" w:lineRule="exact"/>
        <w:rPr>
          <w:sz w:val="20"/>
          <w:szCs w:val="20"/>
          <w:color w:val="auto"/>
        </w:rPr>
      </w:pPr>
    </w:p>
    <w:p>
      <w:pPr>
        <w:ind w:right="20" w:firstLine="215"/>
        <w:spacing w:after="0" w:line="259" w:lineRule="auto"/>
        <w:rPr>
          <w:sz w:val="20"/>
          <w:szCs w:val="20"/>
          <w:color w:val="auto"/>
        </w:rPr>
      </w:pPr>
      <w:r>
        <w:rPr>
          <w:rFonts w:ascii="Arial" w:cs="Arial" w:eastAsia="Arial" w:hAnsi="Arial"/>
          <w:sz w:val="18"/>
          <w:szCs w:val="18"/>
          <w:color w:val="auto"/>
        </w:rPr>
        <w:t>As directed by Section 404 of the Sarbanes-Oxley Act of 2002, the SEC adopted rules requiring public companies to include a report of management on the Company’s internal control over financial reporting in their annual reports on Form 10-K that contains an assessment by management of the effectiveness of our internal control over financial reporting. In addition, the independent registered public accounting firm auditing our financial statements must attest to and report on management’s assessment and on the effectiveness of our internal control over</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financial reporting. Our independent registered public accounting firm provided us with an unqualified report as to our assessment and the effectiveness of our internal control over financial reporting as of December 31, 2004, which report was included in our Annual Report on Form 10-K for the year ended December 31, 2004. However, we cannot assure you that management or our independent registered public accounting firm will be able to provide such an assessment or unqualified report as of future year-ends. In this event, investors could lose confidence in the reliability of our financial statements, which could result in a decrease in the market value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On February 27, 2004, Novartis Pharma AG provided notice to us that they would not participate in the continued development and commercialization of the IL-1 Trap under our collaboration agreement. This may harm our ability to develop and commercialize the IL-1 Trap.</w:t>
      </w:r>
    </w:p>
    <w:p>
      <w:pPr>
        <w:spacing w:after="0" w:line="38" w:lineRule="exact"/>
        <w:rPr>
          <w:sz w:val="20"/>
          <w:szCs w:val="20"/>
          <w:color w:val="auto"/>
        </w:rPr>
      </w:pPr>
    </w:p>
    <w:p>
      <w:pPr>
        <w:ind w:right="240" w:firstLine="222"/>
        <w:spacing w:after="0" w:line="276" w:lineRule="auto"/>
        <w:rPr>
          <w:sz w:val="20"/>
          <w:szCs w:val="20"/>
          <w:color w:val="auto"/>
        </w:rPr>
      </w:pPr>
      <w:r>
        <w:rPr>
          <w:rFonts w:ascii="Arial" w:cs="Arial" w:eastAsia="Arial" w:hAnsi="Arial"/>
          <w:sz w:val="17"/>
          <w:szCs w:val="17"/>
          <w:color w:val="auto"/>
        </w:rPr>
        <w:t>We relied heavily on Novartis to provide their expertise, resources, funding, manufacturing capacity, clinical expertise, and commercial infrastructure to support the IL-1 Trap program. Novartis’ decision to withdraw from participating in the development and commercialization of the IL-1 Trap may delay or disrupt the IL-1 Trap program. We do not have the resources and skills to replace those of Novartis, which could result in significant delays in the development and potential commercialization of the IL-1 Trap. In addition, we will have to fund the development and commercialization of the IL-1 Trap without Novartis’ long-term commitment, which will require substantially greater expenditures on our part.</w:t>
      </w:r>
    </w:p>
    <w:p>
      <w:pPr>
        <w:spacing w:after="0" w:line="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our collaboration with the sanofi-aventis Group for the VEGF Trap is terminated, our business operations and our ability to develop, manufacture, and commercialize the VEGF Trap in the time expected, or at all, would be harmed.</w:t>
      </w:r>
    </w:p>
    <w:p>
      <w:pPr>
        <w:spacing w:after="0" w:line="62"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rely heavily on the sanofi-aventis Group to assist with the development of the VEGF Trap oncology program. If the VEGF Trap oncology program continues, we will rely on the sanofi-aventis Group to assist with funding the VEGF Trap program, providing commercial manufacturing capacity, enrolling and monitoring clinical trials, obtaining regulatory approval, particularly outside the United States, and providing sales and marketing support. While we cannot assure you that the VEGF Trap will ever be successfully developed and commercialized, if the sanofi-aventis Group does not perform its obligations in a timely manner, or at all, our ability to develop, manufacture, and commercialize the VEGF Trap in cancer indications will be significantly adversely affected. The sanofi-aventis Group has the right to terminate its collaboration agreement with us at any time. If the sanofi-aventis Group were to terminate its collaboration agreement with us, we might not have the resources or skills to replace those of our partner, which could cause significant delays in the development and/or manufacture of the VEGF Trap and result in substantial additional costs to us. We have no sales, marketing, or distribution capabilities and would have to develop or outsource these capabilities. Termination of the the sanofi-aventis Group collaboration agreement would create new and additional risks to the successful development of the VEGF Trap oncology program.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w:t>
      </w:r>
    </w:p>
    <w:p>
      <w:pPr>
        <w:spacing w:after="0" w:line="62"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We depend upon third-party collaborators, including the sanofi-aventis Group and service providers such as clinical research organizations, outside testing laboratories, clinical investigator sites, and third-party manufacturers and product packagers and labelers, to assist us in the development of our product candidates. If any of our existing collaborators or service providers breaches or terminates its agreement with us or does not perform its development or manufacturing services under an agreement in a timely manner or at all, we could experience additional costs, delays, and difficulties in the development or ultimate commercialization of our product candidates.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Manufacture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manufacturing capacity, which could inhibit our ability to successfully develop or commercialize our drugs.</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following approval, in commercial quantities, in compliance with regulatory requirements, and at competitive costs. If we or any of our product collaborators or third-party manufacturers, product packagers,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8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85"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may expand our own manufacturing capacity to support commercial production of active pharmaceutical ingredients, or API, for our product candidates. This will require substantial additional funds,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In addition, we may be unable to secure adequate filling and finishing services to support our products. As a result, our business, financial condition, and results of operations may be materially harmed.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2"/>
        <w:spacing w:after="0" w:line="286" w:lineRule="auto"/>
        <w:rPr>
          <w:sz w:val="20"/>
          <w:szCs w:val="20"/>
          <w:color w:val="auto"/>
        </w:rPr>
      </w:pPr>
      <w:r>
        <w:rPr>
          <w:rFonts w:ascii="Arial" w:cs="Arial" w:eastAsia="Arial" w:hAnsi="Arial"/>
          <w:sz w:val="17"/>
          <w:szCs w:val="17"/>
          <w:color w:val="auto"/>
        </w:rPr>
        <w:t>We may be unable to obtain key raw materials and supplies for the manufacture of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any of our clinical programs are discontinued, we may face costs related to the unused capacity at our manufacturing facilities.</w:t>
      </w:r>
    </w:p>
    <w:p>
      <w:pPr>
        <w:spacing w:after="0" w:line="117"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We have large-scale manufacturing operations in Rensselaer, New York. Under a long-term manufacturing agreement with Merck, which expires in October 2006 unless extended for one additional year by Merck, we produce an intermediate for a Merck pediatric vaccine at our facility in Rensselaer, New York. We also use our facilities to produce API for our own clinical and preclinical candidates. If we no longer use our facilities to manufacture the Merck intermediate or clinical candidates are discontinued, we would have to absorb overhead costs and inefficiencies.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of our raw materials are single-sourced from third parties; third-party supply failures could adversely affect our ability to supply our products.</w:t>
      </w:r>
    </w:p>
    <w:p>
      <w:pPr>
        <w:spacing w:after="0" w:line="152"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Certain raw materials necessary for manufacturing and formulation of our product candidates are provided by single-source unaffiliated third-party suppliers. We would be unable to obtain these raw materials for an indeterminate period of time if these third-party single-source suppliers were to cease or interrupt production or otherwise fail to supply these materials or products to us for any reason, including due to regulatory requirements or action, due to adverse financial developments at or affecting the supplier, or due to labor shortages or disputes. This, in turn, could materially and adversely affect our ability to manufacture our product candidates for use in clinical trials, which could materially and adversely affect our business and future prospects.</w:t>
      </w:r>
    </w:p>
    <w:p>
      <w:pPr>
        <w:spacing w:after="0" w:line="50" w:lineRule="exact"/>
        <w:rPr>
          <w:sz w:val="20"/>
          <w:szCs w:val="20"/>
          <w:color w:val="auto"/>
        </w:rPr>
      </w:pPr>
    </w:p>
    <w:p>
      <w:pPr>
        <w:ind w:right="100" w:firstLine="215"/>
        <w:spacing w:after="0" w:line="259" w:lineRule="auto"/>
        <w:rPr>
          <w:sz w:val="20"/>
          <w:szCs w:val="20"/>
          <w:color w:val="auto"/>
        </w:rPr>
      </w:pPr>
      <w:r>
        <w:rPr>
          <w:rFonts w:ascii="Arial" w:cs="Arial" w:eastAsia="Arial" w:hAnsi="Arial"/>
          <w:sz w:val="18"/>
          <w:szCs w:val="18"/>
          <w:color w:val="auto"/>
        </w:rPr>
        <w:t>Also, certain of the raw materials required in the manufacturing and the formulation of our clinical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62" w:lineRule="exact"/>
        <w:rPr>
          <w:sz w:val="20"/>
          <w:szCs w:val="20"/>
          <w:color w:val="auto"/>
        </w:rPr>
      </w:pPr>
    </w:p>
    <w:p>
      <w:pPr>
        <w:ind w:right="620" w:firstLine="222"/>
        <w:spacing w:after="0" w:line="308" w:lineRule="auto"/>
        <w:rPr>
          <w:sz w:val="20"/>
          <w:szCs w:val="20"/>
          <w:color w:val="auto"/>
        </w:rPr>
      </w:pPr>
      <w:r>
        <w:rPr>
          <w:rFonts w:ascii="Arial" w:cs="Arial" w:eastAsia="Arial" w:hAnsi="Arial"/>
          <w:sz w:val="17"/>
          <w:szCs w:val="17"/>
          <w:color w:val="auto"/>
        </w:rPr>
        <w:t>We have no sales or distribution personnel or capabilities and have only a small staff with marketing capabilities. If we are unable to obtain those capabilities, either by developing our own organizations or entering into agreements with service providers, we will not be able to</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successfully sell any products that we may obtain regulatory approval for and bring to market in the future. In that event, we will not be able to generate significant revenue, even if our product candidates are approved. We cannot guarantee that we will be able to hire the qualified sales and marketing personnel we need or that we will be able to enter into marketing or distribution agreements with third-party providers on acceptable terms, if at all. Under the terms of our collaboration agreement with the sanofi-aventis Group, we currently rely on the sanofi-aventis Group for sales, marketing, and distribution of the VEGF Trap, should it be approved in the future by regulatory authorities for marketing. We will have to rely on a third party or devote significant resources to develop our own sales, marketing, and distribution capabilities for our other product candidates, and we may be unsuccessful in developing our own sales, marketing, and distribution organization.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w:t>
      </w:r>
    </w:p>
    <w:p>
      <w:pPr>
        <w:spacing w:after="0" w:line="117"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the VEGF Trap, IL-1 Trap, and IL-4/13 Trap,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w:t>
      </w:r>
    </w:p>
    <w:p>
      <w:pPr>
        <w:spacing w:after="0" w:line="64"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Even if our product candidates are ever approved, their commercial success is highly uncertain because our competitors may get to the marketplace before we do with better or lower cost drugs or the market for our product candidates may be too small to support commercialization or sufficient profitability.</w:t>
      </w:r>
    </w:p>
    <w:p>
      <w:pPr>
        <w:spacing w:after="0" w:line="73"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64"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Genentech has an approved VEGF antagonist, Avastin™, on the market for treating certain cancers and many different pharmaceutical and biotechnology companies are working to develop competing VEGF antagonists, including Novartis, Eyetech Pharmaceuticals, and Pfizer. Many of these molecules are farther along in development than the VEGF Trap and may offer competitive advantages over our molecule</w:t>
      </w:r>
      <w:r>
        <w:rPr>
          <w:rFonts w:ascii="Arial" w:cs="Arial" w:eastAsia="Arial" w:hAnsi="Arial"/>
          <w:sz w:val="17"/>
          <w:szCs w:val="17"/>
          <w:b w:val="1"/>
          <w:bCs w:val="1"/>
          <w:color w:val="auto"/>
        </w:rPr>
        <w:t>.</w:t>
      </w:r>
      <w:r>
        <w:rPr>
          <w:rFonts w:ascii="Arial" w:cs="Arial" w:eastAsia="Arial" w:hAnsi="Arial"/>
          <w:sz w:val="17"/>
          <w:szCs w:val="17"/>
          <w:color w:val="auto"/>
        </w:rPr>
        <w:t xml:space="preserve"> Novartis has an ongoing phase 3 clinical development program evaluating an orally delivered VEGF tyrosine kinase inhibitor in different cancer settings. Onyx Pharmaceuticals and Bayer have filed an New Drug Application with the FDA for approval to market the first oral medication that targets tumor cell growth and new vasculature formation that fuels the growth of tumors. The marketing approval for Genentech’s VEGF antagonist, Avastin,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and their extensive, ongoing clinical development plan for Avastin in other cancer indications, may make it more difficult for us to enroll patients in clinical trials to support the VEGF Trap and to obtain regulatory approval of the VEGF Trap in these cancer settings. This may delay or impair our ability to successfully develop and commercialize the VEGF Trap. In addition, even if the VEGF Trap is ever approved for sale for the treatment of certain cancers, it will be difficult for our drug to compete against Avastin and, if approved by the FDA, the Onyx/Bayer kinase inhibitor and the Novartis phase 3 tyrosine kinase,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57" w:lineRule="exact"/>
        <w:rPr>
          <w:sz w:val="20"/>
          <w:szCs w:val="20"/>
          <w:color w:val="auto"/>
        </w:rPr>
      </w:pPr>
    </w:p>
    <w:p>
      <w:pPr>
        <w:ind w:right="180" w:firstLine="222"/>
        <w:spacing w:after="0" w:line="272" w:lineRule="auto"/>
        <w:rPr>
          <w:sz w:val="20"/>
          <w:szCs w:val="20"/>
          <w:color w:val="auto"/>
        </w:rPr>
      </w:pPr>
      <w:r>
        <w:rPr>
          <w:rFonts w:ascii="Arial" w:cs="Arial" w:eastAsia="Arial" w:hAnsi="Arial"/>
          <w:sz w:val="17"/>
          <w:szCs w:val="17"/>
          <w:color w:val="auto"/>
        </w:rPr>
        <w:t>The market for eye diseases is also very competitive. Eyetech Pharmaceuticals and Pfizer are marketing an approved VEGF inhibitor for age-related macular degeneration (wet AMD). Novartis and Genentech are collaborating on another VEGF inhibitor for the treatment of wet AMD that is in phase 3 development. In July 2005, Genentech announced positive results from its phase 3 clinical trial of this VEGF inhibitor in patients with wet AMD. The marketing approval of the Eyetech/Pfizer VEGF inhibitor and the potential approval of the Novartis/Genentech VEGF antibody fragment makes it more difficult for us to successfully develop the VEGF Trap in eye diseases. In addition, even if the VEGF Trap is ever approved for sale for the treatment of eye diseases, it will be difficult for our drug to compete against the Eyetech/Pfizer drug and, if approved by the FDA, the Novartis/Genentech phase 3 VEGF inhibitor, because doctors and patients will have significant experience using these medicines</w:t>
      </w:r>
    </w:p>
    <w:p>
      <w:pPr>
        <w:spacing w:after="0" w:line="70" w:lineRule="exact"/>
        <w:rPr>
          <w:sz w:val="20"/>
          <w:szCs w:val="20"/>
          <w:color w:val="auto"/>
        </w:rPr>
      </w:pPr>
    </w:p>
    <w:p>
      <w:pPr>
        <w:ind w:right="20" w:firstLine="222"/>
        <w:spacing w:after="0" w:line="302" w:lineRule="auto"/>
        <w:rPr>
          <w:sz w:val="20"/>
          <w:szCs w:val="20"/>
          <w:color w:val="auto"/>
        </w:rPr>
      </w:pPr>
      <w:r>
        <w:rPr>
          <w:rFonts w:ascii="Arial" w:cs="Arial" w:eastAsia="Arial" w:hAnsi="Arial"/>
          <w:sz w:val="16"/>
          <w:szCs w:val="16"/>
          <w:color w:val="auto"/>
        </w:rPr>
        <w:t>The markets for both rheumatoid arthritis and asthma are very competitive. Several highly successful medicines are available for these diseases. Examples in rheumatoid arthritis include the TNF-antagonists Enbrel® (a registered trademark of Amgen), Remicade® (a registered trademark of Centocor), and Humira® (a registered trademark of Abbott Laboratories), and the IL-1 receptor antagonist Kineret® (a registered trademark of Amgen). Examples in asthma include the leukotriene-modifier Singulair® (a registered trademark of Merck), as well as various inexpensive corticosteroid medicines for asthma.</w:t>
      </w:r>
    </w:p>
    <w:p>
      <w:pPr>
        <w:spacing w:after="0" w:line="46"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availability of highly effective FDA approved TNF-antagonists and other marketed therapies makes it more difficult to successfully develop the IL-1 Trap for the treatment of rheumatoid arthritis, since it will be difficult to enroll patients with rheumatoid arthritis to participate in clinical trials of the IL-1 Trap. This may delay or impair our ability to successfully develop the drug candidate. In addition, even if the IL-1 Trap is ever approved for sale, it will be difficult for our drug to compete against these FDA approved TNF-antagonists because doctors and patients will have significant experience using these effective medicines. Moreover, these approved therapeutics may offer competitive advantages over the IL-1 Trap, such as requiring fewer injections. In addition, there are both small molecules and antibodies in development by third parties that are designed to block the synthesis of interleukin-1 or inhibit the signaling of interleukin-1. For example, Novartis is developing an antibody to interleukin-1, Amgen is developing an antibody to the interleukin-1 receptor, and Vertex Pharmaceuticals Incorporated is developing an oral cytokine inhibitor of interleukin-1 beta converting enzyme (ICE). These drug candidates could offer competitive advantages over the IL-1 Trap. The successful development of these competing molecules could delay or impair our ability to successfully develop and commercialize the IL-1 Trap.</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222"/>
        <w:spacing w:after="0" w:line="264" w:lineRule="auto"/>
        <w:rPr>
          <w:sz w:val="20"/>
          <w:szCs w:val="20"/>
          <w:color w:val="auto"/>
        </w:rPr>
      </w:pPr>
      <w:r>
        <w:rPr>
          <w:rFonts w:ascii="Arial" w:cs="Arial" w:eastAsia="Arial" w:hAnsi="Arial"/>
          <w:sz w:val="18"/>
          <w:szCs w:val="18"/>
          <w:color w:val="auto"/>
        </w:rPr>
        <w:t xml:space="preserve">We are developing the IL-1 Trap for the treatment of a spectrum of rare diseases associated with mutations in the </w:t>
      </w:r>
      <w:r>
        <w:rPr>
          <w:rFonts w:ascii="Arial" w:cs="Arial" w:eastAsia="Arial" w:hAnsi="Arial"/>
          <w:sz w:val="18"/>
          <w:szCs w:val="18"/>
          <w:i w:val="1"/>
          <w:iCs w:val="1"/>
          <w:color w:val="auto"/>
        </w:rPr>
        <w:t>CIAS-</w:t>
      </w:r>
      <w:r>
        <w:rPr>
          <w:rFonts w:ascii="Arial" w:cs="Arial" w:eastAsia="Arial" w:hAnsi="Arial"/>
          <w:sz w:val="18"/>
          <w:szCs w:val="18"/>
          <w:color w:val="auto"/>
        </w:rPr>
        <w:t>1 gene. These rare genetic disorders affect a small group of people, estimated to be between several hundred and a few thousand. There may be too few patients with these genetic disorders to profitably commercialize the IL-1 Trap in this indication.</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on obtaining coverage and reimbursement for use of these products from third-party payors.</w:t>
      </w:r>
    </w:p>
    <w:p>
      <w:pPr>
        <w:spacing w:after="0" w:line="62"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Sales of biopharmaceutical products largely depend on the reimbursement of patients’ medical expenses by government health care programs and private health insurers. Without the financial support of the governments or third-party payors, the market for any biopharmaceutical product will be limited. These third-party payors increasingly challenge the price and examine the cost-effectiveness of products and services. Significant uncertainty exists as to the reimbursement status of any new therapeutic, particularly if there exist lower-cost standards of care. Third-party payors may not reimburse sales of our products, which would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62" w:lineRule="exact"/>
        <w:rPr>
          <w:sz w:val="20"/>
          <w:szCs w:val="20"/>
          <w:color w:val="auto"/>
        </w:rPr>
      </w:pPr>
    </w:p>
    <w:p>
      <w:pPr>
        <w:jc w:val="both"/>
        <w:ind w:firstLine="222"/>
        <w:spacing w:after="0" w:line="288" w:lineRule="auto"/>
        <w:rPr>
          <w:sz w:val="20"/>
          <w:szCs w:val="20"/>
          <w:color w:val="auto"/>
        </w:rPr>
      </w:pPr>
      <w:r>
        <w:rPr>
          <w:rFonts w:ascii="Arial" w:cs="Arial" w:eastAsia="Arial" w:hAnsi="Arial"/>
          <w:sz w:val="16"/>
          <w:szCs w:val="16"/>
          <w:color w:val="auto"/>
        </w:rPr>
        <w:t>We are highly dependent on our executive officers. If we are not able to retain any of these persons or our Chairman, our business may suffer. In particular, we depend on the services of Roy Vagelos, M.D., the Chairman of our Board of Directors, Leonard Schleifer, M.D., Ph.D., our President and Chief Executive Officer, and George D. Yancopoulos, M.D., Ph.D., our Executive Vice President, Chief Scientific Officer and President, Regeneron Research Laboratories.</w:t>
      </w:r>
    </w:p>
    <w:p>
      <w:pPr>
        <w:ind w:right="880"/>
        <w:spacing w:after="0" w:line="323" w:lineRule="auto"/>
        <w:rPr>
          <w:sz w:val="20"/>
          <w:szCs w:val="20"/>
          <w:color w:val="auto"/>
        </w:rPr>
      </w:pPr>
      <w:r>
        <w:rPr>
          <w:rFonts w:ascii="Arial" w:cs="Arial" w:eastAsia="Arial" w:hAnsi="Arial"/>
          <w:sz w:val="16"/>
          <w:szCs w:val="16"/>
          <w:color w:val="auto"/>
        </w:rPr>
        <w:t>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62"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United States may be challenged by third parties who file an opposition. Such opposition proceedings are increasingly common in the European Union and are costly to defend. We have patent applications that are being opposed and it is likely that we will need to defend additional patent applications in the future. Our patent rights may not provide us with a proprietary position or competitive advantages against competitors. Furthermore, even if the outcome is favorable to us, the enforcement of our intellectual property rights can be expensive and time consuming.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restricted in our development and/or commercialization activities by third party patents.</w:t>
      </w:r>
    </w:p>
    <w:p>
      <w:pPr>
        <w:spacing w:after="0" w:line="117" w:lineRule="exact"/>
        <w:rPr>
          <w:sz w:val="20"/>
          <w:szCs w:val="20"/>
          <w:color w:val="auto"/>
        </w:rPr>
      </w:pPr>
    </w:p>
    <w:p>
      <w:pPr>
        <w:ind w:right="100" w:firstLine="225"/>
        <w:spacing w:after="0" w:line="291" w:lineRule="auto"/>
        <w:rPr>
          <w:sz w:val="20"/>
          <w:szCs w:val="20"/>
          <w:color w:val="auto"/>
        </w:rPr>
      </w:pPr>
      <w:r>
        <w:rPr>
          <w:rFonts w:ascii="Arial" w:cs="Arial" w:eastAsia="Arial" w:hAnsi="Arial"/>
          <w:sz w:val="16"/>
          <w:szCs w:val="16"/>
          <w:color w:val="auto"/>
        </w:rPr>
        <w:t>Our commercial success depends significantly on our ability to operate without infringing the patents and other proprietary rights of third parties. Other parties may allege that they have blocking patents to our Trap products in clinical development, either because they claim to hold proprietary rights to fusion proteins or proprietary rights to components of the Trap or the way it is manufactured. We are aware of certain United States and foreign patents relating to particular IL-4 and IL-13 receptors. Our IL-4/13 Trap includes portions of the IL-4 and IL-13 receptors. In addition, we are aware of a broad patent held by Genentech relating to proteins fused to certain immunoglobulin domains. Our Trap product candidates include proteins fused to immunoglobulin domains. Although we do not believe that we are infringing valid and enforceable third party patents, the holders of these patents may sue us for infringement and a court may find that we are infringing one or more validly issued patents, which may materially harm our business.</w:t>
      </w:r>
    </w:p>
    <w:p>
      <w:pPr>
        <w:spacing w:after="0" w:line="59"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We are aware of patents, allowed patent applications, and pending applications owned by Genentech that claim certain chimeric VEGF receptor compositions. Although we do not believe that the VEGF Trap infringes any valid claim in these patents or patent applications, Genentech could initiate a lawsuit for patent infringement and assert its patents are valid and cover the VEGF Trap. Genentech may be motivated to initiate such a lawsuit at some point in an effort to impair our ability to develop and sell the VEGF Trap, which represents a potential competitive threat to Genentech’s VEGF-binding products and product candidates. An adverse determination by a court in any such potential patent litigation could materially harm our business either by requiring us to seek a license or resulting in our inability to develop and sell the VEGF Trap.</w:t>
      </w:r>
    </w:p>
    <w:p>
      <w:pPr>
        <w:spacing w:after="0" w:line="70" w:lineRule="exact"/>
        <w:rPr>
          <w:sz w:val="20"/>
          <w:szCs w:val="20"/>
          <w:color w:val="auto"/>
        </w:rPr>
      </w:pPr>
    </w:p>
    <w:p>
      <w:pPr>
        <w:ind w:right="40" w:firstLine="215"/>
        <w:spacing w:after="0" w:line="257" w:lineRule="auto"/>
        <w:rPr>
          <w:sz w:val="20"/>
          <w:szCs w:val="20"/>
          <w:color w:val="auto"/>
        </w:rPr>
      </w:pPr>
      <w:r>
        <w:rPr>
          <w:rFonts w:ascii="Arial" w:cs="Arial" w:eastAsia="Arial" w:hAnsi="Arial"/>
          <w:sz w:val="18"/>
          <w:szCs w:val="18"/>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80"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117" w:lineRule="exact"/>
        <w:rPr>
          <w:sz w:val="20"/>
          <w:szCs w:val="20"/>
          <w:color w:val="auto"/>
        </w:rPr>
      </w:pPr>
    </w:p>
    <w:p>
      <w:pPr>
        <w:ind w:right="440" w:firstLine="222"/>
        <w:spacing w:after="0" w:line="308" w:lineRule="auto"/>
        <w:rPr>
          <w:sz w:val="20"/>
          <w:szCs w:val="20"/>
          <w:color w:val="auto"/>
        </w:rPr>
      </w:pPr>
      <w:r>
        <w:rPr>
          <w:rFonts w:ascii="Arial" w:cs="Arial" w:eastAsia="Arial" w:hAnsi="Arial"/>
          <w:sz w:val="17"/>
          <w:szCs w:val="17"/>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38"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progress, delays, or adverse results in clinical trials;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announcement of technological innovations or product candidates by us or competitors;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fluctuations in our operating results;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public concern as to the safety or effectiveness of our product candidates;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developments in our relationship with collaborative partners;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developments in the biotechnology industry or in government regulation of healthcare;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large sales of our common stock by our executive officers, directors, or significant shareholders;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arrivals and departures of key personnel;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general market conditions.</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62" w:lineRule="exact"/>
        <w:rPr>
          <w:sz w:val="20"/>
          <w:szCs w:val="20"/>
          <w:color w:val="auto"/>
        </w:rPr>
      </w:pPr>
    </w:p>
    <w:p>
      <w:pPr>
        <w:ind w:right="40" w:firstLine="215"/>
        <w:spacing w:after="0" w:line="268" w:lineRule="auto"/>
        <w:rPr>
          <w:sz w:val="20"/>
          <w:szCs w:val="20"/>
          <w:color w:val="auto"/>
        </w:rPr>
      </w:pPr>
      <w:r>
        <w:rPr>
          <w:rFonts w:ascii="Arial" w:cs="Arial" w:eastAsia="Arial" w:hAnsi="Arial"/>
          <w:sz w:val="17"/>
          <w:szCs w:val="17"/>
          <w:color w:val="auto"/>
        </w:rPr>
        <w:t>A small number of our shareholders beneficially own a substantial amount of our common stock. As of April 15, 2005, our eight largest shareholders, which include the sanofi-aventis Group and Novartis, beneficially owned 58.6% of our outstanding shares of Common Stock, assuming, in the case of Leonard S. Schleifer, M.D. Ph.D., our Chief Executive Officer, and P. Roy Vagelos, M.D., our Chairman, the conversion of their Class A Stock into Common Stock and the exercise of all options held by them which are exercisable within 60 days of April 15, 2005. As of that date, Novartis owned 7,527,050 shares of Common Stock, representing approximately 14.0% of the shares of Common Stock then outstanding. These shares owned by Novartis are eligible to be sold pursuant to Rule 144(k) under the Securities Act of 1933, as amended, without registration, without regard to the volume, manner-of-sale, or other limitations set forth in Rule 144 under such Act, and without any contractual restrictions on sale. As of April 15, 2005, the sanofi-aventis Group owned 2,799,552 shares of Common Stock, representing approximately 5.2% of the shares of Common Stock then outstanding. Under our stock purchase agreement with the sanofi-aventis Group, these shares may generally not be sold or otherwise transferred until after September 5, 2005, and for one year after that date, the sanofi-aventis Group may sell no more than 250,000 shares in any calendar quarter. After September 5, 2006, the sanofi-aventis Group may sell no more than 500,000 shares in any calendar quarter. If Novartis or the sanofi-aventis Group, or our other significant shareholders or we, sell substantial amounts of our Common Stock in the public market, or the perception that such sales may occur exists, the market price of our Common Stock could fall. Sales of Common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Stock by our significant shareholders, including the sanofi-aventis Group and Novartis, also might make it more difficult for us to raise funds by selling equity or equity-related securities in the future at a time and price that we deem appropriate.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existing shareholders may be able to exert significant influence over matters requiring shareholder approval.</w:t>
      </w:r>
    </w:p>
    <w:p>
      <w:pPr>
        <w:spacing w:after="0" w:line="117"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April 15, 2005, holders of Class A Stock held 4.2% of all shares of Common Stock and Class A Stock then outstanding, and had 30.5% of the combined voting power of all of Common Stock and Class A Stock then outstanding, assuming, in each case, the exercise of all options held by such persons which are exercisable within 60 days of April 15, 2005. These shareholders, if acting together, would be in a position to significantly influence the election of our directors and to effect or prevent certain corporate transactions that require majority or supermajority approval of the combined classes, including mergers and other business combinations. This may result in our company taking corporate actions that you may not consider to be in your best interest and may affect the price of our Common Stock. As of April 15, 2005:</w:t>
      </w:r>
    </w:p>
    <w:p>
      <w:pPr>
        <w:spacing w:after="0" w:line="84" w:lineRule="exact"/>
        <w:rPr>
          <w:sz w:val="20"/>
          <w:szCs w:val="20"/>
          <w:color w:val="auto"/>
        </w:rPr>
      </w:pPr>
    </w:p>
    <w:p>
      <w:pPr>
        <w:ind w:left="660" w:hanging="436"/>
        <w:spacing w:after="0" w:line="259"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current officers and directors beneficially owned 13.8% of our outstanding shares of Common Stock (assuming conversion of their Class A Stock into Common Stock and the exercise of all options held by such persons which are exercisable within 60 days of April 15, 2005 and 34.7% of the combined voting power of our outstanding shares of Common Stock and Class A Stock, assuming the exercise of all options held by such persons which are exercisable within 60 days of April 15, 2005; and</w:t>
      </w:r>
    </w:p>
    <w:p>
      <w:pPr>
        <w:spacing w:after="0" w:line="92" w:lineRule="exact"/>
        <w:rPr>
          <w:rFonts w:ascii="Arial" w:cs="Arial" w:eastAsia="Arial" w:hAnsi="Arial"/>
          <w:sz w:val="18"/>
          <w:szCs w:val="18"/>
          <w:b w:val="1"/>
          <w:bCs w:val="1"/>
          <w:color w:val="auto"/>
        </w:rPr>
      </w:pPr>
    </w:p>
    <w:p>
      <w:pPr>
        <w:jc w:val="both"/>
        <w:ind w:left="660" w:right="60" w:hanging="436"/>
        <w:spacing w:after="0" w:line="276" w:lineRule="auto"/>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our eight largest shareholders beneficially owned 58.6% of our outstanding shares of Common Stock assuming, in the case of Leonard S. Schleifer, M.D., Ph.D., our Chief Executive Officer, and P. Roy Vagelos, M.D., our Chairman, the conversion of their Class A Stock into Common Stock and the exercise of all options held by them which are exercisable within 60 days of April 15, 2005. In addition, these eight shareholders held 63.9% of the combined voting power of our outstanding shares of Common Stock and Class A Stock, assuming the exercise of all options held by our Chief Executive Officer and our Chairman which are exercisable within 60 days of April 15, 2005.</w:t>
      </w:r>
    </w:p>
    <w:p>
      <w:pPr>
        <w:spacing w:after="0" w:line="6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rights agreement, and of New York corporate law, could deter, delay, or prevent an acquisition or other “change in control” of us and could adversely affect the price of our common stock.</w:t>
      </w:r>
    </w:p>
    <w:p>
      <w:pPr>
        <w:spacing w:after="0" w:line="62"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Our amended and restated certificate of incorporation, our by-laws, our rights agreement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8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130" w:lineRule="exact"/>
        <w:rPr>
          <w:rFonts w:ascii="Arial" w:cs="Arial" w:eastAsia="Arial" w:hAnsi="Arial"/>
          <w:sz w:val="18"/>
          <w:szCs w:val="18"/>
          <w:b w:val="1"/>
          <w:bCs w:val="1"/>
          <w:color w:val="auto"/>
        </w:rPr>
      </w:pPr>
    </w:p>
    <w:p>
      <w:pPr>
        <w:ind w:left="660" w:right="360" w:hanging="436"/>
        <w:spacing w:after="0" w:line="264"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86" w:lineRule="exact"/>
        <w:rPr>
          <w:rFonts w:ascii="Arial" w:cs="Arial" w:eastAsia="Arial" w:hAnsi="Arial"/>
          <w:sz w:val="18"/>
          <w:szCs w:val="18"/>
          <w:b w:val="1"/>
          <w:bCs w:val="1"/>
          <w:color w:val="auto"/>
        </w:rPr>
      </w:pPr>
    </w:p>
    <w:p>
      <w:pPr>
        <w:ind w:left="660" w:right="180" w:hanging="436"/>
        <w:spacing w:after="0" w:line="308" w:lineRule="auto"/>
        <w:tabs>
          <w:tab w:leader="none" w:pos="66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51" w:lineRule="exact"/>
        <w:rPr>
          <w:rFonts w:ascii="Arial" w:cs="Arial" w:eastAsia="Arial" w:hAnsi="Arial"/>
          <w:sz w:val="17"/>
          <w:szCs w:val="17"/>
          <w:b w:val="1"/>
          <w:bCs w:val="1"/>
          <w:color w:val="auto"/>
        </w:rPr>
      </w:pPr>
    </w:p>
    <w:p>
      <w:pPr>
        <w:ind w:left="660" w:right="10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any shareholder seeking to bring business before an annual meeting of shareholders must provide timely notice of this intention in writing and meet various other requirements; and</w:t>
      </w:r>
    </w:p>
    <w:p>
      <w:pPr>
        <w:spacing w:after="0" w:line="75" w:lineRule="exact"/>
        <w:rPr>
          <w:rFonts w:ascii="Arial" w:cs="Arial" w:eastAsia="Arial" w:hAnsi="Arial"/>
          <w:sz w:val="18"/>
          <w:szCs w:val="18"/>
          <w:b w:val="1"/>
          <w:bCs w:val="1"/>
          <w:color w:val="auto"/>
        </w:rPr>
      </w:pPr>
    </w:p>
    <w:p>
      <w:pPr>
        <w:ind w:left="660" w:hanging="436"/>
        <w:spacing w:after="0" w:line="264"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 xml:space="preserve">under the New York Business Corporation Law, a plan of merger or consolidation of the Company must be approved by two-thirds of the votes of all outstanding shares entitled to vote thereon. See the risk factor immediately above captioned </w:t>
      </w:r>
      <w:r>
        <w:rPr>
          <w:rFonts w:ascii="Arial" w:cs="Arial" w:eastAsia="Arial" w:hAnsi="Arial"/>
          <w:sz w:val="18"/>
          <w:szCs w:val="18"/>
          <w:i w:val="1"/>
          <w:iCs w:val="1"/>
          <w:color w:val="auto"/>
        </w:rPr>
        <w:t>“Our existing shareholders may be able to exert</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influence over matters requiring shareholder approval.”</w:t>
      </w:r>
    </w:p>
    <w:p>
      <w:pPr>
        <w:spacing w:after="0" w:line="73"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We have a shareholder rights plan which could make it more difficult for a third party to acquire us without the support of our board of directors and principal shareholders. In addition, many of our stock options issued under our 2000 Long-Term Incentive Plan may become fully vested in connection with a “change in control” of the Company, as defined in the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Our earnings and cash flows are subject to fluctuations due to changes in interest rates primarily from our investment of available cash balances in investment grade corporate and U.S. government securities. We do not believe we are materially exposed to changes in interest rates. Under our current policies we do not use interest rate derivative instruments to manage exposure to interest rate changes. We estimated that a one percent change in interest rates would result in an approximately $1.1 million and $1.0 million change in the fair market value of our investment portfolio at June 30, 2005 and 2004,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conducted an evaluation of the effectiveness of our disclosure controls and procedures (as such term is defined in Rules 13a-15(e) and 15d-15(e) under the Securities Exchange Act of 1934 (the “Exchange Act”)), as of the end of the period covered by this report. Based on this evaluation, our Chief Executive Officer and Chief Financial Officer each concluded that, as of</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end of such period, our disclosure controls and procedures were effective in ensuring that information required to be disclosed by us in the reports that we file or submit under the Exchange Act is recorded, processed, summarized, and reported within the time periods specified in applicable rules and forms of the Securities and Exchange Commission, and is accumulated and communicated to our management, including our Chief Executive Officer and Chief Financial Officer, as appropriate to allow timely decisions regarding required disclosure.</w:t>
      </w:r>
    </w:p>
    <w:p>
      <w:pPr>
        <w:spacing w:after="0" w:line="79" w:lineRule="exact"/>
        <w:rPr>
          <w:sz w:val="20"/>
          <w:szCs w:val="20"/>
          <w:color w:val="auto"/>
        </w:rPr>
      </w:pPr>
    </w:p>
    <w:p>
      <w:pPr>
        <w:ind w:right="320" w:firstLine="222"/>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June 30, 2005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In May 2003, securities class action lawsuits were commenced against Regeneron and certain of the Company’s officers and directors in the United States District Court for the Southern District of New York. A consolidated amended class action complaint was filed in October 2003. The complaint, which purports to be brought on behalf of a class consisting of investors in the Company’s publicly traded securities between March 28, 2000 and March 30, 2003, alleges that the defendants misstated or omitted material information concerning the safety and efficacy of AXOKINE, in violation of Sections 10(b) and 20(a) of the Securities and Exchange Act of 1934 and Rule 10b-5 promulgated thereunder.</w:t>
      </w:r>
    </w:p>
    <w:p>
      <w:pPr>
        <w:spacing w:after="0" w:line="64"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On August 3, 2005, the plaintiffs and the Company entered into a Stipulation and Agreement of Settlement settling all claims against the Company in this lawsuit. The settlement requires no payment by the Company or any of the individual defendants named in the lawsuit. The Company’s primary insurance carrier agreed to make the required payment under the settlement, which is in an immaterial amount to the Company. The settlement includes no admission of wrongdoing by the Company or any of the individual defendants. The settlement must be finally approved by the United States District Court for the Southern District of New York following notice and hearing.</w:t>
      </w:r>
    </w:p>
    <w:p>
      <w:pPr>
        <w:spacing w:after="0" w:line="80"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Separately, the plaintiffs and the individual defendants named in the lawsuit entered into a Stipulation of Voluntary Dismissal, dismissing all claims against the individuals. This voluntary dismissal shall automatically become a dismissal with prejudice, without costs, upon the court entering an order and final judgment approving the settlement.</w:t>
      </w:r>
    </w:p>
    <w:p>
      <w:pPr>
        <w:spacing w:after="0" w:line="73"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We cannot assure investors that the settlement of the lawsuit will be approved by the court following notice and hearing. If the settlement is not approved by the court, the lawsuit would continue.</w:t>
      </w:r>
    </w:p>
    <w:p>
      <w:pPr>
        <w:spacing w:after="0" w:line="62"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From time to time, we are a party to other legal proceedings in the course of our business. We do not expect any such other current legal proceedings to have a material adverse effect on our business or financial condition.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On June 10, 2005, we conducted our Annual Meeting of Shareholders pursuant to due notice. A quorum being present either in person or by proxy, the shareholders voted on the following matters:</w:t>
      </w:r>
    </w:p>
    <w:p>
      <w:pPr>
        <w:spacing w:after="0" w:line="62" w:lineRule="exact"/>
        <w:rPr>
          <w:sz w:val="20"/>
          <w:szCs w:val="20"/>
          <w:color w:val="auto"/>
        </w:rPr>
      </w:pPr>
    </w:p>
    <w:p>
      <w:pPr>
        <w:ind w:left="400" w:hanging="167"/>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elect three Directors to hold office for a three-year term as Class II directors, and until their successors are duly elected and qualified.</w:t>
      </w:r>
    </w:p>
    <w:p>
      <w:pPr>
        <w:spacing w:after="0" w:line="117" w:lineRule="exact"/>
        <w:rPr>
          <w:rFonts w:ascii="Arial" w:cs="Arial" w:eastAsia="Arial" w:hAnsi="Arial"/>
          <w:sz w:val="18"/>
          <w:szCs w:val="18"/>
          <w:color w:val="auto"/>
        </w:rPr>
      </w:pPr>
    </w:p>
    <w:p>
      <w:pPr>
        <w:ind w:right="240" w:firstLine="233"/>
        <w:spacing w:after="0" w:line="277" w:lineRule="auto"/>
        <w:tabs>
          <w:tab w:leader="none" w:pos="40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the Company’s independent registered public accounting firm for our fiscal year ending December 31, 2005.</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 other matters were voted on. The number of votes cast was: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420" w:type="dxa"/>
            <w:vAlign w:val="bottom"/>
          </w:tcPr>
          <w:p>
            <w:pPr>
              <w:spacing w:after="0"/>
              <w:rPr>
                <w:sz w:val="14"/>
                <w:szCs w:val="14"/>
                <w:color w:val="auto"/>
              </w:rPr>
            </w:pPr>
          </w:p>
        </w:tc>
        <w:tc>
          <w:tcPr>
            <w:tcW w:w="178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color w:val="auto"/>
              </w:rPr>
              <w:t>For</w:t>
            </w:r>
          </w:p>
        </w:tc>
        <w:tc>
          <w:tcPr>
            <w:tcW w:w="100" w:type="dxa"/>
            <w:vAlign w:val="bottom"/>
          </w:tcPr>
          <w:p>
            <w:pPr>
              <w:spacing w:after="0"/>
              <w:rPr>
                <w:sz w:val="14"/>
                <w:szCs w:val="14"/>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Withheld</w:t>
            </w: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1. Election of Class II Directors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8420" w:type="dxa"/>
            <w:vAlign w:val="bottom"/>
          </w:tcPr>
          <w:p>
            <w:pPr>
              <w:ind w:left="320"/>
              <w:spacing w:after="0"/>
              <w:rPr>
                <w:sz w:val="20"/>
                <w:szCs w:val="20"/>
                <w:color w:val="auto"/>
              </w:rPr>
            </w:pPr>
            <w:r>
              <w:rPr>
                <w:rFonts w:ascii="Arial" w:cs="Arial" w:eastAsia="Arial" w:hAnsi="Arial"/>
                <w:sz w:val="18"/>
                <w:szCs w:val="18"/>
                <w:color w:val="auto"/>
              </w:rPr>
              <w:t>Alfred G. Gilman, M.D., Ph.D.</w:t>
            </w:r>
          </w:p>
        </w:tc>
        <w:tc>
          <w:tcPr>
            <w:tcW w:w="1780" w:type="dxa"/>
            <w:vAlign w:val="bottom"/>
          </w:tcPr>
          <w:p>
            <w:pPr>
              <w:jc w:val="right"/>
              <w:ind w:right="454"/>
              <w:spacing w:after="0"/>
              <w:rPr>
                <w:sz w:val="20"/>
                <w:szCs w:val="20"/>
                <w:color w:val="auto"/>
              </w:rPr>
            </w:pPr>
            <w:r>
              <w:rPr>
                <w:rFonts w:ascii="Arial" w:cs="Arial" w:eastAsia="Arial" w:hAnsi="Arial"/>
                <w:sz w:val="18"/>
                <w:szCs w:val="18"/>
                <w:color w:val="auto"/>
              </w:rPr>
              <w:t>63,930,014</w:t>
            </w:r>
          </w:p>
        </w:tc>
        <w:tc>
          <w:tcPr>
            <w:tcW w:w="1220" w:type="dxa"/>
            <w:vAlign w:val="bottom"/>
            <w:gridSpan w:val="2"/>
          </w:tcPr>
          <w:p>
            <w:pPr>
              <w:ind w:left="400"/>
              <w:spacing w:after="0"/>
              <w:rPr>
                <w:sz w:val="20"/>
                <w:szCs w:val="20"/>
                <w:color w:val="auto"/>
              </w:rPr>
            </w:pPr>
            <w:r>
              <w:rPr>
                <w:rFonts w:ascii="Arial" w:cs="Arial" w:eastAsia="Arial" w:hAnsi="Arial"/>
                <w:sz w:val="18"/>
                <w:szCs w:val="18"/>
                <w:color w:val="auto"/>
                <w:w w:val="99"/>
              </w:rPr>
              <w:t>5,103,538</w:t>
            </w:r>
          </w:p>
        </w:tc>
      </w:tr>
      <w:tr>
        <w:trPr>
          <w:trHeight w:val="216"/>
        </w:trPr>
        <w:tc>
          <w:tcPr>
            <w:tcW w:w="8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Joseph L. Goldstein, M.D.</w:t>
            </w:r>
          </w:p>
        </w:tc>
        <w:tc>
          <w:tcPr>
            <w:tcW w:w="178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67,419,359</w:t>
            </w:r>
          </w:p>
        </w:tc>
        <w:tc>
          <w:tcPr>
            <w:tcW w:w="1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1,614,193</w:t>
            </w:r>
          </w:p>
        </w:tc>
      </w:tr>
      <w:tr>
        <w:trPr>
          <w:trHeight w:val="230"/>
        </w:trPr>
        <w:tc>
          <w:tcPr>
            <w:tcW w:w="8420" w:type="dxa"/>
            <w:vAlign w:val="bottom"/>
          </w:tcPr>
          <w:p>
            <w:pPr>
              <w:ind w:left="320"/>
              <w:spacing w:after="0"/>
              <w:rPr>
                <w:sz w:val="20"/>
                <w:szCs w:val="20"/>
                <w:color w:val="auto"/>
              </w:rPr>
            </w:pPr>
            <w:r>
              <w:rPr>
                <w:rFonts w:ascii="Arial" w:cs="Arial" w:eastAsia="Arial" w:hAnsi="Arial"/>
                <w:sz w:val="18"/>
                <w:szCs w:val="18"/>
                <w:color w:val="auto"/>
              </w:rPr>
              <w:t>P. Roy Vagelos, M.D.</w:t>
            </w:r>
          </w:p>
        </w:tc>
        <w:tc>
          <w:tcPr>
            <w:tcW w:w="1780" w:type="dxa"/>
            <w:vAlign w:val="bottom"/>
          </w:tcPr>
          <w:p>
            <w:pPr>
              <w:jc w:val="right"/>
              <w:ind w:right="454"/>
              <w:spacing w:after="0"/>
              <w:rPr>
                <w:sz w:val="20"/>
                <w:szCs w:val="20"/>
                <w:color w:val="auto"/>
              </w:rPr>
            </w:pPr>
            <w:r>
              <w:rPr>
                <w:rFonts w:ascii="Arial" w:cs="Arial" w:eastAsia="Arial" w:hAnsi="Arial"/>
                <w:sz w:val="18"/>
                <w:szCs w:val="18"/>
                <w:color w:val="auto"/>
              </w:rPr>
              <w:t>64,541,190</w:t>
            </w:r>
          </w:p>
        </w:tc>
        <w:tc>
          <w:tcPr>
            <w:tcW w:w="1220" w:type="dxa"/>
            <w:vAlign w:val="bottom"/>
            <w:gridSpan w:val="2"/>
          </w:tcPr>
          <w:p>
            <w:pPr>
              <w:ind w:left="400"/>
              <w:spacing w:after="0"/>
              <w:rPr>
                <w:sz w:val="20"/>
                <w:szCs w:val="20"/>
                <w:color w:val="auto"/>
              </w:rPr>
            </w:pPr>
            <w:r>
              <w:rPr>
                <w:rFonts w:ascii="Arial" w:cs="Arial" w:eastAsia="Arial" w:hAnsi="Arial"/>
                <w:sz w:val="18"/>
                <w:szCs w:val="18"/>
                <w:color w:val="auto"/>
                <w:w w:val="99"/>
              </w:rPr>
              <w:t>4,492,362</w:t>
            </w:r>
          </w:p>
        </w:tc>
      </w:tr>
    </w:tbl>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terms of office of Leonard S. Schleifer, M.D., Ph.D., Eric M. Shooter, Ph.D., George D. Yancopoulos, M.D., Ph.D., Charles A Baker, Michael 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Brown, M.D., Arthur F. Ryan, and George L. Sing continued after the meeting.</w:t>
      </w:r>
    </w:p>
    <w:p>
      <w:pPr>
        <w:spacing w:after="0" w:line="206" w:lineRule="exact"/>
        <w:rPr>
          <w:sz w:val="20"/>
          <w:szCs w:val="20"/>
          <w:color w:val="auto"/>
        </w:rPr>
      </w:pPr>
    </w:p>
    <w:p>
      <w:pPr>
        <w:ind w:left="7700"/>
        <w:spacing w:after="0"/>
        <w:tabs>
          <w:tab w:leader="none" w:pos="9280" w:val="left"/>
          <w:tab w:leader="none" w:pos="1066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3"/>
          <w:szCs w:val="13"/>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3810</wp:posOffset>
            </wp:positionV>
            <wp:extent cx="28384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 w:lineRule="exact"/>
        <w:rPr>
          <w:sz w:val="20"/>
          <w:szCs w:val="20"/>
          <w:color w:val="auto"/>
        </w:rPr>
      </w:pPr>
    </w:p>
    <w:p>
      <w:pPr>
        <w:ind w:left="320" w:right="8600" w:hanging="312"/>
        <w:spacing w:after="0" w:line="280" w:lineRule="auto"/>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Ratification of the Appointment of Independent Registered Public</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Accounting Firm</w:t>
            </w:r>
          </w:p>
        </w:tc>
        <w:tc>
          <w:tcPr>
            <w:tcW w:w="4220" w:type="dxa"/>
            <w:vAlign w:val="bottom"/>
          </w:tcPr>
          <w:p>
            <w:pPr>
              <w:jc w:val="right"/>
              <w:ind w:right="430"/>
              <w:spacing w:after="0"/>
              <w:rPr>
                <w:sz w:val="20"/>
                <w:szCs w:val="20"/>
                <w:color w:val="auto"/>
              </w:rPr>
            </w:pPr>
            <w:r>
              <w:rPr>
                <w:rFonts w:ascii="Arial" w:cs="Arial" w:eastAsia="Arial" w:hAnsi="Arial"/>
                <w:sz w:val="18"/>
                <w:szCs w:val="18"/>
                <w:color w:val="auto"/>
              </w:rPr>
              <w:t>68,731,884</w:t>
            </w:r>
          </w:p>
        </w:tc>
        <w:tc>
          <w:tcPr>
            <w:tcW w:w="1640" w:type="dxa"/>
            <w:vAlign w:val="bottom"/>
          </w:tcPr>
          <w:p>
            <w:pPr>
              <w:jc w:val="right"/>
              <w:ind w:right="450"/>
              <w:spacing w:after="0"/>
              <w:rPr>
                <w:sz w:val="20"/>
                <w:szCs w:val="20"/>
                <w:color w:val="auto"/>
              </w:rPr>
            </w:pPr>
            <w:r>
              <w:rPr>
                <w:rFonts w:ascii="Arial" w:cs="Arial" w:eastAsia="Arial" w:hAnsi="Arial"/>
                <w:sz w:val="18"/>
                <w:szCs w:val="18"/>
                <w:color w:val="auto"/>
              </w:rPr>
              <w:t>274,121</w:t>
            </w:r>
          </w:p>
        </w:tc>
        <w:tc>
          <w:tcPr>
            <w:tcW w:w="1040" w:type="dxa"/>
            <w:vAlign w:val="bottom"/>
          </w:tcPr>
          <w:p>
            <w:pPr>
              <w:jc w:val="right"/>
              <w:spacing w:after="0"/>
              <w:rPr>
                <w:sz w:val="20"/>
                <w:szCs w:val="20"/>
                <w:color w:val="auto"/>
              </w:rPr>
            </w:pPr>
            <w:r>
              <w:rPr>
                <w:rFonts w:ascii="Arial" w:cs="Arial" w:eastAsia="Arial" w:hAnsi="Arial"/>
                <w:sz w:val="18"/>
                <w:szCs w:val="18"/>
                <w:color w:val="auto"/>
              </w:rPr>
              <w:t>27,547</w:t>
            </w: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0140" w:type="dxa"/>
            <w:vAlign w:val="bottom"/>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0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10.10.1*</w:t>
            </w:r>
          </w:p>
        </w:tc>
        <w:tc>
          <w:tcPr>
            <w:tcW w:w="120" w:type="dxa"/>
            <w:vAlign w:val="bottom"/>
          </w:tcPr>
          <w:p>
            <w:pPr>
              <w:spacing w:after="0"/>
              <w:rPr>
                <w:sz w:val="16"/>
                <w:szCs w:val="16"/>
                <w:color w:val="auto"/>
              </w:rPr>
            </w:pPr>
          </w:p>
        </w:tc>
        <w:tc>
          <w:tcPr>
            <w:tcW w:w="10140" w:type="dxa"/>
            <w:vAlign w:val="bottom"/>
          </w:tcPr>
          <w:p>
            <w:pPr>
              <w:ind w:left="280"/>
              <w:spacing w:after="0" w:line="195" w:lineRule="exact"/>
              <w:rPr>
                <w:sz w:val="20"/>
                <w:szCs w:val="20"/>
                <w:color w:val="auto"/>
              </w:rPr>
            </w:pPr>
            <w:r>
              <w:rPr>
                <w:rFonts w:ascii="Arial" w:cs="Arial" w:eastAsia="Arial" w:hAnsi="Arial"/>
                <w:sz w:val="18"/>
                <w:szCs w:val="18"/>
                <w:color w:val="auto"/>
                <w:w w:val="91"/>
              </w:rPr>
              <w:t>- Amendment and Agreement made as of June 30, 2005 by and between Regeneron Pharmaceuticals, Inc. and The Procter &amp; Gamble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44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4"/>
                <w:szCs w:val="24"/>
                <w:color w:val="auto"/>
              </w:rPr>
            </w:pPr>
          </w:p>
        </w:tc>
        <w:tc>
          <w:tcPr>
            <w:tcW w:w="10140" w:type="dxa"/>
            <w:vAlign w:val="bottom"/>
          </w:tcPr>
          <w:p>
            <w:pPr>
              <w:ind w:left="280"/>
              <w:spacing w:after="0"/>
              <w:rPr>
                <w:sz w:val="20"/>
                <w:szCs w:val="20"/>
                <w:color w:val="auto"/>
              </w:rPr>
            </w:pPr>
            <w:r>
              <w:rPr>
                <w:rFonts w:ascii="Arial" w:cs="Arial" w:eastAsia="Arial" w:hAnsi="Arial"/>
                <w:sz w:val="18"/>
                <w:szCs w:val="18"/>
                <w:color w:val="auto"/>
              </w:rPr>
              <w:t>- Statement re: computation of ratio of earnings to combined fixed charges.</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140" w:type="dxa"/>
            <w:vAlign w:val="bottom"/>
          </w:tcPr>
          <w:p>
            <w:pPr>
              <w:ind w:left="280"/>
              <w:spacing w:after="0"/>
              <w:rPr>
                <w:sz w:val="20"/>
                <w:szCs w:val="20"/>
                <w:color w:val="auto"/>
              </w:rPr>
            </w:pPr>
            <w:r>
              <w:rPr>
                <w:rFonts w:ascii="Arial" w:cs="Arial" w:eastAsia="Arial" w:hAnsi="Arial"/>
                <w:sz w:val="18"/>
                <w:szCs w:val="18"/>
                <w:color w:val="auto"/>
              </w:rPr>
              <w:t>- Certification of CEO pursuant to Rule 13a-14(a) under the Securities and Exchange Act of 1934.</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140" w:type="dxa"/>
            <w:vAlign w:val="bottom"/>
          </w:tcPr>
          <w:p>
            <w:pPr>
              <w:ind w:left="280"/>
              <w:spacing w:after="0"/>
              <w:rPr>
                <w:sz w:val="20"/>
                <w:szCs w:val="20"/>
                <w:color w:val="auto"/>
              </w:rPr>
            </w:pPr>
            <w:r>
              <w:rPr>
                <w:rFonts w:ascii="Arial" w:cs="Arial" w:eastAsia="Arial" w:hAnsi="Arial"/>
                <w:sz w:val="18"/>
                <w:szCs w:val="18"/>
                <w:color w:val="auto"/>
              </w:rPr>
              <w:t>- Certification of CFO pursuant to Rule 13a-14(a) under the Securities and Exchange Act of 1934.</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140" w:type="dxa"/>
            <w:vAlign w:val="bottom"/>
          </w:tcPr>
          <w:p>
            <w:pPr>
              <w:ind w:left="280"/>
              <w:spacing w:after="0"/>
              <w:rPr>
                <w:sz w:val="20"/>
                <w:szCs w:val="20"/>
                <w:color w:val="auto"/>
              </w:rPr>
            </w:pPr>
            <w:r>
              <w:rPr>
                <w:rFonts w:ascii="Arial" w:cs="Arial" w:eastAsia="Arial" w:hAnsi="Arial"/>
                <w:sz w:val="18"/>
                <w:szCs w:val="18"/>
                <w:color w:val="auto"/>
              </w:rPr>
              <w:t>- Certification of CEO and CFO pursuant to 18 U.S.C. Section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48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Portions of this document have been omitted and filed separately with the Commission pursuant to requests for confidential treatment pursuant to Rule 24b-2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u w:val="single" w:color="auto"/>
          <w:color w:val="auto"/>
        </w:rPr>
        <w:t>SIGNATURE</w:t>
      </w:r>
    </w:p>
    <w:p>
      <w:pPr>
        <w:spacing w:after="0" w:line="1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tabs>
          <w:tab w:leader="none" w:pos="5820" w:val="left"/>
          <w:tab w:leader="none" w:pos="6260" w:val="left"/>
        </w:tabs>
        <w:rPr>
          <w:sz w:val="20"/>
          <w:szCs w:val="20"/>
          <w:color w:val="auto"/>
        </w:rPr>
      </w:pPr>
      <w:r>
        <w:rPr>
          <w:rFonts w:ascii="Arial" w:cs="Arial" w:eastAsia="Arial" w:hAnsi="Arial"/>
          <w:sz w:val="18"/>
          <w:szCs w:val="18"/>
          <w:color w:val="auto"/>
        </w:rPr>
        <w:t>Date: August 8,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Murray A. Goldberg</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Senior Vice President, Finance &amp; Administration, Chief Financial Officer,</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Treasurer, and Assistant Secretary</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80"/>
          </w:cols>
          <w:pgMar w:left="240" w:top="419" w:right="379" w:bottom="1440" w:gutter="0" w:footer="0" w:header="0"/>
        </w:sectPr>
      </w:pPr>
    </w:p>
    <w:bookmarkStart w:id="62" w:name="page63"/>
    <w:bookmarkEnd w:id="62"/>
    <w:p>
      <w:pPr>
        <w:ind w:left="6320"/>
        <w:spacing w:after="0"/>
        <w:rPr>
          <w:sz w:val="20"/>
          <w:szCs w:val="20"/>
          <w:color w:val="auto"/>
        </w:rPr>
      </w:pPr>
      <w:r>
        <w:rPr>
          <w:rFonts w:ascii="Courier New" w:cs="Courier New" w:eastAsia="Courier New" w:hAnsi="Courier New"/>
          <w:sz w:val="18"/>
          <w:szCs w:val="18"/>
          <w:color w:val="auto"/>
        </w:rPr>
        <w:t>Execution Copy</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10.10.1</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AMENDMENT AND AGREEMENT</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This Amendment and Agreement (this "Amendment") is made as of the 30th of June, 2005.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BETWEEN:</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REGENERON PHARMACEUTICALS, INC. a New York corporation having its principal office at 777 Old Saw Mill River Road, Tarrytown, New York 10591-6707, (hereinafter with its Affiliates, "Regeneron")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PROCTER &amp; GAMBLE COMPANY, an Ohio corporation having its principal offices at One Procter &amp; Gamble Plaza, Cincinnati, Ohio 45202, (hereinafter together with its Affiliate Procter &amp; Gamble Pharmaceuticals, Inc., "P&amp;G").</w:t>
      </w: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WHEREAS Regeneron and P&amp;G entered into the Focused Collaboration Agreement on December 31, 2000 ,as amended by the Parties on August 11, 2004 (the "Agreement");</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WHEREAS the Parties have mutually agreed that the activities contemplated by the Parties during the Research Term have been completed;</w:t>
      </w:r>
    </w:p>
    <w:p>
      <w:pPr>
        <w:spacing w:after="0" w:line="20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NOW THEREFORE in consideration of the mutual promises contained herein, the parties agree as follows:</w:t>
      </w:r>
    </w:p>
    <w:p>
      <w:pPr>
        <w:spacing w:after="0" w:line="208" w:lineRule="exact"/>
        <w:rPr>
          <w:sz w:val="20"/>
          <w:szCs w:val="20"/>
          <w:color w:val="auto"/>
        </w:rPr>
      </w:pPr>
    </w:p>
    <w:p>
      <w:pPr>
        <w:ind w:left="640" w:right="2199" w:hanging="632"/>
        <w:spacing w:after="0" w:line="236"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Because the activities contemplated during the Research Term have been completed, the Term shall expire effective as of June 30, 2005 (the "Expiration Date").</w:t>
      </w:r>
    </w:p>
    <w:p>
      <w:pPr>
        <w:spacing w:after="0" w:line="203"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P&amp;G shall forthwith:</w:t>
      </w:r>
    </w:p>
    <w:p>
      <w:pPr>
        <w:spacing w:after="0" w:line="206" w:lineRule="exact"/>
        <w:rPr>
          <w:rFonts w:ascii="Courier New" w:cs="Courier New" w:eastAsia="Courier New" w:hAnsi="Courier New"/>
          <w:sz w:val="18"/>
          <w:szCs w:val="18"/>
          <w:color w:val="auto"/>
        </w:rPr>
      </w:pPr>
    </w:p>
    <w:p>
      <w:pPr>
        <w:ind w:left="1900" w:right="2419" w:hanging="628"/>
        <w:spacing w:after="0" w:line="268" w:lineRule="auto"/>
        <w:tabs>
          <w:tab w:leader="none" w:pos="190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promptly to Regeneron any and all confidential information and materials relating to ******************</w:t>
      </w: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(including, without limitation, a **********************</w:t>
      </w:r>
    </w:p>
    <w:p>
      <w:pPr>
        <w:spacing w:after="0" w:line="4" w:lineRule="exact"/>
        <w:rPr>
          <w:rFonts w:ascii="Courier New" w:cs="Courier New" w:eastAsia="Courier New" w:hAnsi="Courier New"/>
          <w:sz w:val="16"/>
          <w:szCs w:val="16"/>
          <w:color w:val="auto"/>
        </w:rPr>
      </w:pPr>
    </w:p>
    <w:p>
      <w:pPr>
        <w:ind w:left="190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the GPCR Field, and the DDR Field, whether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41" w:right="1440" w:bottom="1440" w:gutter="0" w:footer="0" w:header="0"/>
        </w:sectPr>
      </w:pPr>
    </w:p>
    <w:bookmarkStart w:id="63" w:name="page64"/>
    <w:bookmarkEnd w:id="63"/>
    <w:p>
      <w:pPr>
        <w:ind w:left="6952"/>
        <w:spacing w:after="0"/>
        <w:rPr>
          <w:sz w:val="20"/>
          <w:szCs w:val="20"/>
          <w:color w:val="auto"/>
        </w:rPr>
      </w:pPr>
      <w:r>
        <w:rPr>
          <w:rFonts w:ascii="Courier New" w:cs="Courier New" w:eastAsia="Courier New" w:hAnsi="Courier New"/>
          <w:sz w:val="16"/>
          <w:szCs w:val="16"/>
          <w:color w:val="auto"/>
        </w:rPr>
        <w:t>Execution Copy</w:t>
      </w:r>
    </w:p>
    <w:p>
      <w:pPr>
        <w:spacing w:after="0" w:line="224" w:lineRule="exact"/>
        <w:rPr>
          <w:sz w:val="20"/>
          <w:szCs w:val="20"/>
          <w:color w:val="auto"/>
        </w:rPr>
      </w:pPr>
    </w:p>
    <w:p>
      <w:pPr>
        <w:ind w:left="1892" w:right="1879"/>
        <w:spacing w:after="0" w:line="237" w:lineRule="auto"/>
        <w:rPr>
          <w:sz w:val="20"/>
          <w:szCs w:val="20"/>
          <w:color w:val="auto"/>
        </w:rPr>
      </w:pPr>
      <w:r>
        <w:rPr>
          <w:rFonts w:ascii="Courier New" w:cs="Courier New" w:eastAsia="Courier New" w:hAnsi="Courier New"/>
          <w:sz w:val="18"/>
          <w:szCs w:val="18"/>
          <w:color w:val="auto"/>
        </w:rPr>
        <w:t>provided by Regeneron or generated by P&amp;G during the term of the Agreement. Such confidential information shall now be considered Regeneron's Information. Regeneron may use and disclose such information without restriction and P&amp;G shall treat such Information in accordance with the confidentiality and non-use obligations set forth in Article VIII of the Agreement; and</w:t>
      </w:r>
    </w:p>
    <w:p>
      <w:pPr>
        <w:spacing w:after="0" w:line="211" w:lineRule="exact"/>
        <w:rPr>
          <w:sz w:val="20"/>
          <w:szCs w:val="20"/>
          <w:color w:val="auto"/>
        </w:rPr>
      </w:pPr>
    </w:p>
    <w:p>
      <w:pPr>
        <w:ind w:left="1892" w:right="1779" w:hanging="628"/>
        <w:spacing w:after="0" w:line="268" w:lineRule="auto"/>
        <w:tabs>
          <w:tab w:leader="none" w:pos="1892"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to Regeneron an exclusive, royalty free, worldwide, fully paid up license, with the right to grant sublicenses, to any Inventions (including any P&amp;G Patent Right included therein) and Know-how in, to or claiming*********************</w:t>
      </w:r>
    </w:p>
    <w:p>
      <w:pPr>
        <w:ind w:left="1892"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GPCR Field and/or the DDR Field (including the manufacture, use, offer for sale or sale thereof) that P&amp;G (or its Affiliate) might have at the Expiration Date and any Patents filed after the Expiration Date which claim any such Invention. Notwithstanding the license granted above, P&amp;G shall only grant to Regeneron a non-exclusive, royalty free license under Procter &amp; Gamble Know-how and P&amp;G Patent Rights, with the right to sublicense, to make, have made, and use Procter &amp; Gamble Compounds solely for research purposes. For clarity, this non-exclusive license to Procter &amp; Gamble Compounds does not include the right to have sold or sell Procter &amp; Gamble Compounds, under Procter &amp; Gamble Know-how and P&amp;G Patent Rights.</w:t>
      </w:r>
    </w:p>
    <w:p>
      <w:pPr>
        <w:spacing w:after="0" w:line="207" w:lineRule="exact"/>
        <w:rPr>
          <w:rFonts w:ascii="Courier New" w:cs="Courier New" w:eastAsia="Courier New" w:hAnsi="Courier New"/>
          <w:sz w:val="16"/>
          <w:szCs w:val="16"/>
          <w:color w:val="auto"/>
        </w:rPr>
      </w:pPr>
    </w:p>
    <w:p>
      <w:pPr>
        <w:ind w:left="1892" w:right="1779" w:hanging="628"/>
        <w:spacing w:after="0" w:line="237" w:lineRule="auto"/>
        <w:tabs>
          <w:tab w:leader="none" w:pos="1892"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prior to************, promptly notify Regeneron of any decision to not advance the Hercules Compound (as defined below) to the next stage of development. Upon such notification the obligations under Section 2.11(b) of the Agreement shall no longer be applicable to the Hercules Compound.</w:t>
      </w:r>
    </w:p>
    <w:p>
      <w:pPr>
        <w:spacing w:after="0" w:line="204" w:lineRule="exact"/>
        <w:rPr>
          <w:rFonts w:ascii="Courier New" w:cs="Courier New" w:eastAsia="Courier New" w:hAnsi="Courier New"/>
          <w:sz w:val="18"/>
          <w:szCs w:val="18"/>
          <w:color w:val="auto"/>
        </w:rPr>
      </w:pPr>
    </w:p>
    <w:p>
      <w:pPr>
        <w:ind w:left="632" w:hanging="632"/>
        <w:spacing w:after="0"/>
        <w:tabs>
          <w:tab w:leader="none" w:pos="6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 shall forthwith:</w:t>
      </w:r>
    </w:p>
    <w:p>
      <w:pPr>
        <w:spacing w:after="0" w:line="206" w:lineRule="exact"/>
        <w:rPr>
          <w:rFonts w:ascii="Courier New" w:cs="Courier New" w:eastAsia="Courier New" w:hAnsi="Courier New"/>
          <w:sz w:val="18"/>
          <w:szCs w:val="18"/>
          <w:color w:val="auto"/>
        </w:rPr>
      </w:pPr>
    </w:p>
    <w:p>
      <w:pPr>
        <w:ind w:left="1892" w:right="1879" w:hanging="628"/>
        <w:spacing w:after="0" w:line="272" w:lineRule="auto"/>
        <w:tabs>
          <w:tab w:leader="none" w:pos="1892"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to P&amp;G an exclusive, worldwide license, with the right to grant sublicenses, to any Inventions (including any Regeneron Patent Rights included therein) and Know-how in, to or claiming ***************************("Hercules Project"), including the Development Compound***********************************************, the</w:t>
      </w:r>
    </w:p>
    <w:p>
      <w:pPr>
        <w:spacing w:after="0" w:line="180"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1"/>
          </w:cols>
          <w:pgMar w:left="248" w:top="723" w:right="1440" w:bottom="1440" w:gutter="0" w:footer="0" w:header="0"/>
        </w:sectPr>
      </w:pPr>
    </w:p>
    <w:bookmarkStart w:id="64" w:name="page65"/>
    <w:bookmarkEnd w:id="64"/>
    <w:p>
      <w:pPr>
        <w:ind w:left="6952"/>
        <w:spacing w:after="0"/>
        <w:rPr>
          <w:sz w:val="20"/>
          <w:szCs w:val="20"/>
          <w:color w:val="auto"/>
        </w:rPr>
      </w:pPr>
      <w:r>
        <w:rPr>
          <w:rFonts w:ascii="Courier New" w:cs="Courier New" w:eastAsia="Courier New" w:hAnsi="Courier New"/>
          <w:sz w:val="16"/>
          <w:szCs w:val="16"/>
          <w:color w:val="auto"/>
        </w:rPr>
        <w:t>Execution Copy</w:t>
      </w:r>
    </w:p>
    <w:p>
      <w:pPr>
        <w:spacing w:after="0" w:line="224" w:lineRule="exact"/>
        <w:rPr>
          <w:sz w:val="20"/>
          <w:szCs w:val="20"/>
          <w:color w:val="auto"/>
        </w:rPr>
      </w:pPr>
    </w:p>
    <w:p>
      <w:pPr>
        <w:jc w:val="both"/>
        <w:ind w:left="1892" w:right="2099"/>
        <w:spacing w:after="0" w:line="237" w:lineRule="auto"/>
        <w:rPr>
          <w:sz w:val="20"/>
          <w:szCs w:val="20"/>
          <w:color w:val="auto"/>
        </w:rPr>
      </w:pPr>
      <w:r>
        <w:rPr>
          <w:rFonts w:ascii="Courier New" w:cs="Courier New" w:eastAsia="Courier New" w:hAnsi="Courier New"/>
          <w:sz w:val="18"/>
          <w:szCs w:val="18"/>
          <w:color w:val="auto"/>
        </w:rPr>
        <w:t>"Hercules Compound") (including the manufacture, use, offer for sale or sale thereof) that Regeneron might have at the Expiration Date and any Patents filed after the Expiration Date which claim any such Invention; and</w:t>
      </w:r>
    </w:p>
    <w:p>
      <w:pPr>
        <w:spacing w:after="0" w:line="207" w:lineRule="exact"/>
        <w:rPr>
          <w:sz w:val="20"/>
          <w:szCs w:val="20"/>
          <w:color w:val="auto"/>
        </w:rPr>
      </w:pPr>
    </w:p>
    <w:p>
      <w:pPr>
        <w:ind w:left="1892" w:right="1779" w:hanging="628"/>
        <w:spacing w:after="0" w:line="237" w:lineRule="auto"/>
        <w:tabs>
          <w:tab w:leader="none" w:pos="1892"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promptly to P&amp;G any and all confidential information and materials relating to the Hercules Project or the Hercules Compound whether provided by P&amp;G or generated by Regeneron during the term of the Agreement. Such confidential information shall now be considered P&amp;G's Information. P&amp;G may use and disclose such information without restrictions and Regeneron shall treat such Information in accordance with the confidentiality and non-use obligations set forth in Article VIII of the Agreement.</w:t>
      </w:r>
    </w:p>
    <w:p>
      <w:pPr>
        <w:spacing w:after="0" w:line="213" w:lineRule="exact"/>
        <w:rPr>
          <w:rFonts w:ascii="Courier New" w:cs="Courier New" w:eastAsia="Courier New" w:hAnsi="Courier New"/>
          <w:sz w:val="18"/>
          <w:szCs w:val="18"/>
          <w:color w:val="auto"/>
        </w:rPr>
      </w:pPr>
    </w:p>
    <w:p>
      <w:pPr>
        <w:ind w:left="632" w:right="1779" w:hanging="632"/>
        <w:spacing w:after="0" w:line="270" w:lineRule="auto"/>
        <w:tabs>
          <w:tab w:leader="none" w:pos="63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references to the Tail Period in the Agreement (and the respective rights and obligations of the Parties during the Tail Period) are deleted. Except as set forth herein, all obligations of, and licenses and rights granted by, the Parties under the Agreement shall automatically terminate as of the Expiration Date. However, neither Party shall be relieved of any obligations (including payment obligations) arising prior to the Expiration Date, including, without limitation, any payment obligations pursuant to Section 3.2 of the Agreement for activities prior to June 30, 2005. P&amp;G shall pay to Regeneron the sum of Two Million Seven Hundred Fifty-two Thousand Four Hundred Eighty-five dollars ($2,752,485.00) upon the Expiration Date for activities performed under the Agreement in the second Fiscal Quarter of 2005.</w:t>
      </w:r>
    </w:p>
    <w:p>
      <w:pPr>
        <w:spacing w:after="0" w:line="384" w:lineRule="exact"/>
        <w:rPr>
          <w:rFonts w:ascii="Courier New" w:cs="Courier New" w:eastAsia="Courier New" w:hAnsi="Courier New"/>
          <w:sz w:val="16"/>
          <w:szCs w:val="16"/>
          <w:color w:val="auto"/>
        </w:rPr>
      </w:pPr>
    </w:p>
    <w:p>
      <w:pPr>
        <w:ind w:left="632" w:hanging="632"/>
        <w:spacing w:after="0"/>
        <w:tabs>
          <w:tab w:leader="none" w:pos="63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shall forthwith:</w:t>
      </w:r>
    </w:p>
    <w:p>
      <w:pPr>
        <w:spacing w:after="0" w:line="206" w:lineRule="exact"/>
        <w:rPr>
          <w:rFonts w:ascii="Courier New" w:cs="Courier New" w:eastAsia="Courier New" w:hAnsi="Courier New"/>
          <w:sz w:val="18"/>
          <w:szCs w:val="18"/>
          <w:color w:val="auto"/>
        </w:rPr>
      </w:pPr>
    </w:p>
    <w:p>
      <w:pPr>
        <w:ind w:left="1892" w:right="1779" w:hanging="628"/>
        <w:spacing w:after="0" w:line="271" w:lineRule="auto"/>
        <w:tabs>
          <w:tab w:leader="none" w:pos="1892"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promptly to the other Party copies or samples of any and all confidential information and materials relating to the New Target Field, whether provided by the delivering Party or generated by the other Party during the term of the Agreement. Such information may be used and disclosed by both Parties without regard to any of the confidentiality and non-use obligations in Article VIII of the Agreement; and</w:t>
      </w:r>
    </w:p>
    <w:p>
      <w:pPr>
        <w:spacing w:after="0" w:line="187" w:lineRule="exact"/>
        <w:rPr>
          <w:rFonts w:ascii="Courier New" w:cs="Courier New" w:eastAsia="Courier New" w:hAnsi="Courier New"/>
          <w:sz w:val="16"/>
          <w:szCs w:val="16"/>
          <w:color w:val="auto"/>
        </w:rPr>
      </w:pPr>
    </w:p>
    <w:p>
      <w:pPr>
        <w:ind w:left="1892" w:right="1779" w:hanging="628"/>
        <w:spacing w:after="0" w:line="237" w:lineRule="auto"/>
        <w:tabs>
          <w:tab w:leader="none" w:pos="1892"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to the other Party a non-exclusive, royalty free, worldwide, fully paid up license, with the right to grant sublicenses, to any Inventions (including any P&amp;G Patent Right or Regeneron Patent Right included therein) and</w:t>
      </w:r>
    </w:p>
    <w:p>
      <w:pPr>
        <w:spacing w:after="0" w:line="202"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1"/>
          </w:cols>
          <w:pgMar w:left="248" w:top="723" w:right="1440" w:bottom="1440" w:gutter="0" w:footer="0" w:header="0"/>
        </w:sectPr>
      </w:pPr>
    </w:p>
    <w:bookmarkStart w:id="65" w:name="page66"/>
    <w:bookmarkEnd w:id="65"/>
    <w:p>
      <w:pPr>
        <w:ind w:left="6952"/>
        <w:spacing w:after="0"/>
        <w:rPr>
          <w:sz w:val="20"/>
          <w:szCs w:val="20"/>
          <w:color w:val="auto"/>
        </w:rPr>
      </w:pPr>
      <w:r>
        <w:rPr>
          <w:rFonts w:ascii="Courier New" w:cs="Courier New" w:eastAsia="Courier New" w:hAnsi="Courier New"/>
          <w:sz w:val="16"/>
          <w:szCs w:val="16"/>
          <w:color w:val="auto"/>
        </w:rPr>
        <w:t>Execution Copy</w:t>
      </w:r>
    </w:p>
    <w:p>
      <w:pPr>
        <w:spacing w:after="0" w:line="224" w:lineRule="exact"/>
        <w:rPr>
          <w:sz w:val="20"/>
          <w:szCs w:val="20"/>
          <w:color w:val="auto"/>
        </w:rPr>
      </w:pPr>
    </w:p>
    <w:p>
      <w:pPr>
        <w:ind w:left="1892" w:right="1779"/>
        <w:spacing w:after="0" w:line="270" w:lineRule="auto"/>
        <w:rPr>
          <w:sz w:val="20"/>
          <w:szCs w:val="20"/>
          <w:color w:val="auto"/>
        </w:rPr>
      </w:pPr>
      <w:r>
        <w:rPr>
          <w:rFonts w:ascii="Courier New" w:cs="Courier New" w:eastAsia="Courier New" w:hAnsi="Courier New"/>
          <w:sz w:val="16"/>
          <w:szCs w:val="16"/>
          <w:color w:val="auto"/>
        </w:rPr>
        <w:t>Know-how having utility in the New Target Field (including the manufacture, use, offer for sale or sale thereof) that the granting Party (or its Affiliate) might have at the Expiration Date and any Patents filed after the Expiration Date which claim any such Invention. Notwithstanding the above, P&amp;G shall only grant to Regeneron a non-exclusive, royalty free license under Procter &amp; Gamble Know-how and P&amp;G Patent Rights, with the right to sublicense, to make, have made, and use Procter &amp; Gamble Compounds in the New Target Field solely for research purposes. For clarity, this non-exclusive license to Procter &amp; Gamble Compounds does not include the right to have sold or sell Procter &amp; Gamble Compounds, under Procter &amp; Gamble Know-how and P&amp;G Patent Rights. P&amp;G agrees that it shall not, directly or indirectly, sell or have sold any Procter &amp; Gamble Compounds discovered during the Term in the New Target Field.</w:t>
      </w:r>
    </w:p>
    <w:p>
      <w:pPr>
        <w:spacing w:after="0" w:line="387" w:lineRule="exact"/>
        <w:rPr>
          <w:sz w:val="20"/>
          <w:szCs w:val="20"/>
          <w:color w:val="auto"/>
        </w:rPr>
      </w:pPr>
    </w:p>
    <w:p>
      <w:pPr>
        <w:ind w:left="632" w:right="1779" w:hanging="632"/>
        <w:spacing w:after="0" w:line="237" w:lineRule="auto"/>
        <w:tabs>
          <w:tab w:leader="none" w:pos="63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all other Inventions having utility in the Muscle Field not covered by paragraphs 2, 3, and 5 of this Amendment, each Party grants to the other Party a non-exclusive, royalty free, worldwide, fully paid up license, without the right to grant sublicenses, to make, have made, and use P&amp;G Technology or Regeneron Technology, as the case may be, for research purposes in the Muscle Field.</w:t>
      </w:r>
    </w:p>
    <w:p>
      <w:pPr>
        <w:spacing w:after="0" w:line="209" w:lineRule="exact"/>
        <w:rPr>
          <w:rFonts w:ascii="Courier New" w:cs="Courier New" w:eastAsia="Courier New" w:hAnsi="Courier New"/>
          <w:sz w:val="18"/>
          <w:szCs w:val="18"/>
          <w:color w:val="auto"/>
        </w:rPr>
      </w:pPr>
    </w:p>
    <w:p>
      <w:pPr>
        <w:ind w:left="632" w:right="1779" w:hanging="632"/>
        <w:spacing w:after="0" w:line="237" w:lineRule="auto"/>
        <w:tabs>
          <w:tab w:leader="none" w:pos="63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limiting anything in paragraphs 2, 3, 5, and 6 of this Amendment, within thirty (30) days following the Expiration Date, each Party shall be responsible for providing the other Party with the materials and information set forth in Attachment I hereto.</w:t>
      </w:r>
    </w:p>
    <w:p>
      <w:pPr>
        <w:spacing w:after="0" w:line="207" w:lineRule="exact"/>
        <w:rPr>
          <w:rFonts w:ascii="Courier New" w:cs="Courier New" w:eastAsia="Courier New" w:hAnsi="Courier New"/>
          <w:sz w:val="18"/>
          <w:szCs w:val="18"/>
          <w:color w:val="auto"/>
        </w:rPr>
      </w:pPr>
    </w:p>
    <w:p>
      <w:pPr>
        <w:ind w:left="632" w:right="1779" w:hanging="632"/>
        <w:spacing w:after="0" w:line="235" w:lineRule="auto"/>
        <w:tabs>
          <w:tab w:leader="none" w:pos="63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P&amp;G shall pay Regeneron Five Million Six Hundred Thirty-nine Thousand Nine Hundred Sixty Dollars ($5,639,960) upon the Expiration Date</w:t>
      </w:r>
    </w:p>
    <w:p>
      <w:pPr>
        <w:spacing w:after="0" w:line="208" w:lineRule="exact"/>
        <w:rPr>
          <w:rFonts w:ascii="Courier New" w:cs="Courier New" w:eastAsia="Courier New" w:hAnsi="Courier New"/>
          <w:sz w:val="18"/>
          <w:szCs w:val="18"/>
          <w:color w:val="auto"/>
        </w:rPr>
      </w:pPr>
    </w:p>
    <w:p>
      <w:pPr>
        <w:ind w:left="632" w:right="1779" w:hanging="632"/>
        <w:spacing w:after="0" w:line="237" w:lineRule="auto"/>
        <w:tabs>
          <w:tab w:leader="none" w:pos="63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 shall pay P&amp;G Nine Hundred Fifty Thousand Dollars ($950,000.00) upon the Expiration Date to acquire all right, title and interest in all capital equipment bought by or on behalf of P&amp;G during the Term and residing at Regeneron's facilities. P&amp;G represents and warrants that it has good and marketable title to such capital equipment, free and clear of liens and encumbrances.</w:t>
      </w:r>
    </w:p>
    <w:p>
      <w:pPr>
        <w:spacing w:after="0" w:line="209" w:lineRule="exact"/>
        <w:rPr>
          <w:rFonts w:ascii="Courier New" w:cs="Courier New" w:eastAsia="Courier New" w:hAnsi="Courier New"/>
          <w:sz w:val="18"/>
          <w:szCs w:val="18"/>
          <w:color w:val="auto"/>
        </w:rPr>
      </w:pPr>
    </w:p>
    <w:p>
      <w:pPr>
        <w:ind w:left="632" w:right="1779" w:hanging="632"/>
        <w:spacing w:after="0" w:line="236" w:lineRule="auto"/>
        <w:tabs>
          <w:tab w:leader="none" w:pos="63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payments due upon the Expiration Date shall be paid within thirty (30) days of receipt of an invoice for such amount. Once the payments in Sections 4, 8, and 9 of</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1"/>
          </w:cols>
          <w:pgMar w:left="248" w:top="723"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Execution Copy</w:t>
      </w:r>
    </w:p>
    <w:p>
      <w:pPr>
        <w:spacing w:after="0" w:line="224"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this Amendment are made in full, each Party shall release and discharge the other Party from any and all claims, counterclaims, causes of actions, liabilities or charges asserted or which could have been asserted, with respect to such matters or the payments made by the Parties under the Agreement during the Research Term.</w:t>
      </w:r>
    </w:p>
    <w:p>
      <w:pPr>
        <w:spacing w:after="0" w:line="209" w:lineRule="exact"/>
        <w:rPr>
          <w:sz w:val="20"/>
          <w:szCs w:val="20"/>
          <w:color w:val="auto"/>
        </w:rPr>
      </w:pPr>
    </w:p>
    <w:p>
      <w:pPr>
        <w:ind w:left="640" w:right="1879" w:hanging="632"/>
        <w:spacing w:after="0" w:line="235"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P&amp;G shall pay Regeneron, as an Opting Out Party, the following royalty on the Hercules Compound:</w:t>
      </w:r>
    </w:p>
    <w:p>
      <w:pPr>
        <w:spacing w:after="0" w:line="208" w:lineRule="exact"/>
        <w:rPr>
          <w:rFonts w:ascii="Courier New" w:cs="Courier New" w:eastAsia="Courier New" w:hAnsi="Courier New"/>
          <w:sz w:val="18"/>
          <w:szCs w:val="18"/>
          <w:color w:val="auto"/>
        </w:rPr>
      </w:pPr>
    </w:p>
    <w:p>
      <w:pPr>
        <w:ind w:left="1900" w:right="1779" w:hanging="628"/>
        <w:spacing w:after="0" w:line="268" w:lineRule="auto"/>
        <w:tabs>
          <w:tab w:leader="none" w:pos="190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P&amp;G shall pay to Regeneron a royalty based on P&amp;G's Net Sales of a Hercules Compound in all countries in the Territory. Such royalty will be calculated by multiplying the Net Sales by the applicable rates listed below: ****************of Net Sales in any Fiscal Year up to and including ***************(Threshold</w:t>
      </w: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and</w:t>
      </w:r>
    </w:p>
    <w:p>
      <w:pPr>
        <w:spacing w:after="0" w:line="4" w:lineRule="exact"/>
        <w:rPr>
          <w:rFonts w:ascii="Courier New" w:cs="Courier New" w:eastAsia="Courier New" w:hAnsi="Courier New"/>
          <w:sz w:val="16"/>
          <w:szCs w:val="16"/>
          <w:color w:val="auto"/>
        </w:rPr>
      </w:pPr>
    </w:p>
    <w:p>
      <w:pPr>
        <w:ind w:left="1900" w:right="23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Net Sales in any Fiscal Year above Threshold 1 and up to and including ****************; and</w:t>
      </w:r>
    </w:p>
    <w:p>
      <w:pPr>
        <w:ind w:left="19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of Net Sales in any Fiscal Year greater than</w:t>
      </w:r>
    </w:p>
    <w:p>
      <w:pPr>
        <w:spacing w:after="0" w:line="16" w:lineRule="exact"/>
        <w:rPr>
          <w:rFonts w:ascii="Courier New" w:cs="Courier New" w:eastAsia="Courier New" w:hAnsi="Courier New"/>
          <w:sz w:val="16"/>
          <w:szCs w:val="16"/>
          <w:color w:val="auto"/>
        </w:rPr>
      </w:pP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Such royalty will be paid on a quarterly basis for a period of ********** from the date of first sale to a customer of such Hercules Compound in a particular country, or for so long as the manufacture, use, importation or sale of the Hercules Compound would infringe a Valid Claim of a Patent in such country, whichever is longer.</w:t>
      </w:r>
    </w:p>
    <w:p>
      <w:pPr>
        <w:spacing w:after="0" w:line="209" w:lineRule="exact"/>
        <w:rPr>
          <w:sz w:val="20"/>
          <w:szCs w:val="20"/>
          <w:color w:val="auto"/>
        </w:rPr>
      </w:pPr>
    </w:p>
    <w:p>
      <w:pPr>
        <w:ind w:left="1900" w:right="1879" w:hanging="628"/>
        <w:spacing w:after="0" w:line="237" w:lineRule="auto"/>
        <w:tabs>
          <w:tab w:leader="none" w:pos="19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P&amp;G licenses the Hercules Compound to a Third Party or Parties, Regeneron's share of the royalty received from such Third Parties shall be a percentage of the total royalty from each such licensee(s). Such percentage will be based on when in the development by P&amp;G of the Hercules Compound, the Third Party license is completed according to the following schedule:</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Time of License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of Third Party</w:t>
      </w:r>
    </w:p>
    <w:p>
      <w:pPr>
        <w:spacing w:after="0" w:line="238" w:lineRule="auto"/>
        <w:rPr>
          <w:sz w:val="20"/>
          <w:szCs w:val="20"/>
          <w:color w:val="auto"/>
        </w:rPr>
      </w:pPr>
      <w:r>
        <w:rPr>
          <w:rFonts w:ascii="Courier New" w:cs="Courier New" w:eastAsia="Courier New" w:hAnsi="Courier New"/>
          <w:sz w:val="18"/>
          <w:szCs w:val="18"/>
          <w:color w:val="auto"/>
        </w:rPr>
        <w:t>Royalties to Regeneron</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of Third Party</w:t>
      </w:r>
    </w:p>
    <w:p>
      <w:pPr>
        <w:spacing w:after="0" w:line="238" w:lineRule="auto"/>
        <w:rPr>
          <w:sz w:val="20"/>
          <w:szCs w:val="20"/>
          <w:color w:val="auto"/>
        </w:rPr>
      </w:pPr>
      <w:r>
        <w:rPr>
          <w:rFonts w:ascii="Courier New" w:cs="Courier New" w:eastAsia="Courier New" w:hAnsi="Courier New"/>
          <w:sz w:val="18"/>
          <w:szCs w:val="18"/>
          <w:color w:val="auto"/>
        </w:rPr>
        <w:t>Royalties to P&amp;G</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120" w:space="100"/>
            <w:col w:w="2520" w:space="120"/>
            <w:col w:w="5359"/>
          </w:cols>
          <w:pgMar w:left="240" w:top="514"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2240" w:space="720"/>
            <w:col w:w="1800" w:space="720"/>
            <w:col w:w="4739"/>
          </w:cols>
          <w:pgMar w:left="240" w:top="514" w:right="1440" w:bottom="1440" w:gutter="0" w:footer="0" w:header="0"/>
          <w:type w:val="continuous"/>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514" w:right="1440" w:bottom="1440" w:gutter="0" w:footer="0" w:header="0"/>
          <w:type w:val="continuous"/>
        </w:sectPr>
      </w:pPr>
    </w:p>
    <w:bookmarkStart w:id="67" w:name="page68"/>
    <w:bookmarkEnd w:id="67"/>
    <w:p>
      <w:pPr>
        <w:jc w:val="right"/>
        <w:ind w:right="1779"/>
        <w:spacing w:after="0"/>
        <w:rPr>
          <w:sz w:val="20"/>
          <w:szCs w:val="20"/>
          <w:color w:val="auto"/>
        </w:rPr>
      </w:pPr>
      <w:r>
        <w:rPr>
          <w:rFonts w:ascii="Courier New" w:cs="Courier New" w:eastAsia="Courier New" w:hAnsi="Courier New"/>
          <w:sz w:val="18"/>
          <w:szCs w:val="18"/>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96"/>
              </w:rPr>
              <w:t>******************</w:t>
            </w:r>
          </w:p>
        </w:tc>
        <w:tc>
          <w:tcPr>
            <w:tcW w:w="210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244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96"/>
              </w:rPr>
              <w:t>******************</w:t>
            </w:r>
          </w:p>
        </w:tc>
        <w:tc>
          <w:tcPr>
            <w:tcW w:w="210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244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96"/>
              </w:rPr>
              <w:t>******************</w:t>
            </w:r>
          </w:p>
        </w:tc>
        <w:tc>
          <w:tcPr>
            <w:tcW w:w="210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P&amp;G may receive, without sharing with Regeneron, reimbursement from such licensee for reasonable, ****************************** costs of research, development and/or marketing costs (whether internal or Third Party) incurred by P&amp;G for work conducted on behalf of the licensee. Any amounts in excess of such reimbursement plus any other payments or income received by P&amp;G from a licensee, including, but not limited to, upfront, milestone and termination payments and licensing fees, shall be shared with Regeneron in the proportion outlined in the above table.</w:t>
      </w: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All amounts from licensees received by P&amp;G shall be fully disclosed to Regeneron and be subject to audit (including without limitation the calculation of fully-loaded costs) pursuant to Section 6.5 of the Agreement.</w:t>
      </w:r>
    </w:p>
    <w:p>
      <w:pPr>
        <w:spacing w:after="0" w:line="209" w:lineRule="exact"/>
        <w:rPr>
          <w:sz w:val="20"/>
          <w:szCs w:val="20"/>
          <w:color w:val="auto"/>
        </w:rPr>
      </w:pPr>
    </w:p>
    <w:p>
      <w:pPr>
        <w:ind w:left="1280" w:right="1779" w:hanging="640"/>
        <w:spacing w:after="0" w:line="237" w:lineRule="auto"/>
        <w:tabs>
          <w:tab w:leader="none" w:pos="128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P&amp;G elects to distribute or sublicense a Hercules Compound in any country, and a license must be obtained from a Third Party to manufacture and/or market such Hercules Compound to avoid a non-frivolous claim of patent infringement, P&amp;G shall offset *****</w:t>
      </w:r>
    </w:p>
    <w:p>
      <w:pPr>
        <w:spacing w:after="0" w:line="4" w:lineRule="exact"/>
        <w:rPr>
          <w:rFonts w:ascii="Courier New" w:cs="Courier New" w:eastAsia="Courier New" w:hAnsi="Courier New"/>
          <w:sz w:val="18"/>
          <w:szCs w:val="18"/>
          <w:color w:val="auto"/>
        </w:rPr>
      </w:pPr>
    </w:p>
    <w:p>
      <w:pPr>
        <w:ind w:left="1280" w:right="209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Third Party license fee, royalty or other similar payments solely in connection with the license of such patent for use to manufacture, use or sell a Hercules Compound ("Licensee Fees") against Regeneron's royalty. Any portion of Licensee Fees paid by P&amp;G that is to be offset against Regeneron's royalty but that exceeds Regeneron's royalty payable, shall be carried forward and accrue interest pursuant to Section 6.4 of the Agreement and be offset against future royalties as such royalties become payable.</w:t>
      </w:r>
    </w:p>
    <w:p>
      <w:pPr>
        <w:spacing w:after="0" w:line="180"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herein with respect to the Tail Period, sections 2.1,</w:t>
      </w:r>
    </w:p>
    <w:p>
      <w:pPr>
        <w:spacing w:after="0" w:line="238" w:lineRule="auto"/>
        <w:rPr>
          <w:sz w:val="20"/>
          <w:szCs w:val="20"/>
          <w:color w:val="auto"/>
        </w:rPr>
      </w:pPr>
      <w:r>
        <w:rPr>
          <w:rFonts w:ascii="Courier New" w:cs="Courier New" w:eastAsia="Courier New" w:hAnsi="Courier New"/>
          <w:sz w:val="18"/>
          <w:szCs w:val="18"/>
          <w:color w:val="auto"/>
        </w:rPr>
        <w:t>2.2, 2.11(b), 5.1, 5.3(a), each of 6.2, 6.3, 6.4 and 6.5 (in the case of 6.2,</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6.3, 6.4, and 6.5, solely with respect to royalty payments made to Regeneron under this Amendment), 8.1, 8.2, 9.3, 11.2, 11.3, 11.5, 11.6, 11.7, and Article 1 of the Agreement shall survive the expiration of the Agreement. For the avoidance of doubt, this paragraph 11 shall replace Section 11.8 of the Agreement in its entirety.</w:t>
      </w:r>
    </w:p>
    <w:p>
      <w:pPr>
        <w:spacing w:after="0" w:line="209" w:lineRule="exact"/>
        <w:rPr>
          <w:sz w:val="20"/>
          <w:szCs w:val="20"/>
          <w:color w:val="auto"/>
        </w:rPr>
      </w:pPr>
    </w:p>
    <w:p>
      <w:pPr>
        <w:ind w:right="1779" w:firstLine="8"/>
        <w:spacing w:after="0" w:line="235" w:lineRule="auto"/>
        <w:tabs>
          <w:tab w:leader="none" w:pos="4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Capitalized terms not defined herein shall have the meaning ascribed to them in the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68" w:name="page69"/>
    <w:bookmarkEnd w:id="68"/>
    <w:p>
      <w:pPr>
        <w:jc w:val="right"/>
        <w:ind w:right="1779"/>
        <w:spacing w:after="0"/>
        <w:rPr>
          <w:sz w:val="20"/>
          <w:szCs w:val="20"/>
          <w:color w:val="auto"/>
        </w:rPr>
      </w:pPr>
      <w:r>
        <w:rPr>
          <w:rFonts w:ascii="Courier New" w:cs="Courier New" w:eastAsia="Courier New" w:hAnsi="Courier New"/>
          <w:sz w:val="18"/>
          <w:szCs w:val="18"/>
          <w:color w:val="auto"/>
        </w:rPr>
        <w:t>Execution Copy</w:t>
      </w:r>
    </w:p>
    <w:p>
      <w:pPr>
        <w:spacing w:after="0" w:line="207" w:lineRule="exact"/>
        <w:rPr>
          <w:sz w:val="20"/>
          <w:szCs w:val="20"/>
          <w:color w:val="auto"/>
        </w:rPr>
      </w:pPr>
    </w:p>
    <w:p>
      <w:pPr>
        <w:ind w:right="1879" w:firstLine="8"/>
        <w:spacing w:after="0" w:line="237" w:lineRule="auto"/>
        <w:tabs>
          <w:tab w:leader="none" w:pos="42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and, to the extent specifically referenced herein, the Agreement constitute the entire agreement between the Parties hereto with respect to the subject matter hereof. Said agreements supersede all other agreements and understanding between the Parties with respect to the subject matter hereof and thereof, whether written or oral. If there is a direct conflict between the provisions of the Agreement and this Amendment, this Amendment shall govern. This Amendment may be amended only by a written instrument executed by both Parties. This Amendment shall be binding upon and inure to the benefit of the Parties and their respective Affiliates, successors and assigns.</w:t>
      </w:r>
    </w:p>
    <w:p>
      <w:pPr>
        <w:spacing w:after="0" w:line="214"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may be executed in one or more counterparts, all of which shall be considered one and the same agreement, and shall become a binding agreement when one counterpart has been signed by each Party and delivered to the other Party.</w:t>
      </w:r>
    </w:p>
    <w:p>
      <w:pPr>
        <w:spacing w:after="0" w:line="207" w:lineRule="exact"/>
        <w:rPr>
          <w:rFonts w:ascii="Courier New" w:cs="Courier New" w:eastAsia="Courier New" w:hAnsi="Courier New"/>
          <w:sz w:val="18"/>
          <w:szCs w:val="18"/>
          <w:color w:val="auto"/>
        </w:rPr>
      </w:pPr>
    </w:p>
    <w:p>
      <w:pPr>
        <w:ind w:left="640" w:right="1779" w:hanging="632"/>
        <w:spacing w:after="0" w:line="275" w:lineRule="auto"/>
        <w:tabs>
          <w:tab w:leader="none" w:pos="6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shall be governed by the laws of the Sate of Delaware, as such laws are applied to contracts entered into and to be performed within such state. Regeneron shall have the right to file or register this Amendment with the United States Securities and Exchange Commission.</w:t>
      </w:r>
    </w:p>
    <w:p>
      <w:pPr>
        <w:spacing w:after="0" w:line="182" w:lineRule="exact"/>
        <w:rPr>
          <w:rFonts w:ascii="Courier New" w:cs="Courier New" w:eastAsia="Courier New" w:hAnsi="Courier New"/>
          <w:sz w:val="16"/>
          <w:szCs w:val="16"/>
          <w:color w:val="auto"/>
        </w:rPr>
      </w:pPr>
    </w:p>
    <w:p>
      <w:pPr>
        <w:ind w:left="640" w:right="1999" w:hanging="632"/>
        <w:spacing w:after="0" w:line="235" w:lineRule="auto"/>
        <w:tabs>
          <w:tab w:leader="none" w:pos="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 represents to P&amp;G that it has made available to P&amp;G during the Term the results of all material preclinical studies using its</w:t>
      </w:r>
    </w:p>
    <w:p>
      <w:pPr>
        <w:spacing w:after="0" w:line="5" w:lineRule="exact"/>
        <w:rPr>
          <w:rFonts w:ascii="Courier New" w:cs="Courier New" w:eastAsia="Courier New" w:hAnsi="Courier New"/>
          <w:sz w:val="18"/>
          <w:szCs w:val="18"/>
          <w:color w:val="auto"/>
        </w:rPr>
      </w:pPr>
    </w:p>
    <w:p>
      <w:pPr>
        <w:ind w:left="640"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P&amp;G represents to Regeneron that it has made available to Regeneron during the Term the results of all material preclinical studies in the Hercules Project.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69" w:name="page70"/>
    <w:bookmarkEnd w:id="69"/>
    <w:p>
      <w:pPr>
        <w:ind w:left="6960"/>
        <w:spacing w:after="0"/>
        <w:rPr>
          <w:sz w:val="20"/>
          <w:szCs w:val="20"/>
          <w:color w:val="auto"/>
        </w:rPr>
      </w:pPr>
      <w:r>
        <w:rPr>
          <w:rFonts w:ascii="Courier New" w:cs="Courier New" w:eastAsia="Courier New" w:hAnsi="Courier New"/>
          <w:sz w:val="16"/>
          <w:szCs w:val="16"/>
          <w:color w:val="auto"/>
        </w:rPr>
        <w:t>Execution Copy</w:t>
      </w:r>
    </w:p>
    <w:p>
      <w:pPr>
        <w:spacing w:after="0" w:line="22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Amendment as of the date first written above.</w:t>
      </w:r>
    </w:p>
    <w:p>
      <w:pPr>
        <w:sectPr>
          <w:pgSz w:w="11900" w:h="16838" w:orient="portrait"/>
          <w:cols w:equalWidth="0" w:num="1">
            <w:col w:w="10219"/>
          </w:cols>
          <w:pgMar w:left="240" w:top="723"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PROCTER &amp; GAMBLE COMPANY</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REGENERON PHARMACEUTICALS, INC.</w:t>
      </w:r>
    </w:p>
    <w:p>
      <w:pPr>
        <w:spacing w:after="0" w:line="200" w:lineRule="exact"/>
        <w:rPr>
          <w:sz w:val="20"/>
          <w:szCs w:val="20"/>
          <w:color w:val="auto"/>
        </w:rPr>
      </w:pPr>
    </w:p>
    <w:p>
      <w:pPr>
        <w:sectPr>
          <w:pgSz w:w="11900" w:h="16838" w:orient="portrait"/>
          <w:cols w:equalWidth="0" w:num="2">
            <w:col w:w="4440" w:space="720"/>
            <w:col w:w="505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Mark A. Collar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Mark A. Collar</w:t>
      </w:r>
    </w:p>
    <w:p>
      <w:pPr>
        <w:spacing w:after="0" w:line="238" w:lineRule="auto"/>
        <w:rPr>
          <w:sz w:val="20"/>
          <w:szCs w:val="20"/>
          <w:color w:val="auto"/>
        </w:rPr>
      </w:pPr>
      <w:r>
        <w:rPr>
          <w:rFonts w:ascii="Courier New" w:cs="Courier New" w:eastAsia="Courier New" w:hAnsi="Courier New"/>
          <w:sz w:val="18"/>
          <w:szCs w:val="18"/>
          <w:color w:val="auto"/>
        </w:rPr>
        <w:t>Title: President, Global Pharmaceuticals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Leonard Schleifer</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Leonard S. Schleifer</w:t>
      </w:r>
    </w:p>
    <w:p>
      <w:pPr>
        <w:spacing w:after="0" w:line="238" w:lineRule="auto"/>
        <w:rPr>
          <w:sz w:val="20"/>
          <w:szCs w:val="20"/>
          <w:color w:val="auto"/>
        </w:rPr>
      </w:pPr>
      <w:r>
        <w:rPr>
          <w:rFonts w:ascii="Courier New" w:cs="Courier New" w:eastAsia="Courier New" w:hAnsi="Courier New"/>
          <w:sz w:val="18"/>
          <w:szCs w:val="18"/>
          <w:color w:val="auto"/>
        </w:rPr>
        <w:t>Title: President &amp; CEO</w:t>
      </w:r>
    </w:p>
    <w:p>
      <w:pPr>
        <w:spacing w:after="0" w:line="200" w:lineRule="exact"/>
        <w:rPr>
          <w:sz w:val="20"/>
          <w:szCs w:val="20"/>
          <w:color w:val="auto"/>
        </w:rPr>
      </w:pPr>
    </w:p>
    <w:p>
      <w:pPr>
        <w:sectPr>
          <w:pgSz w:w="11900" w:h="16838" w:orient="portrait"/>
          <w:cols w:equalWidth="0" w:num="2">
            <w:col w:w="4440" w:space="720"/>
            <w:col w:w="5059"/>
          </w:cols>
          <w:pgMar w:left="240" w:top="723" w:right="1440" w:bottom="1440" w:gutter="0" w:footer="0" w:header="0"/>
          <w:type w:val="continuous"/>
        </w:sectPr>
      </w:pP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723" w:right="1440" w:bottom="1440" w:gutter="0" w:footer="0" w:header="0"/>
          <w:type w:val="continuous"/>
        </w:sectPr>
      </w:pPr>
    </w:p>
    <w:bookmarkStart w:id="70" w:name="page71"/>
    <w:bookmarkEnd w:id="70"/>
    <w:p>
      <w:pPr>
        <w:jc w:val="right"/>
        <w:ind w:right="1779"/>
        <w:spacing w:after="0"/>
        <w:rPr>
          <w:sz w:val="20"/>
          <w:szCs w:val="20"/>
          <w:color w:val="auto"/>
        </w:rPr>
      </w:pPr>
      <w:r>
        <w:rPr>
          <w:rFonts w:ascii="Courier New" w:cs="Courier New" w:eastAsia="Courier New" w:hAnsi="Courier New"/>
          <w:sz w:val="18"/>
          <w:szCs w:val="18"/>
          <w:color w:val="auto"/>
        </w:rPr>
        <w:t>Execution Copy</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ATTACHMENT I INFORMATION TRANSFER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Information/Materials to be transferred to Regeneron by P&amp;G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Information/Materials to be Transferred to P&amp;G by Regeneron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Reagents</w:t>
      </w:r>
    </w:p>
    <w:p>
      <w:pPr>
        <w:spacing w:after="0" w:line="207"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Information</w:t>
      </w:r>
    </w:p>
    <w:p>
      <w:pPr>
        <w:spacing w:after="0" w:line="20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Parties need to provide the Information above only to the extent it is available.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12.1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5"/>
              <w:spacing w:after="0"/>
              <w:rPr>
                <w:sz w:val="20"/>
                <w:szCs w:val="20"/>
                <w:color w:val="auto"/>
              </w:rPr>
            </w:pPr>
            <w:r>
              <w:rPr>
                <w:rFonts w:ascii="Arial" w:cs="Arial" w:eastAsia="Arial" w:hAnsi="Arial"/>
                <w:sz w:val="14"/>
                <w:szCs w:val="14"/>
                <w:color w:val="auto"/>
                <w:w w:val="95"/>
              </w:rPr>
              <w:t>Six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0" w:type="dxa"/>
            <w:vAlign w:val="bottom"/>
            <w:gridSpan w:val="4"/>
            <w:vMerge w:val="restart"/>
          </w:tcPr>
          <w:p>
            <w:pPr>
              <w:ind w:left="240"/>
              <w:spacing w:after="0"/>
              <w:rPr>
                <w:sz w:val="20"/>
                <w:szCs w:val="20"/>
                <w:color w:val="auto"/>
              </w:rPr>
            </w:pPr>
            <w:r>
              <w:rPr>
                <w:rFonts w:ascii="Arial" w:cs="Arial" w:eastAsia="Arial" w:hAnsi="Arial"/>
                <w:sz w:val="14"/>
                <w:szCs w:val="14"/>
                <w:color w:val="auto"/>
              </w:rPr>
              <w:t>Years ended December 31,</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5"/>
              <w:spacing w:after="0"/>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35"/>
              <w:spacing w:after="0" w:line="154" w:lineRule="exact"/>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2000</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2001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252"/>
              <w:spacing w:after="0" w:line="142" w:lineRule="exact"/>
              <w:rPr>
                <w:sz w:val="20"/>
                <w:szCs w:val="20"/>
                <w:color w:val="auto"/>
              </w:rPr>
            </w:pPr>
            <w:r>
              <w:rPr>
                <w:rFonts w:ascii="Arial" w:cs="Arial" w:eastAsia="Arial" w:hAnsi="Arial"/>
                <w:sz w:val="14"/>
                <w:szCs w:val="14"/>
                <w:color w:val="auto"/>
              </w:rPr>
              <w:t>2002</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252"/>
              <w:spacing w:after="0" w:line="142" w:lineRule="exact"/>
              <w:rPr>
                <w:sz w:val="20"/>
                <w:szCs w:val="20"/>
                <w:color w:val="auto"/>
              </w:rPr>
            </w:pPr>
            <w:r>
              <w:rPr>
                <w:rFonts w:ascii="Arial" w:cs="Arial" w:eastAsia="Arial" w:hAnsi="Arial"/>
                <w:sz w:val="14"/>
                <w:szCs w:val="14"/>
                <w:color w:val="auto"/>
              </w:rPr>
              <w:t>2003</w:t>
            </w:r>
          </w:p>
        </w:tc>
        <w:tc>
          <w:tcPr>
            <w:tcW w:w="1300" w:type="dxa"/>
            <w:vAlign w:val="bottom"/>
            <w:gridSpan w:val="2"/>
          </w:tcPr>
          <w:p>
            <w:pPr>
              <w:jc w:val="right"/>
              <w:ind w:right="150"/>
              <w:spacing w:after="0" w:line="142" w:lineRule="exact"/>
              <w:rPr>
                <w:sz w:val="20"/>
                <w:szCs w:val="20"/>
                <w:color w:val="auto"/>
              </w:rPr>
            </w:pPr>
            <w:r>
              <w:rPr>
                <w:rFonts w:ascii="Arial" w:cs="Arial" w:eastAsia="Arial" w:hAnsi="Arial"/>
                <w:sz w:val="14"/>
                <w:szCs w:val="14"/>
                <w:color w:val="auto"/>
              </w:rPr>
              <w:t>2004</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5"/>
              <w:spacing w:after="0" w:line="142" w:lineRule="exact"/>
              <w:rPr>
                <w:sz w:val="20"/>
                <w:szCs w:val="20"/>
                <w:color w:val="auto"/>
              </w:rPr>
            </w:pPr>
            <w:r>
              <w:rPr>
                <w:rFonts w:ascii="Arial" w:cs="Arial" w:eastAsia="Arial" w:hAnsi="Arial"/>
                <w:sz w:val="14"/>
                <w:szCs w:val="14"/>
                <w:color w:val="auto"/>
                <w:w w:val="96"/>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tcPr>
          <w:p>
            <w:pPr>
              <w:ind w:left="400"/>
              <w:spacing w:after="0" w:line="201" w:lineRule="exact"/>
              <w:rPr>
                <w:sz w:val="20"/>
                <w:szCs w:val="20"/>
                <w:color w:val="auto"/>
              </w:rPr>
            </w:pPr>
            <w:r>
              <w:rPr>
                <w:rFonts w:ascii="Arial" w:cs="Arial" w:eastAsia="Arial" w:hAnsi="Arial"/>
                <w:sz w:val="18"/>
                <w:szCs w:val="18"/>
                <w:color w:val="auto"/>
              </w:rPr>
              <w:t>Income (loss) from continuing</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600"/>
              <w:spacing w:after="0"/>
              <w:rPr>
                <w:sz w:val="20"/>
                <w:szCs w:val="20"/>
                <w:color w:val="auto"/>
              </w:rPr>
            </w:pPr>
            <w:r>
              <w:rPr>
                <w:rFonts w:ascii="Arial" w:cs="Arial" w:eastAsia="Arial" w:hAnsi="Arial"/>
                <w:sz w:val="18"/>
                <w:szCs w:val="18"/>
                <w:color w:val="auto"/>
              </w:rPr>
              <w:t>operations before income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ind w:left="600"/>
              <w:spacing w:after="0"/>
              <w:rPr>
                <w:sz w:val="20"/>
                <w:szCs w:val="20"/>
                <w:color w:val="auto"/>
              </w:rPr>
            </w:pPr>
            <w:r>
              <w:rPr>
                <w:rFonts w:ascii="Arial" w:cs="Arial" w:eastAsia="Arial" w:hAnsi="Arial"/>
                <w:sz w:val="18"/>
                <w:szCs w:val="18"/>
                <w:color w:val="auto"/>
              </w:rPr>
              <w:t>(loss) from equity investee</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($17,077)</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($75,178)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9"/>
              </w:rPr>
              <w:t>($124,350)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9"/>
              </w:rPr>
              <w:t>($107,395)</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$ 41,565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($31,125)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3,888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13,685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14,108</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14,060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400"/>
              <w:spacing w:after="0"/>
              <w:rPr>
                <w:sz w:val="20"/>
                <w:szCs w:val="20"/>
                <w:color w:val="auto"/>
              </w:rPr>
            </w:pPr>
            <w:r>
              <w:rPr>
                <w:rFonts w:ascii="Arial" w:cs="Arial" w:eastAsia="Arial" w:hAnsi="Arial"/>
                <w:sz w:val="18"/>
                <w:szCs w:val="18"/>
                <w:color w:val="auto"/>
              </w:rPr>
              <w:t>Amortization of capitalized interest</w:t>
            </w:r>
          </w:p>
        </w:tc>
        <w:tc>
          <w:tcPr>
            <w:tcW w:w="10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78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capitalized</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5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5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3520" w:type="dxa"/>
            <w:vAlign w:val="bottom"/>
            <w:gridSpan w:val="2"/>
          </w:tcPr>
          <w:p>
            <w:pPr>
              <w:spacing w:after="0"/>
              <w:rPr>
                <w:sz w:val="20"/>
                <w:szCs w:val="20"/>
                <w:color w:val="auto"/>
              </w:rPr>
            </w:pPr>
            <w:r>
              <w:rPr>
                <w:rFonts w:ascii="Arial" w:cs="Arial" w:eastAsia="Arial" w:hAnsi="Arial"/>
                <w:sz w:val="18"/>
                <w:szCs w:val="18"/>
                <w:color w:val="auto"/>
              </w:rPr>
              <w:t>Adjusted earnings</w:t>
            </w: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($15,768)</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($71,290)</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($110,887)</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($93,530)</w:t>
            </w: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$ 55,703</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($24,240)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400"/>
              <w:spacing w:after="0"/>
              <w:rPr>
                <w:sz w:val="20"/>
                <w:szCs w:val="20"/>
                <w:color w:val="auto"/>
              </w:rPr>
            </w:pPr>
            <w:r>
              <w:rPr>
                <w:rFonts w:ascii="Arial" w:cs="Arial" w:eastAsia="Arial" w:hAnsi="Arial"/>
                <w:sz w:val="18"/>
                <w:szCs w:val="18"/>
                <w:color w:val="auto"/>
              </w:rPr>
              <w:t>Interest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281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2,657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11,859</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11,932</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$ 12,175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6,024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capitalized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276</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tcPr>
          <w:p>
            <w:pPr>
              <w:ind w:left="400"/>
              <w:spacing w:after="0" w:line="201" w:lineRule="exact"/>
              <w:rPr>
                <w:sz w:val="20"/>
                <w:szCs w:val="20"/>
                <w:color w:val="auto"/>
              </w:rPr>
            </w:pPr>
            <w:r>
              <w:rPr>
                <w:rFonts w:ascii="Arial" w:cs="Arial" w:eastAsia="Arial" w:hAnsi="Arial"/>
                <w:sz w:val="18"/>
                <w:szCs w:val="18"/>
                <w:color w:val="auto"/>
              </w:rPr>
              <w:t>Assumed interest component of</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ind w:left="600"/>
              <w:spacing w:after="0"/>
              <w:rPr>
                <w:sz w:val="20"/>
                <w:szCs w:val="20"/>
                <w:color w:val="auto"/>
              </w:rPr>
            </w:pPr>
            <w:r>
              <w:rPr>
                <w:rFonts w:ascii="Arial" w:cs="Arial" w:eastAsia="Arial" w:hAnsi="Arial"/>
                <w:sz w:val="18"/>
                <w:szCs w:val="18"/>
                <w:color w:val="auto"/>
              </w:rPr>
              <w:t>rental charges</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1,028</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1,231</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1,604</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1,900</w:t>
            </w: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1,885</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1,309</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3,888</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13,685</w:t>
            </w:r>
          </w:p>
        </w:tc>
        <w:tc>
          <w:tcPr>
            <w:tcW w:w="5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14,108</w:t>
            </w:r>
          </w:p>
        </w:tc>
        <w:tc>
          <w:tcPr>
            <w:tcW w:w="13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$ 14,060</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6,846</w:t>
            </w:r>
          </w:p>
        </w:tc>
        <w:tc>
          <w:tcPr>
            <w:tcW w:w="0" w:type="dxa"/>
            <w:vAlign w:val="bottom"/>
          </w:tcPr>
          <w:p>
            <w:pPr>
              <w:spacing w:after="0"/>
              <w:rPr>
                <w:sz w:val="1"/>
                <w:szCs w:val="1"/>
                <w:color w:val="auto"/>
              </w:rPr>
            </w:pPr>
          </w:p>
        </w:tc>
      </w:tr>
      <w:tr>
        <w:trPr>
          <w:trHeight w:val="20"/>
        </w:trPr>
        <w:tc>
          <w:tcPr>
            <w:tcW w:w="35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2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(A)</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(A)</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(A)</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3.96</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jc w:val="both"/>
        <w:ind w:left="460" w:right="440" w:hanging="452"/>
        <w:spacing w:after="0" w:line="26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Due to the registrant’s losses for the years ended December 31, 2000, 2001, 2002, and 2003, and for the six months ended June 30, 2005, the ratio coverage was less than 1:1. To achieve a coverage ration of 1:1, the registrant must generate additional earnings of the amounts shown in the table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Six months</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40" w:type="dxa"/>
            <w:vAlign w:val="bottom"/>
            <w:gridSpan w:val="3"/>
            <w:vMerge w:val="restart"/>
          </w:tcPr>
          <w:p>
            <w:pPr>
              <w:jc w:val="center"/>
              <w:spacing w:after="0"/>
              <w:rPr>
                <w:sz w:val="20"/>
                <w:szCs w:val="20"/>
                <w:color w:val="auto"/>
              </w:rPr>
            </w:pPr>
            <w:r>
              <w:rPr>
                <w:rFonts w:ascii="Arial" w:cs="Arial" w:eastAsia="Arial" w:hAnsi="Arial"/>
                <w:sz w:val="14"/>
                <w:szCs w:val="14"/>
                <w:color w:val="auto"/>
                <w:w w:val="89"/>
              </w:rPr>
              <w:t>Years ended December 31,</w:t>
            </w: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54"/>
        </w:trPr>
        <w:tc>
          <w:tcPr>
            <w:tcW w:w="37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vMerge w:val="continue"/>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jc w:val="center"/>
              <w:spacing w:after="0" w:line="154" w:lineRule="exact"/>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42"/>
        </w:trPr>
        <w:tc>
          <w:tcPr>
            <w:tcW w:w="3780" w:type="dxa"/>
            <w:vAlign w:val="bottom"/>
            <w:vMerge w:val="restart"/>
          </w:tcPr>
          <w:p>
            <w:pPr>
              <w:spacing w:after="0"/>
              <w:rPr>
                <w:sz w:val="20"/>
                <w:szCs w:val="20"/>
                <w:color w:val="auto"/>
              </w:rPr>
            </w:pPr>
            <w:r>
              <w:rPr>
                <w:rFonts w:ascii="Arial" w:cs="Arial" w:eastAsia="Arial" w:hAnsi="Arial"/>
                <w:sz w:val="18"/>
                <w:szCs w:val="18"/>
                <w:color w:val="auto"/>
              </w:rPr>
              <w:t>Coverage deficiency</w:t>
            </w:r>
          </w:p>
        </w:tc>
        <w:tc>
          <w:tcPr>
            <w:tcW w:w="840" w:type="dxa"/>
            <w:vAlign w:val="bottom"/>
          </w:tcPr>
          <w:p>
            <w:pPr>
              <w:jc w:val="right"/>
              <w:ind w:right="199"/>
              <w:spacing w:after="0" w:line="142" w:lineRule="exact"/>
              <w:rPr>
                <w:sz w:val="20"/>
                <w:szCs w:val="20"/>
                <w:color w:val="auto"/>
              </w:rPr>
            </w:pPr>
            <w:r>
              <w:rPr>
                <w:rFonts w:ascii="Arial" w:cs="Arial" w:eastAsia="Arial" w:hAnsi="Arial"/>
                <w:sz w:val="14"/>
                <w:szCs w:val="14"/>
                <w:color w:val="auto"/>
              </w:rPr>
              <w:t>2000</w:t>
            </w:r>
          </w:p>
        </w:tc>
        <w:tc>
          <w:tcPr>
            <w:tcW w:w="1340" w:type="dxa"/>
            <w:vAlign w:val="bottom"/>
            <w:gridSpan w:val="2"/>
          </w:tcPr>
          <w:p>
            <w:pPr>
              <w:jc w:val="right"/>
              <w:ind w:right="150"/>
              <w:spacing w:after="0" w:line="142" w:lineRule="exact"/>
              <w:rPr>
                <w:sz w:val="20"/>
                <w:szCs w:val="20"/>
                <w:color w:val="auto"/>
              </w:rPr>
            </w:pPr>
            <w:r>
              <w:rPr>
                <w:rFonts w:ascii="Arial" w:cs="Arial" w:eastAsia="Arial" w:hAnsi="Arial"/>
                <w:sz w:val="14"/>
                <w:szCs w:val="14"/>
                <w:color w:val="auto"/>
              </w:rPr>
              <w:t>2001</w:t>
            </w:r>
          </w:p>
        </w:tc>
        <w:tc>
          <w:tcPr>
            <w:tcW w:w="1380" w:type="dxa"/>
            <w:vAlign w:val="bottom"/>
            <w:gridSpan w:val="2"/>
          </w:tcPr>
          <w:p>
            <w:pPr>
              <w:jc w:val="right"/>
              <w:ind w:right="170"/>
              <w:spacing w:after="0" w:line="142" w:lineRule="exact"/>
              <w:rPr>
                <w:sz w:val="20"/>
                <w:szCs w:val="20"/>
                <w:color w:val="auto"/>
              </w:rPr>
            </w:pPr>
            <w:r>
              <w:rPr>
                <w:rFonts w:ascii="Arial" w:cs="Arial" w:eastAsia="Arial" w:hAnsi="Arial"/>
                <w:sz w:val="14"/>
                <w:szCs w:val="14"/>
                <w:color w:val="auto"/>
              </w:rPr>
              <w:t>2002</w:t>
            </w:r>
          </w:p>
        </w:tc>
        <w:tc>
          <w:tcPr>
            <w:tcW w:w="560" w:type="dxa"/>
            <w:vAlign w:val="bottom"/>
          </w:tcPr>
          <w:p>
            <w:pPr>
              <w:spacing w:after="0"/>
              <w:rPr>
                <w:sz w:val="12"/>
                <w:szCs w:val="12"/>
                <w:color w:val="auto"/>
              </w:rPr>
            </w:pPr>
          </w:p>
        </w:tc>
        <w:tc>
          <w:tcPr>
            <w:tcW w:w="820" w:type="dxa"/>
            <w:vAlign w:val="bottom"/>
          </w:tcPr>
          <w:p>
            <w:pPr>
              <w:jc w:val="right"/>
              <w:ind w:right="179"/>
              <w:spacing w:after="0" w:line="142" w:lineRule="exact"/>
              <w:rPr>
                <w:sz w:val="20"/>
                <w:szCs w:val="20"/>
                <w:color w:val="auto"/>
              </w:rPr>
            </w:pPr>
            <w:r>
              <w:rPr>
                <w:rFonts w:ascii="Arial" w:cs="Arial" w:eastAsia="Arial" w:hAnsi="Arial"/>
                <w:sz w:val="14"/>
                <w:szCs w:val="14"/>
                <w:color w:val="auto"/>
              </w:rPr>
              <w:t>2003</w:t>
            </w:r>
          </w:p>
        </w:tc>
        <w:tc>
          <w:tcPr>
            <w:tcW w:w="1340" w:type="dxa"/>
            <w:vAlign w:val="bottom"/>
            <w:gridSpan w:val="2"/>
          </w:tcPr>
          <w:p>
            <w:pPr>
              <w:jc w:val="right"/>
              <w:ind w:right="150"/>
              <w:spacing w:after="0" w:line="142" w:lineRule="exact"/>
              <w:rPr>
                <w:sz w:val="20"/>
                <w:szCs w:val="20"/>
                <w:color w:val="auto"/>
              </w:rPr>
            </w:pPr>
            <w:r>
              <w:rPr>
                <w:rFonts w:ascii="Arial" w:cs="Arial" w:eastAsia="Arial" w:hAnsi="Arial"/>
                <w:sz w:val="14"/>
                <w:szCs w:val="14"/>
                <w:color w:val="auto"/>
              </w:rPr>
              <w:t>2004</w:t>
            </w:r>
          </w:p>
        </w:tc>
        <w:tc>
          <w:tcPr>
            <w:tcW w:w="1360" w:type="dxa"/>
            <w:vAlign w:val="bottom"/>
            <w:gridSpan w:val="2"/>
          </w:tcPr>
          <w:p>
            <w:pPr>
              <w:jc w:val="center"/>
              <w:ind w:left="508"/>
              <w:spacing w:after="0" w:line="142" w:lineRule="exact"/>
              <w:rPr>
                <w:sz w:val="20"/>
                <w:szCs w:val="20"/>
                <w:color w:val="auto"/>
              </w:rPr>
            </w:pPr>
            <w:r>
              <w:rPr>
                <w:rFonts w:ascii="Arial" w:cs="Arial" w:eastAsia="Arial" w:hAnsi="Arial"/>
                <w:sz w:val="14"/>
                <w:szCs w:val="14"/>
                <w:color w:val="auto"/>
                <w:w w:val="96"/>
              </w:rPr>
              <w:t>2005</w:t>
            </w:r>
          </w:p>
        </w:tc>
        <w:tc>
          <w:tcPr>
            <w:tcW w:w="0" w:type="dxa"/>
            <w:vAlign w:val="bottom"/>
          </w:tcPr>
          <w:p>
            <w:pPr>
              <w:spacing w:after="0"/>
              <w:rPr>
                <w:sz w:val="1"/>
                <w:szCs w:val="1"/>
                <w:color w:val="auto"/>
              </w:rPr>
            </w:pPr>
          </w:p>
        </w:tc>
      </w:tr>
      <w:tr>
        <w:trPr>
          <w:trHeight w:val="224"/>
        </w:trPr>
        <w:tc>
          <w:tcPr>
            <w:tcW w:w="3780" w:type="dxa"/>
            <w:vAlign w:val="bottom"/>
            <w:vMerge w:val="continue"/>
          </w:tcPr>
          <w:p>
            <w:pPr>
              <w:spacing w:after="0"/>
              <w:rPr>
                <w:sz w:val="19"/>
                <w:szCs w:val="19"/>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99"/>
              </w:rPr>
              <w:t>$ 17,077</w:t>
            </w:r>
          </w:p>
        </w:tc>
        <w:tc>
          <w:tcPr>
            <w:tcW w:w="560" w:type="dxa"/>
            <w:vAlign w:val="bottom"/>
          </w:tcPr>
          <w:p>
            <w:pPr>
              <w:spacing w:after="0"/>
              <w:rPr>
                <w:sz w:val="19"/>
                <w:szCs w:val="19"/>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$ 75,178</w:t>
            </w:r>
          </w:p>
        </w:tc>
        <w:tc>
          <w:tcPr>
            <w:tcW w:w="580" w:type="dxa"/>
            <w:vAlign w:val="bottom"/>
          </w:tcPr>
          <w:p>
            <w:pPr>
              <w:spacing w:after="0"/>
              <w:rPr>
                <w:sz w:val="19"/>
                <w:szCs w:val="19"/>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$124,572</w:t>
            </w:r>
          </w:p>
        </w:tc>
        <w:tc>
          <w:tcPr>
            <w:tcW w:w="560" w:type="dxa"/>
            <w:vAlign w:val="bottom"/>
          </w:tcPr>
          <w:p>
            <w:pPr>
              <w:spacing w:after="0"/>
              <w:rPr>
                <w:sz w:val="19"/>
                <w:szCs w:val="19"/>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93"/>
              </w:rPr>
              <w:t>$107,638</w:t>
            </w:r>
          </w:p>
        </w:tc>
        <w:tc>
          <w:tcPr>
            <w:tcW w:w="560" w:type="dxa"/>
            <w:vAlign w:val="bottom"/>
          </w:tcPr>
          <w:p>
            <w:pPr>
              <w:spacing w:after="0"/>
              <w:rPr>
                <w:sz w:val="19"/>
                <w:szCs w:val="19"/>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780" w:type="dxa"/>
            <w:vAlign w:val="bottom"/>
            <w:tcBorders>
              <w:top w:val="single" w:sz="8" w:color="auto"/>
            </w:tcBorders>
          </w:tcPr>
          <w:p>
            <w:pPr>
              <w:jc w:val="right"/>
              <w:ind w:right="24"/>
              <w:spacing w:after="0"/>
              <w:rPr>
                <w:sz w:val="20"/>
                <w:szCs w:val="20"/>
                <w:color w:val="auto"/>
              </w:rPr>
            </w:pPr>
            <w:r>
              <w:rPr>
                <w:rFonts w:ascii="Arial" w:cs="Arial" w:eastAsia="Arial" w:hAnsi="Arial"/>
                <w:sz w:val="18"/>
                <w:szCs w:val="18"/>
                <w:color w:val="auto"/>
                <w:w w:val="94"/>
              </w:rPr>
              <w:t>$ 31,086</w:t>
            </w:r>
          </w:p>
        </w:tc>
        <w:tc>
          <w:tcPr>
            <w:tcW w:w="0" w:type="dxa"/>
            <w:vAlign w:val="bottom"/>
          </w:tcPr>
          <w:p>
            <w:pPr>
              <w:spacing w:after="0"/>
              <w:rPr>
                <w:sz w:val="1"/>
                <w:szCs w:val="1"/>
                <w:color w:val="auto"/>
              </w:rPr>
            </w:pPr>
          </w:p>
        </w:tc>
      </w:tr>
    </w:tbl>
    <w:p>
      <w:pPr>
        <w:sectPr>
          <w:pgSz w:w="11900" w:h="16838" w:orient="portrait"/>
          <w:cols w:equalWidth="0" w:num="1">
            <w:col w:w="11420"/>
          </w:cols>
          <w:pgMar w:left="240" w:top="932"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17"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720" w:right="480" w:hanging="266"/>
        <w:spacing w:after="0" w:line="264" w:lineRule="auto"/>
        <w:tabs>
          <w:tab w:leader="none" w:pos="7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720" w:right="440" w:hanging="266"/>
        <w:spacing w:after="0" w:line="264" w:lineRule="auto"/>
        <w:tabs>
          <w:tab w:leader="none" w:pos="7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principals;</w:t>
      </w:r>
    </w:p>
    <w:p>
      <w:pPr>
        <w:spacing w:after="0" w:line="86" w:lineRule="exact"/>
        <w:rPr>
          <w:rFonts w:ascii="Arial" w:cs="Arial" w:eastAsia="Arial" w:hAnsi="Arial"/>
          <w:sz w:val="18"/>
          <w:szCs w:val="18"/>
          <w:color w:val="auto"/>
        </w:rPr>
      </w:pPr>
    </w:p>
    <w:p>
      <w:pPr>
        <w:ind w:left="720" w:right="20" w:hanging="266"/>
        <w:spacing w:after="0" w:line="308" w:lineRule="auto"/>
        <w:tabs>
          <w:tab w:leader="none" w:pos="72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3" w:name="page74"/>
    <w:bookmarkEnd w:id="73"/>
    <w:p>
      <w:pPr>
        <w:ind w:left="720" w:hanging="266"/>
        <w:spacing w:after="0" w:line="264" w:lineRule="auto"/>
        <w:tabs>
          <w:tab w:leader="none" w:pos="7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40" w:hanging="252"/>
        <w:spacing w:after="0" w:line="308" w:lineRule="auto"/>
        <w:tabs>
          <w:tab w:leader="none" w:pos="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720" w:right="340" w:hanging="266"/>
        <w:spacing w:after="0" w:line="277" w:lineRule="auto"/>
        <w:tabs>
          <w:tab w:leader="none" w:pos="7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720" w:right="300" w:hanging="266"/>
        <w:spacing w:after="0" w:line="277" w:lineRule="auto"/>
        <w:tabs>
          <w:tab w:leader="none" w:pos="7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8, 2005</w:t>
      </w:r>
      <w:r>
        <w:rPr>
          <w:sz w:val="20"/>
          <w:szCs w:val="20"/>
          <w:color w:val="auto"/>
        </w:rPr>
        <w:tab/>
      </w:r>
      <w:r>
        <w:rPr>
          <w:rFonts w:ascii="Arial" w:cs="Arial" w:eastAsia="Arial" w:hAnsi="Arial"/>
          <w:sz w:val="16"/>
          <w:szCs w:val="16"/>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Leonard S. Schleifer, M.D., Ph.D.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80"/>
          </w:cols>
          <w:pgMar w:left="240" w:top="935" w:right="27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Murray A. Goldberg, certify that:</w:t>
      </w:r>
    </w:p>
    <w:p>
      <w:pPr>
        <w:spacing w:after="0" w:line="117"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720" w:right="480" w:hanging="266"/>
        <w:spacing w:after="0" w:line="264" w:lineRule="auto"/>
        <w:tabs>
          <w:tab w:leader="none" w:pos="7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720" w:right="440" w:hanging="266"/>
        <w:spacing w:after="0" w:line="264" w:lineRule="auto"/>
        <w:tabs>
          <w:tab w:leader="none" w:pos="7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principals;</w:t>
      </w:r>
    </w:p>
    <w:p>
      <w:pPr>
        <w:spacing w:after="0" w:line="86" w:lineRule="exact"/>
        <w:rPr>
          <w:rFonts w:ascii="Arial" w:cs="Arial" w:eastAsia="Arial" w:hAnsi="Arial"/>
          <w:sz w:val="18"/>
          <w:szCs w:val="18"/>
          <w:color w:val="auto"/>
        </w:rPr>
      </w:pPr>
    </w:p>
    <w:p>
      <w:pPr>
        <w:ind w:left="720" w:right="20" w:hanging="266"/>
        <w:spacing w:after="0" w:line="308" w:lineRule="auto"/>
        <w:tabs>
          <w:tab w:leader="none" w:pos="7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5" w:name="page76"/>
    <w:bookmarkEnd w:id="75"/>
    <w:p>
      <w:pPr>
        <w:ind w:left="720" w:hanging="266"/>
        <w:spacing w:after="0" w:line="264" w:lineRule="auto"/>
        <w:tabs>
          <w:tab w:leader="none" w:pos="7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40" w:hanging="252"/>
        <w:spacing w:after="0" w:line="308" w:lineRule="auto"/>
        <w:tabs>
          <w:tab w:leader="none" w:pos="2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720" w:right="340" w:hanging="266"/>
        <w:spacing w:after="0" w:line="277" w:lineRule="auto"/>
        <w:tabs>
          <w:tab w:leader="none" w:pos="7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720" w:right="300" w:hanging="266"/>
        <w:spacing w:after="0" w:line="277" w:lineRule="auto"/>
        <w:tabs>
          <w:tab w:leader="none" w:pos="7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8, 2005</w:t>
      </w:r>
      <w:r>
        <w:rPr>
          <w:sz w:val="20"/>
          <w:szCs w:val="20"/>
          <w:color w:val="auto"/>
        </w:rPr>
        <w:tab/>
      </w:r>
      <w:r>
        <w:rPr>
          <w:rFonts w:ascii="Arial" w:cs="Arial" w:eastAsia="Arial" w:hAnsi="Arial"/>
          <w:sz w:val="16"/>
          <w:szCs w:val="16"/>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Murray A. Goldberg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Finance &amp;</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Administration,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Treasurer, and Assistant Secretary</w:t>
      </w:r>
    </w:p>
    <w:p>
      <w:pPr>
        <w:sectPr>
          <w:pgSz w:w="11900" w:h="16838" w:orient="portrait"/>
          <w:cols w:equalWidth="0" w:num="1">
            <w:col w:w="11380"/>
          </w:cols>
          <w:pgMar w:left="240" w:top="936" w:right="27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32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quarterly period ended June 30, 2005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79" w:lineRule="exact"/>
        <w:rPr>
          <w:sz w:val="20"/>
          <w:szCs w:val="20"/>
          <w:color w:val="auto"/>
        </w:rPr>
      </w:pPr>
    </w:p>
    <w:p>
      <w:pPr>
        <w:ind w:left="480" w:hanging="247"/>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8, 2005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8, 2005</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lowerLetter"/>
      <w:start w:val="2"/>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2"/>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1)"/>
      <w:numFmt w:val="decimal"/>
      <w:start w:val="1"/>
    </w:lvl>
    <w:lvl w:ilvl="1">
      <w:lvlJc w:val="left"/>
      <w:lvlText w:val="%2."/>
      <w:numFmt w:val="lowerRoman"/>
      <w:start w:val="1"/>
    </w:lvl>
  </w:abstractNum>
  <w:abstractNum w:abstractNumId="19">
    <w:nsid w:val="3A95F874"/>
    <w:multiLevelType w:val="hybridMultilevel"/>
    <w:lvl w:ilvl="0">
      <w:lvlJc w:val="left"/>
      <w:lvlText w:val="%1"/>
      <w:numFmt w:val="decimal"/>
      <w:start w:val="1"/>
    </w:lvl>
    <w:lvl w:ilvl="1">
      <w:lvlJc w:val="left"/>
      <w:lvlText w:val="%2."/>
      <w:numFmt w:val="lowerRoman"/>
      <w:start w:val="2"/>
    </w:lvl>
  </w:abstractNum>
  <w:abstractNum w:abstractNumId="20">
    <w:nsid w:val="8138641"/>
    <w:multiLevelType w:val="hybridMultilevel"/>
    <w:lvl w:ilvl="0">
      <w:lvlJc w:val="left"/>
      <w:lvlText w:val="%1)"/>
      <w:numFmt w:val="decimal"/>
      <w:start w:val="3"/>
    </w:lvl>
    <w:lvl w:ilvl="1">
      <w:lvlJc w:val="left"/>
      <w:lvlText w:val="%2."/>
      <w:numFmt w:val="lowerRoman"/>
      <w:start w:val="1"/>
    </w:lvl>
  </w:abstractNum>
  <w:abstractNum w:abstractNumId="21">
    <w:nsid w:val="1E7FF521"/>
    <w:multiLevelType w:val="hybridMultilevel"/>
    <w:lvl w:ilvl="0">
      <w:lvlJc w:val="left"/>
      <w:lvlText w:val="%1"/>
      <w:numFmt w:val="decimal"/>
      <w:start w:val="1"/>
    </w:lvl>
    <w:lvl w:ilvl="1">
      <w:lvlJc w:val="left"/>
      <w:lvlText w:val="%2."/>
      <w:numFmt w:val="lowerRoman"/>
      <w:start w:val="2"/>
    </w:lvl>
  </w:abstractNum>
  <w:abstractNum w:abstractNumId="22">
    <w:nsid w:val="7C3DBD3D"/>
    <w:multiLevelType w:val="hybridMultilevel"/>
    <w:lvl w:ilvl="0">
      <w:lvlJc w:val="left"/>
      <w:lvlText w:val="%1)"/>
      <w:numFmt w:val="decimal"/>
      <w:start w:val="4"/>
    </w:lvl>
    <w:lvl w:ilvl="1">
      <w:lvlJc w:val="left"/>
      <w:lvlText w:val="%2."/>
      <w:numFmt w:val="lowerRoman"/>
      <w:start w:val="1"/>
    </w:lvl>
  </w:abstractNum>
  <w:abstractNum w:abstractNumId="23">
    <w:nsid w:val="737B8DDC"/>
    <w:multiLevelType w:val="hybridMultilevel"/>
    <w:lvl w:ilvl="0">
      <w:lvlJc w:val="left"/>
      <w:lvlText w:val="%1)"/>
      <w:numFmt w:val="decimal"/>
      <w:start w:val="6"/>
    </w:lvl>
  </w:abstractNum>
  <w:abstractNum w:abstractNumId="24">
    <w:nsid w:val="6CEAF087"/>
    <w:multiLevelType w:val="hybridMultilevel"/>
    <w:lvl w:ilvl="0">
      <w:lvlJc w:val="left"/>
      <w:lvlText w:val="%1)"/>
      <w:numFmt w:val="decimal"/>
      <w:start w:val="11"/>
    </w:lvl>
    <w:lvl w:ilvl="1">
      <w:lvlJc w:val="left"/>
      <w:lvlText w:val="%2."/>
      <w:numFmt w:val="lowerRoman"/>
      <w:start w:val="1"/>
    </w:lvl>
  </w:abstractNum>
  <w:abstractNum w:abstractNumId="25">
    <w:nsid w:val="22221A70"/>
    <w:multiLevelType w:val="hybridMultilevel"/>
    <w:lvl w:ilvl="0">
      <w:lvlJc w:val="left"/>
      <w:lvlText w:val="%1."/>
      <w:numFmt w:val="lowerRoman"/>
      <w:start w:val="2"/>
    </w:lvl>
  </w:abstractNum>
  <w:abstractNum w:abstractNumId="26">
    <w:nsid w:val="4516DDE9"/>
    <w:multiLevelType w:val="hybridMultilevel"/>
    <w:lvl w:ilvl="0">
      <w:lvlJc w:val="left"/>
      <w:lvlText w:val="%1"/>
      <w:numFmt w:val="decimal"/>
      <w:start w:val="1"/>
    </w:lvl>
    <w:lvl w:ilvl="1">
      <w:lvlJc w:val="left"/>
      <w:lvlText w:val="%2."/>
      <w:numFmt w:val="lowerRoman"/>
      <w:start w:val="3"/>
    </w:lvl>
  </w:abstractNum>
  <w:abstractNum w:abstractNumId="27">
    <w:nsid w:val="3006C83E"/>
    <w:multiLevelType w:val="hybridMultilevel"/>
    <w:lvl w:ilvl="0">
      <w:lvlJc w:val="left"/>
      <w:lvlText w:val="%1)"/>
      <w:numFmt w:val="decimal"/>
      <w:start w:val="12"/>
    </w:lvl>
    <w:lvl w:ilvl="1">
      <w:lvlJc w:val="left"/>
      <w:lvlText w:val="%2"/>
      <w:numFmt w:val="lowerRoman"/>
      <w:start w:val="1"/>
    </w:lvl>
  </w:abstractNum>
  <w:abstractNum w:abstractNumId="28">
    <w:nsid w:val="614FD4A1"/>
    <w:multiLevelType w:val="hybridMultilevel"/>
    <w:lvl w:ilvl="0">
      <w:lvlJc w:val="left"/>
      <w:lvlText w:val="%1)"/>
      <w:numFmt w:val="decimal"/>
      <w:start w:val="13"/>
    </w:lvl>
  </w:abstractNum>
  <w:abstractNum w:abstractNumId="29">
    <w:nsid w:val="419AC241"/>
    <w:multiLevelType w:val="hybridMultilevel"/>
    <w:lvl w:ilvl="0">
      <w:lvlJc w:val="left"/>
      <w:lvlText w:val="%1)"/>
      <w:numFmt w:val="decimal"/>
      <w:start w:val="14"/>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upperLetter"/>
      <w:start w:val="1"/>
    </w:lvl>
  </w:abstractNum>
  <w:abstractNum w:abstractNumId="32">
    <w:nsid w:val="5072367"/>
    <w:multiLevelType w:val="hybridMultilevel"/>
    <w:lvl w:ilvl="0">
      <w:lvlJc w:val="left"/>
      <w:lvlText w:val="%1."/>
      <w:numFmt w:val="decimal"/>
      <w:start w:val="1"/>
    </w:lvl>
    <w:lvl w:ilvl="1">
      <w:lvlJc w:val="left"/>
      <w:lvlText w:val="%2)"/>
      <w:numFmt w:val="lowerLetter"/>
      <w:start w:val="1"/>
    </w:lvl>
  </w:abstractNum>
  <w:abstractNum w:abstractNumId="33">
    <w:nsid w:val="3804823E"/>
    <w:multiLevelType w:val="hybridMultilevel"/>
    <w:lvl w:ilvl="0">
      <w:lvlJc w:val="left"/>
      <w:lvlText w:val="%1"/>
      <w:numFmt w:val="decimal"/>
      <w:start w:val="1"/>
    </w:lvl>
    <w:lvl w:ilvl="1">
      <w:lvlJc w:val="left"/>
      <w:lvlText w:val="%2)"/>
      <w:numFmt w:val="lowerLetter"/>
      <w:start w:val="4"/>
    </w:lvl>
  </w:abstractNum>
  <w:abstractNum w:abstractNumId="34">
    <w:nsid w:val="77465F01"/>
    <w:multiLevelType w:val="hybridMultilevel"/>
    <w:lvl w:ilvl="0">
      <w:lvlJc w:val="left"/>
      <w:lvlText w:val="%1."/>
      <w:numFmt w:val="decimal"/>
      <w:start w:val="5"/>
    </w:lvl>
    <w:lvl w:ilvl="1">
      <w:lvlJc w:val="left"/>
      <w:lvlText w:val="%2)"/>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4"/>
    </w:lvl>
  </w:abstractNum>
  <w:abstractNum w:abstractNumId="37">
    <w:nsid w:val="2463B9EA"/>
    <w:multiLevelType w:val="hybridMultilevel"/>
    <w:lvl w:ilvl="0">
      <w:lvlJc w:val="left"/>
      <w:lvlText w:val="%1."/>
      <w:numFmt w:val="decimal"/>
      <w:start w:val="5"/>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2019-12-11T22:07:42Z</dcterms:created>
  <dcterms:modified xsi:type="dcterms:W3CDTF">2019-12-11T22:07:42Z</dcterms:modified>
</cp:coreProperties>
</file>