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540" w:right="4480" w:hanging="532"/>
        <w:spacing w:after="0" w:line="29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2009</w:t>
      </w:r>
    </w:p>
    <w:p>
      <w:pPr>
        <w:spacing w:after="0" w:line="50"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36" w:lineRule="exact"/>
        <w:rPr>
          <w:sz w:val="24"/>
          <w:szCs w:val="24"/>
          <w:color w:val="auto"/>
        </w:rPr>
      </w:pPr>
    </w:p>
    <w:p>
      <w:pPr>
        <w:ind w:left="540" w:right="4480" w:hanging="532"/>
        <w:spacing w:after="0" w:line="299" w:lineRule="auto"/>
        <w:tabs>
          <w:tab w:leader="none" w:pos="20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21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______________to ______________</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29"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REGENERON PHARMACEUTICALS, INC.</w:t>
            </w:r>
          </w:p>
        </w:tc>
        <w:tc>
          <w:tcPr>
            <w:tcW w:w="2520" w:type="dxa"/>
            <w:vAlign w:val="bottom"/>
            <w:gridSpan w:val="3"/>
          </w:tcPr>
          <w:p>
            <w:pPr>
              <w:spacing w:after="0"/>
              <w:rPr>
                <w:sz w:val="17"/>
                <w:szCs w:val="17"/>
                <w:color w:val="auto"/>
              </w:rPr>
            </w:pPr>
          </w:p>
        </w:tc>
      </w:tr>
      <w:tr>
        <w:trPr>
          <w:trHeight w:val="235"/>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20" w:type="dxa"/>
            <w:vAlign w:val="bottom"/>
            <w:gridSpan w:val="6"/>
          </w:tcPr>
          <w:p>
            <w:pPr>
              <w:jc w:val="center"/>
              <w:ind w:right="20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1"/>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spacing w:after="0"/>
              <w:rPr>
                <w:sz w:val="24"/>
                <w:szCs w:val="24"/>
                <w:color w:val="auto"/>
              </w:rPr>
            </w:pP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87"/>
              </w:rPr>
              <w:t>13-3444607</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(State or other jurisdiction of</w:t>
            </w: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incorporation or organization)</w:t>
            </w:r>
          </w:p>
        </w:tc>
        <w:tc>
          <w:tcPr>
            <w:tcW w:w="1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86"/>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2"/>
              </w:rPr>
              <w:t>777 Old Saw Mill River Road</w:t>
            </w: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5"/>
        </w:trPr>
        <w:tc>
          <w:tcPr>
            <w:tcW w:w="640" w:type="dxa"/>
            <w:vAlign w:val="bottom"/>
          </w:tcPr>
          <w:p>
            <w:pPr>
              <w:spacing w:after="0"/>
              <w:rPr>
                <w:sz w:val="17"/>
                <w:szCs w:val="17"/>
                <w:color w:val="auto"/>
              </w:rPr>
            </w:pPr>
          </w:p>
        </w:tc>
        <w:tc>
          <w:tcPr>
            <w:tcW w:w="3660" w:type="dxa"/>
            <w:vAlign w:val="bottom"/>
            <w:gridSpan w:val="5"/>
          </w:tcPr>
          <w:p>
            <w:pPr>
              <w:jc w:val="center"/>
              <w:ind w:right="2052"/>
              <w:spacing w:after="0" w:line="205" w:lineRule="exact"/>
              <w:rPr>
                <w:sz w:val="20"/>
                <w:szCs w:val="20"/>
                <w:color w:val="auto"/>
              </w:rPr>
            </w:pPr>
            <w:r>
              <w:rPr>
                <w:rFonts w:ascii="Arial" w:cs="Arial" w:eastAsia="Arial" w:hAnsi="Arial"/>
                <w:sz w:val="18"/>
                <w:szCs w:val="18"/>
                <w:color w:val="auto"/>
                <w:w w:val="90"/>
              </w:rPr>
              <w:t>Tarrytown, New York</w:t>
            </w:r>
          </w:p>
        </w:tc>
        <w:tc>
          <w:tcPr>
            <w:tcW w:w="4080" w:type="dxa"/>
            <w:vAlign w:val="bottom"/>
            <w:gridSpan w:val="4"/>
          </w:tcPr>
          <w:p>
            <w:pPr>
              <w:jc w:val="center"/>
              <w:ind w:left="1432"/>
              <w:spacing w:after="0" w:line="205" w:lineRule="exact"/>
              <w:rPr>
                <w:sz w:val="20"/>
                <w:szCs w:val="20"/>
                <w:color w:val="auto"/>
              </w:rPr>
            </w:pPr>
            <w:r>
              <w:rPr>
                <w:rFonts w:ascii="Arial" w:cs="Arial" w:eastAsia="Arial" w:hAnsi="Arial"/>
                <w:sz w:val="18"/>
                <w:szCs w:val="18"/>
                <w:color w:val="auto"/>
                <w:w w:val="87"/>
              </w:rPr>
              <w:t>10591-6707</w:t>
            </w: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(Address of principal executive offices)</w:t>
            </w:r>
          </w:p>
        </w:tc>
        <w:tc>
          <w:tcPr>
            <w:tcW w:w="1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80"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(914) 347-7000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21"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94"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X</w:t>
            </w:r>
          </w:p>
        </w:tc>
        <w:tc>
          <w:tcPr>
            <w:tcW w:w="3120" w:type="dxa"/>
            <w:vAlign w:val="bottom"/>
          </w:tcPr>
          <w:p>
            <w:pPr>
              <w:ind w:left="88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color w:val="auto"/>
              </w:rPr>
              <w:t>__</w:t>
            </w: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0" w:type="dxa"/>
            <w:vAlign w:val="bottom"/>
            <w:tcBorders>
              <w:top w:val="single" w:sz="8" w:color="auto"/>
              <w:bottom w:val="single" w:sz="8" w:color="auto"/>
            </w:tcBorders>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20" w:type="dxa"/>
            <w:vAlign w:val="bottom"/>
          </w:tcPr>
          <w:p>
            <w:pPr>
              <w:ind w:left="880"/>
              <w:spacing w:after="0" w:line="237" w:lineRule="exact"/>
              <w:rPr>
                <w:sz w:val="20"/>
                <w:szCs w:val="20"/>
                <w:color w:val="auto"/>
              </w:rPr>
            </w:pPr>
            <w:r>
              <w:rPr>
                <w:rFonts w:ascii="Arial" w:cs="Arial" w:eastAsia="Arial" w:hAnsi="Arial"/>
                <w:sz w:val="18"/>
                <w:szCs w:val="18"/>
                <w:color w:val="auto"/>
                <w:w w:val="91"/>
              </w:rPr>
              <w:t xml:space="preserve">Smaller reporting company </w:t>
            </w:r>
            <w:r>
              <w:rPr>
                <w:rFonts w:ascii="Arial" w:cs="Arial" w:eastAsia="Arial" w:hAnsi="Arial"/>
                <w:sz w:val="21"/>
                <w:szCs w:val="21"/>
                <w:color w:val="auto"/>
                <w:w w:val="91"/>
              </w:rPr>
              <w:t>__</w:t>
            </w:r>
          </w:p>
        </w:tc>
      </w:tr>
    </w:tbl>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u w:val="single" w:color="auto"/>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14, 2009:</w:t>
      </w:r>
    </w:p>
    <w:p>
      <w:pPr>
        <w:spacing w:after="0" w:line="229" w:lineRule="exact"/>
        <w:rPr>
          <w:sz w:val="24"/>
          <w:szCs w:val="24"/>
          <w:color w:val="auto"/>
        </w:rPr>
      </w:pPr>
    </w:p>
    <w:tbl>
      <w:tblPr>
        <w:tblLayout w:type="fixed"/>
        <w:tblInd w:w="2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640" w:type="dxa"/>
            <w:vAlign w:val="bottom"/>
            <w:gridSpan w:val="2"/>
          </w:tcPr>
          <w:p>
            <w:pPr>
              <w:jc w:val="center"/>
              <w:ind w:right="1940"/>
              <w:spacing w:after="0"/>
              <w:rPr>
                <w:sz w:val="20"/>
                <w:szCs w:val="20"/>
                <w:color w:val="auto"/>
              </w:rPr>
            </w:pPr>
            <w:r>
              <w:rPr>
                <w:rFonts w:ascii="Arial" w:cs="Arial" w:eastAsia="Arial" w:hAnsi="Arial"/>
                <w:sz w:val="18"/>
                <w:szCs w:val="18"/>
                <w:color w:val="auto"/>
                <w:w w:val="88"/>
              </w:rPr>
              <w:t>Class of Common Stock</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Number of Shares</w:t>
            </w: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62"/>
        </w:trPr>
        <w:tc>
          <w:tcPr>
            <w:tcW w:w="3960" w:type="dxa"/>
            <w:vAlign w:val="bottom"/>
            <w:gridSpan w:val="3"/>
          </w:tcPr>
          <w:p>
            <w:pPr>
              <w:jc w:val="center"/>
              <w:ind w:right="1620"/>
              <w:spacing w:after="0"/>
              <w:rPr>
                <w:sz w:val="20"/>
                <w:szCs w:val="20"/>
                <w:color w:val="auto"/>
              </w:rPr>
            </w:pPr>
            <w:r>
              <w:rPr>
                <w:rFonts w:ascii="Arial" w:cs="Arial" w:eastAsia="Arial" w:hAnsi="Arial"/>
                <w:sz w:val="18"/>
                <w:szCs w:val="18"/>
                <w:color w:val="auto"/>
                <w:w w:val="88"/>
              </w:rPr>
              <w:t>Class A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2,246,698</w:t>
            </w:r>
          </w:p>
        </w:tc>
      </w:tr>
      <w:tr>
        <w:trPr>
          <w:trHeight w:val="243"/>
        </w:trPr>
        <w:tc>
          <w:tcPr>
            <w:tcW w:w="3960" w:type="dxa"/>
            <w:vAlign w:val="bottom"/>
            <w:gridSpan w:val="3"/>
          </w:tcPr>
          <w:p>
            <w:pPr>
              <w:jc w:val="center"/>
              <w:ind w:right="1600"/>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77,845,431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31, 2009</w:t>
      </w:r>
    </w:p>
    <w:p>
      <w:pPr>
        <w:spacing w:after="0" w:line="240" w:lineRule="exact"/>
        <w:rPr>
          <w:sz w:val="24"/>
          <w:szCs w:val="24"/>
          <w:color w:val="auto"/>
        </w:rPr>
      </w:pPr>
    </w:p>
    <w:p>
      <w:pPr>
        <w:ind w:left="10260"/>
        <w:spacing w:after="0"/>
        <w:rPr>
          <w:sz w:val="20"/>
          <w:szCs w:val="20"/>
          <w:color w:val="auto"/>
        </w:rPr>
      </w:pPr>
      <w:r>
        <w:rPr>
          <w:rFonts w:ascii="Arial" w:cs="Arial" w:eastAsia="Arial" w:hAnsi="Arial"/>
          <w:sz w:val="16"/>
          <w:szCs w:val="16"/>
          <w:b w:val="1"/>
          <w:bCs w:val="1"/>
          <w:u w:val="single" w:color="auto"/>
          <w:color w:val="auto"/>
        </w:rPr>
        <w:t>Page Numbers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ectPr>
          <w:pgSz w:w="11900" w:h="16838" w:orient="portrait"/>
          <w:cols w:equalWidth="0" w:num="1">
            <w:col w:w="11420"/>
          </w:cols>
          <w:pgMar w:left="240" w:top="239"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Financial Statements</w:t>
            </w:r>
          </w:p>
        </w:tc>
        <w:tc>
          <w:tcPr>
            <w:tcW w:w="2000" w:type="dxa"/>
            <w:vAlign w:val="bottom"/>
            <w:shd w:val="clear" w:color="auto" w:fill="C0C0C0"/>
          </w:tcPr>
          <w:p>
            <w:pPr>
              <w:spacing w:after="0"/>
              <w:rPr>
                <w:sz w:val="19"/>
                <w:szCs w:val="19"/>
                <w:color w:val="auto"/>
              </w:rPr>
            </w:pP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balance sheets (unaudited) at March 31, 2009 and December 31, 2008</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3</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statements of operations (unaudited) for the three months ended March 31, 2009 and 2008</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4</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statement of stockholders’ equity (unaudited) for the three months ended March 31, 2009</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5</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Condensed statements of cash flows (unaudited) for the three months ended March 31, 2009 and 2008</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6</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color w:val="auto"/>
              </w:rPr>
              <w:t>Notes to condensed financial statements (unaudited)</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7-10</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2</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11-28</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3</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29</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4</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Controls and Procedures</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29</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43"/>
        </w:trPr>
        <w:tc>
          <w:tcPr>
            <w:tcW w:w="9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8500" w:type="dxa"/>
            <w:vAlign w:val="bottom"/>
            <w:gridSpan w:val="8"/>
            <w:shd w:val="clear" w:color="auto" w:fill="C0C0C0"/>
          </w:tcPr>
          <w:p>
            <w:pPr>
              <w:spacing w:after="0"/>
              <w:rPr>
                <w:sz w:val="20"/>
                <w:szCs w:val="20"/>
                <w:color w:val="auto"/>
              </w:rPr>
            </w:pPr>
            <w:r>
              <w:rPr>
                <w:rFonts w:ascii="Arial" w:cs="Arial" w:eastAsia="Arial" w:hAnsi="Arial"/>
                <w:sz w:val="18"/>
                <w:szCs w:val="18"/>
                <w:b w:val="1"/>
                <w:bCs w:val="1"/>
                <w:color w:val="auto"/>
              </w:rPr>
              <w:t>OTHER INFORMATION</w:t>
            </w:r>
          </w:p>
        </w:tc>
        <w:tc>
          <w:tcPr>
            <w:tcW w:w="2000" w:type="dxa"/>
            <w:vAlign w:val="bottom"/>
            <w:shd w:val="clear" w:color="auto" w:fill="C0C0C0"/>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1</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Legal Proceedings</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29</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1A</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Risk Factors</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29-44</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23"/>
        </w:trPr>
        <w:tc>
          <w:tcPr>
            <w:tcW w:w="92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6</w:t>
            </w:r>
          </w:p>
        </w:tc>
        <w:tc>
          <w:tcPr>
            <w:tcW w:w="8500" w:type="dxa"/>
            <w:vAlign w:val="bottom"/>
            <w:gridSpan w:val="8"/>
            <w:shd w:val="clear" w:color="auto" w:fill="C0C0C0"/>
          </w:tcPr>
          <w:p>
            <w:pPr>
              <w:spacing w:after="0" w:line="202" w:lineRule="exact"/>
              <w:rPr>
                <w:sz w:val="20"/>
                <w:szCs w:val="20"/>
                <w:color w:val="auto"/>
              </w:rPr>
            </w:pPr>
            <w:r>
              <w:rPr>
                <w:rFonts w:ascii="Arial" w:cs="Arial" w:eastAsia="Arial" w:hAnsi="Arial"/>
                <w:sz w:val="18"/>
                <w:szCs w:val="18"/>
                <w:color w:val="auto"/>
              </w:rPr>
              <w:t>Exhibits</w:t>
            </w:r>
          </w:p>
        </w:tc>
        <w:tc>
          <w:tcPr>
            <w:tcW w:w="2000" w:type="dxa"/>
            <w:vAlign w:val="bottom"/>
            <w:shd w:val="clear" w:color="auto" w:fill="C0C0C0"/>
          </w:tcPr>
          <w:p>
            <w:pPr>
              <w:ind w:left="1320"/>
              <w:spacing w:after="0" w:line="202" w:lineRule="exact"/>
              <w:rPr>
                <w:sz w:val="20"/>
                <w:szCs w:val="20"/>
                <w:color w:val="auto"/>
              </w:rPr>
            </w:pPr>
            <w:r>
              <w:rPr>
                <w:rFonts w:ascii="Arial" w:cs="Arial" w:eastAsia="Arial" w:hAnsi="Arial"/>
                <w:sz w:val="18"/>
                <w:szCs w:val="18"/>
                <w:color w:val="auto"/>
              </w:rPr>
              <w:t>44</w:t>
            </w:r>
          </w:p>
        </w:tc>
      </w:tr>
      <w:tr>
        <w:trPr>
          <w:trHeight w:val="243"/>
        </w:trPr>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40" w:type="dxa"/>
            <w:vAlign w:val="bottom"/>
            <w:tcBorders>
              <w:top w:val="single" w:sz="8" w:color="C0C0C0"/>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2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2220" w:type="dxa"/>
            <w:vAlign w:val="bottom"/>
            <w:tcBorders>
              <w:top w:val="single" w:sz="8" w:color="C0C0C0"/>
            </w:tcBorders>
          </w:tcPr>
          <w:p>
            <w:pPr>
              <w:spacing w:after="0"/>
              <w:rPr>
                <w:sz w:val="21"/>
                <w:szCs w:val="21"/>
                <w:color w:val="auto"/>
              </w:rPr>
            </w:pPr>
          </w:p>
        </w:tc>
        <w:tc>
          <w:tcPr>
            <w:tcW w:w="2000" w:type="dxa"/>
            <w:vAlign w:val="bottom"/>
            <w:tcBorders>
              <w:top w:val="single" w:sz="8" w:color="C0C0C0"/>
            </w:tcBorders>
          </w:tcPr>
          <w:p>
            <w:pPr>
              <w:spacing w:after="0"/>
              <w:rPr>
                <w:sz w:val="21"/>
                <w:szCs w:val="21"/>
                <w:color w:val="auto"/>
              </w:rPr>
            </w:pPr>
          </w:p>
        </w:tc>
      </w:tr>
      <w:tr>
        <w:trPr>
          <w:trHeight w:val="243"/>
        </w:trPr>
        <w:tc>
          <w:tcPr>
            <w:tcW w:w="9420" w:type="dxa"/>
            <w:vAlign w:val="bottom"/>
            <w:gridSpan w:val="11"/>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2000" w:type="dxa"/>
            <w:vAlign w:val="bottom"/>
            <w:shd w:val="clear" w:color="auto" w:fill="C0C0C0"/>
          </w:tcPr>
          <w:p>
            <w:pPr>
              <w:ind w:left="132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2009 AND DECEMBER 31, 2008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rPr>
              <w:t>March 31,</w:t>
            </w:r>
          </w:p>
        </w:tc>
        <w:tc>
          <w:tcPr>
            <w:tcW w:w="1020" w:type="dxa"/>
            <w:vAlign w:val="bottom"/>
            <w:gridSpan w:val="4"/>
          </w:tcPr>
          <w:p>
            <w:pPr>
              <w:spacing w:after="0"/>
              <w:rPr>
                <w:sz w:val="20"/>
                <w:szCs w:val="20"/>
                <w:color w:val="auto"/>
              </w:rPr>
            </w:pPr>
            <w:r>
              <w:rPr>
                <w:rFonts w:ascii="Arial" w:cs="Arial" w:eastAsia="Arial" w:hAnsi="Arial"/>
                <w:sz w:val="18"/>
                <w:szCs w:val="18"/>
                <w:b w:val="1"/>
                <w:bCs w:val="1"/>
                <w:color w:val="auto"/>
                <w:w w:val="85"/>
              </w:rPr>
              <w:t>December 31,</w:t>
            </w:r>
          </w:p>
        </w:tc>
        <w:tc>
          <w:tcPr>
            <w:tcW w:w="0" w:type="dxa"/>
            <w:vAlign w:val="bottom"/>
          </w:tcPr>
          <w:p>
            <w:pPr>
              <w:spacing w:after="0"/>
              <w:rPr>
                <w:sz w:val="1"/>
                <w:szCs w:val="1"/>
                <w:color w:val="auto"/>
              </w:rPr>
            </w:pPr>
          </w:p>
        </w:tc>
      </w:tr>
      <w:tr>
        <w:trPr>
          <w:trHeight w:val="252"/>
        </w:trPr>
        <w:tc>
          <w:tcPr>
            <w:tcW w:w="89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0C0C0"/>
          </w:tcPr>
          <w:p>
            <w:pPr>
              <w:ind w:left="53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199,097</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8"/>
              </w:rPr>
              <w:t>247,796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216,785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226,954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44,576</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ind w:left="320"/>
              <w:spacing w:after="0"/>
              <w:rPr>
                <w:sz w:val="20"/>
                <w:szCs w:val="20"/>
                <w:color w:val="auto"/>
              </w:rPr>
            </w:pPr>
            <w:r>
              <w:rPr>
                <w:rFonts w:ascii="Arial" w:cs="Arial" w:eastAsia="Arial" w:hAnsi="Arial"/>
                <w:sz w:val="18"/>
                <w:szCs w:val="18"/>
                <w:color w:val="auto"/>
              </w:rPr>
              <w:t>Accounts receivable - other</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ind w:left="6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483,791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521,442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78,460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109,840</w:t>
            </w:r>
          </w:p>
        </w:tc>
        <w:tc>
          <w:tcPr>
            <w:tcW w:w="1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87,853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9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681,421</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8"/>
              </w:rPr>
              <w:t>670,038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6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60" w:type="dxa"/>
            <w:vAlign w:val="bottom"/>
            <w:shd w:val="clear" w:color="auto" w:fill="C0C0C0"/>
          </w:tcPr>
          <w:p>
            <w:pPr>
              <w:ind w:left="38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44,832</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36,756</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ind w:left="6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83,672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100,474</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8"/>
              </w:rPr>
              <w:t>105,586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6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56,835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Other long term liabilities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13,150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251,186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9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378" w:right="2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43"/>
        </w:trPr>
        <w:tc>
          <w:tcPr>
            <w:tcW w:w="8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96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28"/>
        </w:trPr>
        <w:tc>
          <w:tcPr>
            <w:tcW w:w="896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1"/>
        </w:trPr>
        <w:tc>
          <w:tcPr>
            <w:tcW w:w="8960" w:type="dxa"/>
            <w:vAlign w:val="bottom"/>
          </w:tcPr>
          <w:p>
            <w:pPr>
              <w:ind w:left="620"/>
              <w:spacing w:after="0"/>
              <w:rPr>
                <w:sz w:val="20"/>
                <w:szCs w:val="20"/>
                <w:color w:val="auto"/>
              </w:rPr>
            </w:pPr>
            <w:r>
              <w:rPr>
                <w:rFonts w:ascii="Arial" w:cs="Arial" w:eastAsia="Arial" w:hAnsi="Arial"/>
                <w:sz w:val="18"/>
                <w:szCs w:val="18"/>
                <w:color w:val="auto"/>
              </w:rPr>
              <w:t>outstanding-none</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9"/>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r>
      <w:tr>
        <w:trPr>
          <w:trHeight w:val="259"/>
        </w:trPr>
        <w:tc>
          <w:tcPr>
            <w:tcW w:w="89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shares issued and outstanding - 2,246,698 in 2009 and 2,248,698 in 2008</w:t>
            </w:r>
          </w:p>
        </w:tc>
        <w:tc>
          <w:tcPr>
            <w:tcW w:w="10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0C0C0"/>
          </w:tcPr>
          <w:p>
            <w:pPr>
              <w:spacing w:after="0"/>
              <w:rPr>
                <w:sz w:val="22"/>
                <w:szCs w:val="22"/>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w:t>
            </w:r>
          </w:p>
        </w:tc>
      </w:tr>
      <w:tr>
        <w:trPr>
          <w:trHeight w:val="228"/>
        </w:trPr>
        <w:tc>
          <w:tcPr>
            <w:tcW w:w="896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1"/>
        </w:trPr>
        <w:tc>
          <w:tcPr>
            <w:tcW w:w="8960" w:type="dxa"/>
            <w:vAlign w:val="bottom"/>
          </w:tcPr>
          <w:p>
            <w:pPr>
              <w:ind w:left="620"/>
              <w:spacing w:after="0"/>
              <w:rPr>
                <w:sz w:val="20"/>
                <w:szCs w:val="20"/>
                <w:color w:val="auto"/>
              </w:rPr>
            </w:pPr>
            <w:r>
              <w:rPr>
                <w:rFonts w:ascii="Arial" w:cs="Arial" w:eastAsia="Arial" w:hAnsi="Arial"/>
                <w:sz w:val="18"/>
                <w:szCs w:val="18"/>
                <w:color w:val="auto"/>
              </w:rPr>
              <w:t>shares issued and outstanding - 77,841,540 in 2009 and 77,642,203 in 2008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51"/>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10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1,304,896</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1,294,813</w:t>
            </w:r>
          </w:p>
        </w:tc>
      </w:tr>
      <w:tr>
        <w:trPr>
          <w:trHeight w:val="235"/>
        </w:trPr>
        <w:tc>
          <w:tcPr>
            <w:tcW w:w="896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(893,408)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(875,927)</w:t>
            </w:r>
          </w:p>
        </w:tc>
      </w:tr>
      <w:tr>
        <w:trPr>
          <w:trHeight w:val="243"/>
        </w:trPr>
        <w:tc>
          <w:tcPr>
            <w:tcW w:w="89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(1,248)</w:t>
            </w:r>
          </w:p>
        </w:tc>
        <w:tc>
          <w:tcPr>
            <w:tcW w:w="10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(114)</w:t>
            </w:r>
          </w:p>
        </w:tc>
      </w:tr>
      <w:tr>
        <w:trPr>
          <w:trHeight w:val="21"/>
        </w:trPr>
        <w:tc>
          <w:tcPr>
            <w:tcW w:w="89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235"/>
        </w:trPr>
        <w:tc>
          <w:tcPr>
            <w:tcW w:w="896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410,320</w:t>
            </w:r>
          </w:p>
        </w:tc>
        <w:tc>
          <w:tcPr>
            <w:tcW w:w="3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418,852</w:t>
            </w:r>
          </w:p>
        </w:tc>
      </w:tr>
      <w:tr>
        <w:trPr>
          <w:trHeight w:val="21"/>
        </w:trPr>
        <w:tc>
          <w:tcPr>
            <w:tcW w:w="89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r>
      <w:tr>
        <w:trPr>
          <w:trHeight w:val="242"/>
        </w:trPr>
        <w:tc>
          <w:tcPr>
            <w:tcW w:w="89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681,421</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3"/>
              </w:rPr>
              <w:t>$   670,038</w:t>
            </w:r>
          </w:p>
        </w:tc>
      </w:tr>
      <w:tr>
        <w:trPr>
          <w:trHeight w:val="28"/>
        </w:trPr>
        <w:tc>
          <w:tcPr>
            <w:tcW w:w="896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C0C0C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89"/>
              </w:rPr>
              <w:t>Three months ended March 31,</w:t>
            </w:r>
          </w:p>
        </w:tc>
      </w:tr>
      <w:tr>
        <w:trPr>
          <w:trHeight w:val="252"/>
        </w:trPr>
        <w:tc>
          <w:tcPr>
            <w:tcW w:w="87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21"/>
                <w:szCs w:val="21"/>
                <w:color w:val="auto"/>
              </w:rPr>
            </w:pPr>
          </w:p>
        </w:tc>
      </w:tr>
      <w:tr>
        <w:trPr>
          <w:trHeight w:val="230"/>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Contract research and development from sanofi-aventis</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49,660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35,734</w:t>
            </w: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contract research and development</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11,430</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10,649</w:t>
            </w: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Technology licensing</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r>
      <w:tr>
        <w:trPr>
          <w:trHeight w:val="243"/>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3,891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1"/>
        </w:trPr>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8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74,981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56,383</w:t>
            </w: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82,146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61,270</w:t>
            </w: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11,674</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11,024</w:t>
            </w: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
        </w:trPr>
        <w:tc>
          <w:tcPr>
            <w:tcW w:w="874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r>
      <w:tr>
        <w:trPr>
          <w:trHeight w:val="237"/>
        </w:trPr>
        <w:tc>
          <w:tcPr>
            <w:tcW w:w="87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94,212</w:t>
            </w: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72,294</w:t>
            </w: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(19,231)</w:t>
            </w: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(15,911)</w:t>
            </w:r>
          </w:p>
        </w:tc>
      </w:tr>
      <w:tr>
        <w:trPr>
          <w:trHeight w:val="243"/>
        </w:trPr>
        <w:tc>
          <w:tcPr>
            <w:tcW w:w="874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7,304</w:t>
            </w:r>
          </w:p>
        </w:tc>
      </w:tr>
      <w:tr>
        <w:trPr>
          <w:trHeight w:val="243"/>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(3,011)</w:t>
            </w:r>
          </w:p>
        </w:tc>
      </w:tr>
      <w:tr>
        <w:trPr>
          <w:trHeight w:val="21"/>
        </w:trPr>
        <w:tc>
          <w:tcPr>
            <w:tcW w:w="874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r>
      <w:tr>
        <w:trPr>
          <w:trHeight w:val="237"/>
        </w:trPr>
        <w:tc>
          <w:tcPr>
            <w:tcW w:w="8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4,293</w:t>
            </w: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50"/>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(17,481)</w:t>
            </w:r>
          </w:p>
        </w:tc>
        <w:tc>
          <w:tcPr>
            <w:tcW w:w="5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(11,618)</w:t>
            </w:r>
          </w:p>
        </w:tc>
      </w:tr>
      <w:tr>
        <w:trPr>
          <w:trHeight w:val="243"/>
        </w:trPr>
        <w:tc>
          <w:tcPr>
            <w:tcW w:w="874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(0.22)</w:t>
            </w:r>
          </w:p>
        </w:tc>
        <w:tc>
          <w:tcPr>
            <w:tcW w:w="5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(0.15)</w:t>
            </w:r>
          </w:p>
        </w:tc>
      </w:tr>
      <w:tr>
        <w:trPr>
          <w:trHeight w:val="243"/>
        </w:trPr>
        <w:tc>
          <w:tcPr>
            <w:tcW w:w="8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79,498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78,493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86"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86"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1"/>
                <w:szCs w:val="21"/>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1060" w:type="dxa"/>
            <w:vAlign w:val="bottom"/>
            <w:gridSpan w:val="4"/>
          </w:tcPr>
          <w:p>
            <w:pPr>
              <w:ind w:left="200"/>
              <w:spacing w:after="0"/>
              <w:rPr>
                <w:sz w:val="20"/>
                <w:szCs w:val="20"/>
                <w:color w:val="auto"/>
              </w:rPr>
            </w:pPr>
            <w:r>
              <w:rPr>
                <w:rFonts w:ascii="Arial" w:cs="Arial" w:eastAsia="Arial" w:hAnsi="Arial"/>
                <w:sz w:val="14"/>
                <w:szCs w:val="14"/>
                <w:b w:val="1"/>
                <w:bCs w:val="1"/>
                <w:color w:val="auto"/>
                <w:w w:val="89"/>
              </w:rPr>
              <w:t>Class A Stock</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Paid-in</w:t>
            </w: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Stockholders'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3"/>
              </w:rPr>
              <w:t>Comprehensive</w:t>
            </w:r>
          </w:p>
        </w:tc>
      </w:tr>
      <w:tr>
        <w:trPr>
          <w:trHeight w:val="41"/>
        </w:trPr>
        <w:tc>
          <w:tcPr>
            <w:tcW w:w="3880" w:type="dxa"/>
            <w:vAlign w:val="bottom"/>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196"/>
        </w:trPr>
        <w:tc>
          <w:tcPr>
            <w:tcW w:w="3880" w:type="dxa"/>
            <w:vAlign w:val="bottom"/>
          </w:tcPr>
          <w:p>
            <w:pPr>
              <w:spacing w:after="0"/>
              <w:rPr>
                <w:sz w:val="17"/>
                <w:szCs w:val="17"/>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w:t>
            </w:r>
          </w:p>
        </w:tc>
      </w:tr>
      <w:tr>
        <w:trPr>
          <w:trHeight w:val="41"/>
        </w:trPr>
        <w:tc>
          <w:tcPr>
            <w:tcW w:w="388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7"/>
        </w:trPr>
        <w:tc>
          <w:tcPr>
            <w:tcW w:w="3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2008</w:t>
            </w:r>
          </w:p>
        </w:tc>
        <w:tc>
          <w:tcPr>
            <w:tcW w:w="5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2,249</w:t>
            </w:r>
          </w:p>
        </w:tc>
        <w:tc>
          <w:tcPr>
            <w:tcW w:w="16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77,642</w:t>
            </w:r>
          </w:p>
        </w:tc>
        <w:tc>
          <w:tcPr>
            <w:tcW w:w="22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ind w:right="244"/>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9"/>
              </w:rPr>
              <w:t>78</w:t>
            </w:r>
          </w:p>
        </w:tc>
        <w:tc>
          <w:tcPr>
            <w:tcW w:w="16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6"/>
              </w:rPr>
              <w:t>$ 1,294,813</w:t>
            </w:r>
          </w:p>
        </w:tc>
        <w:tc>
          <w:tcPr>
            <w:tcW w:w="1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w w:val="96"/>
              </w:rPr>
              <w:t>(875,927)</w:t>
            </w:r>
          </w:p>
        </w:tc>
        <w:tc>
          <w:tcPr>
            <w:tcW w:w="16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ind w:right="4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(114)</w:t>
            </w:r>
          </w:p>
        </w:tc>
        <w:tc>
          <w:tcPr>
            <w:tcW w:w="16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418,852</w:t>
            </w:r>
          </w:p>
        </w:tc>
        <w:tc>
          <w:tcPr>
            <w:tcW w:w="1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880" w:type="dxa"/>
            <w:vAlign w:val="bottom"/>
          </w:tcPr>
          <w:p>
            <w:pPr>
              <w:ind w:left="240"/>
              <w:spacing w:after="0"/>
              <w:rPr>
                <w:sz w:val="20"/>
                <w:szCs w:val="20"/>
                <w:color w:val="auto"/>
              </w:rPr>
            </w:pPr>
            <w:r>
              <w:rPr>
                <w:rFonts w:ascii="Arial" w:cs="Arial" w:eastAsia="Arial" w:hAnsi="Arial"/>
                <w:sz w:val="14"/>
                <w:szCs w:val="14"/>
                <w:color w:val="auto"/>
              </w:rPr>
              <w:t>exercise of stock options, net of shares tendered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117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1,038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
        </w:trPr>
        <w:tc>
          <w:tcPr>
            <w:tcW w:w="3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388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4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r>
      <w:tr>
        <w:trPr>
          <w:trHeight w:val="264"/>
        </w:trPr>
        <w:tc>
          <w:tcPr>
            <w:tcW w:w="38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4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81</w:t>
            </w:r>
          </w:p>
        </w:tc>
        <w:tc>
          <w:tcPr>
            <w:tcW w:w="22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1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1,391</w:t>
            </w:r>
          </w:p>
        </w:tc>
        <w:tc>
          <w:tcPr>
            <w:tcW w:w="1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4"/>
                <w:szCs w:val="14"/>
                <w:color w:val="auto"/>
              </w:rPr>
              <w:t>Conversion of Class A Stock to Common Stock</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
        </w:trPr>
        <w:tc>
          <w:tcPr>
            <w:tcW w:w="3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38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4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7,654</w:t>
            </w:r>
          </w:p>
        </w:tc>
        <w:tc>
          <w:tcPr>
            <w:tcW w:w="1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7,654</w:t>
            </w:r>
          </w:p>
        </w:tc>
        <w:tc>
          <w:tcPr>
            <w:tcW w:w="1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(17,481)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(17,481)</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(17,481)</w:t>
            </w:r>
          </w:p>
        </w:tc>
      </w:tr>
      <w:tr>
        <w:trPr>
          <w:trHeight w:val="41"/>
        </w:trPr>
        <w:tc>
          <w:tcPr>
            <w:tcW w:w="3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388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loss on</w:t>
            </w:r>
          </w:p>
        </w:tc>
        <w:tc>
          <w:tcPr>
            <w:tcW w:w="4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r>
      <w:tr>
        <w:trPr>
          <w:trHeight w:val="264"/>
        </w:trPr>
        <w:tc>
          <w:tcPr>
            <w:tcW w:w="38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marketable securities</w:t>
            </w:r>
          </w:p>
        </w:tc>
        <w:tc>
          <w:tcPr>
            <w:tcW w:w="4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(1,134)</w:t>
            </w:r>
          </w:p>
        </w:tc>
        <w:tc>
          <w:tcPr>
            <w:tcW w:w="16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(1,134)</w:t>
            </w:r>
          </w:p>
        </w:tc>
        <w:tc>
          <w:tcPr>
            <w:tcW w:w="1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(1,134)</w:t>
            </w:r>
          </w:p>
        </w:tc>
      </w:tr>
      <w:tr>
        <w:trPr>
          <w:trHeight w:val="20"/>
        </w:trPr>
        <w:tc>
          <w:tcPr>
            <w:tcW w:w="388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4"/>
                <w:szCs w:val="14"/>
                <w:b w:val="1"/>
                <w:bCs w:val="1"/>
                <w:color w:val="auto"/>
              </w:rPr>
              <w:t>Balance, March 31, 2009</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2,247</w:t>
            </w:r>
          </w:p>
        </w:tc>
        <w:tc>
          <w:tcPr>
            <w:tcW w:w="1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520" w:type="dxa"/>
            <w:vAlign w:val="bottom"/>
          </w:tcPr>
          <w:p>
            <w:pPr>
              <w:jc w:val="right"/>
              <w:spacing w:after="0"/>
              <w:rPr>
                <w:sz w:val="20"/>
                <w:szCs w:val="20"/>
                <w:color w:val="auto"/>
              </w:rPr>
            </w:pPr>
            <w:r>
              <w:rPr>
                <w:rFonts w:ascii="Arial" w:cs="Arial" w:eastAsia="Arial" w:hAnsi="Arial"/>
                <w:sz w:val="14"/>
                <w:szCs w:val="14"/>
                <w:color w:val="auto"/>
              </w:rPr>
              <w:t>77,842</w:t>
            </w:r>
          </w:p>
        </w:tc>
        <w:tc>
          <w:tcPr>
            <w:tcW w:w="220" w:type="dxa"/>
            <w:vAlign w:val="bottom"/>
          </w:tcPr>
          <w:p>
            <w:pPr>
              <w:spacing w:after="0"/>
              <w:rPr>
                <w:sz w:val="17"/>
                <w:szCs w:val="17"/>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78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6"/>
              </w:rPr>
              <w:t>$ 1,304,896</w:t>
            </w:r>
          </w:p>
        </w:tc>
        <w:tc>
          <w:tcPr>
            <w:tcW w:w="1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(893,408)</w:t>
            </w:r>
          </w:p>
        </w:tc>
        <w:tc>
          <w:tcPr>
            <w:tcW w:w="160" w:type="dxa"/>
            <w:vAlign w:val="bottom"/>
          </w:tcPr>
          <w:p>
            <w:pPr>
              <w:spacing w:after="0"/>
              <w:rPr>
                <w:sz w:val="17"/>
                <w:szCs w:val="17"/>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(1,248)</w:t>
            </w:r>
          </w:p>
        </w:tc>
        <w:tc>
          <w:tcPr>
            <w:tcW w:w="16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410,320</w:t>
            </w: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(18,615)</w:t>
            </w:r>
          </w:p>
        </w:tc>
      </w:tr>
      <w:tr>
        <w:trPr>
          <w:trHeight w:val="48"/>
        </w:trPr>
        <w:tc>
          <w:tcPr>
            <w:tcW w:w="38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tcPr>
          <w:p>
            <w:pPr>
              <w:spacing w:after="0"/>
              <w:rPr>
                <w:sz w:val="19"/>
                <w:szCs w:val="19"/>
                <w:color w:val="auto"/>
              </w:rPr>
            </w:pPr>
          </w:p>
        </w:tc>
        <w:tc>
          <w:tcPr>
            <w:tcW w:w="2680" w:type="dxa"/>
            <w:vAlign w:val="bottom"/>
            <w:gridSpan w:val="8"/>
          </w:tcPr>
          <w:p>
            <w:pPr>
              <w:ind w:left="280"/>
              <w:spacing w:after="0"/>
              <w:rPr>
                <w:sz w:val="20"/>
                <w:szCs w:val="20"/>
                <w:color w:val="auto"/>
              </w:rPr>
            </w:pPr>
            <w:r>
              <w:rPr>
                <w:rFonts w:ascii="Arial" w:cs="Arial" w:eastAsia="Arial" w:hAnsi="Arial"/>
                <w:sz w:val="18"/>
                <w:szCs w:val="18"/>
                <w:b w:val="1"/>
                <w:bCs w:val="1"/>
                <w:color w:val="auto"/>
                <w:w w:val="89"/>
              </w:rPr>
              <w:t>Three months ended March 31,</w:t>
            </w:r>
          </w:p>
        </w:tc>
        <w:tc>
          <w:tcPr>
            <w:tcW w:w="0" w:type="dxa"/>
            <w:vAlign w:val="bottom"/>
          </w:tcPr>
          <w:p>
            <w:pPr>
              <w:spacing w:after="0"/>
              <w:rPr>
                <w:sz w:val="1"/>
                <w:szCs w:val="1"/>
                <w:color w:val="auto"/>
              </w:rPr>
            </w:pPr>
          </w:p>
        </w:tc>
      </w:tr>
      <w:tr>
        <w:trPr>
          <w:trHeight w:val="252"/>
        </w:trPr>
        <w:tc>
          <w:tcPr>
            <w:tcW w:w="87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(17,481)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(11,618)</w:t>
            </w:r>
          </w:p>
        </w:tc>
        <w:tc>
          <w:tcPr>
            <w:tcW w:w="0" w:type="dxa"/>
            <w:vAlign w:val="bottom"/>
          </w:tcPr>
          <w:p>
            <w:pPr>
              <w:spacing w:after="0"/>
              <w:rPr>
                <w:sz w:val="1"/>
                <w:szCs w:val="1"/>
                <w:color w:val="auto"/>
              </w:rPr>
            </w:pPr>
          </w:p>
        </w:tc>
      </w:tr>
      <w:tr>
        <w:trPr>
          <w:trHeight w:val="214"/>
        </w:trPr>
        <w:tc>
          <w:tcPr>
            <w:tcW w:w="874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 used in</w:t>
            </w:r>
          </w:p>
        </w:tc>
        <w:tc>
          <w:tcPr>
            <w:tcW w:w="28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auto"/>
            </w:tcBorders>
            <w:shd w:val="clear" w:color="auto" w:fill="C0C0C0"/>
          </w:tcPr>
          <w:p>
            <w:pPr>
              <w:spacing w:after="0"/>
              <w:rPr>
                <w:sz w:val="18"/>
                <w:szCs w:val="18"/>
                <w:color w:val="auto"/>
              </w:rPr>
            </w:pPr>
          </w:p>
        </w:tc>
        <w:tc>
          <w:tcPr>
            <w:tcW w:w="700" w:type="dxa"/>
            <w:vAlign w:val="bottom"/>
            <w:tcBorders>
              <w:top w:val="single" w:sz="8" w:color="auto"/>
            </w:tcBorders>
            <w:shd w:val="clear" w:color="auto" w:fill="C0C0C0"/>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280" w:type="dxa"/>
            <w:vAlign w:val="bottom"/>
            <w:tcBorders>
              <w:top w:val="single" w:sz="8" w:color="C0C0C0"/>
            </w:tcBorders>
            <w:shd w:val="clear" w:color="auto" w:fill="C0C0C0"/>
          </w:tcPr>
          <w:p>
            <w:pPr>
              <w:spacing w:after="0"/>
              <w:rPr>
                <w:sz w:val="18"/>
                <w:szCs w:val="18"/>
                <w:color w:val="auto"/>
              </w:rPr>
            </w:pPr>
          </w:p>
        </w:tc>
        <w:tc>
          <w:tcPr>
            <w:tcW w:w="20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87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74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2,724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51"/>
        </w:trPr>
        <w:tc>
          <w:tcPr>
            <w:tcW w:w="87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7,654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35"/>
        </w:trPr>
        <w:tc>
          <w:tcPr>
            <w:tcW w:w="8740" w:type="dxa"/>
            <w:vAlign w:val="bottom"/>
          </w:tcPr>
          <w:p>
            <w:pPr>
              <w:ind w:left="6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7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accounts receivable</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(12,997)</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35"/>
        </w:trPr>
        <w:tc>
          <w:tcPr>
            <w:tcW w:w="8740" w:type="dxa"/>
            <w:vAlign w:val="bottom"/>
          </w:tcPr>
          <w:p>
            <w:pPr>
              <w:ind w:left="920"/>
              <w:spacing w:after="0"/>
              <w:rPr>
                <w:sz w:val="20"/>
                <w:szCs w:val="20"/>
                <w:color w:val="auto"/>
              </w:rPr>
            </w:pPr>
            <w:r>
              <w:rPr>
                <w:rFonts w:ascii="Arial" w:cs="Arial" w:eastAsia="Arial" w:hAnsi="Arial"/>
                <w:sz w:val="18"/>
                <w:szCs w:val="18"/>
                <w:color w:val="auto"/>
              </w:rPr>
              <w:t>(Increase) decrease in prepaid expenses and other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(8,611)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64"/>
        </w:trPr>
        <w:tc>
          <w:tcPr>
            <w:tcW w:w="87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deferred revenue</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3,194</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8"/>
        </w:trPr>
        <w:tc>
          <w:tcPr>
            <w:tcW w:w="8740" w:type="dxa"/>
            <w:vAlign w:val="bottom"/>
          </w:tcPr>
          <w:p>
            <w:pPr>
              <w:ind w:left="920"/>
              <w:spacing w:after="0"/>
              <w:rPr>
                <w:sz w:val="20"/>
                <w:szCs w:val="20"/>
                <w:color w:val="auto"/>
              </w:rPr>
            </w:pPr>
            <w:r>
              <w:rPr>
                <w:rFonts w:ascii="Arial" w:cs="Arial" w:eastAsia="Arial" w:hAnsi="Arial"/>
                <w:sz w:val="18"/>
                <w:szCs w:val="18"/>
                <w:color w:val="auto"/>
              </w:rPr>
              <w:t>Increase (decrease) in accounts payable, accrued expenses,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740" w:type="dxa"/>
            <w:vAlign w:val="bottom"/>
          </w:tcPr>
          <w:p>
            <w:pPr>
              <w:ind w:left="1240"/>
              <w:spacing w:after="0"/>
              <w:rPr>
                <w:sz w:val="20"/>
                <w:szCs w:val="20"/>
                <w:color w:val="auto"/>
              </w:rPr>
            </w:pPr>
            <w:r>
              <w:rPr>
                <w:rFonts w:ascii="Arial" w:cs="Arial" w:eastAsia="Arial" w:hAnsi="Arial"/>
                <w:sz w:val="18"/>
                <w:szCs w:val="18"/>
                <w:color w:val="auto"/>
              </w:rPr>
              <w:t>and other liabilities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15,318</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1"/>
        </w:trPr>
        <w:tc>
          <w:tcPr>
            <w:tcW w:w="8740" w:type="dxa"/>
            <w:vAlign w:val="bottom"/>
            <w:vMerge w:val="restart"/>
            <w:shd w:val="clear" w:color="auto" w:fill="C0C0C0"/>
          </w:tcPr>
          <w:p>
            <w:pPr>
              <w:ind w:left="1540"/>
              <w:spacing w:after="0"/>
              <w:rPr>
                <w:sz w:val="20"/>
                <w:szCs w:val="20"/>
                <w:color w:val="auto"/>
              </w:rPr>
            </w:pPr>
            <w:r>
              <w:rPr>
                <w:rFonts w:ascii="Arial" w:cs="Arial" w:eastAsia="Arial" w:hAnsi="Arial"/>
                <w:sz w:val="18"/>
                <w:szCs w:val="18"/>
                <w:color w:val="auto"/>
              </w:rPr>
              <w:t>Total adjustments</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740" w:type="dxa"/>
            <w:vAlign w:val="bottom"/>
            <w:vMerge w:val="continue"/>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7,282</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5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(10,199)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(100,315)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(91,518)</w:t>
            </w:r>
          </w:p>
        </w:tc>
        <w:tc>
          <w:tcPr>
            <w:tcW w:w="0" w:type="dxa"/>
            <w:vAlign w:val="bottom"/>
          </w:tcPr>
          <w:p>
            <w:pPr>
              <w:spacing w:after="0"/>
              <w:rPr>
                <w:sz w:val="1"/>
                <w:szCs w:val="1"/>
                <w:color w:val="auto"/>
              </w:rPr>
            </w:pPr>
          </w:p>
        </w:tc>
      </w:tr>
      <w:tr>
        <w:trPr>
          <w:trHeight w:val="251"/>
        </w:trPr>
        <w:tc>
          <w:tcPr>
            <w:tcW w:w="87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82,694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132,509</w:t>
            </w:r>
          </w:p>
        </w:tc>
        <w:tc>
          <w:tcPr>
            <w:tcW w:w="0" w:type="dxa"/>
            <w:vAlign w:val="bottom"/>
          </w:tcPr>
          <w:p>
            <w:pPr>
              <w:spacing w:after="0"/>
              <w:rPr>
                <w:sz w:val="1"/>
                <w:szCs w:val="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
        </w:trPr>
        <w:tc>
          <w:tcPr>
            <w:tcW w:w="8740" w:type="dxa"/>
            <w:vAlign w:val="bottom"/>
            <w:vMerge w:val="restart"/>
            <w:shd w:val="clear" w:color="auto" w:fill="C0C0C0"/>
          </w:tcPr>
          <w:p>
            <w:pPr>
              <w:ind w:left="154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vMerge w:val="continue"/>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(39,538)</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37,944</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40" w:type="dxa"/>
            <w:vAlign w:val="bottom"/>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
        </w:trPr>
        <w:tc>
          <w:tcPr>
            <w:tcW w:w="8740" w:type="dxa"/>
            <w:vAlign w:val="bottom"/>
            <w:vMerge w:val="restart"/>
            <w:shd w:val="clear" w:color="auto" w:fill="C0C0C0"/>
          </w:tcPr>
          <w:p>
            <w:pPr>
              <w:ind w:left="15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vMerge w:val="continue"/>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(48,699)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21,950</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247,796</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498,925</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199,097</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520,875</w:t>
            </w:r>
          </w:p>
        </w:tc>
        <w:tc>
          <w:tcPr>
            <w:tcW w:w="0" w:type="dxa"/>
            <w:vAlign w:val="bottom"/>
          </w:tcPr>
          <w:p>
            <w:pPr>
              <w:spacing w:after="0"/>
              <w:rPr>
                <w:sz w:val="1"/>
                <w:szCs w:val="1"/>
                <w:color w:val="auto"/>
              </w:rPr>
            </w:pPr>
          </w:p>
        </w:tc>
      </w:tr>
      <w:tr>
        <w:trPr>
          <w:trHeight w:val="28"/>
        </w:trPr>
        <w:tc>
          <w:tcPr>
            <w:tcW w:w="874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2008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2008.</w:t>
      </w:r>
    </w:p>
    <w:p>
      <w:pPr>
        <w:spacing w:after="0" w:line="199"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Included in research and development expenses is the Company’s share of VEGF Trap-Eye development expenses incurred by Bayer HealthCare LLC, including the Company’s share of Bayer HealthCare’s estimated VEGF Trap-Eye development expenses for the most recent interim fiscal quarter. The Bayer HealthCare estimate is adjusted to agree with actual expenses for such quarter in the subsequent interim fiscal quarter.</w:t>
      </w:r>
    </w:p>
    <w:p>
      <w:pPr>
        <w:spacing w:after="0" w:line="18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Effective in the first quarter of 2009, the estimated useful lives of laboratory and other equipment, which is a component of property, plant, and equipment, has been extended from 3 – 5 years to 3 – 10 years. The effect of this change in estimate was to lower depreciation expense by $0.2 million for the first quarter of 2009. There was no impact on the net loss per share as a result of this change in estimate.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169"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In February 2008, the Company received marketing approval from the FDA for ARCALYST for the treatment of CAPS. For the three months ended March 31, 2009, the Company recognized as revenue $3.9 million of ARCALYST net product sales for which the right of return no longer existed and rebates could be reasonably estimated. At March 31, 2009 and 2008, deferred revenue related to ARCALYST net product sales totaled $4.2 million and $0.8 million, respectively.</w:t>
      </w:r>
    </w:p>
    <w:p>
      <w:pPr>
        <w:spacing w:after="0" w:line="18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Cost of goods sold related to ARCALYST sales totaled $0.4 million for the three months ended March 31, 2009 and consisted primarily of royalties. To date, ARCALYST shipments to the Company’s customers consisted of supplies of inventory manufactured and expensed prior to FDA approval of ARCALYST; therefore, the costs of these supplies were not included in costs of goods sold. At March 31, 2009, the Company had $0.3 million of inventoried work-in-process costs related to ARCALYST, which is included in prepaid expenses and other current assets. There were no capitalized inventory costs at December 31, 2008.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58"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months ended March 31, 2009 and 2008,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00" w:type="dxa"/>
            <w:vAlign w:val="bottom"/>
          </w:tcPr>
          <w:p>
            <w:pPr>
              <w:spacing w:after="0"/>
              <w:rPr>
                <w:sz w:val="20"/>
                <w:szCs w:val="20"/>
                <w:color w:val="auto"/>
              </w:rPr>
            </w:pPr>
          </w:p>
        </w:tc>
        <w:tc>
          <w:tcPr>
            <w:tcW w:w="4920" w:type="dxa"/>
            <w:vAlign w:val="bottom"/>
            <w:gridSpan w:val="6"/>
          </w:tcPr>
          <w:p>
            <w:pPr>
              <w:ind w:left="2680"/>
              <w:spacing w:after="0"/>
              <w:rPr>
                <w:sz w:val="20"/>
                <w:szCs w:val="20"/>
                <w:color w:val="auto"/>
              </w:rPr>
            </w:pPr>
            <w:r>
              <w:rPr>
                <w:rFonts w:ascii="Arial" w:cs="Arial" w:eastAsia="Arial" w:hAnsi="Arial"/>
                <w:sz w:val="18"/>
                <w:szCs w:val="18"/>
                <w:color w:val="auto"/>
                <w:w w:val="87"/>
              </w:rPr>
              <w:t>Three Months Ended March 31,</w:t>
            </w:r>
          </w:p>
        </w:tc>
      </w:tr>
      <w:tr>
        <w:trPr>
          <w:trHeight w:val="237"/>
        </w:trPr>
        <w:tc>
          <w:tcPr>
            <w:tcW w:w="6500" w:type="dxa"/>
            <w:vAlign w:val="bottom"/>
            <w:tcBorders>
              <w:bottom w:val="single" w:sz="8" w:color="C0C0C0"/>
            </w:tcBorders>
          </w:tcPr>
          <w:p>
            <w:pPr>
              <w:spacing w:after="0"/>
              <w:rPr>
                <w:sz w:val="20"/>
                <w:szCs w:val="20"/>
                <w:color w:val="auto"/>
              </w:rPr>
            </w:pPr>
          </w:p>
        </w:tc>
        <w:tc>
          <w:tcPr>
            <w:tcW w:w="2680" w:type="dxa"/>
            <w:vAlign w:val="bottom"/>
            <w:tcBorders>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2009</w:t>
            </w:r>
          </w:p>
        </w:tc>
        <w:tc>
          <w:tcPr>
            <w:tcW w:w="200" w:type="dxa"/>
            <w:vAlign w:val="bottom"/>
            <w:tcBorders>
              <w:top w:val="single" w:sz="8" w:color="auto"/>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2008</w:t>
            </w: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86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8"/>
              </w:rPr>
              <w:t>(17,481)</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(11,618)</w:t>
            </w:r>
          </w:p>
        </w:tc>
      </w:tr>
      <w:tr>
        <w:trPr>
          <w:trHeight w:val="243"/>
        </w:trPr>
        <w:tc>
          <w:tcPr>
            <w:tcW w:w="65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6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79,498</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78,493</w:t>
            </w:r>
          </w:p>
        </w:tc>
      </w:tr>
      <w:tr>
        <w:trPr>
          <w:trHeight w:val="243"/>
        </w:trPr>
        <w:tc>
          <w:tcPr>
            <w:tcW w:w="65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86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(0.22)</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(0.15)</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Shares issuable upon the exercise of stock options, vesting of restricted stock awards, and conversion of convertible debt, which have been excluded from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 diluted per share amounts because their effect would have been antidilutive, include the following:</w:t>
      </w:r>
    </w:p>
    <w:p>
      <w:pPr>
        <w:sectPr>
          <w:pgSz w:w="11900" w:h="16838" w:orient="portrait"/>
          <w:cols w:equalWidth="0" w:num="1">
            <w:col w:w="11420"/>
          </w:cols>
          <w:pgMar w:left="240" w:top="144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1"/>
        </w:trPr>
        <w:tc>
          <w:tcPr>
            <w:tcW w:w="9240" w:type="dxa"/>
            <w:vAlign w:val="bottom"/>
          </w:tcPr>
          <w:p>
            <w:pPr>
              <w:spacing w:after="0"/>
              <w:rPr>
                <w:sz w:val="20"/>
                <w:szCs w:val="20"/>
                <w:color w:val="auto"/>
              </w:rPr>
            </w:pPr>
          </w:p>
        </w:tc>
        <w:tc>
          <w:tcPr>
            <w:tcW w:w="2200" w:type="dxa"/>
            <w:vAlign w:val="bottom"/>
            <w:gridSpan w:val="6"/>
          </w:tcPr>
          <w:p>
            <w:pPr>
              <w:spacing w:after="0"/>
              <w:rPr>
                <w:sz w:val="20"/>
                <w:szCs w:val="20"/>
                <w:color w:val="auto"/>
              </w:rPr>
            </w:pPr>
            <w:r>
              <w:rPr>
                <w:rFonts w:ascii="Arial" w:cs="Arial" w:eastAsia="Arial" w:hAnsi="Arial"/>
                <w:sz w:val="18"/>
                <w:szCs w:val="18"/>
                <w:color w:val="auto"/>
                <w:w w:val="86"/>
              </w:rPr>
              <w:t>Three months ended March 31,</w:t>
            </w:r>
          </w:p>
        </w:tc>
      </w:tr>
      <w:tr>
        <w:trPr>
          <w:trHeight w:val="237"/>
        </w:trPr>
        <w:tc>
          <w:tcPr>
            <w:tcW w:w="9240" w:type="dxa"/>
            <w:vAlign w:val="bottom"/>
            <w:tcBorders>
              <w:bottom w:val="single" w:sz="8" w:color="C0C0C0"/>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bottom w:val="single" w:sz="8" w:color="C0C0C0"/>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r>
      <w:tr>
        <w:trPr>
          <w:trHeight w:val="230"/>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17,680</w:t>
            </w: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21"/>
                <w:szCs w:val="21"/>
                <w:color w:val="auto"/>
              </w:rPr>
            </w:pPr>
          </w:p>
        </w:tc>
      </w:tr>
      <w:tr>
        <w:trPr>
          <w:trHeight w:val="243"/>
        </w:trPr>
        <w:tc>
          <w:tcPr>
            <w:tcW w:w="9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924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59"/>
        </w:trPr>
        <w:tc>
          <w:tcPr>
            <w:tcW w:w="9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Convertible Debt:</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6,611</w:t>
            </w: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Conversion price</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30.25</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jc w:val="both"/>
        <w:ind w:right="20" w:firstLine="311"/>
        <w:spacing w:after="0" w:line="259" w:lineRule="auto"/>
        <w:rPr>
          <w:sz w:val="20"/>
          <w:szCs w:val="20"/>
          <w:color w:val="auto"/>
        </w:rPr>
      </w:pPr>
      <w:r>
        <w:rPr>
          <w:rFonts w:ascii="Arial" w:cs="Arial" w:eastAsia="Arial" w:hAnsi="Arial"/>
          <w:sz w:val="18"/>
          <w:szCs w:val="18"/>
          <w:color w:val="auto"/>
        </w:rPr>
        <w:t>Included in accounts payable and accrued expenses at March 31, 2009 and December 31, 2008 were $9.8 million and $7.0 million, respectively, of accrued capital expenditures. Included in accounts payable and accrued expenses at March 31, 2008 and December 31, 2007 were $1.5 million and $1.7 million, respectively, of accrued capital expenditures.</w:t>
      </w:r>
    </w:p>
    <w:p>
      <w:pPr>
        <w:spacing w:after="0" w:line="221" w:lineRule="exact"/>
        <w:rPr>
          <w:sz w:val="20"/>
          <w:szCs w:val="20"/>
          <w:color w:val="auto"/>
        </w:rPr>
      </w:pPr>
    </w:p>
    <w:p>
      <w:pPr>
        <w:jc w:val="both"/>
        <w:ind w:right="20"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2008 and 2007 were $1.5 million and $1.1 million, respectively, of accrued Company 401(k) Savings Plan contribution expense. In the first quarter of 2009 and 2008, the Company contributed 81,086 and 58,575 shares, respectively, of Common Stock to the 401(k) Savings Plan in satisfaction of these obligations.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Included in marketable securities at March 31, 2009 and December 31, 2008 were $2.5 million and $1.7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March 31, 2008 and December 31, 2007 were $2.1 million and $2.2 million, respectively, of accrued interest income.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w:t>
      </w:r>
    </w:p>
    <w:p>
      <w:pPr>
        <w:spacing w:after="0" w:line="258"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 xml:space="preserve">The Company’s assets that are measured at fair value on a recurring basis, and subject to the disclosure requirements of Statement of Financial Accounting Standards No.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at March 31, 2009 and December 31, 2008,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right"/>
              <w:ind w:right="152"/>
              <w:spacing w:after="0"/>
              <w:rPr>
                <w:sz w:val="20"/>
                <w:szCs w:val="20"/>
                <w:color w:val="auto"/>
              </w:rPr>
            </w:pPr>
            <w:r>
              <w:rPr>
                <w:rFonts w:ascii="Arial" w:cs="Arial" w:eastAsia="Arial" w:hAnsi="Arial"/>
                <w:sz w:val="18"/>
                <w:szCs w:val="18"/>
                <w:color w:val="auto"/>
                <w:w w:val="91"/>
              </w:rPr>
              <w:t>Fair Value Measurements at Reporting Date Using</w:t>
            </w:r>
          </w:p>
        </w:tc>
      </w:tr>
      <w:tr>
        <w:trPr>
          <w:trHeight w:val="228"/>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Quoted Prices in</w:t>
            </w: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Significant Other</w:t>
            </w:r>
          </w:p>
        </w:tc>
        <w:tc>
          <w:tcPr>
            <w:tcW w:w="100" w:type="dxa"/>
            <w:vAlign w:val="bottom"/>
          </w:tcPr>
          <w:p>
            <w:pPr>
              <w:spacing w:after="0"/>
              <w:rPr>
                <w:sz w:val="19"/>
                <w:szCs w:val="19"/>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Fair Value at</w:t>
            </w:r>
          </w:p>
        </w:tc>
        <w:tc>
          <w:tcPr>
            <w:tcW w:w="172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Active Markets for</w:t>
            </w:r>
          </w:p>
        </w:tc>
        <w:tc>
          <w:tcPr>
            <w:tcW w:w="1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Unobservable</w:t>
            </w:r>
          </w:p>
        </w:tc>
      </w:tr>
      <w:tr>
        <w:trPr>
          <w:trHeight w:val="243"/>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March 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Identical Assets</w:t>
            </w:r>
          </w:p>
        </w:tc>
        <w:tc>
          <w:tcPr>
            <w:tcW w:w="1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4"/>
              </w:rPr>
              <w:t>2009</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1"/>
              </w:rPr>
              <w:t>(Level 1)</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1"/>
              </w:rPr>
              <w:t>(Level 2)</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295,245</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3,138</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292,007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480"/>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jc w:val="right"/>
              <w:ind w:right="152"/>
              <w:spacing w:after="0"/>
              <w:rPr>
                <w:sz w:val="20"/>
                <w:szCs w:val="20"/>
                <w:color w:val="auto"/>
              </w:rPr>
            </w:pPr>
            <w:r>
              <w:rPr>
                <w:rFonts w:ascii="Arial" w:cs="Arial" w:eastAsia="Arial" w:hAnsi="Arial"/>
                <w:sz w:val="18"/>
                <w:szCs w:val="18"/>
                <w:color w:val="auto"/>
                <w:w w:val="91"/>
              </w:rPr>
              <w:t>Fair Value Measurements at Reporting Date Using</w:t>
            </w:r>
          </w:p>
        </w:tc>
      </w:tr>
      <w:tr>
        <w:trPr>
          <w:trHeight w:val="228"/>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Quoted Prices in</w:t>
            </w: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Significant Other</w:t>
            </w:r>
          </w:p>
        </w:tc>
        <w:tc>
          <w:tcPr>
            <w:tcW w:w="100" w:type="dxa"/>
            <w:vAlign w:val="bottom"/>
          </w:tcPr>
          <w:p>
            <w:pPr>
              <w:spacing w:after="0"/>
              <w:rPr>
                <w:sz w:val="19"/>
                <w:szCs w:val="19"/>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Fair Value at</w:t>
            </w:r>
          </w:p>
        </w:tc>
        <w:tc>
          <w:tcPr>
            <w:tcW w:w="172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Active Markets for</w:t>
            </w:r>
          </w:p>
        </w:tc>
        <w:tc>
          <w:tcPr>
            <w:tcW w:w="1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Unobservable</w:t>
            </w:r>
          </w:p>
        </w:tc>
      </w:tr>
      <w:tr>
        <w:trPr>
          <w:trHeight w:val="243"/>
        </w:trPr>
        <w:tc>
          <w:tcPr>
            <w:tcW w:w="5860" w:type="dxa"/>
            <w:vAlign w:val="bottom"/>
          </w:tcPr>
          <w:p>
            <w:pPr>
              <w:spacing w:after="0"/>
              <w:rPr>
                <w:sz w:val="21"/>
                <w:szCs w:val="21"/>
                <w:color w:val="auto"/>
              </w:rPr>
            </w:pPr>
          </w:p>
        </w:tc>
        <w:tc>
          <w:tcPr>
            <w:tcW w:w="140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December 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Identical Assets</w:t>
            </w:r>
          </w:p>
        </w:tc>
        <w:tc>
          <w:tcPr>
            <w:tcW w:w="1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4"/>
              </w:rPr>
              <w:t>2008</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1"/>
              </w:rPr>
              <w:t>(Level 1)</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1"/>
              </w:rPr>
              <w:t>(Level 2)</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278,015</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3,608</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247,307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78" w:lineRule="exact"/>
        <w:rPr>
          <w:sz w:val="20"/>
          <w:szCs w:val="20"/>
          <w:color w:val="auto"/>
        </w:rPr>
      </w:pPr>
    </w:p>
    <w:p>
      <w:pPr>
        <w:jc w:val="both"/>
        <w:ind w:right="20" w:firstLine="297"/>
        <w:spacing w:after="0" w:line="259" w:lineRule="auto"/>
        <w:rPr>
          <w:sz w:val="20"/>
          <w:szCs w:val="20"/>
          <w:color w:val="auto"/>
        </w:rPr>
      </w:pPr>
      <w:r>
        <w:rPr>
          <w:rFonts w:ascii="Arial" w:cs="Arial" w:eastAsia="Arial" w:hAnsi="Arial"/>
          <w:sz w:val="18"/>
          <w:szCs w:val="18"/>
          <w:color w:val="auto"/>
        </w:rPr>
        <w:t>There were no realized or unrealized gains or losses related to the Company’s Level 3 marketable securities for the three months ended March 31, 2009 and 2008. In addition, there were no purchases, sales, or maturities of Level 3 marketable securities, and no transfers of marketable securities between the Level 2 and Level 3 classifications, during the quarters ended March 31, 2009 and 2008.</w:t>
      </w:r>
    </w:p>
    <w:p>
      <w:pPr>
        <w:spacing w:after="0" w:line="221" w:lineRule="exact"/>
        <w:rPr>
          <w:sz w:val="20"/>
          <w:szCs w:val="20"/>
          <w:color w:val="auto"/>
        </w:rPr>
      </w:pPr>
    </w:p>
    <w:p>
      <w:pPr>
        <w:jc w:val="both"/>
        <w:ind w:right="20" w:firstLine="270"/>
        <w:spacing w:after="0" w:line="291"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During the three months ended March 31, 2009 and 2008, the Company did not record any charges for other-than-temporary impairment of its marketable securities. However, the current economic environment, the deterioration in the credit quality of some of the issuers of securities that the Company holds, and the recent volatility of securities markets increase the risk that there could be further declines in the market value of marketable securities in the Company’s investment portfolio and that such declines could result in charges against income in future periods for other-than-temporary impairments, and such amounts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March 31, 2009 and December 31, 2008 consist of the following:</w:t>
      </w:r>
    </w:p>
    <w:p>
      <w:pPr>
        <w:sectPr>
          <w:pgSz w:w="11900" w:h="16838" w:orient="portrait"/>
          <w:cols w:equalWidth="0" w:num="1">
            <w:col w:w="11440"/>
          </w:cols>
          <w:pgMar w:left="240" w:top="145" w:right="219" w:bottom="0" w:gutter="0" w:footer="0" w:header="0"/>
        </w:sectPr>
      </w:pPr>
    </w:p>
    <w:bookmarkStart w:id="6" w:name="page7"/>
    <w:bookmarkEnd w:id="6"/>
    <w:p>
      <w:pPr>
        <w:spacing w:after="0" w:line="3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4800" w:type="dxa"/>
            <w:vAlign w:val="bottom"/>
            <w:gridSpan w:val="3"/>
          </w:tcPr>
          <w:p>
            <w:pPr>
              <w:ind w:left="4080"/>
              <w:spacing w:after="0"/>
              <w:rPr>
                <w:sz w:val="20"/>
                <w:szCs w:val="20"/>
                <w:color w:val="auto"/>
              </w:rPr>
            </w:pPr>
            <w:r>
              <w:rPr>
                <w:rFonts w:ascii="Arial" w:cs="Arial" w:eastAsia="Arial" w:hAnsi="Arial"/>
                <w:sz w:val="18"/>
                <w:szCs w:val="18"/>
                <w:color w:val="auto"/>
                <w:w w:val="87"/>
              </w:rPr>
              <w:t>March 31,</w:t>
            </w:r>
          </w:p>
        </w:tc>
        <w:tc>
          <w:tcPr>
            <w:tcW w:w="1200" w:type="dxa"/>
            <w:vAlign w:val="bottom"/>
            <w:gridSpan w:val="3"/>
          </w:tcPr>
          <w:p>
            <w:pPr>
              <w:ind w:left="220"/>
              <w:spacing w:after="0"/>
              <w:rPr>
                <w:sz w:val="20"/>
                <w:szCs w:val="20"/>
                <w:color w:val="auto"/>
              </w:rPr>
            </w:pPr>
            <w:r>
              <w:rPr>
                <w:rFonts w:ascii="Arial" w:cs="Arial" w:eastAsia="Arial" w:hAnsi="Arial"/>
                <w:sz w:val="18"/>
                <w:szCs w:val="18"/>
                <w:color w:val="auto"/>
                <w:w w:val="84"/>
              </w:rPr>
              <w:t>December 31,</w:t>
            </w:r>
          </w:p>
        </w:tc>
      </w:tr>
      <w:tr>
        <w:trPr>
          <w:trHeight w:val="252"/>
        </w:trPr>
        <w:tc>
          <w:tcPr>
            <w:tcW w:w="4280" w:type="dxa"/>
            <w:vAlign w:val="bottom"/>
            <w:tcBorders>
              <w:bottom w:val="single" w:sz="8" w:color="C0C0C0"/>
            </w:tcBorders>
          </w:tcPr>
          <w:p>
            <w:pPr>
              <w:spacing w:after="0"/>
              <w:rPr>
                <w:sz w:val="21"/>
                <w:szCs w:val="21"/>
                <w:color w:val="auto"/>
              </w:rPr>
            </w:pPr>
          </w:p>
        </w:tc>
        <w:tc>
          <w:tcPr>
            <w:tcW w:w="40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2009</w:t>
            </w: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r>
      <w:tr>
        <w:trPr>
          <w:trHeight w:val="243"/>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4220" w:type="dxa"/>
            <w:vAlign w:val="bottom"/>
            <w:gridSpan w:val="2"/>
            <w:shd w:val="clear" w:color="auto" w:fill="C0C0C0"/>
          </w:tcPr>
          <w:p>
            <w:pPr>
              <w:ind w:left="40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17,779</w:t>
            </w:r>
          </w:p>
        </w:tc>
        <w:tc>
          <w:tcPr>
            <w:tcW w:w="4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6,268</w:t>
            </w: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9,799</w:t>
            </w:r>
          </w:p>
        </w:tc>
      </w:tr>
      <w:tr>
        <w:trPr>
          <w:trHeight w:val="251"/>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Accrued payroll and related costs</w:t>
            </w:r>
          </w:p>
        </w:tc>
        <w:tc>
          <w:tcPr>
            <w:tcW w:w="40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5,948</w:t>
            </w: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51"/>
        </w:trPr>
        <w:tc>
          <w:tcPr>
            <w:tcW w:w="4280" w:type="dxa"/>
            <w:vAlign w:val="bottom"/>
            <w:shd w:val="clear" w:color="auto" w:fill="C0C0C0"/>
          </w:tcPr>
          <w:p>
            <w:pPr>
              <w:spacing w:after="0"/>
              <w:rPr>
                <w:sz w:val="20"/>
                <w:szCs w:val="20"/>
                <w:color w:val="auto"/>
              </w:rPr>
            </w:pPr>
            <w:r>
              <w:rPr>
                <w:rFonts w:ascii="Arial" w:cs="Arial" w:eastAsia="Arial" w:hAnsi="Arial"/>
                <w:sz w:val="18"/>
                <w:szCs w:val="18"/>
                <w:color w:val="auto"/>
              </w:rPr>
              <w:t>Accrued property, plant, and equipment expenses</w:t>
            </w:r>
          </w:p>
        </w:tc>
        <w:tc>
          <w:tcPr>
            <w:tcW w:w="40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8,069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5,994</w:t>
            </w:r>
          </w:p>
        </w:tc>
      </w:tr>
      <w:tr>
        <w:trPr>
          <w:trHeight w:val="237"/>
        </w:trPr>
        <w:tc>
          <w:tcPr>
            <w:tcW w:w="42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Accrued expenses, other</w:t>
            </w:r>
          </w:p>
        </w:tc>
        <w:tc>
          <w:tcPr>
            <w:tcW w:w="40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r>
      <w:tr>
        <w:trPr>
          <w:trHeight w:val="257"/>
        </w:trPr>
        <w:tc>
          <w:tcPr>
            <w:tcW w:w="4280" w:type="dxa"/>
            <w:vAlign w:val="bottom"/>
            <w:shd w:val="clear" w:color="auto" w:fill="C0C0C0"/>
          </w:tcPr>
          <w:p>
            <w:pPr>
              <w:spacing w:after="0"/>
              <w:rPr>
                <w:sz w:val="22"/>
                <w:szCs w:val="22"/>
                <w:color w:val="auto"/>
              </w:rPr>
            </w:pPr>
          </w:p>
        </w:tc>
        <w:tc>
          <w:tcPr>
            <w:tcW w:w="4220" w:type="dxa"/>
            <w:vAlign w:val="bottom"/>
            <w:gridSpan w:val="2"/>
            <w:shd w:val="clear" w:color="auto" w:fill="C0C0C0"/>
          </w:tcPr>
          <w:p>
            <w:pPr>
              <w:ind w:left="40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44,832</w:t>
            </w:r>
          </w:p>
        </w:tc>
        <w:tc>
          <w:tcPr>
            <w:tcW w:w="4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36,168</w:t>
            </w:r>
          </w:p>
        </w:tc>
      </w:tr>
      <w:tr>
        <w:trPr>
          <w:trHeight w:val="667"/>
        </w:trPr>
        <w:tc>
          <w:tcPr>
            <w:tcW w:w="4280" w:type="dxa"/>
            <w:vAlign w:val="bottom"/>
            <w:tcBorders>
              <w:top w:val="single" w:sz="8" w:color="C0C0C0"/>
            </w:tcBorders>
          </w:tcPr>
          <w:p>
            <w:pPr>
              <w:spacing w:after="0"/>
              <w:rPr>
                <w:sz w:val="24"/>
                <w:szCs w:val="24"/>
                <w:color w:val="auto"/>
              </w:rPr>
            </w:pPr>
          </w:p>
        </w:tc>
        <w:tc>
          <w:tcPr>
            <w:tcW w:w="4080" w:type="dxa"/>
            <w:vAlign w:val="bottom"/>
            <w:tcBorders>
              <w:top w:val="single" w:sz="8" w:color="C0C0C0"/>
            </w:tcBorders>
          </w:tcPr>
          <w:p>
            <w:pPr>
              <w:jc w:val="right"/>
              <w:ind w:right="3092"/>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w:t>
      </w:r>
    </w:p>
    <w:p>
      <w:pPr>
        <w:spacing w:after="0" w:line="25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 xml:space="preserve">The Company presents comprehensive income (loss) in accordance with SFAS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Comprehensive loss of the Company includes net loss adjusted for the change in net unrealized gain (loss) on marketable securities. For the three months ended March 31, 2009 and 2008, the components of comprehensive loss 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6200" w:type="dxa"/>
            <w:vAlign w:val="bottom"/>
          </w:tcPr>
          <w:p>
            <w:pPr>
              <w:spacing w:after="0"/>
              <w:rPr>
                <w:sz w:val="20"/>
                <w:szCs w:val="20"/>
                <w:color w:val="auto"/>
              </w:rPr>
            </w:pPr>
          </w:p>
        </w:tc>
        <w:tc>
          <w:tcPr>
            <w:tcW w:w="4100" w:type="dxa"/>
            <w:vAlign w:val="bottom"/>
            <w:gridSpan w:val="9"/>
          </w:tcPr>
          <w:p>
            <w:pPr>
              <w:ind w:left="1900"/>
              <w:spacing w:after="0"/>
              <w:rPr>
                <w:sz w:val="20"/>
                <w:szCs w:val="20"/>
                <w:color w:val="auto"/>
              </w:rPr>
            </w:pPr>
            <w:r>
              <w:rPr>
                <w:rFonts w:ascii="Arial" w:cs="Arial" w:eastAsia="Arial" w:hAnsi="Arial"/>
                <w:sz w:val="18"/>
                <w:szCs w:val="18"/>
                <w:color w:val="auto"/>
                <w:w w:val="86"/>
              </w:rPr>
              <w:t>Three months ended March 31,</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0C0C0"/>
            </w:tcBorders>
          </w:tcPr>
          <w:p>
            <w:pPr>
              <w:spacing w:after="0"/>
              <w:rPr>
                <w:sz w:val="20"/>
                <w:szCs w:val="20"/>
                <w:color w:val="auto"/>
              </w:rPr>
            </w:pPr>
          </w:p>
        </w:tc>
        <w:tc>
          <w:tcPr>
            <w:tcW w:w="1920" w:type="dxa"/>
            <w:vAlign w:val="bottom"/>
            <w:tcBorders>
              <w:bottom w:val="single" w:sz="8" w:color="C0C0C0"/>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2009</w:t>
            </w:r>
          </w:p>
        </w:tc>
        <w:tc>
          <w:tcPr>
            <w:tcW w:w="1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0C0C0"/>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20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0C0C0"/>
          </w:tcPr>
          <w:p>
            <w:pPr>
              <w:ind w:left="19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0C0C0"/>
          </w:tcPr>
          <w:p>
            <w:pPr>
              <w:jc w:val="right"/>
              <w:ind w:right="102"/>
              <w:spacing w:after="0"/>
              <w:rPr>
                <w:sz w:val="20"/>
                <w:szCs w:val="20"/>
                <w:color w:val="auto"/>
              </w:rPr>
            </w:pPr>
            <w:r>
              <w:rPr>
                <w:rFonts w:ascii="Arial" w:cs="Arial" w:eastAsia="Arial" w:hAnsi="Arial"/>
                <w:sz w:val="18"/>
                <w:szCs w:val="18"/>
                <w:color w:val="auto"/>
                <w:w w:val="95"/>
              </w:rPr>
              <w:t>(17,481)</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58"/>
              <w:spacing w:after="0"/>
              <w:rPr>
                <w:sz w:val="20"/>
                <w:szCs w:val="20"/>
                <w:color w:val="auto"/>
              </w:rPr>
            </w:pPr>
            <w:r>
              <w:rPr>
                <w:rFonts w:ascii="Arial" w:cs="Arial" w:eastAsia="Arial" w:hAnsi="Arial"/>
                <w:sz w:val="18"/>
                <w:szCs w:val="18"/>
                <w:color w:val="auto"/>
                <w:w w:val="98"/>
              </w:rPr>
              <w:t>(11,618)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2"/>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200" w:type="dxa"/>
            <w:vAlign w:val="bottom"/>
            <w:shd w:val="clear" w:color="auto" w:fill="C0C0C0"/>
          </w:tcPr>
          <w:p>
            <w:pPr>
              <w:spacing w:after="0" w:line="20" w:lineRule="exact"/>
              <w:rPr>
                <w:sz w:val="1"/>
                <w:szCs w:val="1"/>
                <w:color w:val="auto"/>
              </w:rPr>
            </w:pPr>
          </w:p>
        </w:tc>
        <w:tc>
          <w:tcPr>
            <w:tcW w:w="19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0C0C0"/>
          </w:tcPr>
          <w:p>
            <w:pPr>
              <w:jc w:val="right"/>
              <w:ind w:right="102"/>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0C0C0"/>
          </w:tcPr>
          <w:p>
            <w:pPr>
              <w:jc w:val="right"/>
              <w:ind w:right="5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comprehensive loss</w:t>
            </w:r>
          </w:p>
        </w:tc>
        <w:tc>
          <w:tcPr>
            <w:tcW w:w="2080" w:type="dxa"/>
            <w:vAlign w:val="bottom"/>
            <w:gridSpan w:val="2"/>
            <w:shd w:val="clear" w:color="auto" w:fill="C0C0C0"/>
          </w:tcPr>
          <w:p>
            <w:pPr>
              <w:ind w:left="1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(18,615</w:t>
            </w:r>
          </w:p>
        </w:tc>
        <w:tc>
          <w:tcPr>
            <w:tcW w:w="180" w:type="dxa"/>
            <w:vAlign w:val="bottom"/>
            <w:vMerge w:val="continue"/>
            <w:shd w:val="clear" w:color="auto" w:fill="C0C0C0"/>
          </w:tcPr>
          <w:p>
            <w:pPr>
              <w:spacing w:after="0"/>
              <w:rPr>
                <w:sz w:val="21"/>
                <w:szCs w:val="21"/>
                <w:color w:val="auto"/>
              </w:rPr>
            </w:pP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(10,960</w:t>
            </w:r>
          </w:p>
        </w:tc>
        <w:tc>
          <w:tcPr>
            <w:tcW w:w="200" w:type="dxa"/>
            <w:vAlign w:val="bottom"/>
            <w:vMerge w:val="continue"/>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6200" w:type="dxa"/>
            <w:vAlign w:val="bottom"/>
            <w:shd w:val="clear" w:color="auto" w:fill="C0C0C0"/>
          </w:tcPr>
          <w:p>
            <w:pPr>
              <w:spacing w:after="0"/>
              <w:rPr>
                <w:sz w:val="2"/>
                <w:szCs w:val="2"/>
                <w:color w:val="auto"/>
              </w:rPr>
            </w:pPr>
          </w:p>
        </w:tc>
        <w:tc>
          <w:tcPr>
            <w:tcW w:w="19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Legal Matters</w:t>
      </w:r>
    </w:p>
    <w:p>
      <w:pPr>
        <w:spacing w:after="0" w:line="25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Future Impact of Recently Issued Accounting Standards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In April 2009, the Financial Accounting Standards Board (“FASB”) issued FASB Staff Position (“FSP”) FAS 107-1 and APB 28-1, </w:t>
      </w:r>
      <w:r>
        <w:rPr>
          <w:rFonts w:ascii="Arial" w:cs="Arial" w:eastAsia="Arial" w:hAnsi="Arial"/>
          <w:sz w:val="16"/>
          <w:szCs w:val="16"/>
          <w:i w:val="1"/>
          <w:iCs w:val="1"/>
          <w:color w:val="auto"/>
        </w:rPr>
        <w:t>Interim Disclosures about</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This FSP amends SFAS 107,</w:t>
      </w:r>
      <w:r>
        <w:rPr>
          <w:rFonts w:ascii="Arial" w:cs="Arial" w:eastAsia="Arial" w:hAnsi="Arial"/>
          <w:sz w:val="16"/>
          <w:szCs w:val="16"/>
          <w:i w:val="1"/>
          <w:iCs w:val="1"/>
          <w:color w:val="auto"/>
        </w:rPr>
        <w:t xml:space="preserve"> Disclosures about Fair Value of Financial Instruments, </w:t>
      </w:r>
      <w:r>
        <w:rPr>
          <w:rFonts w:ascii="Arial" w:cs="Arial" w:eastAsia="Arial" w:hAnsi="Arial"/>
          <w:sz w:val="16"/>
          <w:szCs w:val="16"/>
          <w:color w:val="auto"/>
        </w:rPr>
        <w:t>to require entities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about the fair value of financial instruments in interim financial information. This FSP also amends APB Opinion No. 28,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to require those disclosures in summarized financial information at interim reporting periods. In addition, an entity shall disclose in the body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notes of its summarized financial information for interim reporting periods and in its financial statements for annual reporting periods the fair value of all financial instruments for which it is practicable to estimate that value, whether recognized or not recognized in the statement of financial position, as required by SFAS 107. The Company is required to adopt FSP FAS 107-1 and APB 28-1 for the quarter ended June 30, 2009. Management does not anticipate that the adoption of FSP FAS 107-1 and APB 28-1 will have a material impact on the Company’s financial statements.</w:t>
      </w:r>
    </w:p>
    <w:p>
      <w:pPr>
        <w:spacing w:after="0" w:line="194"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 xml:space="preserve">In April 2009, the FASB issued FSP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This FSP changes existing guidance for determining whether an impairment to debt securities is other than temporary; replaces the existing requirement that management assert it has both the intent and ability to hold an impaired security until recovery with a requirement that management assert, (</w:t>
      </w:r>
      <w:r>
        <w:rPr>
          <w:rFonts w:ascii="Arial" w:cs="Arial" w:eastAsia="Arial" w:hAnsi="Arial"/>
          <w:sz w:val="16"/>
          <w:szCs w:val="16"/>
          <w:i w:val="1"/>
          <w:iCs w:val="1"/>
          <w:color w:val="auto"/>
        </w:rPr>
        <w:t>a</w:t>
      </w:r>
      <w:r>
        <w:rPr>
          <w:rFonts w:ascii="Arial" w:cs="Arial" w:eastAsia="Arial" w:hAnsi="Arial"/>
          <w:sz w:val="16"/>
          <w:szCs w:val="16"/>
          <w:color w:val="auto"/>
        </w:rPr>
        <w:t>) it does not have the intent to sell the security; and (</w:t>
      </w:r>
      <w:r>
        <w:rPr>
          <w:rFonts w:ascii="Arial" w:cs="Arial" w:eastAsia="Arial" w:hAnsi="Arial"/>
          <w:sz w:val="16"/>
          <w:szCs w:val="16"/>
          <w:i w:val="1"/>
          <w:iCs w:val="1"/>
          <w:color w:val="auto"/>
        </w:rPr>
        <w:t>b</w:t>
      </w:r>
      <w:r>
        <w:rPr>
          <w:rFonts w:ascii="Arial" w:cs="Arial" w:eastAsia="Arial" w:hAnsi="Arial"/>
          <w:sz w:val="16"/>
          <w:szCs w:val="16"/>
          <w:color w:val="auto"/>
        </w:rPr>
        <w:t>) it is more likely than not it will not have to sell the security before recovery of its cost basis; requires that an entity recognize noncredit losses on held-to-maturity debt securities in other comprehensive income and amortize that amount over the remaining life of the security in a prospective manner by offsetting the recorded value of the asset unless the security is subsequently sold or there are additional credit losses; and requires entities to present the total other-than-temporary impairment in the statement of earnings with an offset for the amount recognized in other comprehensive income. When adopting FSP FAS 115-2 and FAS 124-2, entities are required to record a cumulative-effect adjustment as of the beginning of the period of adoption to reclassify the noncredit component of a previously recognized other-temporary impairment from retained earnings to accumulated other comprehensive income if the entity does not intend to sell the security and it is not more likely than not that the entity will be required to sell the security before recovery. The Company is required to adopt FSP FAS 115-2 and FAS 124-2 for the quarter ended June 30, 2009. Management does not anticipate that the adoption of FSP FAS 115-2 and FAS 124-2 will have a material impact on the Company’s financial statements.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In April 2009, the FASB issued FSP FAS 157-4, </w:t>
      </w:r>
      <w:r>
        <w:rPr>
          <w:rFonts w:ascii="Arial" w:cs="Arial" w:eastAsia="Arial" w:hAnsi="Arial"/>
          <w:sz w:val="16"/>
          <w:szCs w:val="16"/>
          <w:i w:val="1"/>
          <w:iCs w:val="1"/>
          <w:color w:val="auto"/>
        </w:rPr>
        <w:t>Determining Fair Value When the Volume and Level of Activity for the Asset or Liability Have Significantly</w:t>
      </w:r>
    </w:p>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This FSP affirms that the objective of fair value when the market for an asset is not active is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price that would be received to sell the asset in an orderly transaction; clarifies and includes additional factors for determining whether there has been a significant decrease in market activity for an asset when the market for that asset is not active; and eliminates the proposed presumption that all transactions are distressed (not orderly) unless proven otherwise. The FSP instead requires an entity to base its conclusion about whether a transaction was not orderly on the weight of the evidence. The Company is required to adopt FSP FAS 157-4 for the quarter ended June 30, 2009. Management does not anticipate that the adoption of FSP FAS 157-4 will have a material impact on the Company’s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 - Amendment to Operating Lease</w:t>
      </w:r>
    </w:p>
    <w:p>
      <w:pPr>
        <w:spacing w:after="0" w:line="258"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The Company leases laboratory and office facilities in Tarrytown, New York. In December 2006, the Company entered into a new agreement (which was amended in October 2007 and September 2008) to lease laboratory and office space at the Company’s current Tarrytown location, including space that is now</w:t>
      </w:r>
    </w:p>
    <w:p>
      <w:pPr>
        <w:sectPr>
          <w:pgSz w:w="11900" w:h="16871" w:orient="portrait"/>
          <w:cols w:equalWidth="0" w:num="1">
            <w:col w:w="11420"/>
          </w:cols>
          <w:pgMar w:left="240" w:top="145" w:right="239" w:bottom="0" w:gutter="0" w:footer="0" w:header="0"/>
        </w:sectPr>
      </w:pPr>
    </w:p>
    <w:bookmarkStart w:id="7" w:name="page8"/>
    <w:bookmarkEnd w:id="7"/>
    <w:p>
      <w:pPr>
        <w:jc w:val="both"/>
        <w:spacing w:after="0" w:line="294" w:lineRule="auto"/>
        <w:rPr>
          <w:sz w:val="20"/>
          <w:szCs w:val="20"/>
          <w:color w:val="auto"/>
        </w:rPr>
      </w:pPr>
      <w:r>
        <w:rPr>
          <w:rFonts w:ascii="Arial" w:cs="Arial" w:eastAsia="Arial" w:hAnsi="Arial"/>
          <w:sz w:val="16"/>
          <w:szCs w:val="16"/>
          <w:color w:val="auto"/>
        </w:rPr>
        <w:t>under construction and expected to be completed in mid-2009 (the “new facilities”). The term of the lease commenced effective June 2008 and will expire in June 2024. In April 2009, the Company amended the operating lease agreement to increase the amount of space the Company will lease. As amended, the lease contains early termination options for the portion of the space that excludes the new facilities. Other terms and conditions, as previously described in the Company’s Annual Report on Form 10-K for the year ended December 31, 2008, remain unchanged. In connection with the lease amendment, in April 2009, the Company terminated an April 2008 sublease for space in Tarrytown, New York.</w:t>
      </w:r>
    </w:p>
    <w:p>
      <w:pPr>
        <w:spacing w:after="0" w:line="19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 connection with the April 2009 amendment to the operating lease, the Company’s total estimated future minimum noncancelable lease commitments under operating leases, previously disclosed in the Company’s Annual Report on Form 10-K for the year ended December 31, 2008, will increase to $9.4 million, $14.5 million, $14.7 million, $13.7 million, and $15.1 million for the years ended December 31, 2009, 2010, 2011, 2012, and 2013, respectively, and increase to $182.5 million, in the aggregate, for years subsequent to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297"/>
        <w:spacing w:after="0" w:line="241"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 We also have six clinical development programs, including three late-stage clinical programs. Our late stage programs are aflibercept (VEGF Trap), which is being developed in oncology in collaboration with the sanofi-aventis Group, VEGF Trap-Eye, which is being developed in eye diseases using intraocular delivery in collaboration with Bayer HealthCare LLC, and ARCALYST, which is being developed for the treatment of gout. Our earlier stage clinical programs are REGN88, an antibody to the interleukin-6 receptor (IL-6R), which is being developed in rheumatoid arthritis, REGN421, an antibody to Delta-like ligand-4 (Dll4), which is being developed in oncology, and REGN475, an antibody to Nerve Growth Factor (NGF), which is being developed for the treatment of pain. All three of these antibodies are being developed in collaboration with sanofi-aventis.</w:t>
      </w:r>
    </w:p>
    <w:p>
      <w:pPr>
        <w:spacing w:after="0" w:line="2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primarily in collaboration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clinical development and manufacturing capabilities to build a successful, integrated biopharmaceutical company. However, developing and commercializing new medicines entails significant risk and expense.</w:t>
      </w:r>
    </w:p>
    <w:p>
      <w:pPr>
        <w:spacing w:after="0" w:line="19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platforms. Our discovery platforms are designed to identify specific genes of therapeutic interest for a particular disease or cell type and validate targets through high-throughput production of</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mammalian models. Our human monoclonal antibody technology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9"/>
          <w:szCs w:val="29"/>
          <w:i w:val="1"/>
          <w:iCs w:val="1"/>
          <w:color w:val="auto"/>
          <w:vertAlign w:val="superscript"/>
        </w:rPr>
        <w:t>TM</w:t>
      </w:r>
      <w:r>
        <w:rPr>
          <w:rFonts w:ascii="Arial" w:cs="Arial" w:eastAsia="Arial" w:hAnsi="Arial"/>
          <w:sz w:val="18"/>
          <w:szCs w:val="18"/>
          <w:color w:val="auto"/>
        </w:rPr>
        <w:t xml:space="preserve">) may then be utilized to design and produce new product candidates directed against the disease target. Our first three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Over the course of the next several years, we plan to advance an average of two to three new antibody product candidates into clinical development each year. We continue to invest in the development of enabling technologies to assist in our efforts to identify, develop, and commercialize new product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139" w:lineRule="exact"/>
        <w:rPr>
          <w:sz w:val="20"/>
          <w:szCs w:val="20"/>
          <w:color w:val="auto"/>
        </w:rPr>
      </w:pPr>
    </w:p>
    <w:p>
      <w:pPr>
        <w:jc w:val="both"/>
        <w:ind w:firstLine="419"/>
        <w:spacing w:after="0" w:line="273" w:lineRule="auto"/>
        <w:rPr>
          <w:sz w:val="20"/>
          <w:szCs w:val="20"/>
          <w:color w:val="auto"/>
        </w:rPr>
      </w:pPr>
      <w:r>
        <w:rPr>
          <w:rFonts w:ascii="Arial" w:cs="Arial" w:eastAsia="Arial" w:hAnsi="Arial"/>
          <w:sz w:val="16"/>
          <w:szCs w:val="16"/>
          <w:color w:val="auto"/>
        </w:rPr>
        <w:t>In February 2008, we received marketing approval from the U.S. Food and Drug Administration (FDA) for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for the treatment of Cryopyrin-Associated Periodic Syndromes (CAPS), including Familial Cold Auto-inflammatory Syndrome (FCAS) and Muckle-Wells Syndrome (MWS) in adults and children 12 and older. We shipped $10.7 million of ARCALYST to our distributors in 2008, and $4.3 million during the first quarter of 2009. ARCALYST is a protein-based product designed to bind the interleukin-1 (called IL-1) cytokine and prevent its interaction with cell surface receptors. ARCALYST is the only therapy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6"/>
          <w:szCs w:val="16"/>
          <w:i w:val="1"/>
          <w:iCs w:val="1"/>
          <w:color w:val="auto"/>
        </w:rPr>
        <w:t>CIAS1</w:t>
      </w:r>
      <w:r>
        <w:rPr>
          <w:rFonts w:ascii="Arial" w:cs="Arial" w:eastAsia="Arial" w:hAnsi="Arial"/>
          <w:sz w:val="16"/>
          <w:szCs w:val="16"/>
          <w:color w:val="auto"/>
        </w:rPr>
        <w:t>) which encodes a protein named cryopyrin. In addition to FCAS and MWS, CAPS includes Neonatal Onset Multisystem Inflammatory Disease (NOMID). ARCALYST has not been studied for the treatment of NOMID.</w:t>
      </w:r>
    </w:p>
    <w:p>
      <w:pPr>
        <w:spacing w:after="0" w:line="213"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March 2008, ARCALYST became available for prescription in the United States and we transitioned the patients who participated in the CAPS pivotal study from clinical study drug to commercial supplies. In 2009, we expect to ship $15-20 million of ARCALYST to our U.S. distributors. In July 2008, we</w:t>
      </w:r>
    </w:p>
    <w:p>
      <w:pPr>
        <w:sectPr>
          <w:pgSz w:w="11900" w:h="16838" w:orient="portrait"/>
          <w:cols w:equalWidth="0" w:num="1">
            <w:col w:w="11420"/>
          </w:cols>
          <w:pgMar w:left="240" w:top="131" w:right="239" w:bottom="0" w:gutter="0" w:footer="0" w:header="0"/>
        </w:sectPr>
      </w:pPr>
    </w:p>
    <w:bookmarkStart w:id="8" w:name="page9"/>
    <w:bookmarkEnd w:id="8"/>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submitted a Marketing Authorization Application (MAA) to the European Medicines Agency (EMEA) for ARCALYST for the treatment of CAPS in the European Union.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224" w:lineRule="exact"/>
        <w:rPr>
          <w:sz w:val="20"/>
          <w:szCs w:val="20"/>
          <w:color w:val="auto"/>
        </w:rPr>
      </w:pPr>
    </w:p>
    <w:p>
      <w:pPr>
        <w:jc w:val="both"/>
        <w:ind w:firstLine="270"/>
        <w:spacing w:after="0" w:line="250"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enrolling patients in four Phase 3 trials that are evaluating combinations of aflibercept with standard chemotherapy regimens for the treatment of cancer. One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(called VELOUR) in combination with FOLFIRI (folinic acid (leucovorin), 5-fluorouracil, and irinotecan). A</w:t>
      </w:r>
    </w:p>
    <w:p>
      <w:pPr>
        <w:jc w:val="both"/>
        <w:spacing w:after="0" w:line="208" w:lineRule="auto"/>
        <w:rPr>
          <w:sz w:val="20"/>
          <w:szCs w:val="20"/>
          <w:color w:val="auto"/>
        </w:rPr>
      </w:pPr>
      <w:r>
        <w:rPr>
          <w:rFonts w:ascii="Arial" w:cs="Arial" w:eastAsia="Arial" w:hAnsi="Arial"/>
          <w:sz w:val="16"/>
          <w:szCs w:val="16"/>
          <w:color w:val="auto"/>
        </w:rPr>
        <w:t>second trial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pancreatic cancer in combination with gemcitabine (VANILLA). A third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 with docetaxel (VITAL). The fourth trial is evaluating</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aflibercept as a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treatment for metastatic androgen-independent prostate cancer in combination with docetaxel/prednisone (VENICE). All four trials are studying the current standard of chemotherapy care for the cancer being studied with and without aflibercept. At the end of the first quarter of 2009, each of the four Phase 3 trials was approximately one-half enrolled, and initial data from the Phase 3 program are expected are 2010. In addition, a Phase 2 study of aflibercept in 1st-line metastatic colorectal cancer in combination with folinic acid (leucovorin), 5-fluorouracil, and oxaliplatin (AFFIRM) began recruiting patients in January 2009.</w:t>
      </w:r>
    </w:p>
    <w:p>
      <w:pPr>
        <w:spacing w:after="0" w:line="23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now fully enrolled and initial data from this trial are expected by mid-2009. The FDA has granted Fast Track designation to aflibercept for the treatment of SMA.</w:t>
      </w:r>
    </w:p>
    <w:p>
      <w:pPr>
        <w:spacing w:after="0" w:line="22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addition, multiple exploratory studies are being conducted in conjunction with the National Cancer Institute (NCI) Cancer Therapy Evaluation Program (CTEP) evaluating aflibercept as a single agent or in combination with chemotherapy regimens in a variety of cancer indications.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58"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and sanofi-aventis U.S. (successor to Aventis Pharmaceuticals, Inc.) collaborate on the development and commercialization of aflibercept globally.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receipt of marketing approvals for up to eight aflibercept oncology and other indications in the United States or the European Union and up to $40 million related to receipt of marketing approvals for up to five oncology indications in Japan.</w:t>
      </w:r>
    </w:p>
    <w:p>
      <w:pPr>
        <w:spacing w:after="0" w:line="201"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52"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also initiated a Phase 2 study of VEGF Trap-Eye in patients with diabetic macular edema (DME) in late 2008. Wet AMD and diabetic retinopathy (which includes DME) are two of the leading causes of adult blindness in the developed world. In both conditions, severe visual loss is caused by a combination of retinal edema and neovascular proliferation. We and Bayer HealthCare have also announced plans to initiate a Phase 3 program later this year of VEGF Trap-Eye in the treatment of Central Retinal Vein Occlusion (CRVO). Dosing of the first patient in this Phase 3 program will entitle us to receive a $20.0 million milestone payment.</w:t>
      </w:r>
    </w:p>
    <w:p>
      <w:pPr>
        <w:spacing w:after="0" w:line="201"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7"/>
          <w:szCs w:val="17"/>
          <w:color w:val="auto"/>
        </w:rPr>
        <w:t>The Phase 3 trials in wet AMD, known as VIEW 1 and VIEW 2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are comparing VEGF Trap-Eye and ranibizumab (Lucentis</w:t>
      </w:r>
      <w:r>
        <w:rPr>
          <w:rFonts w:ascii="Arial" w:cs="Arial" w:eastAsia="Arial" w:hAnsi="Arial"/>
          <w:sz w:val="28"/>
          <w:szCs w:val="28"/>
          <w:color w:val="auto"/>
          <w:vertAlign w:val="superscript"/>
        </w:rPr>
        <w:t>®</w:t>
      </w:r>
      <w:r>
        <w:rPr>
          <w:rFonts w:ascii="Arial" w:cs="Arial" w:eastAsia="Arial" w:hAnsi="Arial"/>
          <w:sz w:val="17"/>
          <w:szCs w:val="17"/>
          <w:color w:val="auto"/>
        </w:rPr>
        <w:t>, a registered trademark of Genentech, Inc./Roche), an anti-angiogenic agent approved for use in wet AMD. VIEW 1 is being conducted in North America and VIEW 2 is being conducted in Europe, Asia Pacific, Japan, and Latin America. The VIEW 1 and VIEW 2 trials are both evaluating VEGF Trap-Eye doses of 0.5 mg and 2.0 mg at dosing intervals of four weeks and 2.0 mg at a dosing interval of eight weeks (after three monthly doses) compared with ranibizumab dosed according to its U.S. label, which specifies doses of 0.5 mg administered every four weeks over the first year. As-needed dosing (PRN) with both agents will be evaluated in the second year of the studies. We and Bayer Healthcare expect to complete enrollment of the VIEW 1 and VIEW 2 trials in 2009 and initial data are expected in late 2010.</w:t>
      </w:r>
    </w:p>
    <w:p>
      <w:pPr>
        <w:spacing w:after="0" w:line="233"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We and Bayer HealthCare have conducted a Phase 2 study in wet AMD which demonstrated that patients treated with VEGF Trap-Eye achieved durable improvements in visual acuity and retinal thickness for up to one year. Study results were reported at the 2008 annual meeting of the Retina Society.</w:t>
      </w:r>
    </w:p>
    <w:p>
      <w:pPr>
        <w:spacing w:after="0" w:line="16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this double-masked Phase 2 trial, known as CLEAR-IT 2, 157 patients were initially treated for 3 months with VEGF Trap-Eye: two groups received monthly doses of 0.5 or 2.0 mg (at weeks 0, 4, 8, and 12) and three groups received quarterly doses of 0.5, 2.0, or 4.0 mg (at baseline and week 12). Following the initial 3-month fixed-dosing phase, patients continued to receive VEGF Trap-Eye at the same dose on a PRN dosing schedule through one year, based upon the physician assessment of the need for re-treatment in accordance with pre-specified criteria.</w:t>
      </w:r>
    </w:p>
    <w:p>
      <w:pPr>
        <w:spacing w:after="0" w:line="194"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Patients receiving monthly doses of VEGF Trap-Eye of either 2.0 or 0.5 milligrams (mg) for 12 weeks followed by PRN dosing achieved mean improvements in visual acuity versus baseline of 9.0 letters (p&lt;0.0001 versus baseline) and 5.4 letters (p&lt;0.085 versus baseline), respectively, at the end of one year. The</w:t>
      </w:r>
    </w:p>
    <w:p>
      <w:pPr>
        <w:sectPr>
          <w:pgSz w:w="11900" w:h="16925" w:orient="portrait"/>
          <w:cols w:equalWidth="0" w:num="1">
            <w:col w:w="11420"/>
          </w:cols>
          <w:pgMar w:left="240" w:top="131" w:right="239" w:bottom="0" w:gutter="0" w:footer="0" w:header="0"/>
        </w:sectPr>
      </w:pPr>
    </w:p>
    <w:bookmarkStart w:id="9" w:name="page10"/>
    <w:bookmarkEnd w:id="9"/>
    <w:p>
      <w:pPr>
        <w:jc w:val="both"/>
        <w:spacing w:after="0" w:line="298" w:lineRule="auto"/>
        <w:rPr>
          <w:sz w:val="20"/>
          <w:szCs w:val="20"/>
          <w:color w:val="auto"/>
        </w:rPr>
      </w:pPr>
      <w:r>
        <w:rPr>
          <w:rFonts w:ascii="Arial" w:cs="Arial" w:eastAsia="Arial" w:hAnsi="Arial"/>
          <w:sz w:val="16"/>
          <w:szCs w:val="16"/>
          <w:color w:val="auto"/>
        </w:rPr>
        <w:t>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 Patients receiving monthly doses of VEGF Trap-Eye of either 2.0 or 0.5 mg also achieved mean decreases in retinal thickness versus baseline of 143 microns (p&lt;0.0001 versus baseline) and 125 microns (p&lt;0.0001 versus baseline) at week 52,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After week 12 to week 52 in the PRN dosing period, patients initially dosed on a 2.0 mg monthly schedule received, on average, only 1.6 additional injections and those initially dosed on a 0.5 mg monthly schedule received, on average, 2.5 additional injections.</w:t>
      </w:r>
    </w:p>
    <w:p>
      <w:pPr>
        <w:spacing w:after="0" w:line="213"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All patients who completed the one year CLEAR-IT 2 study were eligible to participate in an extension stage of the study. Eighteen month results of the extension stage are scheduled to be presented on May 4, 2009 at the 2009 Association for Research in Vision and Ophthalmology (ARVO) meeting. After receiving VEGF Trap-Eye for one year, the 117 patients who elected to enter the extension stage were dosed on a 2.0 mg PRN basis, irrespective of the dose at which they were treated earlier in the study. On a combined basis, for these 117 patients, the mean gain in visual acuity was 7.3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the 3-month primary endpoint of the original Phase 2 study, 8.4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one year, and 7.1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month 6 of the extension stage. Thus, after 18 months of dosing with VEGF Trap-Eye in the Phase 2 study, patients continued to maintain a highly significant improvement in visual acuity versus baseline, while receiving, on average, only 3.5 injections over the 15-month PRN dosing phase that extended from month 3 to month 18.</w:t>
      </w:r>
    </w:p>
    <w:p>
      <w:pPr>
        <w:spacing w:after="0" w:line="199"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Among all the patients in the Phase 2 wet AMD study, VEGF Trap-Eye was generally well tolerated and there were no drug-related serious adverse events. There was one reported case of culture-negative endophthalmitis/uveitis in the study eye and two arterial thrombotic events; these were deemed not to be drug-related. Three deaths were reported—one patient with pancreatic cancer, one patient with squamous cell carcinoma of the lung, and one patient with pulmonary hypertension (a pre-existing condition). The most common adverse events were those typically associated with intravitreal injections and included conjunctival hemorrhage at the injection site and transient increased intraocular pressure following an injection.</w:t>
      </w:r>
    </w:p>
    <w:p>
      <w:pPr>
        <w:spacing w:after="0" w:line="197" w:lineRule="exact"/>
        <w:rPr>
          <w:sz w:val="20"/>
          <w:szCs w:val="20"/>
          <w:color w:val="auto"/>
        </w:rPr>
      </w:pPr>
    </w:p>
    <w:p>
      <w:pPr>
        <w:jc w:val="both"/>
        <w:ind w:right="20" w:firstLine="311"/>
        <w:spacing w:after="0" w:line="298" w:lineRule="auto"/>
        <w:rPr>
          <w:sz w:val="20"/>
          <w:szCs w:val="20"/>
          <w:color w:val="auto"/>
        </w:rPr>
      </w:pPr>
      <w:r>
        <w:rPr>
          <w:rFonts w:ascii="Arial" w:cs="Arial" w:eastAsia="Arial" w:hAnsi="Arial"/>
          <w:sz w:val="16"/>
          <w:szCs w:val="16"/>
          <w:color w:val="auto"/>
        </w:rPr>
        <w:t>The recently initiated Phase 2 DME study, known as the DA VINCI study, is a double-masked, randomized, controlled trial that is evaluating four different VEGF Trap-Eye regimens versus laser treatment. The study is expected to complete enrollment of approximately 200 patients in the U.S., Canada, European Union, and Australia by the end of 2009. The patients in the study will be treated for 52 weeks followed by six additional months of safety evaluation. The primary efficacy endpoint is the change in best corrected visual acuity (BCVA) from baseline to week 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5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other diseases and disorders.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the Phase 3 study of VEGF Trap-Eye in wet AMD, and can earn up to $90 million in additional development and regulatory milestones related to the development of VEGF Trap-Eye and marketing approvals in major market countries outside the United States. We can also earn up to $135 million in sales milestones if total annual sales of VEGF Trap-Eye outside the United States achieve certain specified levels starting at $200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(rilonacept) – Inflammatory Diseases</w:t>
      </w:r>
    </w:p>
    <w:p>
      <w:pPr>
        <w:spacing w:after="0" w:line="165"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are evaluating ARCALYST in gout, a disease where as in CAPS, IL-1 may play an important role in pain and inflammation. In September 2008, we announced the results of a Phase 2 study which evaluated the efficacy and safety of ARCALYST versus placebo in the prevention of gout flares induced by the initiation of urate-lowering drug therapy that is used to control gout. In this 83-patient, double-blind, placebo-controlled study, the mean number of flares per patient over the first 12 weeks of urate-lowering therapy was 0.79 with placebo and 0.15 with ARCALYST (p=0.0011), an 81% reduction. This was the primary endpoint of the study. All secondary endpoints also were met with statistical significance. In the first 12 weeks of treatment, 45.2% of patients treated with placebo experienced a gout flare and, of those, 47.4% had more than one flare. Among patients treated with ARCALYST, only 14.6% experienced a gout flare (p=0.0037 versus placebo) and none had more than one flare. Injection-site reaction was the most commonly reported adverse event with ARCALYST and no serious drug-related adverse events were reported.</w:t>
      </w:r>
    </w:p>
    <w:p>
      <w:pPr>
        <w:spacing w:after="0" w:line="199"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224"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During the first quarter of 2009, we initiated a Phase 3 clinical development program with ARCALYST for the treatment of gout. The program includes four clinical trials, three of which are currently enrolling patients. Two Phase 3 clinical trials (called PRE-SURGE 1 and PRE-SURGE 2) will evaluate ARCALYST versus placebo for the prevention of gout flares in patients initiating urate-lowering drug therapy. A third Phase 3 trial in acute gout (SURGE) will evaluate treatment with ARCALYST alone versus ARCALYST in combination with a non-steroidal anti-inflammatory drug (NSAID) versus an NSAID alone. The Phase 3 clinical development program also includes a separate placebo-controlled safety study (RE-SURGE). We expect to report initial data from the Phase 3 program in 2010.</w:t>
      </w:r>
    </w:p>
    <w:p>
      <w:pPr>
        <w:sectPr>
          <w:pgSz w:w="11900" w:h="16838" w:orient="portrait"/>
          <w:cols w:equalWidth="0" w:num="1">
            <w:col w:w="11420"/>
          </w:cols>
          <w:pgMar w:left="240" w:top="131" w:right="239" w:bottom="0" w:gutter="0" w:footer="0" w:header="0"/>
        </w:sectPr>
      </w:pPr>
    </w:p>
    <w:bookmarkStart w:id="10" w:name="page11"/>
    <w:bookmarkEnd w:id="10"/>
    <w:p>
      <w:pPr>
        <w:jc w:val="both"/>
        <w:ind w:firstLine="446"/>
        <w:spacing w:after="0" w:line="288"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ARCALYST.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Monoclonal Antibodies</w:t>
      </w:r>
    </w:p>
    <w:p>
      <w:pPr>
        <w:spacing w:after="0" w:line="252" w:lineRule="exact"/>
        <w:rPr>
          <w:sz w:val="20"/>
          <w:szCs w:val="20"/>
          <w:color w:val="auto"/>
        </w:rPr>
      </w:pPr>
    </w:p>
    <w:p>
      <w:pPr>
        <w:jc w:val="both"/>
        <w:ind w:firstLine="338"/>
        <w:spacing w:after="0" w:line="251" w:lineRule="auto"/>
        <w:rPr>
          <w:sz w:val="20"/>
          <w:szCs w:val="20"/>
          <w:color w:val="auto"/>
        </w:rPr>
      </w:pPr>
      <w:r>
        <w:rPr>
          <w:rFonts w:ascii="Arial" w:cs="Arial" w:eastAsia="Arial" w:hAnsi="Arial"/>
          <w:sz w:val="17"/>
          <w:szCs w:val="17"/>
          <w:color w:val="auto"/>
        </w:rPr>
        <w:t xml:space="preserve">We and sanofi-aventis are collaborating on the discovery, development, and commercialization of fully human monoclonal antibodies generated using our </w:t>
      </w:r>
      <w:r>
        <w:rPr>
          <w:rFonts w:ascii="Arial" w:cs="Arial" w:eastAsia="Arial" w:hAnsi="Arial"/>
          <w:sz w:val="17"/>
          <w:szCs w:val="17"/>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The first therapeutic antibodies to enter clinical development under the collaboration are REGN88 and REGN475. REGN88, an</w:t>
      </w:r>
      <w:r>
        <w:rPr>
          <w:rFonts w:ascii="Arial" w:cs="Arial" w:eastAsia="Arial" w:hAnsi="Arial"/>
          <w:sz w:val="17"/>
          <w:szCs w:val="17"/>
          <w:i w:val="1"/>
          <w:iCs w:val="1"/>
          <w:color w:val="auto"/>
        </w:rPr>
        <w:t xml:space="preserve"> </w:t>
      </w:r>
      <w:r>
        <w:rPr>
          <w:rFonts w:ascii="Arial" w:cs="Arial" w:eastAsia="Arial" w:hAnsi="Arial"/>
          <w:sz w:val="17"/>
          <w:szCs w:val="17"/>
          <w:color w:val="auto"/>
        </w:rPr>
        <w:t>antibody to the interleukin-6 receptor (IL-6R) is being evaluated in rheumatoid arthritis. REGN475, an antibody to Nerve Growth Factor (NGF) that binds NGF selectively without cross-reacting with other members of the neurotrophin family (such as neurotrophin-3, neurotrophin-4, and BDNF), is being developed for the treatment of pain. In addition, a Phase 1 trial is in the process of being initiated to evaluate REGN421, an antibody to Delta-like ligand-4 (Dll4), in patients with advanced malignancies. Over the course of the next several years, we and sanofi-aventis plan to advance an average of two to three new fully human monoclonal antibodies into clinical development each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5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19"/>
        <w:spacing w:after="0" w:line="246" w:lineRule="auto"/>
        <w:rPr>
          <w:sz w:val="20"/>
          <w:szCs w:val="20"/>
          <w:color w:val="auto"/>
        </w:rPr>
      </w:pPr>
      <w:r>
        <w:rPr>
          <w:rFonts w:ascii="Arial" w:cs="Arial" w:eastAsia="Arial" w:hAnsi="Arial"/>
          <w:sz w:val="17"/>
          <w:szCs w:val="17"/>
          <w:color w:val="auto"/>
        </w:rPr>
        <w:t>Regeneron scientists have developed two different technologies to design protein therapeutics to block the action of specific secreted proteins. The first technology, termed the “Trap” technology, was used to generate our first approved product,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is our second technology platform and it is used for discovering, developing, and producing fully human monoclonal antibodies.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9"/>
          <w:szCs w:val="29"/>
          <w:b w:val="1"/>
          <w:bCs w:val="1"/>
          <w:i w:val="1"/>
          <w:iCs w:val="1"/>
          <w:color w:val="auto"/>
          <w:vertAlign w:val="superscript"/>
        </w:rPr>
        <w:t>TM</w:t>
      </w:r>
    </w:p>
    <w:p>
      <w:pPr>
        <w:spacing w:after="0" w:line="13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5"/>
          <w:szCs w:val="15"/>
          <w:i w:val="1"/>
          <w:iCs w:val="1"/>
          <w:color w:val="auto"/>
        </w:rPr>
        <w:t xml:space="preserve">VelociSuite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VelociGene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VelociMouse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and VelociMab</w:t>
      </w:r>
      <w:r>
        <w:rPr>
          <w:rFonts w:ascii="Arial" w:cs="Arial" w:eastAsia="Arial" w:hAnsi="Arial"/>
          <w:sz w:val="24"/>
          <w:szCs w:val="24"/>
          <w:i w:val="1"/>
          <w:iCs w:val="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VelocImmune </w:t>
      </w:r>
      <w:r>
        <w:rPr>
          <w:rFonts w:ascii="Arial" w:cs="Arial" w:eastAsia="Arial" w:hAnsi="Arial"/>
          <w:sz w:val="15"/>
          <w:szCs w:val="15"/>
          <w:color w:val="auto"/>
        </w:rPr>
        <w:t>mouse platform is utilized to produce fully human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monoclonal antibodies.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was generated by exploiting our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technology (see below), in a process in which six megabases of mouse immune gene loci were replaced, or “humanized,” with corresponding human immune gene loci.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to produce our next generation of drug candidates for preclinical and clinical development.</w:t>
      </w:r>
    </w:p>
    <w:p>
      <w:pPr>
        <w:spacing w:after="0" w:line="2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offers the opportunity to humanize targets by replacing the mouse gene with the human homolog. Thus,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allows scientists to rapidly identify the physical and biological effects of deleting or over-expressing the target gene, as well as to characterize and test potential therapeutic molecules.</w:t>
      </w:r>
    </w:p>
    <w:p>
      <w:pPr>
        <w:spacing w:after="0" w:line="199"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VelociMice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25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$75 million of research from the collaboration’s inception through December 31, 2008 and will fund up to $100 million per year in 2009 through 2012.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bookmarkStart w:id="11" w:name="page12"/>
    <w:bookmarkEnd w:id="11"/>
    <w:p>
      <w:pPr>
        <w:jc w:val="both"/>
        <w:ind w:firstLine="270"/>
        <w:spacing w:after="0" w:line="288"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75" w:lineRule="exact"/>
        <w:rPr>
          <w:sz w:val="20"/>
          <w:szCs w:val="20"/>
          <w:color w:val="auto"/>
        </w:rPr>
      </w:pPr>
    </w:p>
    <w:p>
      <w:pPr>
        <w:jc w:val="both"/>
        <w:ind w:firstLine="378"/>
        <w:spacing w:after="0" w:line="228"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25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In February 2007, we entered into a non-exclusive license agreement with AstraZeneca UK Limited that allows AstraZeneca to utilize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 programs to discover human monoclonal antibodies. Under the terms of the agreement, AstraZeneca made $20.0 million annual, non-refundable payments to us in February 2007, 2008, and 2009. AstraZeneca is required to make up to three additional annual payments of $20.0 million, subject to its ability to terminate the agreement after making the next additional payment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258" w:lineRule="exact"/>
        <w:rPr>
          <w:sz w:val="20"/>
          <w:szCs w:val="20"/>
          <w:color w:val="auto"/>
        </w:rPr>
      </w:pPr>
    </w:p>
    <w:p>
      <w:pPr>
        <w:jc w:val="both"/>
        <w:ind w:firstLine="270"/>
        <w:spacing w:after="0" w:line="303" w:lineRule="auto"/>
        <w:rPr>
          <w:sz w:val="20"/>
          <w:szCs w:val="20"/>
          <w:color w:val="auto"/>
        </w:rPr>
      </w:pPr>
      <w:r>
        <w:rPr>
          <w:rFonts w:ascii="Arial" w:cs="Arial" w:eastAsia="Arial" w:hAnsi="Arial"/>
          <w:sz w:val="16"/>
          <w:szCs w:val="16"/>
          <w:color w:val="auto"/>
        </w:rPr>
        <w:t xml:space="preserve">In March 2007, we entered into a non-exclusive license agreement with Astellas Pharma Inc. that allows Astellas to utilize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Astellas made two $20.0 million annual, non-refundable payments to us, one in April 2007 and the other in June 2008. Astellas is required to make up to four additional annual payments of $20.0 million, subject to its ability to terminate the agreement after making the first two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Academic </w:t>
      </w:r>
      <w:r>
        <w:rPr>
          <w:rFonts w:ascii="Arial" w:cs="Arial" w:eastAsia="Arial" w:hAnsi="Arial"/>
          <w:sz w:val="18"/>
          <w:szCs w:val="18"/>
          <w:b w:val="1"/>
          <w:bCs w:val="1"/>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Investigators’ Program</w:t>
      </w:r>
    </w:p>
    <w:p>
      <w:pPr>
        <w:spacing w:after="0" w:line="16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 xml:space="preserve">In September 2008, we entered into an agreement that will provide researchers at Columbia University Medical Center with access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platform. In March 2009, we entered into a similar agreement with The University of Texas Southwestern Medical Center at Dallas. Under the agreements, scientists at these academic institutions will use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to generate antibodies against their research targets and will conduct research to discover potential human therapeutics based on the antibodies. We have an exclusive option to license the antibodies for development and commercialization as therapeutic or diagnostic products and will pay to the appropriate institution a low single-digit royalty on ensuing product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5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w:t>
      </w:r>
    </w:p>
    <w:p>
      <w:pPr>
        <w:jc w:val="both"/>
        <w:spacing w:after="0" w:line="271" w:lineRule="auto"/>
        <w:rPr>
          <w:sz w:val="20"/>
          <w:szCs w:val="20"/>
          <w:color w:val="auto"/>
        </w:rPr>
      </w:pPr>
      <w:r>
        <w:rPr>
          <w:rFonts w:ascii="Arial" w:cs="Arial" w:eastAsia="Arial" w:hAnsi="Arial"/>
          <w:sz w:val="16"/>
          <w:szCs w:val="16"/>
          <w:color w:val="auto"/>
        </w:rPr>
        <w:t xml:space="preserve">human diseases. We are using our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in the Knockout Mouse Project. We are generating a collection of targeting vectors and targeted mouse ES cells which can be used to produce knockout mice. These materials are available to academic researchers without charge. We will receive a fee for each targeted ES cell line or targeting construct made by us or the research consortium and transferred to commercial entities.</w:t>
      </w:r>
    </w:p>
    <w:p>
      <w:pPr>
        <w:spacing w:after="0" w:line="216"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Under the NIH grant, as amended in September 2008, we are entitled to receive a minimum of $24.5 million over the five-year period beginning September 2006, including $1.5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Programs</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and Angiogenesis</w:t>
      </w:r>
    </w:p>
    <w:p>
      <w:pPr>
        <w:spacing w:after="0" w:line="252"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1994, we discovered a second family of angiogenic growth factors, termed angiopoietins, and we have received patents covering members of this family. Angiopoietins include naturally occurring positive and negative regulators of angiogenesis, as described in numerous scientific manuscripts published by our scientists and their collaborators. Angiopoietins are being evaluated in preclinical research by us and our academic collaborators. Our preclinical studies have revealed that VEGF and angiopoietins normally function in a coordinated and collaborative manner during blood vessel growth. Manipulation of both VEGF and angiopoietins seems to be of value in either promoting or blocking vessel growth. We have research programs focusing on several targets in the areas of oncology and angiogenesis.</w:t>
      </w:r>
    </w:p>
    <w:p>
      <w:pPr>
        <w:spacing w:after="0" w:line="1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Tumors depend on the growth of new blood vessels (a process called “angiogenesis”) to support their continued growth. Therapies that block tumor angiogenesis, specifically those that block VEGF, the key initiator of tumor angiogenesis, recently have been validated in human cancer patients. However, anti-VEGF approaches do not work in all patients, and many tumors can become resistant to such therapies.</w:t>
      </w:r>
    </w:p>
    <w:p>
      <w:pPr>
        <w:sectPr>
          <w:pgSz w:w="11900" w:h="16838" w:orient="portrait"/>
          <w:cols w:equalWidth="0" w:num="1">
            <w:col w:w="11420"/>
          </w:cols>
          <w:pgMar w:left="240" w:top="158" w:right="239" w:bottom="0" w:gutter="0" w:footer="0" w:header="0"/>
        </w:sectPr>
      </w:pPr>
    </w:p>
    <w:bookmarkStart w:id="12" w:name="page13"/>
    <w:bookmarkEnd w:id="12"/>
    <w:p>
      <w:pPr>
        <w:jc w:val="both"/>
        <w:ind w:firstLine="351"/>
        <w:spacing w:after="0" w:line="261" w:lineRule="auto"/>
        <w:rPr>
          <w:sz w:val="20"/>
          <w:szCs w:val="20"/>
          <w:color w:val="auto"/>
        </w:rPr>
      </w:pPr>
      <w:r>
        <w:rPr>
          <w:rFonts w:ascii="Arial" w:cs="Arial" w:eastAsia="Arial" w:hAnsi="Arial"/>
          <w:sz w:val="18"/>
          <w:szCs w:val="18"/>
          <w:color w:val="auto"/>
        </w:rPr>
        <w:t xml:space="preserve">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We are in the process of initiating Phase 1 clinical development of a fully human monoclonal antibody to Dll4 that was discovered using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Metabolic and Related Diseases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integrating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lead monoclonal antibodies in relevant preclinical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Muscle Diseases and Disorders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Therapeutic Areas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also have research programs focusing on ophthalmology, inflammatory and immune diseases, bone and cartilage, pain, and cardiovascular diseases.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significant sales or profits from the commercialization of ARCALYST or any of our other product candidates. Before significant revenues from the commercialization of ARCALYST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7"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From inception on January 8, 1988 through March 31, 2009, we had a cumulative loss of $893.4 million. In the absence of significant revenues from the commercialization of ARCALYST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in other indications;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20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2009 and plans over the next 12 months are as follows:</w:t>
      </w:r>
    </w:p>
    <w:p>
      <w:pPr>
        <w:spacing w:after="0" w:line="20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2009-10 Plans</w:t>
      </w:r>
    </w:p>
    <w:p>
      <w:pPr>
        <w:spacing w:after="0" w:line="36" w:lineRule="exact"/>
        <w:rPr>
          <w:sz w:val="20"/>
          <w:szCs w:val="20"/>
          <w:color w:val="auto"/>
        </w:rPr>
      </w:pPr>
    </w:p>
    <w:p>
      <w:pPr>
        <w:ind w:left="300"/>
        <w:spacing w:after="0"/>
        <w:tabs>
          <w:tab w:leader="none" w:pos="2880" w:val="left"/>
          <w:tab w:leader="none" w:pos="7500" w:val="left"/>
        </w:tabs>
        <w:rPr>
          <w:sz w:val="20"/>
          <w:szCs w:val="20"/>
          <w:color w:val="auto"/>
        </w:rPr>
      </w:pPr>
      <w:r>
        <w:rPr>
          <w:rFonts w:ascii="Arial" w:cs="Arial" w:eastAsia="Arial" w:hAnsi="Arial"/>
          <w:sz w:val="18"/>
          <w:szCs w:val="18"/>
          <w:b w:val="1"/>
          <w:bCs w:val="1"/>
          <w:color w:val="auto"/>
        </w:rPr>
        <w:t>Clinical Program</w:t>
      </w:r>
      <w:r>
        <w:rPr>
          <w:sz w:val="20"/>
          <w:szCs w:val="20"/>
          <w:color w:val="auto"/>
        </w:rPr>
        <w:tab/>
      </w:r>
      <w:r>
        <w:rPr>
          <w:rFonts w:ascii="Arial" w:cs="Arial" w:eastAsia="Arial" w:hAnsi="Arial"/>
          <w:sz w:val="18"/>
          <w:szCs w:val="18"/>
          <w:b w:val="1"/>
          <w:bCs w:val="1"/>
          <w:color w:val="auto"/>
        </w:rPr>
        <w:t>2009 Events to Date</w:t>
      </w:r>
      <w:r>
        <w:rPr>
          <w:sz w:val="20"/>
          <w:szCs w:val="20"/>
          <w:color w:val="auto"/>
        </w:rPr>
        <w:tab/>
      </w:r>
      <w:r>
        <w:rPr>
          <w:rFonts w:ascii="Arial" w:cs="Arial" w:eastAsia="Arial" w:hAnsi="Arial"/>
          <w:sz w:val="15"/>
          <w:szCs w:val="15"/>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68776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p>
      <w:pPr>
        <w:ind w:left="300"/>
        <w:spacing w:after="0" w:line="215" w:lineRule="auto"/>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p>
    <w:p>
      <w:pPr>
        <w:ind w:left="600"/>
        <w:spacing w:after="0"/>
        <w:rPr>
          <w:sz w:val="20"/>
          <w:szCs w:val="20"/>
          <w:color w:val="auto"/>
        </w:rPr>
      </w:pPr>
      <w:r>
        <w:rPr>
          <w:rFonts w:ascii="Arial" w:cs="Arial" w:eastAsia="Arial" w:hAnsi="Arial"/>
          <w:sz w:val="18"/>
          <w:szCs w:val="18"/>
          <w:color w:val="auto"/>
        </w:rPr>
        <w:t>(rilonacept; also</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known as IL-1 Trap)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Initiated patient enrollment in the Phase 3 program evaluating ARCALYST in the prevention of gout flares associated with the initiation of urate-lowering drug therapy and in the treatment of acute gout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156210</wp:posOffset>
            </wp:positionV>
            <wp:extent cx="68776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-131445</wp:posOffset>
            </wp:positionH>
            <wp:positionV relativeFrom="paragraph">
              <wp:posOffset>-653415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Continue enrollment in the Phase 3 program in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-248920</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37" w:lineRule="exact"/>
        <w:rPr>
          <w:sz w:val="20"/>
          <w:szCs w:val="20"/>
          <w:color w:val="auto"/>
        </w:rPr>
      </w:pPr>
    </w:p>
    <w:p>
      <w:pPr>
        <w:sectPr>
          <w:pgSz w:w="11900" w:h="16838" w:orient="portrait"/>
          <w:cols w:equalWidth="0" w:num="3">
            <w:col w:w="2920" w:space="720"/>
            <w:col w:w="3900" w:space="720"/>
            <w:col w:w="3160"/>
          </w:cols>
          <w:pgMar w:left="240" w:top="158" w:right="239" w:bottom="0" w:gutter="0" w:footer="0" w:header="0"/>
          <w:type w:val="continuous"/>
        </w:sectPr>
      </w:pPr>
    </w:p>
    <w:p>
      <w:pPr>
        <w:spacing w:after="0" w:line="51" w:lineRule="exact"/>
        <w:rPr>
          <w:sz w:val="20"/>
          <w:szCs w:val="20"/>
          <w:color w:val="auto"/>
        </w:rPr>
      </w:pPr>
    </w:p>
    <w:p>
      <w:pPr>
        <w:ind w:left="300"/>
        <w:spacing w:after="0"/>
        <w:tabs>
          <w:tab w:leader="none" w:pos="3411" w:val="left"/>
        </w:tabs>
        <w:rPr>
          <w:sz w:val="20"/>
          <w:szCs w:val="20"/>
          <w:color w:val="auto"/>
        </w:rPr>
      </w:pPr>
      <w:r>
        <w:rPr>
          <w:rFonts w:ascii="Arial" w:cs="Arial" w:eastAsia="Arial" w:hAnsi="Arial"/>
          <w:sz w:val="16"/>
          <w:szCs w:val="16"/>
          <w:color w:val="auto"/>
        </w:rPr>
        <w:t>Aflibercept</w:t>
      </w:r>
      <w:r>
        <w:rPr>
          <w:sz w:val="20"/>
          <w:szCs w:val="20"/>
          <w:color w:val="auto"/>
        </w:rPr>
        <w:tab/>
      </w:r>
      <w:r>
        <w:rPr>
          <w:sz w:val="1"/>
          <w:szCs w:val="1"/>
          <w:color w:val="auto"/>
        </w:rPr>
        <w:drawing>
          <wp:inline distT="0" distB="0" distL="0" distR="0">
            <wp:extent cx="59690" cy="5969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Initiated a Phase 2 1st-line study in metastatic</w:t>
      </w:r>
    </w:p>
    <w:p>
      <w:pPr>
        <w:spacing w:after="0" w:line="38" w:lineRule="exact"/>
        <w:rPr>
          <w:sz w:val="20"/>
          <w:szCs w:val="20"/>
          <w:color w:val="auto"/>
        </w:rPr>
      </w:pPr>
    </w:p>
    <w:p>
      <w:pPr>
        <w:ind w:left="600"/>
        <w:spacing w:after="0"/>
        <w:tabs>
          <w:tab w:leader="none" w:pos="3620" w:val="left"/>
        </w:tabs>
        <w:rPr>
          <w:sz w:val="20"/>
          <w:szCs w:val="20"/>
          <w:color w:val="auto"/>
        </w:rPr>
      </w:pPr>
      <w:r>
        <w:rPr>
          <w:rFonts w:ascii="Arial" w:cs="Arial" w:eastAsia="Arial" w:hAnsi="Arial"/>
          <w:sz w:val="18"/>
          <w:szCs w:val="18"/>
          <w:color w:val="auto"/>
        </w:rPr>
        <w:t>(VEGF Trap –</w:t>
      </w:r>
      <w:r>
        <w:rPr>
          <w:sz w:val="20"/>
          <w:szCs w:val="20"/>
          <w:color w:val="auto"/>
        </w:rPr>
        <w:tab/>
      </w:r>
      <w:r>
        <w:rPr>
          <w:rFonts w:ascii="Arial" w:cs="Arial" w:eastAsia="Arial" w:hAnsi="Arial"/>
          <w:sz w:val="16"/>
          <w:szCs w:val="16"/>
          <w:color w:val="auto"/>
        </w:rPr>
        <w:t>colorectal cancer in combination with</w:t>
      </w:r>
    </w:p>
    <w:p>
      <w:pPr>
        <w:spacing w:after="0" w:line="9" w:lineRule="exact"/>
        <w:rPr>
          <w:sz w:val="20"/>
          <w:szCs w:val="20"/>
          <w:color w:val="auto"/>
        </w:rPr>
      </w:pPr>
    </w:p>
    <w:p>
      <w:pPr>
        <w:ind w:left="600"/>
        <w:spacing w:after="0"/>
        <w:tabs>
          <w:tab w:leader="none" w:pos="3620" w:val="left"/>
        </w:tabs>
        <w:rPr>
          <w:sz w:val="20"/>
          <w:szCs w:val="20"/>
          <w:color w:val="auto"/>
        </w:rPr>
      </w:pPr>
      <w:r>
        <w:rPr>
          <w:rFonts w:ascii="Arial" w:cs="Arial" w:eastAsia="Arial" w:hAnsi="Arial"/>
          <w:sz w:val="18"/>
          <w:szCs w:val="18"/>
          <w:color w:val="auto"/>
        </w:rPr>
        <w:t>Oncology)</w:t>
      </w:r>
      <w:r>
        <w:rPr>
          <w:sz w:val="20"/>
          <w:szCs w:val="20"/>
          <w:color w:val="auto"/>
        </w:rPr>
        <w:tab/>
      </w:r>
      <w:r>
        <w:rPr>
          <w:rFonts w:ascii="Arial" w:cs="Arial" w:eastAsia="Arial" w:hAnsi="Arial"/>
          <w:sz w:val="18"/>
          <w:szCs w:val="18"/>
          <w:color w:val="auto"/>
        </w:rPr>
        <w:t>chemotherapy</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Achieved approximately 50% enrollment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-76200</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of the Phase 3 studies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Report results of a Phase 2 single-agent study in 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-233680</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340"/>
        <w:spacing w:after="0" w:line="261" w:lineRule="auto"/>
        <w:rPr>
          <w:sz w:val="20"/>
          <w:szCs w:val="20"/>
          <w:color w:val="auto"/>
        </w:rPr>
      </w:pPr>
      <w:r>
        <w:rPr>
          <w:rFonts w:ascii="Arial" w:cs="Arial" w:eastAsia="Arial" w:hAnsi="Arial"/>
          <w:sz w:val="18"/>
          <w:szCs w:val="18"/>
          <w:color w:val="auto"/>
        </w:rPr>
        <w:t>Continue enrollment of the four Phase 3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-245110</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7540" w:space="720"/>
            <w:col w:w="3160"/>
          </w:cols>
          <w:pgMar w:left="240" w:top="158" w:right="239" w:bottom="0" w:gutter="0" w:footer="0" w:header="0"/>
          <w:type w:val="continuous"/>
        </w:sectPr>
      </w:pP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VEGF Trap-Eye</w:t>
            </w:r>
          </w:p>
        </w:tc>
        <w:tc>
          <w:tcPr>
            <w:tcW w:w="5940" w:type="dxa"/>
            <w:vAlign w:val="bottom"/>
            <w:tcBorders>
              <w:top w:val="single" w:sz="8" w:color="auto"/>
            </w:tcBorders>
          </w:tcPr>
          <w:p>
            <w:pPr>
              <w:ind w:left="3060"/>
              <w:spacing w:after="0"/>
              <w:rPr>
                <w:sz w:val="20"/>
                <w:szCs w:val="20"/>
                <w:color w:val="auto"/>
              </w:rPr>
            </w:pPr>
            <w:r>
              <w:rPr>
                <w:rFonts w:ascii="Arial" w:cs="Arial" w:eastAsia="Arial" w:hAnsi="Arial"/>
                <w:sz w:val="18"/>
                <w:szCs w:val="18"/>
                <w:color w:val="auto"/>
                <w:w w:val="99"/>
              </w:rPr>
              <w:t>Complete enrollment in VIEW 1 and</w:t>
            </w:r>
          </w:p>
        </w:tc>
      </w:tr>
      <w:tr>
        <w:trPr>
          <w:trHeight w:val="216"/>
        </w:trPr>
        <w:tc>
          <w:tcPr>
            <w:tcW w:w="4900" w:type="dxa"/>
            <w:vAlign w:val="bottom"/>
          </w:tcPr>
          <w:p>
            <w:pPr>
              <w:ind w:left="300"/>
              <w:spacing w:after="0"/>
              <w:rPr>
                <w:sz w:val="20"/>
                <w:szCs w:val="20"/>
                <w:color w:val="auto"/>
              </w:rPr>
            </w:pPr>
            <w:r>
              <w:rPr>
                <w:rFonts w:ascii="Arial" w:cs="Arial" w:eastAsia="Arial" w:hAnsi="Arial"/>
                <w:sz w:val="18"/>
                <w:szCs w:val="18"/>
                <w:color w:val="auto"/>
              </w:rPr>
              <w:t>(intravitreal injection)</w:t>
            </w:r>
          </w:p>
        </w:tc>
        <w:tc>
          <w:tcPr>
            <w:tcW w:w="5940" w:type="dxa"/>
            <w:vAlign w:val="bottom"/>
          </w:tcPr>
          <w:p>
            <w:pPr>
              <w:ind w:left="3060"/>
              <w:spacing w:after="0"/>
              <w:rPr>
                <w:sz w:val="20"/>
                <w:szCs w:val="20"/>
                <w:color w:val="auto"/>
              </w:rPr>
            </w:pPr>
            <w:r>
              <w:rPr>
                <w:rFonts w:ascii="Arial" w:cs="Arial" w:eastAsia="Arial" w:hAnsi="Arial"/>
                <w:sz w:val="18"/>
                <w:szCs w:val="18"/>
                <w:color w:val="auto"/>
              </w:rPr>
              <w:t>VIEW 2 trials</w:t>
            </w:r>
          </w:p>
        </w:tc>
      </w:tr>
      <w:tr>
        <w:trPr>
          <w:trHeight w:val="216"/>
        </w:trPr>
        <w:tc>
          <w:tcPr>
            <w:tcW w:w="4900" w:type="dxa"/>
            <w:vAlign w:val="bottom"/>
          </w:tcPr>
          <w:p>
            <w:pPr>
              <w:spacing w:after="0"/>
              <w:rPr>
                <w:sz w:val="18"/>
                <w:szCs w:val="18"/>
                <w:color w:val="auto"/>
              </w:rPr>
            </w:pPr>
          </w:p>
        </w:tc>
        <w:tc>
          <w:tcPr>
            <w:tcW w:w="5940" w:type="dxa"/>
            <w:vAlign w:val="bottom"/>
          </w:tcPr>
          <w:p>
            <w:pPr>
              <w:ind w:left="3060"/>
              <w:spacing w:after="0"/>
              <w:rPr>
                <w:sz w:val="20"/>
                <w:szCs w:val="20"/>
                <w:color w:val="auto"/>
              </w:rPr>
            </w:pPr>
            <w:r>
              <w:rPr>
                <w:rFonts w:ascii="Arial" w:cs="Arial" w:eastAsia="Arial" w:hAnsi="Arial"/>
                <w:sz w:val="18"/>
                <w:szCs w:val="18"/>
                <w:color w:val="auto"/>
                <w:w w:val="89"/>
              </w:rPr>
              <w:t>Continue enrolling patients in the Phase</w:t>
            </w:r>
          </w:p>
        </w:tc>
      </w:tr>
      <w:tr>
        <w:trPr>
          <w:trHeight w:val="222"/>
        </w:trPr>
        <w:tc>
          <w:tcPr>
            <w:tcW w:w="4900" w:type="dxa"/>
            <w:vAlign w:val="bottom"/>
          </w:tcPr>
          <w:p>
            <w:pPr>
              <w:spacing w:after="0"/>
              <w:rPr>
                <w:sz w:val="19"/>
                <w:szCs w:val="19"/>
                <w:color w:val="auto"/>
              </w:rPr>
            </w:pPr>
          </w:p>
        </w:tc>
        <w:tc>
          <w:tcPr>
            <w:tcW w:w="5940" w:type="dxa"/>
            <w:vAlign w:val="bottom"/>
          </w:tcPr>
          <w:p>
            <w:pPr>
              <w:ind w:left="3060"/>
              <w:spacing w:after="0"/>
              <w:rPr>
                <w:sz w:val="20"/>
                <w:szCs w:val="20"/>
                <w:color w:val="auto"/>
              </w:rPr>
            </w:pPr>
            <w:r>
              <w:rPr>
                <w:rFonts w:ascii="Arial" w:cs="Arial" w:eastAsia="Arial" w:hAnsi="Arial"/>
                <w:sz w:val="18"/>
                <w:szCs w:val="18"/>
                <w:color w:val="auto"/>
              </w:rPr>
              <w:t>2 DME 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-508000</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-233680</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8260"/>
        <w:spacing w:after="0"/>
        <w:rPr>
          <w:sz w:val="20"/>
          <w:szCs w:val="20"/>
          <w:color w:val="auto"/>
        </w:rPr>
      </w:pPr>
      <w:r>
        <w:rPr>
          <w:rFonts w:ascii="Arial" w:cs="Arial" w:eastAsia="Arial" w:hAnsi="Arial"/>
          <w:sz w:val="18"/>
          <w:szCs w:val="18"/>
          <w:color w:val="auto"/>
        </w:rPr>
        <w:t>Initiate a Phase 3 CRVO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type w:val="continuous"/>
        </w:sectPr>
      </w:pPr>
    </w:p>
    <w:bookmarkStart w:id="13" w:name="page14"/>
    <w:bookmarkEnd w:id="13"/>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346075</wp:posOffset>
            </wp:positionH>
            <wp:positionV relativeFrom="page">
              <wp:posOffset>243205</wp:posOffset>
            </wp:positionV>
            <wp:extent cx="6877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ind w:left="300"/>
        <w:spacing w:after="0"/>
        <w:tabs>
          <w:tab w:leader="none" w:pos="3411" w:val="left"/>
        </w:tabs>
        <w:rPr>
          <w:sz w:val="20"/>
          <w:szCs w:val="20"/>
          <w:color w:val="auto"/>
        </w:rPr>
      </w:pPr>
      <w:r>
        <w:rPr>
          <w:rFonts w:ascii="Arial" w:cs="Arial" w:eastAsia="Arial" w:hAnsi="Arial"/>
          <w:sz w:val="16"/>
          <w:szCs w:val="16"/>
          <w:color w:val="auto"/>
        </w:rPr>
        <w:t>Monoclonal</w:t>
      </w:r>
      <w:r>
        <w:rPr>
          <w:sz w:val="20"/>
          <w:szCs w:val="20"/>
          <w:color w:val="auto"/>
        </w:rPr>
        <w:tab/>
      </w:r>
      <w:r>
        <w:rPr>
          <w:sz w:val="1"/>
          <w:szCs w:val="1"/>
          <w:color w:val="auto"/>
        </w:rPr>
        <w:drawing>
          <wp:inline distT="0" distB="0" distL="0" distR="0">
            <wp:extent cx="59690" cy="596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Initiated a Phase 1 trial for REGN475 (anti-NGF)</w:t>
      </w:r>
    </w:p>
    <w:p>
      <w:pPr>
        <w:spacing w:after="0" w:line="38" w:lineRule="exact"/>
        <w:rPr>
          <w:sz w:val="20"/>
          <w:szCs w:val="20"/>
          <w:color w:val="auto"/>
        </w:rPr>
      </w:pPr>
    </w:p>
    <w:p>
      <w:pPr>
        <w:ind w:left="600"/>
        <w:spacing w:after="0"/>
        <w:tabs>
          <w:tab w:leader="none" w:pos="3620" w:val="left"/>
        </w:tabs>
        <w:rPr>
          <w:sz w:val="20"/>
          <w:szCs w:val="20"/>
          <w:color w:val="auto"/>
        </w:rPr>
      </w:pPr>
      <w:r>
        <w:rPr>
          <w:rFonts w:ascii="Arial" w:cs="Arial" w:eastAsia="Arial" w:hAnsi="Arial"/>
          <w:sz w:val="18"/>
          <w:szCs w:val="18"/>
          <w:color w:val="auto"/>
        </w:rPr>
        <w:t>Antibodies</w:t>
      </w:r>
      <w:r>
        <w:rPr>
          <w:sz w:val="20"/>
          <w:szCs w:val="20"/>
          <w:color w:val="auto"/>
        </w:rPr>
        <w:tab/>
      </w:r>
      <w:r>
        <w:rPr>
          <w:rFonts w:ascii="Arial" w:cs="Arial" w:eastAsia="Arial" w:hAnsi="Arial"/>
          <w:sz w:val="18"/>
          <w:szCs w:val="18"/>
          <w:color w:val="auto"/>
        </w:rPr>
        <w:t>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1130300</wp:posOffset>
            </wp:positionV>
            <wp:extent cx="6877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580"/>
        <w:spacing w:after="0" w:line="252" w:lineRule="auto"/>
        <w:rPr>
          <w:sz w:val="20"/>
          <w:szCs w:val="20"/>
          <w:color w:val="auto"/>
        </w:rPr>
      </w:pPr>
      <w:r>
        <w:rPr>
          <w:rFonts w:ascii="Arial" w:cs="Arial" w:eastAsia="Arial" w:hAnsi="Arial"/>
          <w:sz w:val="18"/>
          <w:szCs w:val="18"/>
          <w:color w:val="auto"/>
        </w:rPr>
        <w:t>Initiate a Phase 1 trial for REGN421(anti Dll4) in oncology Report data from a Phase 1 trial of REGN88 (anti-IL-6R)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-645160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-370840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480"/>
        <w:spacing w:after="0" w:line="295" w:lineRule="auto"/>
        <w:rPr>
          <w:sz w:val="20"/>
          <w:szCs w:val="20"/>
          <w:color w:val="auto"/>
        </w:rPr>
      </w:pPr>
      <w:r>
        <w:rPr>
          <w:rFonts w:ascii="Arial" w:cs="Arial" w:eastAsia="Arial" w:hAnsi="Arial"/>
          <w:sz w:val="16"/>
          <w:szCs w:val="16"/>
          <w:color w:val="auto"/>
        </w:rPr>
        <w:t>Initiate multiple Phase 2 trials for REGN475 in pain indications Advance additional antibody candidate(s) into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-534035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-259080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979" w:orient="portrait"/>
          <w:cols w:equalWidth="0" w:num="2">
            <w:col w:w="7540" w:space="720"/>
            <w:col w:w="3180"/>
          </w:cols>
          <w:pgMar w:left="240" w:top="388" w:right="219"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right="20" w:firstLine="284"/>
        <w:spacing w:after="0" w:line="264" w:lineRule="auto"/>
        <w:rPr>
          <w:sz w:val="20"/>
          <w:szCs w:val="20"/>
          <w:color w:val="auto"/>
        </w:rPr>
      </w:pPr>
      <w:r>
        <w:rPr>
          <w:rFonts w:ascii="Arial" w:cs="Arial" w:eastAsia="Arial" w:hAnsi="Arial"/>
          <w:sz w:val="18"/>
          <w:szCs w:val="18"/>
          <w:color w:val="auto"/>
        </w:rPr>
        <w:t>Regeneron reported a net loss of $17.5 million, or $0.22 per share (basic and diluted), for the first quarter of 2009 compared to a net loss of $11.6 million, or $0.15 per share (basic and diluted), for the first quarter of 2008. The increase in our net loss was principally due to higher research and development expenses, as detailed below, partly offset by higher contract research and development revenue in connection with our antibody collaboration with sanofi-aventis and net product sales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4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59"/>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Revenues for the three months ended March 31, 2009 and 2008 consist of the following:</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5"/>
        </w:trPr>
        <w:tc>
          <w:tcPr>
            <w:tcW w:w="784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2008</w:t>
            </w:r>
          </w:p>
        </w:tc>
      </w:tr>
      <w:tr>
        <w:trPr>
          <w:trHeight w:val="243"/>
        </w:trPr>
        <w:tc>
          <w:tcPr>
            <w:tcW w:w="1160" w:type="dxa"/>
            <w:vAlign w:val="bottom"/>
          </w:tcPr>
          <w:p>
            <w:pPr>
              <w:spacing w:after="0"/>
              <w:rPr>
                <w:sz w:val="21"/>
                <w:szCs w:val="21"/>
                <w:color w:val="auto"/>
              </w:rPr>
            </w:pPr>
          </w:p>
        </w:tc>
        <w:tc>
          <w:tcPr>
            <w:tcW w:w="66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1360" w:type="dxa"/>
            <w:vAlign w:val="bottom"/>
            <w:tcBorders>
              <w:top w:val="single" w:sz="8" w:color="C0C0C0"/>
            </w:tcBorders>
            <w:shd w:val="clear" w:color="auto" w:fill="C0C0C0"/>
          </w:tcPr>
          <w:p>
            <w:pPr>
              <w:spacing w:after="0"/>
              <w:rPr>
                <w:sz w:val="21"/>
                <w:szCs w:val="21"/>
                <w:color w:val="auto"/>
              </w:rPr>
            </w:pPr>
          </w:p>
        </w:tc>
        <w:tc>
          <w:tcPr>
            <w:tcW w:w="4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r>
      <w:tr>
        <w:trPr>
          <w:trHeight w:val="235"/>
        </w:trPr>
        <w:tc>
          <w:tcPr>
            <w:tcW w:w="1160" w:type="dxa"/>
            <w:vAlign w:val="bottom"/>
          </w:tcPr>
          <w:p>
            <w:pPr>
              <w:spacing w:after="0"/>
              <w:rPr>
                <w:sz w:val="20"/>
                <w:szCs w:val="20"/>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$35.7</w:t>
            </w:r>
          </w:p>
        </w:tc>
      </w:tr>
      <w:tr>
        <w:trPr>
          <w:trHeight w:val="251"/>
        </w:trPr>
        <w:tc>
          <w:tcPr>
            <w:tcW w:w="1160" w:type="dxa"/>
            <w:vAlign w:val="bottom"/>
          </w:tcPr>
          <w:p>
            <w:pPr>
              <w:spacing w:after="0"/>
              <w:rPr>
                <w:sz w:val="21"/>
                <w:szCs w:val="21"/>
                <w:color w:val="auto"/>
              </w:rPr>
            </w:pPr>
          </w:p>
        </w:tc>
        <w:tc>
          <w:tcPr>
            <w:tcW w:w="66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1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1160" w:type="dxa"/>
            <w:vAlign w:val="bottom"/>
          </w:tcPr>
          <w:p>
            <w:pPr>
              <w:spacing w:after="0"/>
              <w:rPr>
                <w:sz w:val="20"/>
                <w:szCs w:val="20"/>
                <w:color w:val="auto"/>
              </w:rPr>
            </w:pPr>
          </w:p>
        </w:tc>
        <w:tc>
          <w:tcPr>
            <w:tcW w:w="668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0C0C0"/>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1160" w:type="dxa"/>
            <w:vAlign w:val="bottom"/>
          </w:tcPr>
          <w:p>
            <w:pPr>
              <w:spacing w:after="0"/>
              <w:rPr>
                <w:sz w:val="21"/>
                <w:szCs w:val="21"/>
                <w:color w:val="auto"/>
              </w:rPr>
            </w:pPr>
          </w:p>
        </w:tc>
        <w:tc>
          <w:tcPr>
            <w:tcW w:w="66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1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46.4</w:t>
            </w:r>
          </w:p>
        </w:tc>
      </w:tr>
      <w:tr>
        <w:trPr>
          <w:trHeight w:val="235"/>
        </w:trPr>
        <w:tc>
          <w:tcPr>
            <w:tcW w:w="7840" w:type="dxa"/>
            <w:vAlign w:val="bottom"/>
            <w:gridSpan w:val="2"/>
          </w:tcPr>
          <w:p>
            <w:pPr>
              <w:ind w:left="1140"/>
              <w:spacing w:after="0"/>
              <w:rPr>
                <w:sz w:val="20"/>
                <w:szCs w:val="20"/>
                <w:color w:val="auto"/>
              </w:rPr>
            </w:pPr>
            <w:r>
              <w:rPr>
                <w:rFonts w:ascii="Arial" w:cs="Arial" w:eastAsia="Arial" w:hAnsi="Arial"/>
                <w:sz w:val="18"/>
                <w:szCs w:val="18"/>
                <w:color w:val="auto"/>
              </w:rPr>
              <w:t>Technology licensing revenue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1160" w:type="dxa"/>
            <w:vAlign w:val="bottom"/>
          </w:tcPr>
          <w:p>
            <w:pPr>
              <w:spacing w:after="0"/>
              <w:rPr>
                <w:sz w:val="21"/>
                <w:szCs w:val="21"/>
                <w:color w:val="auto"/>
              </w:rPr>
            </w:pPr>
          </w:p>
        </w:tc>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Net product sales</w:t>
            </w:r>
          </w:p>
        </w:tc>
        <w:tc>
          <w:tcPr>
            <w:tcW w:w="1360" w:type="dxa"/>
            <w:vAlign w:val="bottom"/>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6680" w:type="dxa"/>
            <w:vAlign w:val="bottom"/>
          </w:tcPr>
          <w:p>
            <w:pPr>
              <w:ind w:left="620"/>
              <w:spacing w:after="0"/>
              <w:rPr>
                <w:sz w:val="20"/>
                <w:szCs w:val="20"/>
                <w:color w:val="auto"/>
              </w:rPr>
            </w:pPr>
            <w:r>
              <w:rPr>
                <w:rFonts w:ascii="Arial" w:cs="Arial" w:eastAsia="Arial" w:hAnsi="Arial"/>
                <w:sz w:val="18"/>
                <w:szCs w:val="18"/>
                <w:color w:val="auto"/>
              </w:rPr>
              <w:t>Total revenue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$56.4</w:t>
            </w:r>
          </w:p>
        </w:tc>
      </w:tr>
      <w:tr>
        <w:trPr>
          <w:trHeight w:val="28"/>
        </w:trPr>
        <w:tc>
          <w:tcPr>
            <w:tcW w:w="11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contract and research development revenue we earn from sanofi-aventis, as detailed below, consists primarily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Contract Research &amp; Development Revenue</w:t>
            </w:r>
          </w:p>
        </w:tc>
        <w:tc>
          <w:tcPr>
            <w:tcW w:w="4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6"/>
          </w:tcPr>
          <w:p>
            <w:pPr>
              <w:spacing w:after="0"/>
              <w:rPr>
                <w:sz w:val="20"/>
                <w:szCs w:val="20"/>
                <w:color w:val="auto"/>
              </w:rPr>
            </w:pPr>
            <w:r>
              <w:rPr>
                <w:rFonts w:ascii="Arial" w:cs="Arial" w:eastAsia="Arial" w:hAnsi="Arial"/>
                <w:sz w:val="18"/>
                <w:szCs w:val="18"/>
                <w:b w:val="1"/>
                <w:bCs w:val="1"/>
                <w:color w:val="auto"/>
                <w:w w:val="88"/>
              </w:rPr>
              <w:t>Three months ended</w:t>
            </w:r>
          </w:p>
        </w:tc>
      </w:tr>
      <w:tr>
        <w:trPr>
          <w:trHeight w:val="237"/>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51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Aflibercept:</w:t>
            </w:r>
          </w:p>
        </w:tc>
        <w:tc>
          <w:tcPr>
            <w:tcW w:w="4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2008</w:t>
            </w:r>
          </w:p>
        </w:tc>
        <w:tc>
          <w:tcPr>
            <w:tcW w:w="20" w:type="dxa"/>
            <w:vAlign w:val="bottom"/>
          </w:tcPr>
          <w:p>
            <w:pPr>
              <w:spacing w:after="0"/>
              <w:rPr>
                <w:sz w:val="20"/>
                <w:szCs w:val="20"/>
                <w:color w:val="auto"/>
              </w:rPr>
            </w:pPr>
          </w:p>
        </w:tc>
      </w:tr>
      <w:tr>
        <w:trPr>
          <w:trHeight w:val="243"/>
        </w:trPr>
        <w:tc>
          <w:tcPr>
            <w:tcW w:w="51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Regeneron expense reimbursement</w:t>
            </w:r>
          </w:p>
        </w:tc>
        <w:tc>
          <w:tcPr>
            <w:tcW w:w="4840" w:type="dxa"/>
            <w:vAlign w:val="bottom"/>
            <w:gridSpan w:val="3"/>
            <w:shd w:val="clear" w:color="auto" w:fill="C0C0C0"/>
          </w:tcPr>
          <w:p>
            <w:pPr>
              <w:ind w:left="4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w w:val="98"/>
              </w:rPr>
              <w:t>Recognition of deferred revenue related to up-front payments</w:t>
            </w: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43"/>
        </w:trPr>
        <w:tc>
          <w:tcPr>
            <w:tcW w:w="5140" w:type="dxa"/>
            <w:vAlign w:val="bottom"/>
            <w:tcBorders>
              <w:top w:val="single" w:sz="8" w:color="C0C0C0"/>
            </w:tcBorders>
            <w:shd w:val="clear" w:color="auto" w:fill="C0C0C0"/>
          </w:tcPr>
          <w:p>
            <w:pPr>
              <w:ind w:left="640"/>
              <w:spacing w:after="0"/>
              <w:rPr>
                <w:sz w:val="20"/>
                <w:szCs w:val="20"/>
                <w:color w:val="auto"/>
              </w:rPr>
            </w:pPr>
            <w:r>
              <w:rPr>
                <w:rFonts w:ascii="Arial" w:cs="Arial" w:eastAsia="Arial" w:hAnsi="Arial"/>
                <w:sz w:val="18"/>
                <w:szCs w:val="18"/>
                <w:color w:val="auto"/>
              </w:rPr>
              <w:t>Total aflibercept</w:t>
            </w:r>
          </w:p>
        </w:tc>
        <w:tc>
          <w:tcPr>
            <w:tcW w:w="4440" w:type="dxa"/>
            <w:vAlign w:val="bottom"/>
            <w:tcBorders>
              <w:top w:val="single" w:sz="8" w:color="C0C0C0"/>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spacing w:after="0"/>
              <w:rPr>
                <w:sz w:val="21"/>
                <w:szCs w:val="21"/>
                <w:color w:val="auto"/>
              </w:rPr>
            </w:pP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Antibody:</w:t>
            </w:r>
          </w:p>
        </w:tc>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51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Regeneron expense reimbursement</w:t>
            </w:r>
          </w:p>
        </w:tc>
        <w:tc>
          <w:tcPr>
            <w:tcW w:w="4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r>
      <w:tr>
        <w:trPr>
          <w:trHeight w:val="235"/>
        </w:trPr>
        <w:tc>
          <w:tcPr>
            <w:tcW w:w="5140" w:type="dxa"/>
            <w:vAlign w:val="bottom"/>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8"/>
        </w:trPr>
        <w:tc>
          <w:tcPr>
            <w:tcW w:w="5140" w:type="dxa"/>
            <w:vAlign w:val="bottom"/>
            <w:shd w:val="clear" w:color="auto" w:fill="C0C0C0"/>
          </w:tcPr>
          <w:p>
            <w:pPr>
              <w:ind w:left="320"/>
              <w:spacing w:after="0" w:line="319"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44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540" w:type="dxa"/>
            <w:vAlign w:val="bottom"/>
            <w:tcBorders>
              <w:bottom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14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Total antibody</w:t>
            </w:r>
          </w:p>
        </w:tc>
        <w:tc>
          <w:tcPr>
            <w:tcW w:w="4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0"/>
                <w:szCs w:val="20"/>
                <w:color w:val="auto"/>
              </w:rPr>
            </w:pPr>
          </w:p>
        </w:tc>
      </w:tr>
      <w:tr>
        <w:trPr>
          <w:trHeight w:val="262"/>
        </w:trPr>
        <w:tc>
          <w:tcPr>
            <w:tcW w:w="5140" w:type="dxa"/>
            <w:vAlign w:val="bottom"/>
            <w:shd w:val="clear" w:color="auto" w:fill="C0C0C0"/>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4840" w:type="dxa"/>
            <w:vAlign w:val="bottom"/>
            <w:gridSpan w:val="3"/>
            <w:shd w:val="clear" w:color="auto" w:fill="C0C0C0"/>
          </w:tcPr>
          <w:p>
            <w:pPr>
              <w:ind w:left="4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2"/>
                <w:szCs w:val="22"/>
                <w:color w:val="auto"/>
              </w:rPr>
            </w:pPr>
          </w:p>
        </w:tc>
      </w:tr>
      <w:tr>
        <w:trPr>
          <w:trHeight w:val="661"/>
        </w:trPr>
        <w:tc>
          <w:tcPr>
            <w:tcW w:w="5140" w:type="dxa"/>
            <w:vAlign w:val="bottom"/>
            <w:tcBorders>
              <w:top w:val="single" w:sz="8" w:color="C0C0C0"/>
            </w:tcBorders>
          </w:tcPr>
          <w:p>
            <w:pPr>
              <w:spacing w:after="0"/>
              <w:rPr>
                <w:sz w:val="24"/>
                <w:szCs w:val="24"/>
                <w:color w:val="auto"/>
              </w:rPr>
            </w:pPr>
          </w:p>
        </w:tc>
        <w:tc>
          <w:tcPr>
            <w:tcW w:w="4440" w:type="dxa"/>
            <w:vAlign w:val="bottom"/>
            <w:tcBorders>
              <w:top w:val="single" w:sz="8" w:color="C0C0C0"/>
            </w:tcBorders>
          </w:tcPr>
          <w:p>
            <w:pPr>
              <w:jc w:val="right"/>
              <w:ind w:right="3692"/>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1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270"/>
        <w:spacing w:after="0" w:line="294" w:lineRule="auto"/>
        <w:rPr>
          <w:sz w:val="20"/>
          <w:szCs w:val="20"/>
          <w:color w:val="auto"/>
        </w:rPr>
      </w:pPr>
      <w:r>
        <w:rPr>
          <w:rFonts w:ascii="Arial" w:cs="Arial" w:eastAsia="Arial" w:hAnsi="Arial"/>
          <w:sz w:val="16"/>
          <w:szCs w:val="16"/>
          <w:color w:val="auto"/>
        </w:rPr>
        <w:t>Sanofi-aventis’ reimbursement of Regeneron’s aflibercept expenses decreased in the first quarter of 2009, compared to the same period in 2008, primarily due to lower costs related to manufacturing aflibercept clinical supplies. Recognition of deferred revenue related to sanofi-aventis’ up-front aflibercept payments increased in the first quarter of 2009 compared to the same period in 2008 due to shortening the estimated performance period over which this deferred revenue is being recognized, effective in the fourth quarter of 2008. As of March 31, 2009, $49.9 million of the original $105.0 million of up-front payments related to aflibercept was deferred and will be recognized as revenue in future periods.</w:t>
      </w:r>
    </w:p>
    <w:p>
      <w:pPr>
        <w:spacing w:after="0" w:line="197" w:lineRule="exact"/>
        <w:rPr>
          <w:sz w:val="20"/>
          <w:szCs w:val="20"/>
          <w:color w:val="auto"/>
        </w:rPr>
      </w:pPr>
    </w:p>
    <w:p>
      <w:pPr>
        <w:jc w:val="both"/>
        <w:ind w:right="20" w:firstLine="311"/>
        <w:spacing w:after="0" w:line="332" w:lineRule="auto"/>
        <w:rPr>
          <w:sz w:val="20"/>
          <w:szCs w:val="20"/>
          <w:color w:val="auto"/>
        </w:rPr>
      </w:pPr>
      <w:r>
        <w:rPr>
          <w:rFonts w:ascii="Arial" w:cs="Arial" w:eastAsia="Arial" w:hAnsi="Arial"/>
          <w:sz w:val="16"/>
          <w:szCs w:val="16"/>
          <w:color w:val="auto"/>
        </w:rPr>
        <w:t>In the first quarter of 2009, sanofi-aventis’ reimbursement of Regeneron’s antibody expenses consisted of $22.7 million under the discovery agreement and $15.7 million of development costs under the license agreement, compared to $15.1 million and $4.2 million, respectively, in the first quarter of 2008. Higher</w:t>
      </w:r>
    </w:p>
    <w:p>
      <w:pPr>
        <w:sectPr>
          <w:pgSz w:w="11900" w:h="16979" w:orient="portrait"/>
          <w:cols w:equalWidth="0" w:num="1">
            <w:col w:w="11440"/>
          </w:cols>
          <w:pgMar w:left="240" w:top="388" w:right="219" w:bottom="0" w:gutter="0" w:footer="0" w:header="0"/>
          <w:type w:val="continuous"/>
        </w:sectPr>
      </w:pPr>
    </w:p>
    <w:bookmarkStart w:id="14" w:name="page15"/>
    <w:bookmarkEnd w:id="14"/>
    <w:p>
      <w:pPr>
        <w:jc w:val="both"/>
        <w:spacing w:after="0" w:line="332" w:lineRule="auto"/>
        <w:rPr>
          <w:sz w:val="20"/>
          <w:szCs w:val="20"/>
          <w:color w:val="auto"/>
        </w:rPr>
      </w:pPr>
      <w:r>
        <w:rPr>
          <w:rFonts w:ascii="Arial" w:cs="Arial" w:eastAsia="Arial" w:hAnsi="Arial"/>
          <w:sz w:val="16"/>
          <w:szCs w:val="16"/>
          <w:color w:val="auto"/>
        </w:rPr>
        <w:t>sanofi-aventis’ reimbursements in the first quarter of 2009 compared to the same period in 2008 were due to an increase in our research activities conducted under the discovery agreement and increases in our development activities for REGN88, REGN421, and REGN475 under the license agreement.</w:t>
      </w:r>
    </w:p>
    <w:p>
      <w:pPr>
        <w:spacing w:after="0" w:line="166"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Recognition of deferred revenue under the antibody collaboration related to sanofi-aventis’ $85.0 million up-front payment. As of March 31, 2009, $71.0 million of this up-front payment was deferred and will be recognized as revenue in future periods.</w:t>
      </w:r>
    </w:p>
    <w:p>
      <w:pPr>
        <w:spacing w:after="0" w:line="187" w:lineRule="exact"/>
        <w:rPr>
          <w:sz w:val="20"/>
          <w:szCs w:val="20"/>
          <w:color w:val="auto"/>
        </w:rPr>
      </w:pPr>
    </w:p>
    <w:p>
      <w:pPr>
        <w:jc w:val="both"/>
        <w:ind w:right="20" w:firstLine="270"/>
        <w:spacing w:after="0" w:line="212"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agreement with sanofi-aventis. For the three months ended March 31, 2009, we recognized $0.7 million of revenue related to this agreement.</w:t>
      </w:r>
    </w:p>
    <w:p>
      <w:pPr>
        <w:spacing w:after="0" w:line="237"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contract research and development revenue we earn from Bayer HealthCare, as detailed below, consists partly of cost sharing of Regeneron VEGF Trap-Eye development expenses and partly of recognition of revenue related to a non-refundable $75.0 million up-front payment and $20.0 million non-substantive milestone payment.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4"/>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Contract Research &amp; Development Revenue</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r>
      <w:tr>
        <w:trPr>
          <w:trHeight w:val="237"/>
        </w:trPr>
        <w:tc>
          <w:tcPr>
            <w:tcW w:w="87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99"/>
              </w:rPr>
              <w:t>2008</w:t>
            </w:r>
          </w:p>
        </w:tc>
      </w:tr>
      <w:tr>
        <w:trPr>
          <w:trHeight w:val="243"/>
        </w:trPr>
        <w:tc>
          <w:tcPr>
            <w:tcW w:w="8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87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8720" w:type="dxa"/>
            <w:vAlign w:val="bottom"/>
            <w:tcBorders>
              <w:bottom w:val="single" w:sz="8" w:color="C0C0C0"/>
            </w:tcBorders>
            <w:gridSpan w:val="2"/>
            <w:shd w:val="clear" w:color="auto" w:fill="C0C0C0"/>
          </w:tcPr>
          <w:p>
            <w:pPr>
              <w:ind w:left="320"/>
              <w:spacing w:after="0"/>
              <w:rPr>
                <w:sz w:val="20"/>
                <w:szCs w:val="20"/>
                <w:color w:val="auto"/>
              </w:rPr>
            </w:pPr>
            <w:r>
              <w:rPr>
                <w:rFonts w:ascii="Arial" w:cs="Arial" w:eastAsia="Arial" w:hAnsi="Arial"/>
                <w:sz w:val="18"/>
                <w:szCs w:val="18"/>
                <w:color w:val="auto"/>
              </w:rPr>
              <w:t>Total Bayer HealthCare contract research &amp; development revenue</w:t>
            </w:r>
          </w:p>
        </w:tc>
        <w:tc>
          <w:tcPr>
            <w:tcW w:w="220" w:type="dxa"/>
            <w:vAlign w:val="bottom"/>
            <w:tcBorders>
              <w:bottom w:val="single" w:sz="8" w:color="auto"/>
            </w:tcBorders>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w:t>
            </w:r>
          </w:p>
        </w:tc>
      </w:tr>
    </w:tbl>
    <w:p>
      <w:pPr>
        <w:spacing w:after="0" w:line="235"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the first quarter of 2009, cost-sharing of Regeneron VEGF Trap-Eye development expenses increased, compared to the same period in 2008, primarily due to higher clinical development costs in connection with our VIEW 1 trial in wet AMD and Phase 2 trial in DME. Recognition of deferred revenue related to Bayer’s up-front and milestone payments decreased in the first quarter of 2009 compared to the same period in 2008 due to an extension of the estimated performance period over which this deferred revenue is being recognized, effective in the fourth quarter of 2008. As of March 31, 2009, $64.2 million of the up-front licensing and milestone payments was deferred and will be recognized as revenue in future periods.</w:t>
      </w:r>
    </w:p>
    <w:p>
      <w:pPr>
        <w:spacing w:after="0" w:line="197"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Other contract research and development revenue in the first quarter of 2009 and 2008 includes $1.5 million and $1.1 million, respectively, in connection with our five-year grant from the NIH, which we were awarded in September 2006 as part of the NIH’s Knockout Mouse Project.</w:t>
      </w:r>
    </w:p>
    <w:p>
      <w:pPr>
        <w:spacing w:after="0" w:line="187" w:lineRule="exact"/>
        <w:rPr>
          <w:sz w:val="20"/>
          <w:szCs w:val="20"/>
          <w:color w:val="auto"/>
        </w:rPr>
      </w:pPr>
    </w:p>
    <w:p>
      <w:pPr>
        <w:jc w:val="both"/>
        <w:ind w:firstLine="351"/>
        <w:spacing w:after="0" w:line="22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first quarter of both 2009 and 2008, we recognized $10.0 million of technology licensing revenue related to these agreements.</w:t>
      </w:r>
    </w:p>
    <w:p>
      <w:pPr>
        <w:spacing w:after="0" w:line="213" w:lineRule="exact"/>
        <w:rPr>
          <w:sz w:val="20"/>
          <w:szCs w:val="20"/>
          <w:color w:val="auto"/>
        </w:rPr>
      </w:pPr>
    </w:p>
    <w:p>
      <w:pPr>
        <w:jc w:val="both"/>
        <w:ind w:firstLine="270"/>
        <w:spacing w:after="0" w:line="222" w:lineRule="auto"/>
        <w:rPr>
          <w:sz w:val="20"/>
          <w:szCs w:val="20"/>
          <w:color w:val="auto"/>
        </w:rPr>
      </w:pPr>
      <w:r>
        <w:rPr>
          <w:rFonts w:ascii="Arial" w:cs="Arial" w:eastAsia="Arial" w:hAnsi="Arial"/>
          <w:sz w:val="18"/>
          <w:szCs w:val="18"/>
          <w:color w:val="auto"/>
        </w:rPr>
        <w:t>For the three months ended March 31, 2009, we recognized as revenue $3.9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for which both the right of return no longer exists and rebates can be reasonably estimated. At March 31, 2009, deferred revenue related to ARCALYST net product sales totaled $4.2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Total operating expenses increased to $94.2 million in the first quarter of 2009 from $72.3 million in the same period of 2008. Our average headcount increased to 938 in the first quarter of 2009 from 714 in the same period of 2008 principally as a result of our expanding research and development activities which are primarily attributable to the sanofi-aventis antibody collaboration.</w:t>
      </w:r>
    </w:p>
    <w:p>
      <w:pPr>
        <w:spacing w:after="0" w:line="221"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Operating expenses in the first quarter of 2009 and 2008 include a total of $7.7 million and $8.3 million, respectively, of non-cash compensation expense related to employee stock option and restricted stock awards (Non-cash Compensation Expense), as detailed below:</w:t>
      </w:r>
    </w:p>
    <w:p>
      <w:pPr>
        <w:spacing w:after="0" w:line="19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21"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5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tcBorders>
              <w:top w:val="single" w:sz="8" w:color="auto"/>
            </w:tcBorders>
            <w:gridSpan w:val="4"/>
          </w:tcPr>
          <w:p>
            <w:pPr>
              <w:jc w:val="center"/>
              <w:ind w:right="280"/>
              <w:spacing w:after="0"/>
              <w:rPr>
                <w:sz w:val="20"/>
                <w:szCs w:val="20"/>
                <w:color w:val="auto"/>
              </w:rPr>
            </w:pPr>
            <w:r>
              <w:rPr>
                <w:rFonts w:ascii="Arial" w:cs="Arial" w:eastAsia="Arial" w:hAnsi="Arial"/>
                <w:sz w:val="18"/>
                <w:szCs w:val="18"/>
                <w:b w:val="1"/>
                <w:bCs w:val="1"/>
                <w:color w:val="auto"/>
                <w:w w:val="86"/>
              </w:rPr>
              <w:t>Expenses before</w:t>
            </w:r>
          </w:p>
        </w:tc>
        <w:tc>
          <w:tcPr>
            <w:tcW w:w="4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r>
      <w:tr>
        <w:trPr>
          <w:trHeight w:val="236"/>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5"/>
              </w:rPr>
              <w:t>inclusion of Non-cash</w:t>
            </w:r>
          </w:p>
        </w:tc>
        <w:tc>
          <w:tcPr>
            <w:tcW w:w="15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Non-cash</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2"/>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1"/>
                <w:szCs w:val="21"/>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Compensation</w:t>
            </w:r>
          </w:p>
        </w:tc>
        <w:tc>
          <w:tcPr>
            <w:tcW w:w="15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Compensation</w:t>
            </w:r>
          </w:p>
        </w:tc>
        <w:tc>
          <w:tcPr>
            <w:tcW w:w="13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Expense</w:t>
            </w:r>
          </w:p>
        </w:tc>
        <w:tc>
          <w:tcPr>
            <w:tcW w:w="15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582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$ 77.4</w:t>
            </w:r>
          </w:p>
        </w:tc>
        <w:tc>
          <w:tcPr>
            <w:tcW w:w="7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80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$ 4.7</w:t>
            </w:r>
          </w:p>
        </w:tc>
        <w:tc>
          <w:tcPr>
            <w:tcW w:w="4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88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$ 82.1</w:t>
            </w:r>
          </w:p>
        </w:tc>
        <w:tc>
          <w:tcPr>
            <w:tcW w:w="460" w:type="dxa"/>
            <w:vAlign w:val="bottom"/>
            <w:tcBorders>
              <w:top w:val="single" w:sz="8" w:color="auto"/>
            </w:tcBorders>
            <w:shd w:val="clear" w:color="auto" w:fill="C0C0C0"/>
          </w:tcPr>
          <w:p>
            <w:pPr>
              <w:spacing w:after="0"/>
              <w:rPr>
                <w:sz w:val="21"/>
                <w:szCs w:val="21"/>
                <w:color w:val="auto"/>
              </w:rPr>
            </w:pPr>
          </w:p>
        </w:tc>
      </w:tr>
      <w:tr>
        <w:trPr>
          <w:trHeight w:val="235"/>
        </w:trPr>
        <w:tc>
          <w:tcPr>
            <w:tcW w:w="58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460" w:type="dxa"/>
            <w:vAlign w:val="bottom"/>
          </w:tcPr>
          <w:p>
            <w:pPr>
              <w:spacing w:after="0"/>
              <w:rPr>
                <w:sz w:val="20"/>
                <w:szCs w:val="20"/>
                <w:color w:val="auto"/>
              </w:rPr>
            </w:pPr>
          </w:p>
        </w:tc>
      </w:tr>
      <w:tr>
        <w:trPr>
          <w:trHeight w:val="244"/>
        </w:trPr>
        <w:tc>
          <w:tcPr>
            <w:tcW w:w="58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740" w:type="dxa"/>
            <w:vAlign w:val="bottom"/>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40" w:type="dxa"/>
            <w:vAlign w:val="bottom"/>
            <w:tcBorders>
              <w:bottom w:val="single" w:sz="8" w:color="auto"/>
            </w:tcBorders>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0C0C0"/>
          </w:tcPr>
          <w:p>
            <w:pPr>
              <w:spacing w:after="0"/>
              <w:rPr>
                <w:sz w:val="21"/>
                <w:szCs w:val="21"/>
                <w:color w:val="auto"/>
              </w:rPr>
            </w:pPr>
          </w:p>
        </w:tc>
      </w:tr>
      <w:tr>
        <w:trPr>
          <w:trHeight w:val="242"/>
        </w:trPr>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$ 86.5</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$ 7.7</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$ 94.2</w:t>
            </w:r>
          </w:p>
        </w:tc>
        <w:tc>
          <w:tcPr>
            <w:tcW w:w="460" w:type="dxa"/>
            <w:vAlign w:val="bottom"/>
          </w:tcPr>
          <w:p>
            <w:pPr>
              <w:spacing w:after="0"/>
              <w:rPr>
                <w:sz w:val="21"/>
                <w:szCs w:val="21"/>
                <w:color w:val="auto"/>
              </w:rPr>
            </w:pPr>
          </w:p>
        </w:tc>
      </w:tr>
      <w:tr>
        <w:trPr>
          <w:trHeight w:val="28"/>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480"/>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ind w:left="120"/>
              <w:spacing w:after="0"/>
              <w:rPr>
                <w:sz w:val="20"/>
                <w:szCs w:val="20"/>
                <w:color w:val="auto"/>
              </w:rPr>
            </w:pPr>
            <w:r>
              <w:rPr>
                <w:rFonts w:ascii="Arial" w:cs="Arial" w:eastAsia="Arial" w:hAnsi="Arial"/>
                <w:sz w:val="18"/>
                <w:szCs w:val="18"/>
                <w:b w:val="1"/>
                <w:bCs w:val="1"/>
                <w:color w:val="auto"/>
              </w:rPr>
              <w:t>For the three months ended March 31, 2008</w:t>
            </w:r>
          </w:p>
        </w:tc>
      </w:tr>
      <w:tr>
        <w:trPr>
          <w:trHeight w:val="234"/>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Expenses before</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6"/>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5"/>
              </w:rPr>
              <w:t>inclusion of Non-cash</w:t>
            </w:r>
          </w:p>
        </w:tc>
        <w:tc>
          <w:tcPr>
            <w:tcW w:w="15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Non-cash</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2"/>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1"/>
                <w:szCs w:val="21"/>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Compensation</w:t>
            </w:r>
          </w:p>
        </w:tc>
        <w:tc>
          <w:tcPr>
            <w:tcW w:w="15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Compensation</w:t>
            </w:r>
          </w:p>
        </w:tc>
        <w:tc>
          <w:tcPr>
            <w:tcW w:w="13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Expense</w:t>
            </w:r>
          </w:p>
        </w:tc>
        <w:tc>
          <w:tcPr>
            <w:tcW w:w="15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582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$ 56.4</w:t>
            </w:r>
          </w:p>
        </w:tc>
        <w:tc>
          <w:tcPr>
            <w:tcW w:w="7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80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$ 4.9</w:t>
            </w:r>
          </w:p>
        </w:tc>
        <w:tc>
          <w:tcPr>
            <w:tcW w:w="4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88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$ 61.3</w:t>
            </w:r>
          </w:p>
        </w:tc>
        <w:tc>
          <w:tcPr>
            <w:tcW w:w="460" w:type="dxa"/>
            <w:vAlign w:val="bottom"/>
            <w:tcBorders>
              <w:top w:val="single" w:sz="8" w:color="auto"/>
            </w:tcBorders>
            <w:shd w:val="clear" w:color="auto" w:fill="C0C0C0"/>
          </w:tcPr>
          <w:p>
            <w:pPr>
              <w:spacing w:after="0"/>
              <w:rPr>
                <w:sz w:val="21"/>
                <w:szCs w:val="21"/>
                <w:color w:val="auto"/>
              </w:rPr>
            </w:pPr>
          </w:p>
        </w:tc>
      </w:tr>
      <w:tr>
        <w:trPr>
          <w:trHeight w:val="237"/>
        </w:trPr>
        <w:tc>
          <w:tcPr>
            <w:tcW w:w="58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C0C0C0"/>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7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C0C0C0"/>
            </w:tcBorders>
          </w:tcPr>
          <w:p>
            <w:pPr>
              <w:spacing w:after="0"/>
              <w:rPr>
                <w:sz w:val="20"/>
                <w:szCs w:val="20"/>
                <w:color w:val="auto"/>
              </w:rPr>
            </w:pPr>
          </w:p>
        </w:tc>
      </w:tr>
      <w:tr>
        <w:trPr>
          <w:trHeight w:val="242"/>
        </w:trPr>
        <w:tc>
          <w:tcPr>
            <w:tcW w:w="58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$ 64.0</w:t>
            </w: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$ 8.3</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$ 72.3</w:t>
            </w:r>
          </w:p>
        </w:tc>
        <w:tc>
          <w:tcPr>
            <w:tcW w:w="460" w:type="dxa"/>
            <w:vAlign w:val="bottom"/>
            <w:shd w:val="clear" w:color="auto" w:fill="C0C0C0"/>
          </w:tcPr>
          <w:p>
            <w:pPr>
              <w:spacing w:after="0"/>
              <w:rPr>
                <w:sz w:val="21"/>
                <w:szCs w:val="21"/>
                <w:color w:val="auto"/>
              </w:rPr>
            </w:pPr>
          </w:p>
        </w:tc>
      </w:tr>
      <w:tr>
        <w:trPr>
          <w:trHeight w:val="28"/>
        </w:trPr>
        <w:tc>
          <w:tcPr>
            <w:tcW w:w="556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40" w:type="dxa"/>
            <w:vAlign w:val="bottom"/>
            <w:shd w:val="clear" w:color="auto" w:fill="C0C0C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46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460" w:type="dxa"/>
            <w:vAlign w:val="bottom"/>
            <w:shd w:val="clear" w:color="auto" w:fill="C0C0C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shd w:val="clear" w:color="auto" w:fill="C0C0C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Expenses:</w:t>
      </w:r>
    </w:p>
    <w:p>
      <w:pPr>
        <w:sectPr>
          <w:pgSz w:w="11900" w:h="16838" w:orient="portrait"/>
          <w:cols w:equalWidth="0" w:num="1">
            <w:col w:w="11420"/>
          </w:cols>
          <w:pgMar w:left="240" w:top="131" w:right="239" w:bottom="0" w:gutter="0" w:footer="0" w:header="0"/>
          <w:type w:val="continuous"/>
        </w:sectPr>
      </w:pPr>
    </w:p>
    <w:bookmarkStart w:id="15" w:name="page16"/>
    <w:bookmarkEnd w:id="15"/>
    <w:p>
      <w:pPr>
        <w:spacing w:after="0" w:line="43"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Research and development expenses increased to $82.1 million in the first quarter of 2009 from $61.3 million in the same period of 2008. The following table summarizes the major categories of our research and development expenses for the three months ended March 31, 2009 and 2008:</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ind w:left="360"/>
              <w:spacing w:after="0"/>
              <w:rPr>
                <w:sz w:val="20"/>
                <w:szCs w:val="20"/>
                <w:color w:val="auto"/>
              </w:rPr>
            </w:pPr>
            <w:r>
              <w:rPr>
                <w:rFonts w:ascii="Arial" w:cs="Arial" w:eastAsia="Arial" w:hAnsi="Arial"/>
                <w:sz w:val="18"/>
                <w:szCs w:val="18"/>
                <w:b w:val="1"/>
                <w:bCs w:val="1"/>
                <w:color w:val="auto"/>
                <w:w w:val="88"/>
              </w:rPr>
              <w:t>For the three months ended March 31,</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r>
      <w:tr>
        <w:trPr>
          <w:trHeight w:val="237"/>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Increase</w:t>
            </w:r>
          </w:p>
        </w:tc>
      </w:tr>
      <w:tr>
        <w:trPr>
          <w:trHeight w:val="237"/>
        </w:trPr>
        <w:tc>
          <w:tcPr>
            <w:tcW w:w="57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86"/>
              </w:rPr>
              <w:t>(Decrease)</w:t>
            </w:r>
          </w:p>
        </w:tc>
      </w:tr>
      <w:tr>
        <w:trPr>
          <w:trHeight w:val="243"/>
        </w:trPr>
        <w:tc>
          <w:tcPr>
            <w:tcW w:w="5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$ 22.9</w:t>
            </w:r>
          </w:p>
        </w:tc>
        <w:tc>
          <w:tcPr>
            <w:tcW w:w="18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$ 19.2</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0C0C0"/>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460" w:type="dxa"/>
            <w:vAlign w:val="bottom"/>
          </w:tcPr>
          <w:p>
            <w:pPr>
              <w:spacing w:after="0"/>
              <w:rPr>
                <w:sz w:val="20"/>
                <w:szCs w:val="20"/>
                <w:color w:val="auto"/>
              </w:rPr>
            </w:pPr>
          </w:p>
        </w:tc>
      </w:tr>
      <w:tr>
        <w:trPr>
          <w:trHeight w:val="251"/>
        </w:trPr>
        <w:tc>
          <w:tcPr>
            <w:tcW w:w="5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14.1</w:t>
            </w:r>
          </w:p>
        </w:tc>
        <w:tc>
          <w:tcPr>
            <w:tcW w:w="18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14.7</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420"/>
              <w:spacing w:after="0"/>
              <w:rPr>
                <w:sz w:val="20"/>
                <w:szCs w:val="20"/>
                <w:color w:val="auto"/>
              </w:rPr>
            </w:pPr>
            <w:r>
              <w:rPr>
                <w:rFonts w:ascii="Arial" w:cs="Arial" w:eastAsia="Arial" w:hAnsi="Arial"/>
                <w:sz w:val="18"/>
                <w:szCs w:val="18"/>
                <w:color w:val="auto"/>
                <w:w w:val="91"/>
              </w:rPr>
              <w:t>(0.6)</w:t>
            </w: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Research and preclinical development costs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0"/>
                <w:szCs w:val="20"/>
                <w:color w:val="auto"/>
              </w:rPr>
            </w:pPr>
          </w:p>
        </w:tc>
      </w:tr>
      <w:tr>
        <w:trPr>
          <w:trHeight w:val="251"/>
        </w:trPr>
        <w:tc>
          <w:tcPr>
            <w:tcW w:w="5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w:t>
            </w:r>
          </w:p>
        </w:tc>
        <w:tc>
          <w:tcPr>
            <w:tcW w:w="188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0C0C0"/>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Cost-sharing of Bayer HealthCare VEGF</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4"/>
        </w:trPr>
        <w:tc>
          <w:tcPr>
            <w:tcW w:w="574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Trap-Eye development expenses (3)</w:t>
            </w:r>
          </w:p>
        </w:tc>
        <w:tc>
          <w:tcPr>
            <w:tcW w:w="740" w:type="dxa"/>
            <w:vAlign w:val="bottom"/>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7.0</w:t>
            </w:r>
          </w:p>
        </w:tc>
        <w:tc>
          <w:tcPr>
            <w:tcW w:w="1460" w:type="dxa"/>
            <w:vAlign w:val="bottom"/>
            <w:gridSpan w:val="3"/>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0C0C0"/>
          </w:tcPr>
          <w:p>
            <w:pPr>
              <w:spacing w:after="0"/>
              <w:rPr>
                <w:sz w:val="21"/>
                <w:szCs w:val="21"/>
                <w:color w:val="auto"/>
              </w:rPr>
            </w:pPr>
          </w:p>
        </w:tc>
      </w:tr>
      <w:tr>
        <w:trPr>
          <w:trHeight w:val="242"/>
        </w:trPr>
        <w:tc>
          <w:tcPr>
            <w:tcW w:w="5740" w:type="dxa"/>
            <w:vAlign w:val="bottom"/>
            <w:gridSpan w:val="2"/>
          </w:tcPr>
          <w:p>
            <w:pPr>
              <w:ind w:left="300"/>
              <w:spacing w:after="0"/>
              <w:rPr>
                <w:sz w:val="20"/>
                <w:szCs w:val="20"/>
                <w:color w:val="auto"/>
              </w:rPr>
            </w:pPr>
            <w:r>
              <w:rPr>
                <w:rFonts w:ascii="Arial" w:cs="Arial" w:eastAsia="Arial" w:hAnsi="Arial"/>
                <w:sz w:val="18"/>
                <w:szCs w:val="18"/>
                <w:color w:val="auto"/>
              </w:rPr>
              <w:t>Total research and development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$ 82.1</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$ 61.3</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20.8</w:t>
            </w:r>
          </w:p>
        </w:tc>
        <w:tc>
          <w:tcPr>
            <w:tcW w:w="460" w:type="dxa"/>
            <w:vAlign w:val="bottom"/>
          </w:tcPr>
          <w:p>
            <w:pPr>
              <w:spacing w:after="0"/>
              <w:rPr>
                <w:sz w:val="21"/>
                <w:szCs w:val="21"/>
                <w:color w:val="auto"/>
              </w:rPr>
            </w:pPr>
          </w:p>
        </w:tc>
      </w:tr>
      <w:tr>
        <w:trPr>
          <w:trHeight w:val="28"/>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bl>
    <w:p>
      <w:pPr>
        <w:spacing w:after="0" w:line="235" w:lineRule="exact"/>
        <w:rPr>
          <w:sz w:val="20"/>
          <w:szCs w:val="20"/>
          <w:color w:val="auto"/>
        </w:rPr>
      </w:pPr>
    </w:p>
    <w:p>
      <w:pPr>
        <w:ind w:left="760" w:hanging="482"/>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$4.0 million and $4.2 million of Non-cash Compensation Expense for the three months ended March 31, 2009 and 2008, respectively.</w:t>
      </w:r>
    </w:p>
    <w:p>
      <w:pPr>
        <w:spacing w:after="0" w:line="59" w:lineRule="exact"/>
        <w:rPr>
          <w:rFonts w:ascii="Arial" w:cs="Arial" w:eastAsia="Arial" w:hAnsi="Arial"/>
          <w:sz w:val="16"/>
          <w:szCs w:val="16"/>
          <w:color w:val="auto"/>
        </w:rPr>
      </w:pPr>
    </w:p>
    <w:p>
      <w:pPr>
        <w:jc w:val="both"/>
        <w:ind w:left="760" w:hanging="482"/>
        <w:spacing w:after="0" w:line="284"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March 31, 2009 and 2008.</w:t>
      </w:r>
    </w:p>
    <w:p>
      <w:pPr>
        <w:spacing w:after="0" w:line="1" w:lineRule="exact"/>
        <w:rPr>
          <w:rFonts w:ascii="Arial" w:cs="Arial" w:eastAsia="Arial" w:hAnsi="Arial"/>
          <w:sz w:val="16"/>
          <w:szCs w:val="16"/>
          <w:color w:val="auto"/>
        </w:rPr>
      </w:pPr>
    </w:p>
    <w:p>
      <w:pPr>
        <w:jc w:val="both"/>
        <w:ind w:left="760" w:hanging="482"/>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and Phase 2 trial in DME, (ii) ARCALYST, related to our Phase 3 clinical development program in gout, and (iii) monoclonal antibodies, primarily related to REGN88 in rheumatoid arthritis. Clinical manufacturing costs decreased due to lower costs related to manufacturing aflibercept clinical supplies, partially offset by higher costs related to manufacturing clinical supplies of ARCALYST and monoclonal antibodies, including REGN88. Research and preclinical development costs increased primarily due to higher costs associated with our antibody programs. Occupancy and other operating costs increased principally in connection with our higher headcount, expanded research and development activities, and new operating lease for our Tarrytown, New York facilities, which commenced in June 2008. Cost-sharing of Bayer HealthCare’s VEGF Trap-Eye development expenses slightly increased primarily due to higher costs in connection with the VIEW 2 trial in wet AMD, which is being conducted by Bayer HealthCare.</w:t>
      </w:r>
    </w:p>
    <w:p>
      <w:pPr>
        <w:spacing w:after="0" w:line="201"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(including ARCALYST for the treatment of CAPS prior to receipt of marketing approval from the FDA in February 2008) are shown below:</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Project Costs</w:t>
            </w:r>
          </w:p>
        </w:tc>
        <w:tc>
          <w:tcPr>
            <w:tcW w:w="740" w:type="dxa"/>
            <w:vAlign w:val="bottom"/>
          </w:tcPr>
          <w:p>
            <w:pPr>
              <w:spacing w:after="0"/>
              <w:rPr>
                <w:sz w:val="20"/>
                <w:szCs w:val="20"/>
                <w:color w:val="auto"/>
              </w:rPr>
            </w:pPr>
          </w:p>
        </w:tc>
        <w:tc>
          <w:tcPr>
            <w:tcW w:w="3260" w:type="dxa"/>
            <w:vAlign w:val="bottom"/>
            <w:gridSpan w:val="9"/>
          </w:tcPr>
          <w:p>
            <w:pPr>
              <w:ind w:left="360"/>
              <w:spacing w:after="0"/>
              <w:rPr>
                <w:sz w:val="20"/>
                <w:szCs w:val="20"/>
                <w:color w:val="auto"/>
              </w:rPr>
            </w:pPr>
            <w:r>
              <w:rPr>
                <w:rFonts w:ascii="Arial" w:cs="Arial" w:eastAsia="Arial" w:hAnsi="Arial"/>
                <w:sz w:val="18"/>
                <w:szCs w:val="18"/>
                <w:b w:val="1"/>
                <w:bCs w:val="1"/>
                <w:color w:val="auto"/>
                <w:w w:val="88"/>
              </w:rPr>
              <w:t>For the three months ended March 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8"/>
        </w:trPr>
        <w:tc>
          <w:tcPr>
            <w:tcW w:w="5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8"/>
              </w:rPr>
              <w:t>Increase</w:t>
            </w:r>
          </w:p>
        </w:tc>
      </w:tr>
      <w:tr>
        <w:trPr>
          <w:trHeight w:val="251"/>
        </w:trPr>
        <w:tc>
          <w:tcPr>
            <w:tcW w:w="57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2008</w:t>
            </w: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86"/>
              </w:rPr>
              <w:t>(Decrease)</w:t>
            </w:r>
          </w:p>
        </w:tc>
      </w:tr>
      <w:tr>
        <w:trPr>
          <w:trHeight w:val="297"/>
        </w:trPr>
        <w:tc>
          <w:tcPr>
            <w:tcW w:w="5740" w:type="dxa"/>
            <w:vAlign w:val="bottom"/>
            <w:gridSpan w:val="2"/>
            <w:shd w:val="clear" w:color="auto" w:fill="C0C0C0"/>
          </w:tcPr>
          <w:p>
            <w:pPr>
              <w:spacing w:after="0" w:line="297" w:lineRule="exact"/>
              <w:rPr>
                <w:sz w:val="20"/>
                <w:szCs w:val="20"/>
                <w:color w:val="auto"/>
              </w:rPr>
            </w:pPr>
            <w:r>
              <w:rPr>
                <w:rFonts w:ascii="Arial" w:cs="Arial" w:eastAsia="Arial" w:hAnsi="Arial"/>
                <w:sz w:val="17"/>
                <w:szCs w:val="17"/>
                <w:color w:val="auto"/>
              </w:rPr>
              <w:t>ARCALYST</w:t>
            </w:r>
            <w:r>
              <w:rPr>
                <w:rFonts w:ascii="Arial" w:cs="Arial" w:eastAsia="Arial" w:hAnsi="Arial"/>
                <w:sz w:val="34"/>
                <w:szCs w:val="34"/>
                <w:color w:val="auto"/>
                <w:vertAlign w:val="superscript"/>
              </w:rPr>
              <w:t>®</w:t>
            </w:r>
            <w:r>
              <w:rPr>
                <w:rFonts w:ascii="Arial" w:cs="Arial" w:eastAsia="Arial" w:hAnsi="Arial"/>
                <w:sz w:val="17"/>
                <w:szCs w:val="17"/>
                <w:color w:val="auto"/>
              </w:rPr>
              <w:t xml:space="preserve"> (rilonacept)</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$ 17.9</w:t>
            </w:r>
          </w:p>
        </w:tc>
        <w:tc>
          <w:tcPr>
            <w:tcW w:w="1540" w:type="dxa"/>
            <w:vAlign w:val="bottom"/>
            <w:gridSpan w:val="4"/>
            <w:shd w:val="clear" w:color="auto" w:fill="C0C0C0"/>
          </w:tcPr>
          <w:p>
            <w:pPr>
              <w:ind w:left="14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0C0C0"/>
          </w:tcPr>
          <w:p>
            <w:pPr>
              <w:spacing w:after="0"/>
              <w:rPr>
                <w:sz w:val="24"/>
                <w:szCs w:val="24"/>
                <w:color w:val="auto"/>
              </w:rPr>
            </w:pPr>
          </w:p>
        </w:tc>
        <w:tc>
          <w:tcPr>
            <w:tcW w:w="28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0C0C0"/>
          </w:tcPr>
          <w:p>
            <w:pPr>
              <w:spacing w:after="0"/>
              <w:rPr>
                <w:sz w:val="24"/>
                <w:szCs w:val="24"/>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Aflibercept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(5.9)</w:t>
            </w:r>
          </w:p>
        </w:tc>
      </w:tr>
      <w:tr>
        <w:trPr>
          <w:trHeight w:val="251"/>
        </w:trPr>
        <w:tc>
          <w:tcPr>
            <w:tcW w:w="5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VEGF Trap-Eye</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20.8</w:t>
            </w: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16.6</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0C0C0"/>
          </w:tcPr>
          <w:p>
            <w:pPr>
              <w:spacing w:after="0"/>
              <w:rPr>
                <w:sz w:val="21"/>
                <w:szCs w:val="21"/>
                <w:color w:val="auto"/>
              </w:rPr>
            </w:pPr>
          </w:p>
        </w:tc>
      </w:tr>
      <w:tr>
        <w:trPr>
          <w:trHeight w:val="235"/>
        </w:trPr>
        <w:tc>
          <w:tcPr>
            <w:tcW w:w="5740" w:type="dxa"/>
            <w:vAlign w:val="bottom"/>
            <w:gridSpan w:val="2"/>
          </w:tcPr>
          <w:p>
            <w:pPr>
              <w:spacing w:after="0"/>
              <w:rPr>
                <w:sz w:val="20"/>
                <w:szCs w:val="20"/>
                <w:color w:val="auto"/>
              </w:rPr>
            </w:pPr>
            <w:r>
              <w:rPr>
                <w:rFonts w:ascii="Arial" w:cs="Arial" w:eastAsia="Arial" w:hAnsi="Arial"/>
                <w:sz w:val="18"/>
                <w:szCs w:val="18"/>
                <w:color w:val="auto"/>
              </w:rPr>
              <w:t>REGN88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0"/>
                <w:szCs w:val="20"/>
                <w:color w:val="auto"/>
              </w:rPr>
            </w:pPr>
          </w:p>
        </w:tc>
      </w:tr>
      <w:tr>
        <w:trPr>
          <w:trHeight w:val="251"/>
        </w:trPr>
        <w:tc>
          <w:tcPr>
            <w:tcW w:w="5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REGN421 and REGN475</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7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0C0C0"/>
          </w:tcPr>
          <w:p>
            <w:pPr>
              <w:spacing w:after="0"/>
              <w:rPr>
                <w:sz w:val="21"/>
                <w:szCs w:val="21"/>
                <w:color w:val="auto"/>
              </w:rPr>
            </w:pPr>
          </w:p>
        </w:tc>
      </w:tr>
      <w:tr>
        <w:trPr>
          <w:trHeight w:val="237"/>
        </w:trPr>
        <w:tc>
          <w:tcPr>
            <w:tcW w:w="57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Other research programs &amp; unallocated costs</w:t>
            </w:r>
          </w:p>
        </w:tc>
        <w:tc>
          <w:tcPr>
            <w:tcW w:w="740" w:type="dxa"/>
            <w:vAlign w:val="bottom"/>
            <w:tcBorders>
              <w:bottom w:val="single" w:sz="8" w:color="C0C0C0"/>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7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22.8</w:t>
            </w:r>
          </w:p>
        </w:tc>
        <w:tc>
          <w:tcPr>
            <w:tcW w:w="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0C0C0"/>
            </w:tcBorders>
          </w:tcPr>
          <w:p>
            <w:pPr>
              <w:spacing w:after="0"/>
              <w:rPr>
                <w:sz w:val="20"/>
                <w:szCs w:val="20"/>
                <w:color w:val="auto"/>
              </w:rPr>
            </w:pPr>
          </w:p>
        </w:tc>
      </w:tr>
      <w:tr>
        <w:trPr>
          <w:trHeight w:val="242"/>
        </w:trPr>
        <w:tc>
          <w:tcPr>
            <w:tcW w:w="57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$ 82.1</w:t>
            </w:r>
          </w:p>
        </w:tc>
        <w:tc>
          <w:tcPr>
            <w:tcW w:w="1540" w:type="dxa"/>
            <w:vAlign w:val="bottom"/>
            <w:gridSpan w:val="4"/>
            <w:shd w:val="clear" w:color="auto" w:fill="C0C0C0"/>
          </w:tcPr>
          <w:p>
            <w:pPr>
              <w:ind w:left="14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61.3</w:t>
            </w:r>
          </w:p>
        </w:tc>
        <w:tc>
          <w:tcPr>
            <w:tcW w:w="4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20.8</w:t>
            </w:r>
          </w:p>
        </w:tc>
        <w:tc>
          <w:tcPr>
            <w:tcW w:w="460" w:type="dxa"/>
            <w:vAlign w:val="bottom"/>
            <w:shd w:val="clear" w:color="auto" w:fill="C0C0C0"/>
          </w:tcPr>
          <w:p>
            <w:pPr>
              <w:spacing w:after="0"/>
              <w:rPr>
                <w:sz w:val="21"/>
                <w:szCs w:val="21"/>
                <w:color w:val="auto"/>
              </w:rPr>
            </w:pPr>
          </w:p>
        </w:tc>
      </w:tr>
      <w:tr>
        <w:trPr>
          <w:trHeight w:val="28"/>
        </w:trPr>
        <w:tc>
          <w:tcPr>
            <w:tcW w:w="548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40" w:type="dxa"/>
            <w:vAlign w:val="bottom"/>
            <w:shd w:val="clear" w:color="auto" w:fill="C0C0C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4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C0C0C0"/>
          </w:tcPr>
          <w:p>
            <w:pPr>
              <w:spacing w:after="0"/>
              <w:rPr>
                <w:sz w:val="2"/>
                <w:szCs w:val="2"/>
                <w:color w:val="auto"/>
              </w:rPr>
            </w:pPr>
          </w:p>
        </w:tc>
      </w:tr>
    </w:tbl>
    <w:p>
      <w:pPr>
        <w:spacing w:after="0" w:line="23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aflibercept, and VEGF Trap-Eye in different disease indications.</w:t>
      </w:r>
    </w:p>
    <w:p>
      <w:pPr>
        <w:spacing w:after="0" w:line="202" w:lineRule="exact"/>
        <w:rPr>
          <w:sz w:val="20"/>
          <w:szCs w:val="20"/>
          <w:color w:val="auto"/>
        </w:rPr>
      </w:pPr>
    </w:p>
    <w:p>
      <w:pPr>
        <w:jc w:val="both"/>
        <w:ind w:firstLine="365"/>
        <w:spacing w:after="0" w:line="313"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and the</w:t>
      </w:r>
    </w:p>
    <w:p>
      <w:pPr>
        <w:sectPr>
          <w:pgSz w:w="11900" w:h="16881" w:orient="portrait"/>
          <w:cols w:equalWidth="0" w:num="1">
            <w:col w:w="11420"/>
          </w:cols>
          <w:pgMar w:left="240" w:top="158" w:right="239" w:bottom="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generate material product revenues and net cash inflows. In the first quarter of 2008, we received FDA approval for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Selling, general, and administrative expenses increased to $11.7 million in the first quarter of 2009 from $11.0 million in the same period of 2008 due to (i) higher selling expenses related to ARCALYST, (ii) higher compensation expense due primarily to increases in administrative headcount to support our expanded research and development activities, and (iii) higher administrative facility-related costs arising principally in connection with our higher headcount and the new operating lease for our Tarrytown, New York facilities, which commenced in June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52"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In the third quarter of 2008, we began recognizing revenue and cost of goods sold from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Cost of goods sold for the first quarter of 2009 was $0.4 million and consisted primarily of royalty and other period costs related to ARCALYST commercial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Investment income decreased to $1.8 million in the first quarter of 2009 from $7.3 million in the comparable quarter of 2008. The decrease in investment income was due to lower yields on, and lower balances of, cash and marketable securities in the first quarter of 2009 compared to the same quarter of 2008. Interest expense was $3.0 million in the first quarter of 2008 and related to $200.0 million of formerly outstanding 5.5% Convertible Senior Subordinated Notes which we either repurchased or repaid in full during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6"/>
          <w:szCs w:val="16"/>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 product revenue, and investment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2009 and 2008</w:t>
      </w:r>
    </w:p>
    <w:p>
      <w:pPr>
        <w:spacing w:after="0" w:line="252" w:lineRule="exact"/>
        <w:rPr>
          <w:sz w:val="20"/>
          <w:szCs w:val="20"/>
          <w:color w:val="auto"/>
        </w:rPr>
      </w:pPr>
    </w:p>
    <w:p>
      <w:pPr>
        <w:jc w:val="both"/>
        <w:ind w:firstLine="270"/>
        <w:spacing w:after="0" w:line="370" w:lineRule="auto"/>
        <w:rPr>
          <w:sz w:val="20"/>
          <w:szCs w:val="20"/>
          <w:color w:val="auto"/>
        </w:rPr>
      </w:pPr>
      <w:r>
        <w:rPr>
          <w:rFonts w:ascii="Arial" w:cs="Arial" w:eastAsia="Arial" w:hAnsi="Arial"/>
          <w:sz w:val="15"/>
          <w:szCs w:val="15"/>
          <w:color w:val="auto"/>
        </w:rPr>
        <w:t>At March 31, 2009, we had $496.0 million in cash, cash equivalents, restricted cash, and marketable securities compared with $527.5 million at December 31, 2008. In February 2009, we received a $20.0 million annual, non-refundable payment in connection with our non-exclusive license agreement with AstraZeneca.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Net cash used in operations was $10.2 million in the first quarter of 2009 compared to $17.9 million in the first quarter of 2008. Our net losses of $17.5 million in the first quarter of 2009 and $11.6 million in the first quarter of 2008 included $7.7 million and $8.3 million, respectively, of Non-cash Compensation Expense.</w:t>
      </w:r>
    </w:p>
    <w:p>
      <w:pPr>
        <w:spacing w:after="0" w:line="221"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At March 31, 2009, accounts receivable increased by $13.0 million, compared to end-of-year 2008, primarily due to a higher receivable balance related to our antibody collaboration with sanofi-aventis. Also, prepaid expenses and other assets increased by $8.6 million at March 31, 2009 compared to end-of-year 2008 due primarily to higher prepaid clinical trial costs. At March 31, 2009, accounts payable, accrued expenses, and other liabilities increased by $15.3 million compared to end-of-year 2008. The increase was due primarily to higher liabilities for clinical trial and payroll costs, and capital expenditures, primarily for tenant improvements and related costs in connection with our new leased facilities in Tarrytown, New York, partially offset by a lower cost-sharing payment due to Bayer HealthCare in connection with the companies’ VEGF Trap-Eye collaboration.</w:t>
      </w:r>
    </w:p>
    <w:p>
      <w:pPr>
        <w:spacing w:after="0" w:line="201"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At March 31, 2008, accounts receivable increased by $14.6 million, compared to end-of-year 2007, primarily due to higher receivable balances related to our collaborations with sanofi-aventis. Accounts payable, accrued expenses, and other liabilities decreased by $7.6 million at March 31, 2008, compared to end-of-year 2007, due primarily to reductions in accrued payroll costs and the amount of the cost-sharing payment due to Bayer HealthCare in connection with the companies’ VEGF Trap-Eye collaboration.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52" w:lineRule="exact"/>
        <w:rPr>
          <w:sz w:val="20"/>
          <w:szCs w:val="20"/>
          <w:color w:val="auto"/>
        </w:rPr>
      </w:pPr>
    </w:p>
    <w:p>
      <w:pPr>
        <w:jc w:val="both"/>
        <w:ind w:firstLine="270"/>
        <w:spacing w:after="0" w:line="335" w:lineRule="auto"/>
        <w:rPr>
          <w:sz w:val="20"/>
          <w:szCs w:val="20"/>
          <w:color w:val="auto"/>
        </w:rPr>
      </w:pPr>
      <w:r>
        <w:rPr>
          <w:rFonts w:ascii="Arial" w:cs="Arial" w:eastAsia="Arial" w:hAnsi="Arial"/>
          <w:sz w:val="15"/>
          <w:szCs w:val="15"/>
          <w:color w:val="auto"/>
        </w:rPr>
        <w:t>Net cash used in investing activities was $39.5 million in the first quarter of 2009 compared to net cash provided by investing activities of $37.9 million in the same period of 2008, due primarily to an increase in purchases of marketable securities net of sales or maturities. In the first quarter of 2009, purchases exceeded sales or maturities of marketable securities by $17.6 million, whereas in the first quarter of 2008, sales or maturities exceeded purchases of marketable securities</w:t>
      </w:r>
    </w:p>
    <w:p>
      <w:pPr>
        <w:sectPr>
          <w:pgSz w:w="11900" w:h="16838" w:orient="portrait"/>
          <w:cols w:equalWidth="0" w:num="1">
            <w:col w:w="11420"/>
          </w:cols>
          <w:pgMar w:left="240" w:top="131" w:right="239" w:bottom="0" w:gutter="0" w:footer="0" w:header="0"/>
        </w:sectPr>
      </w:pPr>
    </w:p>
    <w:bookmarkStart w:id="17" w:name="page18"/>
    <w:bookmarkEnd w:id="17"/>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by $41.0 million. In addition, cash used for capital expenditures totaled $21.9 million in the first three months of 2009, primarily for tenant improvements and related costs in connection with our new leased facilities in Tarrytown.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Cash provided by financing activities decreased to $1.0 million in the first quarter of 2009 from $1.9 million in the same period in 2008 due to a decrease in issuances of Common Stock in connection with exercises of employee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March 31, 2009 and December 31, 2008, we held marketable securities whose aggregate fair value totaled $295.2 million and $278.0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portfolio of marketable securities on these dates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6"/>
          </w:tcPr>
          <w:p>
            <w:pPr>
              <w:ind w:left="60"/>
              <w:spacing w:after="0"/>
              <w:rPr>
                <w:sz w:val="20"/>
                <w:szCs w:val="20"/>
                <w:color w:val="auto"/>
              </w:rPr>
            </w:pPr>
            <w:r>
              <w:rPr>
                <w:rFonts w:ascii="Arial" w:cs="Arial" w:eastAsia="Arial" w:hAnsi="Arial"/>
                <w:sz w:val="18"/>
                <w:szCs w:val="18"/>
                <w:b w:val="1"/>
                <w:bCs w:val="1"/>
                <w:color w:val="auto"/>
              </w:rPr>
              <w:t>March 31, 2009</w:t>
            </w:r>
          </w:p>
        </w:tc>
        <w:tc>
          <w:tcPr>
            <w:tcW w:w="16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December 31, 2008</w:t>
            </w:r>
          </w:p>
        </w:tc>
      </w:tr>
      <w:tr>
        <w:trPr>
          <w:trHeight w:val="237"/>
        </w:trPr>
        <w:tc>
          <w:tcPr>
            <w:tcW w:w="466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Fair Value</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1"/>
              </w:rPr>
              <w:t>Percent</w:t>
            </w:r>
          </w:p>
        </w:tc>
        <w:tc>
          <w:tcPr>
            <w:tcW w:w="280" w:type="dxa"/>
            <w:vAlign w:val="bottom"/>
          </w:tcPr>
          <w:p>
            <w:pPr>
              <w:spacing w:after="0"/>
              <w:rPr>
                <w:sz w:val="20"/>
                <w:szCs w:val="20"/>
                <w:color w:val="auto"/>
              </w:rPr>
            </w:pPr>
          </w:p>
        </w:tc>
        <w:tc>
          <w:tcPr>
            <w:tcW w:w="10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Fair Value</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1"/>
              </w:rPr>
              <w:t>Percent</w:t>
            </w:r>
          </w:p>
        </w:tc>
        <w:tc>
          <w:tcPr>
            <w:tcW w:w="20" w:type="dxa"/>
            <w:vAlign w:val="bottom"/>
          </w:tcPr>
          <w:p>
            <w:pPr>
              <w:spacing w:after="0"/>
              <w:rPr>
                <w:sz w:val="20"/>
                <w:szCs w:val="20"/>
                <w:color w:val="auto"/>
              </w:rPr>
            </w:pPr>
          </w:p>
        </w:tc>
      </w:tr>
      <w:tr>
        <w:trPr>
          <w:trHeight w:val="243"/>
        </w:trPr>
        <w:tc>
          <w:tcPr>
            <w:tcW w:w="46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298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5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Borders>
              <w:top w:val="single" w:sz="8" w:color="C0C0C0"/>
            </w:tcBorders>
            <w:shd w:val="clear" w:color="auto" w:fill="C0C0C0"/>
          </w:tcPr>
          <w:p>
            <w:pPr>
              <w:spacing w:after="0"/>
              <w:rPr>
                <w:sz w:val="21"/>
                <w:szCs w:val="21"/>
                <w:color w:val="auto"/>
              </w:rPr>
            </w:pPr>
          </w:p>
        </w:tc>
        <w:tc>
          <w:tcPr>
            <w:tcW w:w="5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59.9</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2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48.9</w:t>
            </w:r>
          </w:p>
        </w:tc>
        <w:tc>
          <w:tcPr>
            <w:tcW w:w="7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U.S. government guaranteed collateralized mortgage</w:t>
            </w:r>
          </w:p>
        </w:tc>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4660" w:type="dxa"/>
            <w:vAlign w:val="bottom"/>
          </w:tcPr>
          <w:p>
            <w:pPr>
              <w:ind w:left="320"/>
              <w:spacing w:after="0"/>
              <w:rPr>
                <w:sz w:val="20"/>
                <w:szCs w:val="20"/>
                <w:color w:val="auto"/>
              </w:rPr>
            </w:pPr>
            <w:r>
              <w:rPr>
                <w:rFonts w:ascii="Arial" w:cs="Arial" w:eastAsia="Arial" w:hAnsi="Arial"/>
                <w:sz w:val="18"/>
                <w:szCs w:val="18"/>
                <w:color w:val="auto"/>
              </w:rPr>
              <w:t>obligations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2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32.1</w:t>
            </w:r>
          </w:p>
        </w:tc>
        <w:tc>
          <w:tcPr>
            <w:tcW w:w="7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35"/>
        </w:trPr>
        <w:tc>
          <w:tcPr>
            <w:tcW w:w="46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51"/>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2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3.2</w:t>
            </w:r>
          </w:p>
        </w:tc>
        <w:tc>
          <w:tcPr>
            <w:tcW w:w="7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44"/>
        </w:trPr>
        <w:tc>
          <w:tcPr>
            <w:tcW w:w="466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2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430"/>
        </w:trPr>
        <w:tc>
          <w:tcPr>
            <w:tcW w:w="4660" w:type="dxa"/>
            <w:vAlign w:val="bottom"/>
          </w:tcPr>
          <w:p>
            <w:pPr>
              <w:spacing w:after="0"/>
              <w:rPr>
                <w:sz w:val="24"/>
                <w:szCs w:val="24"/>
                <w:color w:val="auto"/>
              </w:rPr>
            </w:pPr>
          </w:p>
        </w:tc>
        <w:tc>
          <w:tcPr>
            <w:tcW w:w="2980" w:type="dxa"/>
            <w:vAlign w:val="bottom"/>
          </w:tcPr>
          <w:p>
            <w:pPr>
              <w:jc w:val="right"/>
              <w:ind w:right="1752"/>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In addition, at March 31, 2009 and December 31, 2008, we had $200.8 million and $249.5 million, respectively, of cash, cash equivalents, and restricted cash, primarily held in money market funds that invest in U.S. government securities.</w:t>
      </w:r>
    </w:p>
    <w:p>
      <w:pPr>
        <w:spacing w:after="0" w:line="213" w:lineRule="exact"/>
        <w:rPr>
          <w:sz w:val="20"/>
          <w:szCs w:val="20"/>
          <w:color w:val="auto"/>
        </w:rPr>
      </w:pPr>
    </w:p>
    <w:p>
      <w:pPr>
        <w:jc w:val="both"/>
        <w:ind w:right="40" w:firstLine="378"/>
        <w:spacing w:after="0" w:line="256" w:lineRule="auto"/>
        <w:rPr>
          <w:sz w:val="20"/>
          <w:szCs w:val="20"/>
          <w:color w:val="auto"/>
        </w:rPr>
      </w:pPr>
      <w:r>
        <w:rPr>
          <w:rFonts w:ascii="Arial" w:cs="Arial" w:eastAsia="Arial" w:hAnsi="Arial"/>
          <w:sz w:val="18"/>
          <w:szCs w:val="18"/>
          <w:color w:val="auto"/>
        </w:rPr>
        <w:t>During the first quarter of 2009, as marketable securities in our portfolio matured or paid down, we purchased primarily U.S. Treasury securities, U.S. government agency obligations and U.S. government-guaranteed debt. This shift toward higher quality securities, which we initiated in 2008, continues to reduce the risk profile, as well as the overall yield, of our portfolio. In particular, we continue to reduce the proportion of asset-backed securities and corporate bonds in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8"/>
          <w:szCs w:val="18"/>
          <w:color w:val="auto"/>
        </w:rPr>
        <w:t>Our additions to property, plant, and equipment totaled $24.7 million and $2.8 million for the first three months of 2009 and 2008, respectively. During the remainder of 2009, we expect to incur, primarily in connection with expanding our Rensselaer, New York manufacturing facilities and the new Tarrytown facilities approximately $80 to $90 million in capital expenditures of which up to approximately $50 million is reimbursable at our option from our landlord under the terms of our Tarrytown operating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Operating Lease – Tarrytown, New York Facilities:</w:t>
      </w:r>
    </w:p>
    <w:p>
      <w:pPr>
        <w:spacing w:after="0" w:line="252" w:lineRule="exact"/>
        <w:rPr>
          <w:sz w:val="20"/>
          <w:szCs w:val="20"/>
          <w:color w:val="auto"/>
        </w:rPr>
      </w:pPr>
    </w:p>
    <w:p>
      <w:pPr>
        <w:jc w:val="both"/>
        <w:ind w:right="20" w:firstLine="297"/>
        <w:spacing w:after="0" w:line="290" w:lineRule="auto"/>
        <w:rPr>
          <w:sz w:val="20"/>
          <w:szCs w:val="20"/>
          <w:color w:val="auto"/>
        </w:rPr>
      </w:pPr>
      <w:r>
        <w:rPr>
          <w:rFonts w:ascii="Arial" w:cs="Arial" w:eastAsia="Arial" w:hAnsi="Arial"/>
          <w:sz w:val="16"/>
          <w:szCs w:val="16"/>
          <w:color w:val="auto"/>
        </w:rPr>
        <w:t>We currently lease approximately 248,000 square feet of laboratory and office facilities in Tarrytown, New York. In December 2006, we entered into a new operating lease agreement (as amended in October 2007 and September 2008) to lease approximately 348,000 square feet of laboratory and office space at our current Tarrytown location, including approximately 230,000 square feet in new facilities that are currently under construction and expected to be completed in mid-2009. The term of the lease commenced effective June 2008 and will expire in June 2024. In April 2009, we amended the operating lease agreement to increase the amount of space we will lease to approximately 389,500 square feet. As amended, the lease contains early termination options on approximately 159,500 square feet of space. Other terms and conditions, as previously described in our Annual Report on Form 10-K for the year ended December 31, 2008, remain unchanged. In connection with the lease amendment, in April 2009, we terminated a sublease for 16,200 square feet of space in Tarrytown, New York.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right="20" w:firstLine="284"/>
        <w:spacing w:after="0" w:line="286"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2009 will be directed</w:t>
      </w:r>
    </w:p>
    <w:p>
      <w:pPr>
        <w:jc w:val="both"/>
        <w:ind w:right="20"/>
        <w:spacing w:after="0" w:line="227" w:lineRule="auto"/>
        <w:rPr>
          <w:sz w:val="20"/>
          <w:szCs w:val="20"/>
          <w:color w:val="auto"/>
        </w:rPr>
      </w:pPr>
      <w:r>
        <w:rPr>
          <w:rFonts w:ascii="Arial" w:cs="Arial" w:eastAsia="Arial" w:hAnsi="Arial"/>
          <w:sz w:val="18"/>
          <w:szCs w:val="18"/>
          <w:color w:val="auto"/>
        </w:rPr>
        <w:t>toward the preclinical and clinical development of product candidates, including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VEGF Trap-Eye, and monoclonal antibodies (including REGN88, REGN421, and REGN475); approximately 15-20% of our expenditures for 2009 will be applied to our basic research and early preclinical activities and the remainder of our expenditures for 2009 will be used for the continued development of our novel technology platforms, capital expenditures, and general corporate purposes.</w:t>
      </w:r>
    </w:p>
    <w:p>
      <w:pPr>
        <w:spacing w:after="0" w:line="239" w:lineRule="exact"/>
        <w:rPr>
          <w:sz w:val="20"/>
          <w:szCs w:val="20"/>
          <w:color w:val="auto"/>
        </w:rPr>
      </w:pPr>
    </w:p>
    <w:p>
      <w:pPr>
        <w:jc w:val="both"/>
        <w:ind w:right="20" w:firstLine="338"/>
        <w:spacing w:after="0" w:line="268" w:lineRule="auto"/>
        <w:rPr>
          <w:sz w:val="20"/>
          <w:szCs w:val="20"/>
          <w:color w:val="auto"/>
        </w:rPr>
      </w:pPr>
      <w:r>
        <w:rPr>
          <w:rFonts w:ascii="Arial" w:cs="Arial" w:eastAsia="Arial" w:hAnsi="Arial"/>
          <w:sz w:val="18"/>
          <w:szCs w:val="18"/>
          <w:color w:val="auto"/>
        </w:rPr>
        <w:t>We currently anticipate that in 2009 sales of ARCALYST for the treatment of CAPS will not materially enhance or otherwise materially impact our cash flows.</w:t>
      </w:r>
    </w:p>
    <w:p>
      <w:pPr>
        <w:spacing w:after="0" w:line="21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8"/>
          <w:szCs w:val="18"/>
          <w:color w:val="auto"/>
        </w:rPr>
        <w:t>In connection with the April 2009 amendment to our operating lease agreement in Tarrytown, New York, as described above, our funding requirements for operating leases, previously disclosed in our Annual Report on Form 10-K for the year ended December 31, 2008, will increase (i) from $9.1 million to $9.4 million for the year ending December 31, 2009, (ii) from $26.8 million to $29.2 million for the two-year period beginning January 1, 2010, (iii) from $27.2 million to $28.8 million for the two-year period beginning January 1, 2012, and (iv) from $167.0 million to $182.5 million for the fiscal years beginning January 1, 2014 and thereafter.</w:t>
      </w:r>
    </w:p>
    <w:p>
      <w:pPr>
        <w:spacing w:after="0" w:line="224"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w:t>
      </w:r>
    </w:p>
    <w:p>
      <w:pPr>
        <w:sectPr>
          <w:pgSz w:w="11900" w:h="16885" w:orient="portrait"/>
          <w:cols w:equalWidth="0" w:num="1">
            <w:col w:w="11440"/>
          </w:cols>
          <w:pgMar w:left="240" w:top="131" w:right="219" w:bottom="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 for the treatment of CAPS. In the future, if we are able to successfully develop, market, and sell ARCALYST for other indications or certain of our product candidates, we may be required to pay royalties or otherwise share the profits generated on such sales in connection with our collaboration and licensing agreements.</w:t>
      </w:r>
    </w:p>
    <w:p>
      <w:pPr>
        <w:spacing w:after="0" w:line="19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213"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selected preclinical and clinical development programs.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Other than letters of credit totaling $1.7 million, including a $1.6 million letter of credit issued to our landlord in connection with our operating lease for facilities in Tarrytown, New York, as described above, we have no off-balance sheet arrangements. In addition, we do not guarantee the obligations of any other entity. As of March 31, 2009,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58"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 xml:space="preserve">In April 2009, the Financial Accounting Standards Board (“FASB”) issued FASB Staff Position (“FSP”) FAS 107-1 and APB 28-1, </w:t>
      </w:r>
      <w:r>
        <w:rPr>
          <w:rFonts w:ascii="Arial" w:cs="Arial" w:eastAsia="Arial" w:hAnsi="Arial"/>
          <w:sz w:val="16"/>
          <w:szCs w:val="16"/>
          <w:i w:val="1"/>
          <w:iCs w:val="1"/>
          <w:color w:val="auto"/>
        </w:rPr>
        <w:t>Interim 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This FSP amends SFAS 107,</w:t>
      </w:r>
      <w:r>
        <w:rPr>
          <w:rFonts w:ascii="Arial" w:cs="Arial" w:eastAsia="Arial" w:hAnsi="Arial"/>
          <w:sz w:val="16"/>
          <w:szCs w:val="16"/>
          <w:i w:val="1"/>
          <w:iCs w:val="1"/>
          <w:color w:val="auto"/>
        </w:rPr>
        <w:t xml:space="preserve"> Disclosures about Fair Value of Financial Instruments, </w:t>
      </w:r>
      <w:r>
        <w:rPr>
          <w:rFonts w:ascii="Arial" w:cs="Arial" w:eastAsia="Arial" w:hAnsi="Arial"/>
          <w:sz w:val="16"/>
          <w:szCs w:val="16"/>
          <w:color w:val="auto"/>
        </w:rPr>
        <w:t>to require entities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about the fair value of financial instruments in interim financial information. This FSP also amends APB Opinion No. 28,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to require those disclosures in summarized financial information at interim reporting periods. In addition, an entity shall disclose in the body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notes of its summarized financial information for interim reporting periods and in its financial statements for annual reporting periods the fair value of all financial instruments for which it is practicable to estimate that value, whether recognized or not recognized in the statement of financial position, as required by SFAS 107. We are required to adopt FSP 107-1 and APB 28-1 for the quarter ended June 30, 2009. Management does not anticipate that the adoption of FSP 107-1 and APB 28-1 will have a material impact on our financial statements.</w:t>
      </w:r>
    </w:p>
    <w:p>
      <w:pPr>
        <w:spacing w:after="0" w:line="199"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 xml:space="preserve">In April 2009, the FASB issued FSP FAS 115-2 and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This FSP changes existing guidance for determining whether an impairment to debt securities is other than temporary; replaces the existing requirement that management assert it has both the intent and ability to hold an impaired security until recovery with a requirement that management assert: (</w:t>
      </w:r>
      <w:r>
        <w:rPr>
          <w:rFonts w:ascii="Arial" w:cs="Arial" w:eastAsia="Arial" w:hAnsi="Arial"/>
          <w:sz w:val="16"/>
          <w:szCs w:val="16"/>
          <w:i w:val="1"/>
          <w:iCs w:val="1"/>
          <w:color w:val="auto"/>
        </w:rPr>
        <w:t>a</w:t>
      </w:r>
      <w:r>
        <w:rPr>
          <w:rFonts w:ascii="Arial" w:cs="Arial" w:eastAsia="Arial" w:hAnsi="Arial"/>
          <w:sz w:val="16"/>
          <w:szCs w:val="16"/>
          <w:color w:val="auto"/>
        </w:rPr>
        <w:t>) it does not have the intent to sell the security; and (</w:t>
      </w:r>
      <w:r>
        <w:rPr>
          <w:rFonts w:ascii="Arial" w:cs="Arial" w:eastAsia="Arial" w:hAnsi="Arial"/>
          <w:sz w:val="16"/>
          <w:szCs w:val="16"/>
          <w:i w:val="1"/>
          <w:iCs w:val="1"/>
          <w:color w:val="auto"/>
        </w:rPr>
        <w:t>b</w:t>
      </w:r>
      <w:r>
        <w:rPr>
          <w:rFonts w:ascii="Arial" w:cs="Arial" w:eastAsia="Arial" w:hAnsi="Arial"/>
          <w:sz w:val="16"/>
          <w:szCs w:val="16"/>
          <w:color w:val="auto"/>
        </w:rPr>
        <w:t>) it is more likely than not it will not have to sell the security before recovery of its cost basis; requires that an entity recognize noncredit losses on held-to-maturity debt securities in other comprehensive income and amortize that amount over the remaining life of the security in a prospective manner by offsetting the recorded value of the asset unless the security is subsequently sold or there are additional credit losses; and requires entities to present the total other-than-temporary impairment in the statement of earnings with an offset for the amount recognized in other comprehensive income. When adopting FSP FAS 115-2 and FAS 124-2, entities are required to record a cumulative-effect adjustment as of the beginning of the period of adoption to reclassify the noncredit component of a previously recognized other-temporary impairment from retained earnings to accumulated other comprehensive income if the entity does not intend to sell the security and it is not more likely than not that the entity will be required to sell the security before recovery. We are required to adopt FSP FAS 115-2 and FAS 124-2 for the quarter ended June 30, 2009. Management does not anticipate that the adoption of FSP FAS 115-2 and FAS 124-2 will have a material impact on our financial statements.</w:t>
      </w:r>
    </w:p>
    <w:p>
      <w:pPr>
        <w:spacing w:after="0" w:line="205" w:lineRule="exact"/>
        <w:rPr>
          <w:sz w:val="20"/>
          <w:szCs w:val="20"/>
          <w:color w:val="auto"/>
        </w:rPr>
      </w:pPr>
    </w:p>
    <w:p>
      <w:pPr>
        <w:jc w:val="both"/>
        <w:ind w:firstLine="297"/>
        <w:spacing w:after="0" w:line="290" w:lineRule="auto"/>
        <w:rPr>
          <w:sz w:val="20"/>
          <w:szCs w:val="20"/>
          <w:color w:val="auto"/>
        </w:rPr>
      </w:pPr>
      <w:r>
        <w:rPr>
          <w:rFonts w:ascii="Arial" w:cs="Arial" w:eastAsia="Arial" w:hAnsi="Arial"/>
          <w:sz w:val="16"/>
          <w:szCs w:val="16"/>
          <w:color w:val="auto"/>
        </w:rPr>
        <w:t xml:space="preserve">In April 2009 the FASB issued FSP FAS 157-4,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This FSP affirms that the objective of fair value when the market for an asset is not active is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price that would be received to sell the asset in an orderly transaction; clarifies and includes additional factors for determining whether there has been a significant decrease in market activity for an asset when the market for that asset is not active; and eliminates the proposed presumption that all transactions are distressed (not orderly) unless proven otherwise. The FSP instead requires entities to base its conclusion about whether a transaction was not orderly on the weight of the evidence. We are required to adopt FSP FAS 157-4 for the quarter ended June 30, 2009. Management does not anticipate that the adoption of FSP FAS 157-4 will have a material impact on our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$1.6 million and $1.8 million decrease in the fair value of our investment portfolio at March 31, 2009 and 2008, respectively.</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Risk:</w:t>
      </w:r>
    </w:p>
    <w:p>
      <w:pPr>
        <w:sectPr>
          <w:pgSz w:w="11900" w:h="16838" w:orient="portrait"/>
          <w:cols w:equalWidth="0" w:num="1">
            <w:col w:w="11420"/>
          </w:cols>
          <w:pgMar w:left="240" w:top="131" w:right="239" w:bottom="0" w:gutter="0" w:footer="0" w:header="0"/>
          <w:type w:val="continuous"/>
        </w:sectPr>
      </w:pPr>
    </w:p>
    <w:bookmarkStart w:id="19" w:name="page20"/>
    <w:bookmarkEnd w:id="19"/>
    <w:p>
      <w:pPr>
        <w:jc w:val="both"/>
        <w:ind w:firstLine="311"/>
        <w:spacing w:after="0" w:line="294"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2007, we recognized a $5.9 million charge related to marketable securities from two issuers which we considered to be other than temporarily impaired in value. In 2008, an additional $0.7 million impairment charge was recognized related to one of these securities and a $1.8 million charge was recognized related to another marketable security which we considered to be other than temporarily impaired in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199" w:lineRule="exact"/>
        <w:rPr>
          <w:sz w:val="20"/>
          <w:szCs w:val="20"/>
          <w:color w:val="auto"/>
        </w:rPr>
      </w:pPr>
    </w:p>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March 31, 2009 that has materially affected, or is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13"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From inception on January 8, 1988 through March 31, 2009, we had a cumulative loss of $893.4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 xml:space="preserve">As of March 31, 2009, cash, cash equivalents, restricted cash, and marketable securities totaled $496.0 million and represented 73% of our total assets. We have invested available cash balances primarily in money market funds and U.S. Treasury, U.S. government agency, corporate, and asset-backed securities. We consider assets classified as marketable securities to be “available-for-sale,” as defined by Statement of Financial Accounting Standards No.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Marketable securities totaled $295.2 million at March 31, 2009, are carried at fair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that is charged against income. For example, during the year ended December 31, 2008, we recorded charges for other-than-temporary impairments totaling $2.5 million related to two marketable securities in our investment portfolio.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ectPr>
          <w:pgSz w:w="11900" w:h="16838" w:orient="portrait"/>
          <w:cols w:equalWidth="0" w:num="1">
            <w:col w:w="11420"/>
          </w:cols>
          <w:pgMar w:left="240" w:top="158"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32" w:lineRule="auto"/>
        <w:rPr>
          <w:sz w:val="20"/>
          <w:szCs w:val="20"/>
          <w:color w:val="auto"/>
        </w:rPr>
      </w:pPr>
      <w:r>
        <w:rPr>
          <w:rFonts w:ascii="Arial" w:cs="Arial" w:eastAsia="Arial" w:hAnsi="Arial"/>
          <w:sz w:val="18"/>
          <w:szCs w:val="18"/>
          <w:color w:val="auto"/>
        </w:rPr>
        <w:t>We are studying aflibercept, VEGF Trap-Eye,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and our antibody candidates in a wide variety of indications.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21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9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and other complications or side effects could harm the development of aflibercept for the treatment of cancer or VEGF Trap-Eye for the treatment of diseases of the eye.</w:t>
      </w:r>
    </w:p>
    <w:p>
      <w:pPr>
        <w:spacing w:after="0" w:line="19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We have tested ARCALYST in only a small number of patients with CAPS. As more patients begin to use our product and as we test it in new disease settings, new risks and side effects associated with ARCALYST may be discovered, and risks previously viewed as inconsequential could be determined to be</w:t>
      </w:r>
    </w:p>
    <w:p>
      <w:pPr>
        <w:jc w:val="both"/>
        <w:spacing w:after="0" w:line="236" w:lineRule="auto"/>
        <w:rPr>
          <w:sz w:val="20"/>
          <w:szCs w:val="20"/>
          <w:color w:val="auto"/>
        </w:rPr>
      </w:pPr>
      <w:r>
        <w:rPr>
          <w:rFonts w:ascii="Arial" w:cs="Arial" w:eastAsia="Arial" w:hAnsi="Arial"/>
          <w:sz w:val="18"/>
          <w:szCs w:val="18"/>
          <w:color w:val="auto"/>
        </w:rPr>
        <w:t>significant. Like cytokine antagonists such as Kineret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(Amgen, Inc.), Enbrel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(Immunex Corporation), and Remicade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(Centocor, Inc.), ARCALYST affects the immune defense system of the body by blocking some of its functions. Therefore, ARCALYST may interfere with the body’s ability to fight infections. Treatment with Kineret (Amgen),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ectPr>
          <w:pgSz w:w="11900" w:h="16838" w:orient="portrait"/>
          <w:cols w:equalWidth="0" w:num="1">
            <w:col w:w="11420"/>
          </w:cols>
          <w:pgMar w:left="240" w:top="128" w:right="239" w:bottom="244" w:gutter="0" w:footer="0" w:header="0"/>
        </w:sectPr>
      </w:pPr>
    </w:p>
    <w:bookmarkStart w:id="21" w:name="page22"/>
    <w:bookmarkEnd w:id="21"/>
    <w:p>
      <w:pPr>
        <w:jc w:val="both"/>
        <w:spacing w:after="0" w:line="212"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13" w:lineRule="exact"/>
        <w:rPr>
          <w:sz w:val="20"/>
          <w:szCs w:val="20"/>
          <w:color w:val="auto"/>
        </w:rPr>
      </w:pPr>
    </w:p>
    <w:p>
      <w:pPr>
        <w:jc w:val="both"/>
        <w:ind w:firstLine="365"/>
        <w:spacing w:after="0" w:line="284"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3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We are aware of patents and pending applications owned by Genentech/Roche that claim certain chimeric VEGF receptor compositions. Although we do not believe that aflibercept or VEGF Trap-Eye infringes any valid claim in these patents or patent applications, Genentech/Roche could initiate a lawsuit for patent infringement and assert that its patents are valid and cover aflibercept or VEGF Trap-Eye. Genentech/Roche may be motivated to initiate such a lawsuit at some point in an effort to impair our ability to develop and sell aflibercept or VEGF Trap-Eye, which represent potential competitive threats to Genentech/Roche’s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199"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aware of a U.S. patent jointly owned by Genentech/Roche and City of Hope relating to the production of recombinant antibodies in host cells. We currently produce our antibody product candidates using recombinant antibodies from host cells and may choose to produce additional antibody product</w:t>
      </w:r>
    </w:p>
    <w:p>
      <w:pPr>
        <w:jc w:val="both"/>
        <w:spacing w:after="0" w:line="264" w:lineRule="auto"/>
        <w:rPr>
          <w:sz w:val="20"/>
          <w:szCs w:val="20"/>
          <w:color w:val="auto"/>
        </w:rPr>
      </w:pPr>
      <w:r>
        <w:rPr>
          <w:rFonts w:ascii="Arial" w:cs="Arial" w:eastAsia="Arial" w:hAnsi="Arial"/>
          <w:sz w:val="16"/>
          <w:szCs w:val="16"/>
          <w:color w:val="auto"/>
        </w:rPr>
        <w:t>candidates in this manner. Neither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aflibercept, nor VEGF Trap-Eye are recombinant antibodies. If any of our antibody product candidates are produced in a manner subject to valid claims in the Genentech/Roche patent, then we may need to obtain a license from Genentech/Roche, should one be available. Genentech/Roche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Genentech/Roche’s techniques to make recombinant antibodies in or to import them into the United States.</w:t>
      </w:r>
    </w:p>
    <w:p>
      <w:pPr>
        <w:spacing w:after="0" w:line="219"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ectPr>
          <w:pgSz w:w="11900" w:h="16838" w:orient="portrait"/>
          <w:cols w:equalWidth="0" w:num="1">
            <w:col w:w="11420"/>
          </w:cols>
          <w:pgMar w:left="240" w:top="132"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26"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We cannot sell or market products without regulatory approval. Although we obtained regulatory approval for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for the treatment of CAPS in the United States, we may be unable to obtain regulatory approval of ARCALYST in any other country or in any other indication. Regulatory agencies outside the United States may require additional information or data with respect to any future submission for ARCALYST for the treatment of CAPS.</w:t>
      </w:r>
    </w:p>
    <w:p>
      <w:pPr>
        <w:spacing w:after="0" w:line="228"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8"/>
          <w:szCs w:val="18"/>
          <w:color w:val="auto"/>
        </w:rPr>
        <w:t>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228"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 for the treatment of CAPS or any of our product candidates in those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52"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9"/>
          <w:szCs w:val="29"/>
          <w:b w:val="1"/>
          <w:b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1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24"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ectPr>
          <w:pgSz w:w="11900" w:h="16838" w:orient="portrait"/>
          <w:cols w:equalWidth="0" w:num="1">
            <w:col w:w="11420"/>
          </w:cols>
          <w:pgMar w:left="240" w:top="131" w:right="239" w:bottom="110" w:gutter="0" w:footer="0" w:header="0"/>
        </w:sectPr>
      </w:pPr>
    </w:p>
    <w:bookmarkStart w:id="23" w:name="page24"/>
    <w:bookmarkEnd w:id="23"/>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8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252"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13"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2008, which report is included in our Annual Report on Form 10-K for the fiscal year ended December 31,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5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221"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87" w:lineRule="auto"/>
        <w:rPr>
          <w:sz w:val="20"/>
          <w:szCs w:val="20"/>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and changes in FDA and foreign regulations that may require additional safety monitoring prior to or after the introduction of new products to market, which could materially increase our costs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-592455</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-283845</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8" w:lineRule="exact"/>
        <w:rPr>
          <w:sz w:val="20"/>
          <w:szCs w:val="20"/>
          <w:color w:val="auto"/>
        </w:rPr>
      </w:pPr>
    </w:p>
    <w:p>
      <w:pPr>
        <w:jc w:val="both"/>
        <w:ind w:firstLine="270"/>
        <w:spacing w:after="0" w:line="332" w:lineRule="auto"/>
        <w:rPr>
          <w:sz w:val="20"/>
          <w:szCs w:val="20"/>
          <w:color w:val="auto"/>
        </w:rPr>
      </w:pPr>
      <w:r>
        <w:rPr>
          <w:rFonts w:ascii="Arial" w:cs="Arial" w:eastAsia="Arial" w:hAnsi="Arial"/>
          <w:sz w:val="16"/>
          <w:szCs w:val="16"/>
          <w:color w:val="auto"/>
        </w:rPr>
        <w:t>The enactment in the United States of the Medicare Prescription Drug Improvement and Modernization Act of 2003 and possible legislation which could ease the entry of competing follow-on biologics into the marketplace are examples of changes and possible changes in laws that could adversely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$400 million between 2009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and REGN475,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w:t>
      </w:r>
    </w:p>
    <w:p>
      <w:pPr>
        <w:sectPr>
          <w:pgSz w:w="11900" w:h="16838" w:orient="portrait"/>
          <w:cols w:equalWidth="0" w:num="1">
            <w:col w:w="11420"/>
          </w:cols>
          <w:pgMar w:left="240" w:top="158" w:right="239" w:bottom="0" w:gutter="0" w:footer="0" w:header="0"/>
        </w:sectPr>
      </w:pPr>
    </w:p>
    <w:bookmarkStart w:id="24" w:name="page25"/>
    <w:bookmarkEnd w:id="24"/>
    <w:p>
      <w:pPr>
        <w:spacing w:after="0" w:line="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21"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81"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197"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7"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w:t>
      </w:r>
    </w:p>
    <w:p>
      <w:pPr>
        <w:sectPr>
          <w:pgSz w:w="11900" w:h="16844" w:orient="portrait"/>
          <w:cols w:equalWidth="0" w:num="1">
            <w:col w:w="11420"/>
          </w:cols>
          <w:pgMar w:left="240" w:top="131" w:right="239" w:bottom="0" w:gutter="0" w:footer="0" w:header="0"/>
        </w:sectPr>
      </w:pPr>
    </w:p>
    <w:bookmarkStart w:id="25" w:name="page26"/>
    <w:bookmarkEnd w:id="25"/>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221" w:lineRule="exact"/>
        <w:rPr>
          <w:sz w:val="20"/>
          <w:szCs w:val="20"/>
          <w:color w:val="auto"/>
        </w:rPr>
      </w:pPr>
    </w:p>
    <w:p>
      <w:pPr>
        <w:jc w:val="both"/>
        <w:ind w:right="20" w:firstLine="378"/>
        <w:spacing w:after="0" w:line="306" w:lineRule="auto"/>
        <w:rPr>
          <w:sz w:val="20"/>
          <w:szCs w:val="20"/>
          <w:color w:val="auto"/>
        </w:rPr>
      </w:pPr>
      <w:r>
        <w:rPr>
          <w:rFonts w:ascii="Arial" w:cs="Arial" w:eastAsia="Arial" w:hAnsi="Arial"/>
          <w:sz w:val="16"/>
          <w:szCs w:val="16"/>
          <w:color w:val="auto"/>
        </w:rPr>
        <w:t>We may be unable to obtain key raw materials and supplies for the manufacture of ARCALYST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Third-party supply failures or a business interruption at our manufacturing facility in Rensselaer, New York could adversely affect our ability to supply our products.</w:t>
      </w:r>
    </w:p>
    <w:p>
      <w:pPr>
        <w:spacing w:after="0" w:line="213"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facility in Rensselaer, New York. We would be unable to supply our product requirements if we were to cease production due to regulatory requirements or action, business interruptions, labor shortages or disputes, contaminations, or other problems at the facility.</w:t>
      </w:r>
    </w:p>
    <w:p>
      <w:pPr>
        <w:spacing w:after="0" w:line="221"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228"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13"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16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As a result, there may be too few patients with CAPS to profitably commercialize ARCALYST in this indication.</w:t>
      </w:r>
    </w:p>
    <w:p>
      <w:pPr>
        <w:spacing w:after="0" w:line="19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6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97"/>
        <w:spacing w:after="0" w:line="279" w:lineRule="auto"/>
        <w:rPr>
          <w:sz w:val="20"/>
          <w:szCs w:val="20"/>
          <w:color w:val="auto"/>
        </w:rPr>
      </w:pPr>
      <w:r>
        <w:rPr>
          <w:rFonts w:ascii="Arial" w:cs="Arial" w:eastAsia="Arial" w:hAnsi="Arial"/>
          <w:sz w:val="15"/>
          <w:szCs w:val="15"/>
          <w:color w:val="auto"/>
        </w:rPr>
        <w:t>Genentech/Roche has an approved VEGF antagonist,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(bevacizumab), on the market for treating certain cancers and many different pharmaceutical and biotechnology companies are working to develop competing VEGF antagonists, including Novartis, Amgen, Imclone/Eli Lilly, Pfizer, AstraZeneca, and GlaxoSmithKline plc. Many of these molecules are farther along in development than aflibercept and may offer competitive advantages over our molecule. Each</w:t>
      </w:r>
    </w:p>
    <w:p>
      <w:pPr>
        <w:sectPr>
          <w:pgSz w:w="11900" w:h="16923" w:orient="portrait"/>
          <w:cols w:equalWidth="0" w:num="1">
            <w:col w:w="11420"/>
          </w:cols>
          <w:pgMar w:left="240" w:top="131" w:right="239" w:bottom="0" w:gutter="0" w:footer="0" w:header="0"/>
        </w:sectPr>
      </w:pPr>
    </w:p>
    <w:bookmarkStart w:id="26" w:name="page27"/>
    <w:bookmarkEnd w:id="26"/>
    <w:p>
      <w:pPr>
        <w:spacing w:after="0" w:line="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Genentech/Roche’s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(Genentech/Roche)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199"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6"/>
          <w:szCs w:val="16"/>
          <w:color w:val="auto"/>
        </w:rPr>
        <w:t>The market for eye disease products is also very competitive. Novartis and Genentech/Roche are collaborating on the commercialization and further development of a VEGF antibody fragment, ranibizumab (Lucentis</w:t>
      </w:r>
      <w:r>
        <w:rPr>
          <w:rFonts w:ascii="Arial" w:cs="Arial" w:eastAsia="Arial" w:hAnsi="Arial"/>
          <w:sz w:val="26"/>
          <w:szCs w:val="26"/>
          <w:color w:val="auto"/>
          <w:vertAlign w:val="superscript"/>
        </w:rPr>
        <w:t>®</w:t>
      </w:r>
      <w:r>
        <w:rPr>
          <w:rFonts w:ascii="Arial" w:cs="Arial" w:eastAsia="Arial" w:hAnsi="Arial"/>
          <w:sz w:val="16"/>
          <w:szCs w:val="16"/>
          <w:color w:val="auto"/>
        </w:rPr>
        <w:t>), for the treatment of age-related macular degeneration (wet AMD) and other eye indications that was approved by the FDA in June 2006. Many other companies are working on the development of product candidates for the potential treatment of wet AMD and DME that act by blocking VEGF, VEGF receptors, and through the use of small interfering ribonucleic acids (siRNAs) that modulate gene expression.</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ophthalmologists are using off-label a third-party reformatted version of Genentech/Roche’s approved VEGF antagonist, Avastin</w:t>
      </w:r>
      <w:r>
        <w:rPr>
          <w:rFonts w:ascii="Arial" w:cs="Arial" w:eastAsia="Arial" w:hAnsi="Arial"/>
          <w:sz w:val="29"/>
          <w:szCs w:val="29"/>
          <w:color w:val="auto"/>
          <w:vertAlign w:val="superscript"/>
        </w:rPr>
        <w:t>®</w:t>
      </w:r>
      <w:r>
        <w:rPr>
          <w:rFonts w:ascii="Arial" w:cs="Arial" w:eastAsia="Arial" w:hAnsi="Arial"/>
          <w:sz w:val="18"/>
          <w:szCs w:val="18"/>
          <w:color w:val="auto"/>
        </w:rPr>
        <w:t>, with success for the treatment of wet AMD. The National Eye Institute is conducting a Phase 3 trial comparing Lucentis (Genentech/Roche) to Avastin (Genentech/Roche) in the treatment of wet AMD. The marketing approval of Lucentis (Genentech/Roche) and the potential off-label use of Avastin (Genentech/Roche) make it more difficult for us to enroll patients in our clinical trials and successfully develop VEGF Trap-Eye. Even if VEGF Trap-Eye is ever approved for sale for the treatment of eye diseases, it may be difficult for our drug to compete against Lucentis (Genentech/Roche), because doctors and patients will have significant experience using this medicine. Moreover, the relatively low cost of therapy with Avastin (Genentech/Roche) in patients with wet AMD presents a further competitive challenge in this indication.</w:t>
      </w:r>
    </w:p>
    <w:p>
      <w:pPr>
        <w:spacing w:after="0" w:line="215" w:lineRule="exact"/>
        <w:rPr>
          <w:sz w:val="20"/>
          <w:szCs w:val="20"/>
          <w:color w:val="auto"/>
        </w:rPr>
      </w:pPr>
    </w:p>
    <w:p>
      <w:pPr>
        <w:jc w:val="both"/>
        <w:ind w:firstLine="270"/>
        <w:spacing w:after="0" w:line="210" w:lineRule="auto"/>
        <w:rPr>
          <w:sz w:val="20"/>
          <w:szCs w:val="20"/>
          <w:color w:val="auto"/>
        </w:rPr>
      </w:pPr>
      <w:r>
        <w:rPr>
          <w:rFonts w:ascii="Arial" w:cs="Arial" w:eastAsia="Arial" w:hAnsi="Arial"/>
          <w:sz w:val="16"/>
          <w:szCs w:val="16"/>
          <w:color w:val="auto"/>
        </w:rPr>
        <w:t>The availability of highly effective FDA approved TNF-antagonists such as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(Immunex),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(Centocor), and Humira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(Abbott Laboratories), and the IL-1 receptor antagonist Kineret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(Amgen), and other marketed therapies makes it more difficult to successfully develop and commercialize</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238"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There are both small molecules and antibodies in development by other companies that are designed to block the synthesis of interleukin-1 or inhibit the signaling of interleukin-1. For example, Eli Lilly, Xoma, and Novartis are each developing antibodies to interleukin-1 and Amgen is developing an antibody to the interleukin-1 receptor. Novartis has filed applications in the U.S. and Europe seeking regulatory approval of its IL-1 antibody in CAPS. Novartis is also developing its IL-1 antibody in gout and other inflammatory diseases. Novartis has stated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impair our ability to successfully commercialize ARCALYST.</w:t>
      </w:r>
    </w:p>
    <w:p>
      <w:pPr>
        <w:spacing w:after="0" w:line="22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plans to develop ARCALYST for the treatment of certain gout indications. 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ARCALYST in these diseases.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38"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ARCALYST for the treatment of certain gout indications. Patients suffering from these gout indications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204"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We market and sell ARCALYST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188"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224"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24"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w:t>
      </w:r>
    </w:p>
    <w:p>
      <w:pPr>
        <w:sectPr>
          <w:pgSz w:w="11900" w:h="16863" w:orient="portrait"/>
          <w:cols w:equalWidth="0" w:num="1">
            <w:col w:w="11420"/>
          </w:cols>
          <w:pgMar w:left="240" w:top="131" w:right="239" w:bottom="0" w:gutter="0" w:footer="0" w:header="0"/>
        </w:sectPr>
      </w:pPr>
    </w:p>
    <w:bookmarkStart w:id="27" w:name="page28"/>
    <w:bookmarkEnd w:id="27"/>
    <w:p>
      <w:pPr>
        <w:jc w:val="both"/>
        <w:spacing w:after="0" w:line="298" w:lineRule="auto"/>
        <w:rPr>
          <w:sz w:val="20"/>
          <w:szCs w:val="20"/>
          <w:color w:val="auto"/>
        </w:rPr>
      </w:pPr>
      <w:r>
        <w:rPr>
          <w:rFonts w:ascii="Arial" w:cs="Arial" w:eastAsia="Arial" w:hAnsi="Arial"/>
          <w:sz w:val="16"/>
          <w:szCs w:val="16"/>
          <w:color w:val="auto"/>
        </w:rPr>
        <w:t>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move to new facilities in mid-2009 could lead to disruptions in our business operations.</w:t>
      </w:r>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plan to move most of our laboratories and headquarters to new facilities in mid-2009. There is a risk that this physical move could lead to damage to equipment or other business assets or the loss of important data, or that we could encounter problems with our new facilities, which could disrupt or delay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5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720"/>
        <w:spacing w:after="0" w:line="250"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party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100"/>
        <w:spacing w:after="0" w:line="209"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-232410</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-95250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14, 2009, our five largest shareholders plus Leonard S. Schleifer, M.D. Ph.D., our Chief Executive Officer, beneficially owned 52.5% of our outstanding shares of Common Stock, assuming, in the case of our Chief Executive Officer, the conversion of his Class A Stock into Common Stock and the exercise of all options held by him which are exercisable within 60 days of April 14, 2009. As of April 14, 2009, sanofi-aventis beneficially owned 14,799,552 shares of Common Stock, representing approximately 19.0% of the shares of Common Stock then outstanding. Under our investor agreement with sanofi-aventis, sanofi-aventis may not sell these shares until December 20, 2012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14, 2009, holders of Class A Stock held 22.4% of the combined voting power of all shares of Common Stock and Class A Stock then outstanding, plus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April 14, 2009:</w:t>
      </w:r>
    </w:p>
    <w:p>
      <w:pPr>
        <w:sectPr>
          <w:pgSz w:w="11900" w:h="16838" w:orient="portrait"/>
          <w:cols w:equalWidth="0" w:num="1">
            <w:col w:w="11420"/>
          </w:cols>
          <w:pgMar w:left="240" w:top="131" w:right="239" w:bottom="0" w:gutter="0" w:footer="0" w:header="0"/>
        </w:sectPr>
      </w:pPr>
    </w:p>
    <w:bookmarkStart w:id="28" w:name="page29"/>
    <w:bookmarkEnd w:id="28"/>
    <w:p>
      <w:pPr>
        <w:jc w:val="both"/>
        <w:ind w:left="540"/>
        <w:spacing w:after="0" w:line="256" w:lineRule="auto"/>
        <w:rPr>
          <w:sz w:val="20"/>
          <w:szCs w:val="20"/>
          <w:color w:val="auto"/>
        </w:rPr>
      </w:pPr>
      <w:r>
        <w:rPr>
          <w:rFonts w:ascii="Arial" w:cs="Arial" w:eastAsia="Arial" w:hAnsi="Arial"/>
          <w:sz w:val="18"/>
          <w:szCs w:val="18"/>
          <w:color w:val="auto"/>
        </w:rPr>
        <w:t>our current executive officers and directors beneficially owned 13.3% of our outstanding shares of Common Stock, assuming conversion of their Class A Stock into Common Stock and the exercise of all options held by such persons which are exercisable within 60 days of April 14, 2009, and 28.2% of the combined voting power of our outstanding shares of Common Stock and Class A Stock, assuming the exercise of all options held by such persons which are exercisable within 60 days of April 14,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7" w:lineRule="exact"/>
        <w:rPr>
          <w:sz w:val="20"/>
          <w:szCs w:val="20"/>
          <w:color w:val="auto"/>
        </w:rPr>
      </w:pPr>
    </w:p>
    <w:p>
      <w:pPr>
        <w:jc w:val="both"/>
        <w:ind w:left="540"/>
        <w:spacing w:after="0" w:line="255" w:lineRule="auto"/>
        <w:rPr>
          <w:sz w:val="20"/>
          <w:szCs w:val="20"/>
          <w:color w:val="auto"/>
        </w:rPr>
      </w:pPr>
      <w:r>
        <w:rPr>
          <w:rFonts w:ascii="Arial" w:cs="Arial" w:eastAsia="Arial" w:hAnsi="Arial"/>
          <w:sz w:val="18"/>
          <w:szCs w:val="18"/>
          <w:color w:val="auto"/>
        </w:rPr>
        <w:t>our five largest shareholders plus Leonard S. Schleifer, M.D., Ph.D., our Chief Executive Officer, beneficially owned 52.5% of our outstanding shares of Common Stock, assuming, in the case of our Chief Executive Officer, the conversion of his Class A Stock into Common Stock and the exercise of all options held by him which are exercisable within 60 days of April 14, 2009. In addition, these six shareholders held 57.2% of the combined voting power of our outstanding shares of Common Stock and Class A Stock, assuming the exercise of all options held by our Chief Executive Officer which are exercisable within 60 days of April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-653415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2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4" w:lineRule="auto"/>
        <w:rPr>
          <w:sz w:val="20"/>
          <w:szCs w:val="20"/>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-515620</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our Class A Stock and Common Stock (taken together) or otherwise seeking to obtain control of the Company.</w:t>
      </w:r>
    </w:p>
    <w:p>
      <w:pPr>
        <w:spacing w:after="0" w:line="188"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Exhibits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1"/>
              </w:rPr>
              <w:t>Number</w:t>
            </w:r>
          </w:p>
        </w:tc>
        <w:tc>
          <w:tcPr>
            <w:tcW w:w="1046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7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3"/>
              </w:rPr>
              <w:t>Form of option agreement and related notice of grant for use in connection with the grant of time based vesting stock options to the</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Registrant's non-employee directors and executive officers.</w:t>
            </w:r>
          </w:p>
        </w:tc>
      </w:tr>
      <w:tr>
        <w:trPr>
          <w:trHeight w:val="426"/>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0"/>
              </w:rPr>
              <w:t>Form of option agreement and related notice of grant for use in connection with the grant of performance based vesting stock options to</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the Registrant's executive officers.</w:t>
            </w:r>
          </w:p>
        </w:tc>
      </w:tr>
      <w:tr>
        <w:trPr>
          <w:trHeight w:val="420"/>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2"/>
              </w:rPr>
              <w:t>Third Amendment to lease, by and between BMR-Landmark at Eastview LLC and Regeneron Pharmaceuticals, Inc., entered into as</w:t>
            </w: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of April 29, 2009.</w:t>
            </w:r>
          </w:p>
        </w:tc>
      </w:tr>
      <w:tr>
        <w:trPr>
          <w:trHeight w:val="430"/>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CEO pursuant to Rule 13a-14(a) under the Securities Exchange Act of 1934.</w:t>
            </w:r>
          </w:p>
        </w:tc>
      </w:tr>
      <w:tr>
        <w:trPr>
          <w:trHeight w:val="432"/>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CFO pursuant to Rule 13a-14(a) under the Securities Exchange Act of 1934.</w:t>
            </w:r>
          </w:p>
        </w:tc>
      </w:tr>
      <w:tr>
        <w:trPr>
          <w:trHeight w:val="432"/>
        </w:trPr>
        <w:tc>
          <w:tcPr>
            <w:tcW w:w="640" w:type="dxa"/>
            <w:vAlign w:val="bottom"/>
            <w:gridSpan w:val="2"/>
          </w:tcPr>
          <w:p>
            <w:pPr>
              <w:spacing w:after="0"/>
              <w:rPr>
                <w:sz w:val="20"/>
                <w:szCs w:val="20"/>
                <w:color w:val="auto"/>
              </w:rPr>
            </w:pPr>
            <w:r>
              <w:rPr>
                <w:rFonts w:ascii="Arial" w:cs="Arial" w:eastAsia="Arial" w:hAnsi="Arial"/>
                <w:sz w:val="18"/>
                <w:szCs w:val="18"/>
                <w:color w:val="auto"/>
              </w:rPr>
              <w:t>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30, 2009</w:t>
      </w:r>
      <w:r>
        <w:rPr>
          <w:sz w:val="20"/>
          <w:szCs w:val="20"/>
          <w:color w:val="auto"/>
        </w:rPr>
        <w:tab/>
      </w:r>
      <w:r>
        <w:rPr>
          <w:rFonts w:ascii="Arial" w:cs="Arial" w:eastAsia="Arial" w:hAnsi="Arial"/>
          <w:sz w:val="16"/>
          <w:szCs w:val="16"/>
          <w:color w:val="auto"/>
        </w:rPr>
        <w:t>By: /s/ M</w:t>
      </w:r>
      <w:r>
        <w:rPr>
          <w:rFonts w:ascii="Arial" w:cs="Arial" w:eastAsia="Arial" w:hAnsi="Arial"/>
          <w:sz w:val="11"/>
          <w:szCs w:val="11"/>
          <w:color w:val="auto"/>
        </w:rPr>
        <w:t>URRAY</w:t>
      </w:r>
      <w:r>
        <w:rPr>
          <w:rFonts w:ascii="Arial" w:cs="Arial" w:eastAsia="Arial" w:hAnsi="Arial"/>
          <w:sz w:val="16"/>
          <w:szCs w:val="16"/>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10795</wp:posOffset>
            </wp:positionV>
            <wp:extent cx="35159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7280" w:type="dxa"/>
            <w:vAlign w:val="bottom"/>
            <w:gridSpan w:val="4"/>
          </w:tcPr>
          <w:p>
            <w:pPr>
              <w:ind w:left="1100"/>
              <w:spacing w:after="0"/>
              <w:rPr>
                <w:sz w:val="20"/>
                <w:szCs w:val="20"/>
                <w:color w:val="auto"/>
              </w:rPr>
            </w:pPr>
            <w:r>
              <w:rPr>
                <w:rFonts w:ascii="Arial" w:cs="Arial" w:eastAsia="Arial" w:hAnsi="Arial"/>
                <w:sz w:val="18"/>
                <w:szCs w:val="18"/>
                <w:b w:val="1"/>
                <w:bCs w:val="1"/>
                <w:color w:val="auto"/>
              </w:rPr>
              <w:t>Regeneron Pharmaceuticals, Inc.</w:t>
            </w:r>
          </w:p>
        </w:tc>
      </w:tr>
      <w:tr>
        <w:trPr>
          <w:trHeight w:val="243"/>
        </w:trPr>
        <w:tc>
          <w:tcPr>
            <w:tcW w:w="4140" w:type="dxa"/>
            <w:vAlign w:val="bottom"/>
          </w:tcPr>
          <w:p>
            <w:pPr>
              <w:spacing w:after="0"/>
              <w:rPr>
                <w:sz w:val="21"/>
                <w:szCs w:val="21"/>
                <w:color w:val="auto"/>
              </w:rPr>
            </w:pPr>
          </w:p>
        </w:tc>
        <w:tc>
          <w:tcPr>
            <w:tcW w:w="1780" w:type="dxa"/>
            <w:vAlign w:val="bottom"/>
          </w:tcPr>
          <w:p>
            <w:pPr>
              <w:ind w:left="11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7280" w:type="dxa"/>
            <w:vAlign w:val="bottom"/>
            <w:gridSpan w:val="4"/>
          </w:tcPr>
          <w:p>
            <w:pPr>
              <w:ind w:left="1100"/>
              <w:spacing w:after="0"/>
              <w:rPr>
                <w:sz w:val="20"/>
                <w:szCs w:val="20"/>
                <w:color w:val="auto"/>
              </w:rPr>
            </w:pPr>
            <w:r>
              <w:rPr>
                <w:rFonts w:ascii="Arial" w:cs="Arial" w:eastAsia="Arial" w:hAnsi="Arial"/>
                <w:sz w:val="18"/>
                <w:szCs w:val="18"/>
                <w:color w:val="auto"/>
              </w:rPr>
              <w:t>777 Old Saw Mill River Road</w:t>
            </w: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and Option Agreement for Time Vesting</w:t>
            </w:r>
          </w:p>
        </w:tc>
        <w:tc>
          <w:tcPr>
            <w:tcW w:w="3160" w:type="dxa"/>
            <w:vAlign w:val="bottom"/>
            <w:gridSpan w:val="3"/>
          </w:tcPr>
          <w:p>
            <w:pPr>
              <w:ind w:left="1100"/>
              <w:spacing w:after="0"/>
              <w:rPr>
                <w:sz w:val="20"/>
                <w:szCs w:val="20"/>
                <w:color w:val="auto"/>
              </w:rPr>
            </w:pPr>
            <w:r>
              <w:rPr>
                <w:rFonts w:ascii="Arial" w:cs="Arial" w:eastAsia="Arial" w:hAnsi="Arial"/>
                <w:sz w:val="18"/>
                <w:szCs w:val="18"/>
                <w:color w:val="auto"/>
                <w:w w:val="91"/>
              </w:rPr>
              <w:t>Tarrytown, New York 10591</w:t>
            </w:r>
          </w:p>
        </w:tc>
        <w:tc>
          <w:tcPr>
            <w:tcW w:w="4120" w:type="dxa"/>
            <w:vAlign w:val="bottom"/>
          </w:tcPr>
          <w:p>
            <w:pPr>
              <w:spacing w:after="0"/>
              <w:rPr>
                <w:sz w:val="21"/>
                <w:szCs w:val="2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52"/>
        </w:trPr>
        <w:tc>
          <w:tcPr>
            <w:tcW w:w="4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r>
      <w:tr>
        <w:trPr>
          <w:trHeight w:val="496"/>
        </w:trPr>
        <w:tc>
          <w:tcPr>
            <w:tcW w:w="41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440" w:type="dxa"/>
            <w:vAlign w:val="bottom"/>
            <w:gridSpan w:val="2"/>
          </w:tcPr>
          <w:p>
            <w:pPr>
              <w:ind w:left="1100"/>
              <w:spacing w:after="0"/>
              <w:rPr>
                <w:sz w:val="20"/>
                <w:szCs w:val="20"/>
                <w:color w:val="auto"/>
              </w:rPr>
            </w:pPr>
            <w:r>
              <w:rPr>
                <w:rFonts w:ascii="Arial" w:cs="Arial" w:eastAsia="Arial" w:hAnsi="Arial"/>
                <w:sz w:val="18"/>
                <w:szCs w:val="18"/>
                <w:b w:val="1"/>
                <w:bCs w:val="1"/>
                <w:color w:val="auto"/>
                <w:w w:val="96"/>
              </w:rPr>
              <w:t>Option Number:</w:t>
            </w:r>
          </w:p>
        </w:tc>
        <w:tc>
          <w:tcPr>
            <w:tcW w:w="72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4120" w:type="dxa"/>
            <w:vAlign w:val="bottom"/>
          </w:tcPr>
          <w:p>
            <w:pPr>
              <w:jc w:val="right"/>
              <w:ind w:right="3912"/>
              <w:spacing w:after="0"/>
              <w:rPr>
                <w:sz w:val="20"/>
                <w:szCs w:val="20"/>
                <w:color w:val="auto"/>
              </w:rPr>
            </w:pPr>
            <w:r>
              <w:rPr>
                <w:rFonts w:ascii="Arial" w:cs="Arial" w:eastAsia="Arial" w:hAnsi="Arial"/>
                <w:sz w:val="22"/>
                <w:szCs w:val="22"/>
                <w:b w:val="1"/>
                <w:bCs w:val="1"/>
                <w:color w:val="auto"/>
              </w:rPr>
              <w:t>]</w:t>
            </w:r>
          </w:p>
        </w:tc>
      </w:tr>
      <w:tr>
        <w:trPr>
          <w:trHeight w:val="206"/>
        </w:trPr>
        <w:tc>
          <w:tcPr>
            <w:tcW w:w="4140" w:type="dxa"/>
            <w:vAlign w:val="bottom"/>
          </w:tcPr>
          <w:p>
            <w:pPr>
              <w:spacing w:after="0" w:line="206" w:lineRule="exact"/>
              <w:rPr>
                <w:sz w:val="20"/>
                <w:szCs w:val="20"/>
                <w:color w:val="auto"/>
              </w:rPr>
            </w:pPr>
            <w:r>
              <w:rPr>
                <w:rFonts w:ascii="Arial" w:cs="Arial" w:eastAsia="Arial" w:hAnsi="Arial"/>
                <w:sz w:val="18"/>
                <w:szCs w:val="18"/>
                <w:b w:val="1"/>
                <w:bCs w:val="1"/>
                <w:color w:val="auto"/>
              </w:rPr>
              <w:t>[OPTIONEE ADDRESS</w:t>
            </w:r>
          </w:p>
        </w:tc>
        <w:tc>
          <w:tcPr>
            <w:tcW w:w="1780" w:type="dxa"/>
            <w:vAlign w:val="bottom"/>
          </w:tcPr>
          <w:p>
            <w:pPr>
              <w:ind w:left="1100"/>
              <w:spacing w:after="0" w:line="206" w:lineRule="exact"/>
              <w:rPr>
                <w:sz w:val="20"/>
                <w:szCs w:val="20"/>
                <w:color w:val="auto"/>
              </w:rPr>
            </w:pPr>
            <w:r>
              <w:rPr>
                <w:rFonts w:ascii="Arial" w:cs="Arial" w:eastAsia="Arial" w:hAnsi="Arial"/>
                <w:sz w:val="18"/>
                <w:szCs w:val="18"/>
                <w:b w:val="1"/>
                <w:bCs w:val="1"/>
                <w:color w:val="auto"/>
              </w:rPr>
              <w:t>Plan:</w:t>
            </w:r>
          </w:p>
        </w:tc>
        <w:tc>
          <w:tcPr>
            <w:tcW w:w="660" w:type="dxa"/>
            <w:vAlign w:val="bottom"/>
          </w:tcPr>
          <w:p>
            <w:pPr>
              <w:spacing w:after="0"/>
              <w:rPr>
                <w:sz w:val="17"/>
                <w:szCs w:val="17"/>
                <w:color w:val="auto"/>
              </w:rPr>
            </w:pPr>
          </w:p>
        </w:tc>
        <w:tc>
          <w:tcPr>
            <w:tcW w:w="720" w:type="dxa"/>
            <w:vAlign w:val="bottom"/>
          </w:tcPr>
          <w:p>
            <w:pPr>
              <w:ind w:left="80"/>
              <w:spacing w:after="0" w:line="206" w:lineRule="exact"/>
              <w:rPr>
                <w:sz w:val="20"/>
                <w:szCs w:val="20"/>
                <w:color w:val="auto"/>
              </w:rPr>
            </w:pPr>
            <w:r>
              <w:rPr>
                <w:rFonts w:ascii="Arial" w:cs="Arial" w:eastAsia="Arial" w:hAnsi="Arial"/>
                <w:sz w:val="18"/>
                <w:szCs w:val="18"/>
                <w:b w:val="1"/>
                <w:bCs w:val="1"/>
                <w:color w:val="auto"/>
              </w:rPr>
              <w:t>04</w:t>
            </w:r>
          </w:p>
        </w:tc>
        <w:tc>
          <w:tcPr>
            <w:tcW w:w="4120" w:type="dxa"/>
            <w:vAlign w:val="bottom"/>
          </w:tcPr>
          <w:p>
            <w:pPr>
              <w:spacing w:after="0"/>
              <w:rPr>
                <w:sz w:val="17"/>
                <w:szCs w:val="17"/>
                <w:color w:val="auto"/>
              </w:rPr>
            </w:pPr>
          </w:p>
        </w:tc>
      </w:tr>
      <w:tr>
        <w:trPr>
          <w:trHeight w:val="281"/>
        </w:trPr>
        <w:tc>
          <w:tcPr>
            <w:tcW w:w="4140" w:type="dxa"/>
            <w:vAlign w:val="bottom"/>
          </w:tcPr>
          <w:p>
            <w:pPr>
              <w:spacing w:after="0"/>
              <w:rPr>
                <w:sz w:val="24"/>
                <w:szCs w:val="24"/>
                <w:color w:val="auto"/>
              </w:rPr>
            </w:pPr>
          </w:p>
        </w:tc>
        <w:tc>
          <w:tcPr>
            <w:tcW w:w="1780" w:type="dxa"/>
            <w:vAlign w:val="bottom"/>
          </w:tcPr>
          <w:p>
            <w:pPr>
              <w:ind w:left="1100"/>
              <w:spacing w:after="0"/>
              <w:rPr>
                <w:sz w:val="20"/>
                <w:szCs w:val="20"/>
                <w:color w:val="auto"/>
              </w:rPr>
            </w:pPr>
            <w:r>
              <w:rPr>
                <w:rFonts w:ascii="Arial" w:cs="Arial" w:eastAsia="Arial" w:hAnsi="Arial"/>
                <w:sz w:val="18"/>
                <w:szCs w:val="18"/>
                <w:b w:val="1"/>
                <w:bCs w:val="1"/>
                <w:color w:val="auto"/>
              </w:rPr>
              <w:t>ID</w:t>
            </w:r>
          </w:p>
        </w:tc>
        <w:tc>
          <w:tcPr>
            <w:tcW w:w="66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4120" w:type="dxa"/>
            <w:vAlign w:val="bottom"/>
          </w:tcPr>
          <w:p>
            <w:pPr>
              <w:jc w:val="right"/>
              <w:ind w:right="3912"/>
              <w:spacing w:after="0"/>
              <w:rPr>
                <w:sz w:val="20"/>
                <w:szCs w:val="20"/>
                <w:color w:val="auto"/>
              </w:rPr>
            </w:pPr>
            <w:r>
              <w:rPr>
                <w:rFonts w:ascii="Arial" w:cs="Arial" w:eastAsia="Arial" w:hAnsi="Arial"/>
                <w:sz w:val="22"/>
                <w:szCs w:val="22"/>
                <w:b w:val="1"/>
                <w:bCs w:val="1"/>
                <w:color w:val="auto"/>
              </w:rPr>
              <w:t>]</w:t>
            </w:r>
          </w:p>
        </w:tc>
      </w:tr>
      <w:tr>
        <w:trPr>
          <w:trHeight w:val="240"/>
        </w:trPr>
        <w:tc>
          <w:tcPr>
            <w:tcW w:w="4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580" w:type="dxa"/>
            <w:vAlign w:val="bottom"/>
            <w:gridSpan w:val="10"/>
          </w:tcPr>
          <w:p>
            <w:pPr>
              <w:spacing w:after="0"/>
              <w:rPr>
                <w:sz w:val="20"/>
                <w:szCs w:val="20"/>
                <w:color w:val="auto"/>
              </w:rPr>
            </w:pPr>
            <w:r>
              <w:rPr>
                <w:rFonts w:ascii="Arial" w:cs="Arial" w:eastAsia="Arial" w:hAnsi="Arial"/>
                <w:sz w:val="18"/>
                <w:szCs w:val="18"/>
                <w:color w:val="auto"/>
                <w:w w:val="99"/>
              </w:rPr>
              <w:t>Effective &lt;date&gt; (the Grant Date) you have been granted a [Non-Qualified Stock Option] [Incentive Stock Option] to buy [</w:t>
            </w: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w w:val="92"/>
              </w:rPr>
              <w:t>] shares of Regeneron</w:t>
            </w:r>
          </w:p>
        </w:tc>
      </w:tr>
      <w:tr>
        <w:trPr>
          <w:trHeight w:val="243"/>
        </w:trPr>
        <w:tc>
          <w:tcPr>
            <w:tcW w:w="3500" w:type="dxa"/>
            <w:vAlign w:val="bottom"/>
            <w:gridSpan w:val="5"/>
          </w:tcPr>
          <w:p>
            <w:pPr>
              <w:spacing w:after="0"/>
              <w:rPr>
                <w:sz w:val="20"/>
                <w:szCs w:val="20"/>
                <w:color w:val="auto"/>
              </w:rPr>
            </w:pPr>
            <w:r>
              <w:rPr>
                <w:rFonts w:ascii="Arial" w:cs="Arial" w:eastAsia="Arial" w:hAnsi="Arial"/>
                <w:sz w:val="18"/>
                <w:szCs w:val="18"/>
                <w:color w:val="auto"/>
                <w:w w:val="90"/>
              </w:rPr>
              <w:t>Pharmaceuticals, Inc. (the Company) stock at [$</w:t>
            </w: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 per share.</w:t>
            </w: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59"/>
        </w:trPr>
        <w:tc>
          <w:tcPr>
            <w:tcW w:w="3500" w:type="dxa"/>
            <w:vAlign w:val="bottom"/>
            <w:gridSpan w:val="5"/>
          </w:tcPr>
          <w:p>
            <w:pPr>
              <w:spacing w:after="0"/>
              <w:rPr>
                <w:sz w:val="20"/>
                <w:szCs w:val="20"/>
                <w:color w:val="auto"/>
              </w:rPr>
            </w:pPr>
            <w:r>
              <w:rPr>
                <w:rFonts w:ascii="Arial" w:cs="Arial" w:eastAsia="Arial" w:hAnsi="Arial"/>
                <w:sz w:val="18"/>
                <w:szCs w:val="18"/>
                <w:color w:val="auto"/>
                <w:w w:val="91"/>
              </w:rPr>
              <w:t>The total option price of the shares granted is [$</w:t>
            </w:r>
          </w:p>
        </w:tc>
        <w:tc>
          <w:tcPr>
            <w:tcW w:w="212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780" w:type="dxa"/>
            <w:vAlign w:val="bottom"/>
            <w:gridSpan w:val="7"/>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0"/>
        </w:trPr>
        <w:tc>
          <w:tcPr>
            <w:tcW w:w="580" w:type="dxa"/>
            <w:vAlign w:val="bottom"/>
          </w:tcPr>
          <w:p>
            <w:pPr>
              <w:spacing w:after="0"/>
              <w:rPr>
                <w:sz w:val="24"/>
                <w:szCs w:val="24"/>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86"/>
              </w:rPr>
              <w:t>Vest Type</w:t>
            </w:r>
          </w:p>
        </w:tc>
        <w:tc>
          <w:tcPr>
            <w:tcW w:w="16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Full Vest</w:t>
            </w:r>
          </w:p>
        </w:tc>
        <w:tc>
          <w:tcPr>
            <w:tcW w:w="160" w:type="dxa"/>
            <w:vAlign w:val="bottom"/>
          </w:tcPr>
          <w:p>
            <w:pPr>
              <w:spacing w:after="0"/>
              <w:rPr>
                <w:sz w:val="24"/>
                <w:szCs w:val="24"/>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560" w:type="dxa"/>
            <w:vAlign w:val="bottom"/>
          </w:tcPr>
          <w:p>
            <w:pPr>
              <w:spacing w:after="0"/>
              <w:rPr>
                <w:sz w:val="24"/>
                <w:szCs w:val="24"/>
                <w:color w:val="auto"/>
              </w:rPr>
            </w:pPr>
          </w:p>
        </w:tc>
      </w:tr>
      <w:tr>
        <w:trPr>
          <w:trHeight w:val="238"/>
        </w:trPr>
        <w:tc>
          <w:tcPr>
            <w:tcW w:w="600" w:type="dxa"/>
            <w:vAlign w:val="bottom"/>
            <w:gridSpan w:val="2"/>
          </w:tcPr>
          <w:p>
            <w:pPr>
              <w:spacing w:after="0"/>
              <w:rPr>
                <w:sz w:val="20"/>
                <w:szCs w:val="20"/>
                <w:color w:val="auto"/>
              </w:rPr>
            </w:pPr>
          </w:p>
        </w:tc>
        <w:tc>
          <w:tcPr>
            <w:tcW w:w="24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280" w:type="dxa"/>
            <w:vAlign w:val="bottom"/>
            <w:gridSpan w:val="2"/>
            <w:shd w:val="clear" w:color="auto" w:fill="C0C0C0"/>
          </w:tcPr>
          <w:p>
            <w:pPr>
              <w:jc w:val="center"/>
              <w:ind w:right="540"/>
              <w:spacing w:after="0"/>
              <w:rPr>
                <w:sz w:val="20"/>
                <w:szCs w:val="20"/>
                <w:color w:val="auto"/>
              </w:rPr>
            </w:pPr>
            <w:r>
              <w:rPr>
                <w:rFonts w:ascii="Arial" w:cs="Arial" w:eastAsia="Arial" w:hAnsi="Arial"/>
                <w:sz w:val="18"/>
                <w:szCs w:val="18"/>
                <w:color w:val="auto"/>
                <w:w w:val="86"/>
              </w:rPr>
              <w:t>On Vest Date</w:t>
            </w:r>
          </w:p>
        </w:tc>
        <w:tc>
          <w:tcPr>
            <w:tcW w:w="24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[__/__/__]**</w:t>
            </w:r>
          </w:p>
        </w:tc>
        <w:tc>
          <w:tcPr>
            <w:tcW w:w="160" w:type="dxa"/>
            <w:vAlign w:val="bottom"/>
            <w:shd w:val="clear" w:color="auto" w:fill="C0C0C0"/>
          </w:tcPr>
          <w:p>
            <w:pPr>
              <w:spacing w:after="0"/>
              <w:rPr>
                <w:sz w:val="20"/>
                <w:szCs w:val="20"/>
                <w:color w:val="auto"/>
              </w:rPr>
            </w:pPr>
          </w:p>
        </w:tc>
        <w:tc>
          <w:tcPr>
            <w:tcW w:w="246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89"/>
              </w:rPr>
              <w:t>[10 years from Grant Date]</w:t>
            </w:r>
          </w:p>
        </w:tc>
        <w:tc>
          <w:tcPr>
            <w:tcW w:w="560" w:type="dxa"/>
            <w:vAlign w:val="bottom"/>
          </w:tcPr>
          <w:p>
            <w:pPr>
              <w:spacing w:after="0"/>
              <w:rPr>
                <w:sz w:val="20"/>
                <w:szCs w:val="20"/>
                <w:color w:val="auto"/>
              </w:rPr>
            </w:pPr>
          </w:p>
        </w:tc>
      </w:tr>
      <w:tr>
        <w:trPr>
          <w:trHeight w:val="242"/>
        </w:trPr>
        <w:tc>
          <w:tcPr>
            <w:tcW w:w="3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On Vest Date</w:t>
            </w: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[__/__/__]**</w:t>
            </w:r>
          </w:p>
        </w:tc>
        <w:tc>
          <w:tcPr>
            <w:tcW w:w="160" w:type="dxa"/>
            <w:vAlign w:val="bottom"/>
          </w:tcPr>
          <w:p>
            <w:pPr>
              <w:spacing w:after="0"/>
              <w:rPr>
                <w:sz w:val="21"/>
                <w:szCs w:val="21"/>
                <w:color w:val="auto"/>
              </w:rPr>
            </w:pPr>
          </w:p>
        </w:tc>
        <w:tc>
          <w:tcPr>
            <w:tcW w:w="302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[10 years from Grant Date]</w:t>
            </w:r>
          </w:p>
        </w:tc>
      </w:tr>
      <w:tr>
        <w:trPr>
          <w:trHeight w:val="244"/>
        </w:trPr>
        <w:tc>
          <w:tcPr>
            <w:tcW w:w="600" w:type="dxa"/>
            <w:vAlign w:val="bottom"/>
            <w:gridSpan w:val="2"/>
          </w:tcPr>
          <w:p>
            <w:pPr>
              <w:spacing w:after="0"/>
              <w:rPr>
                <w:sz w:val="21"/>
                <w:szCs w:val="21"/>
                <w:color w:val="auto"/>
              </w:rPr>
            </w:pPr>
          </w:p>
        </w:tc>
        <w:tc>
          <w:tcPr>
            <w:tcW w:w="24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280" w:type="dxa"/>
            <w:vAlign w:val="bottom"/>
            <w:gridSpan w:val="2"/>
            <w:shd w:val="clear" w:color="auto" w:fill="C0C0C0"/>
          </w:tcPr>
          <w:p>
            <w:pPr>
              <w:jc w:val="center"/>
              <w:ind w:right="540"/>
              <w:spacing w:after="0"/>
              <w:rPr>
                <w:sz w:val="20"/>
                <w:szCs w:val="20"/>
                <w:color w:val="auto"/>
              </w:rPr>
            </w:pPr>
            <w:r>
              <w:rPr>
                <w:rFonts w:ascii="Arial" w:cs="Arial" w:eastAsia="Arial" w:hAnsi="Arial"/>
                <w:sz w:val="18"/>
                <w:szCs w:val="18"/>
                <w:color w:val="auto"/>
                <w:w w:val="86"/>
              </w:rPr>
              <w:t>On Vest Date</w:t>
            </w:r>
          </w:p>
        </w:tc>
        <w:tc>
          <w:tcPr>
            <w:tcW w:w="24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[__/__/__]**</w:t>
            </w:r>
          </w:p>
        </w:tc>
        <w:tc>
          <w:tcPr>
            <w:tcW w:w="160" w:type="dxa"/>
            <w:vAlign w:val="bottom"/>
            <w:shd w:val="clear" w:color="auto" w:fill="C0C0C0"/>
          </w:tcPr>
          <w:p>
            <w:pPr>
              <w:spacing w:after="0"/>
              <w:rPr>
                <w:sz w:val="21"/>
                <w:szCs w:val="21"/>
                <w:color w:val="auto"/>
              </w:rPr>
            </w:pPr>
          </w:p>
        </w:tc>
        <w:tc>
          <w:tcPr>
            <w:tcW w:w="246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89"/>
              </w:rPr>
              <w:t>[10 years from Grant Date]</w:t>
            </w:r>
          </w:p>
        </w:tc>
        <w:tc>
          <w:tcPr>
            <w:tcW w:w="560" w:type="dxa"/>
            <w:vAlign w:val="bottom"/>
          </w:tcPr>
          <w:p>
            <w:pPr>
              <w:spacing w:after="0"/>
              <w:rPr>
                <w:sz w:val="21"/>
                <w:szCs w:val="21"/>
                <w:color w:val="auto"/>
              </w:rPr>
            </w:pPr>
          </w:p>
        </w:tc>
      </w:tr>
      <w:tr>
        <w:trPr>
          <w:trHeight w:val="241"/>
        </w:trPr>
        <w:tc>
          <w:tcPr>
            <w:tcW w:w="3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On Vest Date</w:t>
            </w: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[__/__/__]**</w:t>
            </w:r>
          </w:p>
        </w:tc>
        <w:tc>
          <w:tcPr>
            <w:tcW w:w="160" w:type="dxa"/>
            <w:vAlign w:val="bottom"/>
          </w:tcPr>
          <w:p>
            <w:pPr>
              <w:spacing w:after="0"/>
              <w:rPr>
                <w:sz w:val="20"/>
                <w:szCs w:val="20"/>
                <w:color w:val="auto"/>
              </w:rPr>
            </w:pPr>
          </w:p>
        </w:tc>
        <w:tc>
          <w:tcPr>
            <w:tcW w:w="3020" w:type="dxa"/>
            <w:vAlign w:val="bottom"/>
            <w:gridSpan w:val="3"/>
          </w:tcPr>
          <w:p>
            <w:pPr>
              <w:jc w:val="center"/>
              <w:ind w:right="640"/>
              <w:spacing w:after="0"/>
              <w:rPr>
                <w:sz w:val="20"/>
                <w:szCs w:val="20"/>
                <w:color w:val="auto"/>
              </w:rPr>
            </w:pPr>
            <w:r>
              <w:rPr>
                <w:rFonts w:ascii="Arial" w:cs="Arial" w:eastAsia="Arial" w:hAnsi="Arial"/>
                <w:sz w:val="18"/>
                <w:szCs w:val="18"/>
                <w:color w:val="auto"/>
                <w:w w:val="90"/>
              </w:rPr>
              <w:t>[10 years from Grant Date]]</w:t>
            </w:r>
          </w:p>
        </w:tc>
      </w:tr>
      <w:tr>
        <w:trPr>
          <w:trHeight w:val="459"/>
        </w:trPr>
        <w:tc>
          <w:tcPr>
            <w:tcW w:w="580" w:type="dxa"/>
            <w:vAlign w:val="bottom"/>
          </w:tcPr>
          <w:p>
            <w:pPr>
              <w:spacing w:after="0"/>
              <w:rPr>
                <w:sz w:val="24"/>
                <w:szCs w:val="24"/>
                <w:color w:val="auto"/>
              </w:rPr>
            </w:pPr>
          </w:p>
        </w:tc>
        <w:tc>
          <w:tcPr>
            <w:tcW w:w="5200" w:type="dxa"/>
            <w:vAlign w:val="bottom"/>
            <w:gridSpan w:val="6"/>
          </w:tcPr>
          <w:p>
            <w:pPr>
              <w:spacing w:after="0"/>
              <w:rPr>
                <w:sz w:val="20"/>
                <w:szCs w:val="20"/>
                <w:color w:val="auto"/>
              </w:rPr>
            </w:pPr>
            <w:r>
              <w:rPr>
                <w:rFonts w:ascii="Arial" w:cs="Arial" w:eastAsia="Arial" w:hAnsi="Arial"/>
                <w:sz w:val="18"/>
                <w:szCs w:val="18"/>
                <w:color w:val="auto"/>
                <w:w w:val="92"/>
              </w:rPr>
              <w:t>The [Non-Qualified Stock Option] [Incentive Stock Option] expires on [</w:t>
            </w:r>
          </w:p>
        </w:tc>
        <w:tc>
          <w:tcPr>
            <w:tcW w:w="2460" w:type="dxa"/>
            <w:vAlign w:val="bottom"/>
          </w:tcPr>
          <w:p>
            <w:pPr>
              <w:ind w:left="380"/>
              <w:spacing w:after="0"/>
              <w:rPr>
                <w:sz w:val="20"/>
                <w:szCs w:val="20"/>
                <w:color w:val="auto"/>
              </w:rPr>
            </w:pPr>
            <w:r>
              <w:rPr>
                <w:rFonts w:ascii="Arial" w:cs="Arial" w:eastAsia="Arial" w:hAnsi="Arial"/>
                <w:sz w:val="18"/>
                <w:szCs w:val="18"/>
                <w:color w:val="auto"/>
                <w:w w:val="96"/>
              </w:rPr>
              <w:t>]*** (the “Expiration Date”).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Amended and Restated 2000 Long-Term Incentive Plan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46" w:lineRule="exact"/>
        <w:rPr>
          <w:sz w:val="20"/>
          <w:szCs w:val="20"/>
          <w:color w:val="auto"/>
        </w:rPr>
      </w:pPr>
    </w:p>
    <w:p>
      <w:pPr>
        <w:jc w:val="both"/>
        <w:ind w:left="380" w:right="380" w:hanging="372"/>
        <w:spacing w:after="0" w:line="25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 Options for non-employee directors will vest in approximately equal annual 33-1/3% installments. Full Vest Dates will occur on the first, second, and third anniversaries of the Grant Date.</w:t>
      </w:r>
    </w:p>
    <w:p>
      <w:pPr>
        <w:spacing w:after="0" w:line="22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jc w:val="center"/>
        <w:spacing w:after="0" w:line="230" w:lineRule="auto"/>
        <w:rPr>
          <w:sz w:val="20"/>
          <w:szCs w:val="20"/>
          <w:color w:val="auto"/>
        </w:rPr>
      </w:pPr>
      <w:r>
        <w:rPr>
          <w:rFonts w:ascii="Arial" w:cs="Arial" w:eastAsia="Arial" w:hAnsi="Arial"/>
          <w:sz w:val="22"/>
          <w:szCs w:val="22"/>
          <w:b w:val="1"/>
          <w:bCs w:val="1"/>
          <w:color w:val="auto"/>
        </w:rPr>
        <w:t>PURSUANT TO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LONG-TERM INCENTIVE PLAN</w:t>
      </w:r>
    </w:p>
    <w:p>
      <w:pPr>
        <w:spacing w:after="0" w:line="228" w:lineRule="exact"/>
        <w:rPr>
          <w:sz w:val="20"/>
          <w:szCs w:val="20"/>
          <w:color w:val="auto"/>
        </w:rPr>
      </w:pPr>
    </w:p>
    <w:p>
      <w:pPr>
        <w:jc w:val="both"/>
        <w:ind w:firstLine="729"/>
        <w:spacing w:after="0" w:line="332" w:lineRule="auto"/>
        <w:rPr>
          <w:sz w:val="20"/>
          <w:szCs w:val="20"/>
          <w:color w:val="auto"/>
        </w:rPr>
      </w:pPr>
      <w:r>
        <w:rPr>
          <w:rFonts w:ascii="Arial" w:cs="Arial" w:eastAsia="Arial" w:hAnsi="Arial"/>
          <w:sz w:val="16"/>
          <w:szCs w:val="16"/>
          <w:color w:val="auto"/>
        </w:rPr>
        <w:t xml:space="preserve">THIS AGREEMENT, made as of the date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by and between Regeneron Pharmaceuticals, Inc., a New York corporation (the "Company"), and the employee (or member of the Board of Directors) named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"Grantee");</w:t>
      </w:r>
    </w:p>
    <w:p>
      <w:pPr>
        <w:spacing w:after="0" w:line="166"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WHEREAS, the Grantee is an employee or member of the Board of Directors of the Company and the Company desires to afford the Grantee the opportunity to acquire or enlarge the Grantee's stock ownership in the Company so that the Grantee may have a direct proprietary interest in the Company's success; and</w:t>
      </w:r>
    </w:p>
    <w:p>
      <w:pPr>
        <w:spacing w:after="0" w:line="2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 xml:space="preserve">WHEREAS, the Committee administering the 2000 Long-Term Incentive Plan (as amended from time to time,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Grantee a Stock Option to purchase the number of shares of the Company's Common Stock ($.001 par value) (the "Common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46" w:lineRule="exact"/>
        <w:rPr>
          <w:sz w:val="20"/>
          <w:szCs w:val="20"/>
          <w:color w:val="auto"/>
        </w:rPr>
      </w:pPr>
    </w:p>
    <w:p>
      <w:pPr>
        <w:jc w:val="both"/>
        <w:ind w:firstLine="292"/>
        <w:spacing w:after="0" w:line="301" w:lineRule="auto"/>
        <w:tabs>
          <w:tab w:leader="none" w:pos="46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 subject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terms and conditions set forth here, the option to purchase from the Company all or any part of an aggregate of shares of Common Stock at the purchase price per share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"Code").</w:t>
      </w:r>
    </w:p>
    <w:p>
      <w:pPr>
        <w:sectPr>
          <w:pgSz w:w="11900" w:h="16838" w:orient="portrait"/>
          <w:cols w:equalWidth="0" w:num="1">
            <w:col w:w="11420"/>
          </w:cols>
          <w:pgMar w:left="240" w:top="125" w:right="239" w:bottom="0" w:gutter="0" w:footer="0" w:header="0"/>
        </w:sectPr>
      </w:pPr>
    </w:p>
    <w:bookmarkStart w:id="31" w:name="page32"/>
    <w:bookmarkEnd w:id="31"/>
    <w:p>
      <w:pPr>
        <w:jc w:val="both"/>
        <w:ind w:left="-8" w:firstLine="346"/>
        <w:spacing w:after="0" w:line="288" w:lineRule="auto"/>
        <w:tabs>
          <w:tab w:leader="none" w:pos="51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 in connection with the exercise of the Option to remit to the Company in cash an amount sufficient to satisfy any federal, state and local withholding tax requirements related thereto.</w:t>
      </w:r>
    </w:p>
    <w:p>
      <w:pPr>
        <w:spacing w:after="0" w:line="200" w:lineRule="exact"/>
        <w:rPr>
          <w:sz w:val="20"/>
          <w:szCs w:val="20"/>
          <w:color w:val="auto"/>
        </w:rPr>
      </w:pPr>
    </w:p>
    <w:p>
      <w:pPr>
        <w:spacing w:after="0" w:line="223" w:lineRule="exact"/>
        <w:rPr>
          <w:sz w:val="20"/>
          <w:szCs w:val="20"/>
          <w:color w:val="auto"/>
        </w:rPr>
      </w:pPr>
    </w:p>
    <w:p>
      <w:pPr>
        <w:jc w:val="both"/>
        <w:ind w:left="-8" w:firstLine="319"/>
        <w:spacing w:after="0" w:line="288" w:lineRule="auto"/>
        <w:tabs>
          <w:tab w:leader="none" w:pos="556" w:val="left"/>
        </w:tabs>
        <w:numPr>
          <w:ilvl w:val="2"/>
          <w:numId w:val="8"/>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the Full Vest Dates. Except as otherwise provided in any employment agreement, consulting agreement, change in control agreement or similar agreement or plan in effect between the Employer and the Grantee on the date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no vesting shall occur after such date as the Grantee ceases to be employed by the Employer (or providing services as a member of the Board of Directors, as the case may be) and all unvested Options shall be forfeited at such time.</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both"/>
        <w:ind w:left="-8" w:firstLine="278"/>
        <w:spacing w:after="0" w:line="301" w:lineRule="auto"/>
        <w:tabs>
          <w:tab w:leader="none" w:pos="501" w:val="left"/>
        </w:tabs>
        <w:numPr>
          <w:ilvl w:val="1"/>
          <w:numId w:val="9"/>
        </w:numPr>
        <w:rPr>
          <w:rFonts w:ascii="Arial" w:cs="Arial" w:eastAsia="Arial" w:hAnsi="Arial"/>
          <w:sz w:val="15"/>
          <w:szCs w:val="15"/>
          <w:color w:val="auto"/>
        </w:rPr>
      </w:pPr>
      <w:r>
        <w:rPr>
          <w:rFonts w:ascii="Arial" w:cs="Arial" w:eastAsia="Arial" w:hAnsi="Arial"/>
          <w:sz w:val="15"/>
          <w:szCs w:val="15"/>
          <w:color w:val="auto"/>
        </w:rPr>
        <w:t xml:space="preserve">Notwithstanding anything herein (except the following sentence) or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to the contrary, the Option shall be fully vested on the date of termination of the Grantee’s employment with the Employer (or services as a member of the Board of Directors) if the Grantee’s employment with the Employer (or services a member of the Board of Directors)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if the application of the provision in the foregoing sentence, similar provisions in other stock option or restricted stock grants, and other payments and benefits payable to the Grantee upon termination of employment (or service as member of the Board of Directors)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w:t>
      </w:r>
    </w:p>
    <w:p>
      <w:pPr>
        <w:spacing w:after="0" w:line="2" w:lineRule="exact"/>
        <w:rPr>
          <w:rFonts w:ascii="Arial" w:cs="Arial" w:eastAsia="Arial" w:hAnsi="Arial"/>
          <w:sz w:val="15"/>
          <w:szCs w:val="15"/>
          <w:color w:val="auto"/>
        </w:rPr>
      </w:pPr>
    </w:p>
    <w:p>
      <w:pPr>
        <w:ind w:left="-8" w:firstLine="8"/>
        <w:spacing w:after="0" w:line="261" w:lineRule="auto"/>
        <w:tabs>
          <w:tab w:leader="none" w:pos="2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cash amounts payable to the Grantee, (4) any benefits valued as parachute payments, and (5) acceleration of vesting of any equity not covered by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-2515870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3" w:lineRule="exact"/>
        <w:rPr>
          <w:sz w:val="20"/>
          <w:szCs w:val="20"/>
          <w:color w:val="auto"/>
        </w:rPr>
      </w:pPr>
    </w:p>
    <w:p>
      <w:pPr>
        <w:jc w:val="both"/>
        <w:ind w:left="-8" w:firstLine="346"/>
        <w:spacing w:after="0" w:line="288" w:lineRule="auto"/>
        <w:tabs>
          <w:tab w:leader="none" w:pos="51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or long-term disability, (B) the tenth anniversary of this grant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202" w:lineRule="exact"/>
        <w:rPr>
          <w:sz w:val="20"/>
          <w:szCs w:val="20"/>
          <w:color w:val="auto"/>
        </w:rPr>
      </w:pPr>
    </w:p>
    <w:p>
      <w:pPr>
        <w:jc w:val="both"/>
        <w:ind w:left="-8" w:firstLine="332"/>
        <w:spacing w:after="0" w:line="286" w:lineRule="auto"/>
        <w:tabs>
          <w:tab w:leader="none" w:pos="5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(i) in the case where there is no employment agreement, consulting agreement, change in control agreement or similar agreement or plan in effect between the Company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that defines “cause” (or words of like import), as defined under such agreement or plan. For purposes of this Section 3(b), no act, or failure to act,</w:t>
      </w:r>
      <w:r>
        <w:rPr>
          <w:rFonts w:ascii="Arial" w:cs="Arial" w:eastAsia="Arial" w:hAnsi="Arial"/>
          <w:sz w:val="16"/>
          <w:szCs w:val="16"/>
          <w:i w:val="1"/>
          <w:iCs w:val="1"/>
          <w:color w:val="auto"/>
        </w:rPr>
        <w:t xml:space="preserve"> </w:t>
      </w:r>
      <w:r>
        <w:rPr>
          <w:rFonts w:ascii="Arial" w:cs="Arial" w:eastAsia="Arial" w:hAnsi="Arial"/>
          <w:sz w:val="16"/>
          <w:szCs w:val="16"/>
          <w:color w:val="auto"/>
        </w:rPr>
        <w:t>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jc w:val="both"/>
        <w:ind w:left="-8" w:firstLine="346"/>
        <w:spacing w:after="0" w:line="309" w:lineRule="auto"/>
        <w:tabs>
          <w:tab w:leader="none" w:pos="587"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For purposes of this Agreement, “Good Reason” shall mean (i) in the case where there is no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Options </w:t>
      </w:r>
      <w:r>
        <w:rPr>
          <w:rFonts w:ascii="Arial" w:cs="Arial" w:eastAsia="Arial" w:hAnsi="Arial"/>
          <w:sz w:val="15"/>
          <w:szCs w:val="15"/>
          <w:color w:val="auto"/>
        </w:rPr>
        <w:t>(or where there is such an agreement or plan but it does not define “good reason” (or words of like import)) a termination of employment by the Grantee</w:t>
      </w:r>
      <w:r>
        <w:rPr>
          <w:rFonts w:ascii="Arial" w:cs="Arial" w:eastAsia="Arial" w:hAnsi="Arial"/>
          <w:sz w:val="15"/>
          <w:szCs w:val="15"/>
          <w:i w:val="1"/>
          <w:iCs w:val="1"/>
          <w:color w:val="auto"/>
        </w:rPr>
        <w:t xml:space="preserve"> </w:t>
      </w:r>
      <w:r>
        <w:rPr>
          <w:rFonts w:ascii="Arial" w:cs="Arial" w:eastAsia="Arial" w:hAnsi="Arial"/>
          <w:sz w:val="15"/>
          <w:szCs w:val="15"/>
          <w:color w:val="auto"/>
        </w:rPr>
        <w:t>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-1437005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152" w:right="239" w:bottom="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 xml:space="preserve">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that defines “good reason” (or words of like import), as defined under such agreement or plan.</w:t>
      </w:r>
    </w:p>
    <w:p>
      <w:pPr>
        <w:spacing w:after="0" w:line="219" w:lineRule="exact"/>
        <w:rPr>
          <w:sz w:val="20"/>
          <w:szCs w:val="20"/>
          <w:color w:val="auto"/>
        </w:rPr>
      </w:pPr>
    </w:p>
    <w:p>
      <w:pPr>
        <w:jc w:val="both"/>
        <w:ind w:firstLine="332"/>
        <w:spacing w:after="0" w:line="289" w:lineRule="auto"/>
        <w:tabs>
          <w:tab w:leader="none" w:pos="513" w:val="left"/>
        </w:tabs>
        <w:numPr>
          <w:ilvl w:val="3"/>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93" w:lineRule="exact"/>
        <w:rPr>
          <w:rFonts w:ascii="Arial" w:cs="Arial" w:eastAsia="Arial" w:hAnsi="Arial"/>
          <w:sz w:val="16"/>
          <w:szCs w:val="16"/>
          <w:b w:val="1"/>
          <w:bCs w:val="1"/>
          <w:color w:val="auto"/>
        </w:rPr>
      </w:pPr>
    </w:p>
    <w:p>
      <w:pPr>
        <w:jc w:val="both"/>
        <w:ind w:firstLine="292"/>
        <w:spacing w:after="0" w:line="339" w:lineRule="auto"/>
        <w:tabs>
          <w:tab w:leader="none" w:pos="462" w:val="left"/>
        </w:tabs>
        <w:numPr>
          <w:ilvl w:val="1"/>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of a Stockholder. </w:t>
      </w:r>
      <w:r>
        <w:rPr>
          <w:rFonts w:ascii="Arial" w:cs="Arial" w:eastAsia="Arial" w:hAnsi="Arial"/>
          <w:sz w:val="15"/>
          <w:szCs w:val="15"/>
          <w:color w:val="auto"/>
        </w:rPr>
        <w:t>The Grantee shall have no rights as a stockholder with respect to any shares of Common Stock subject to this Option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0" w:lineRule="exact"/>
        <w:rPr>
          <w:rFonts w:ascii="Arial" w:cs="Arial" w:eastAsia="Arial" w:hAnsi="Arial"/>
          <w:sz w:val="15"/>
          <w:szCs w:val="15"/>
          <w:b w:val="1"/>
          <w:bCs w:val="1"/>
          <w:color w:val="auto"/>
        </w:rPr>
      </w:pPr>
    </w:p>
    <w:p>
      <w:pPr>
        <w:jc w:val="both"/>
        <w:ind w:firstLine="278"/>
        <w:spacing w:after="0" w:line="288" w:lineRule="auto"/>
        <w:tabs>
          <w:tab w:leader="none" w:pos="44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 local</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200" w:lineRule="exact"/>
        <w:rPr>
          <w:rFonts w:ascii="Arial" w:cs="Arial" w:eastAsia="Arial" w:hAnsi="Arial"/>
          <w:sz w:val="16"/>
          <w:szCs w:val="16"/>
          <w:b w:val="1"/>
          <w:bCs w:val="1"/>
          <w:color w:val="auto"/>
        </w:rPr>
      </w:pPr>
    </w:p>
    <w:p>
      <w:pPr>
        <w:spacing w:after="0" w:line="239" w:lineRule="exact"/>
        <w:rPr>
          <w:rFonts w:ascii="Arial" w:cs="Arial" w:eastAsia="Arial" w:hAnsi="Arial"/>
          <w:sz w:val="16"/>
          <w:szCs w:val="16"/>
          <w:b w:val="1"/>
          <w:bCs w:val="1"/>
          <w:color w:val="auto"/>
        </w:rPr>
      </w:pPr>
    </w:p>
    <w:p>
      <w:pPr>
        <w:jc w:val="both"/>
        <w:ind w:firstLine="278"/>
        <w:spacing w:after="0" w:line="258"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217" w:lineRule="exact"/>
        <w:rPr>
          <w:rFonts w:ascii="Arial" w:cs="Arial" w:eastAsia="Arial" w:hAnsi="Arial"/>
          <w:sz w:val="18"/>
          <w:szCs w:val="18"/>
          <w:b w:val="1"/>
          <w:bCs w:val="1"/>
          <w:color w:val="auto"/>
        </w:rPr>
      </w:pPr>
    </w:p>
    <w:p>
      <w:pPr>
        <w:jc w:val="both"/>
        <w:ind w:firstLine="278"/>
        <w:spacing w:after="0" w:line="256"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 mail, at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or service, to the last address for the Grantee indicated in the records of the Employer, or such other address as the relevant party shall specify at any time hereafter in accordance with this Section 8.</w:t>
      </w:r>
    </w:p>
    <w:p>
      <w:pPr>
        <w:spacing w:after="0" w:line="219" w:lineRule="exact"/>
        <w:rPr>
          <w:rFonts w:ascii="Arial" w:cs="Arial" w:eastAsia="Arial" w:hAnsi="Arial"/>
          <w:sz w:val="18"/>
          <w:szCs w:val="18"/>
          <w:b w:val="1"/>
          <w:bCs w:val="1"/>
          <w:color w:val="auto"/>
        </w:rPr>
      </w:pPr>
    </w:p>
    <w:p>
      <w:pPr>
        <w:ind w:firstLine="319"/>
        <w:spacing w:after="0" w:line="275" w:lineRule="auto"/>
        <w:tabs>
          <w:tab w:leader="none" w:pos="494" w:val="left"/>
        </w:tabs>
        <w:numPr>
          <w:ilvl w:val="2"/>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nor does it modify in any respect the Grantee's employment 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-2008505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7280" w:type="dxa"/>
            <w:vAlign w:val="bottom"/>
            <w:gridSpan w:val="4"/>
          </w:tcPr>
          <w:p>
            <w:pPr>
              <w:ind w:left="1100"/>
              <w:spacing w:after="0"/>
              <w:rPr>
                <w:sz w:val="20"/>
                <w:szCs w:val="20"/>
                <w:color w:val="auto"/>
              </w:rPr>
            </w:pPr>
            <w:r>
              <w:rPr>
                <w:rFonts w:ascii="Arial" w:cs="Arial" w:eastAsia="Arial" w:hAnsi="Arial"/>
                <w:sz w:val="18"/>
                <w:szCs w:val="18"/>
                <w:b w:val="1"/>
                <w:bCs w:val="1"/>
                <w:color w:val="auto"/>
              </w:rPr>
              <w:t>Regeneron Pharmaceuticals, Inc.</w:t>
            </w:r>
          </w:p>
        </w:tc>
      </w:tr>
      <w:tr>
        <w:trPr>
          <w:trHeight w:val="243"/>
        </w:trPr>
        <w:tc>
          <w:tcPr>
            <w:tcW w:w="4140" w:type="dxa"/>
            <w:vAlign w:val="bottom"/>
          </w:tcPr>
          <w:p>
            <w:pPr>
              <w:spacing w:after="0"/>
              <w:rPr>
                <w:sz w:val="21"/>
                <w:szCs w:val="21"/>
                <w:color w:val="auto"/>
              </w:rPr>
            </w:pPr>
          </w:p>
        </w:tc>
        <w:tc>
          <w:tcPr>
            <w:tcW w:w="1780" w:type="dxa"/>
            <w:vAlign w:val="bottom"/>
          </w:tcPr>
          <w:p>
            <w:pPr>
              <w:ind w:left="11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7280" w:type="dxa"/>
            <w:vAlign w:val="bottom"/>
            <w:gridSpan w:val="4"/>
          </w:tcPr>
          <w:p>
            <w:pPr>
              <w:ind w:left="1100"/>
              <w:spacing w:after="0"/>
              <w:rPr>
                <w:sz w:val="20"/>
                <w:szCs w:val="20"/>
                <w:color w:val="auto"/>
              </w:rPr>
            </w:pPr>
            <w:r>
              <w:rPr>
                <w:rFonts w:ascii="Arial" w:cs="Arial" w:eastAsia="Arial" w:hAnsi="Arial"/>
                <w:sz w:val="18"/>
                <w:szCs w:val="18"/>
                <w:color w:val="auto"/>
              </w:rPr>
              <w:t>777 Old Saw Mill River Road</w:t>
            </w: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and Option Agreement for Performance</w:t>
            </w:r>
          </w:p>
        </w:tc>
        <w:tc>
          <w:tcPr>
            <w:tcW w:w="3160" w:type="dxa"/>
            <w:vAlign w:val="bottom"/>
            <w:gridSpan w:val="3"/>
          </w:tcPr>
          <w:p>
            <w:pPr>
              <w:ind w:left="1100"/>
              <w:spacing w:after="0"/>
              <w:rPr>
                <w:sz w:val="20"/>
                <w:szCs w:val="20"/>
                <w:color w:val="auto"/>
              </w:rPr>
            </w:pPr>
            <w:r>
              <w:rPr>
                <w:rFonts w:ascii="Arial" w:cs="Arial" w:eastAsia="Arial" w:hAnsi="Arial"/>
                <w:sz w:val="18"/>
                <w:szCs w:val="18"/>
                <w:color w:val="auto"/>
                <w:w w:val="91"/>
              </w:rPr>
              <w:t>Tarrytown, New York 10591</w:t>
            </w:r>
          </w:p>
        </w:tc>
        <w:tc>
          <w:tcPr>
            <w:tcW w:w="4120" w:type="dxa"/>
            <w:vAlign w:val="bottom"/>
          </w:tcPr>
          <w:p>
            <w:pPr>
              <w:spacing w:after="0"/>
              <w:rPr>
                <w:sz w:val="21"/>
                <w:szCs w:val="2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Vesting Option Awards</w:t>
            </w:r>
          </w:p>
        </w:tc>
        <w:tc>
          <w:tcPr>
            <w:tcW w:w="1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252"/>
        </w:trPr>
        <w:tc>
          <w:tcPr>
            <w:tcW w:w="4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r>
      <w:tr>
        <w:trPr>
          <w:trHeight w:val="496"/>
        </w:trPr>
        <w:tc>
          <w:tcPr>
            <w:tcW w:w="41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440" w:type="dxa"/>
            <w:vAlign w:val="bottom"/>
            <w:gridSpan w:val="2"/>
          </w:tcPr>
          <w:p>
            <w:pPr>
              <w:ind w:left="1100"/>
              <w:spacing w:after="0"/>
              <w:rPr>
                <w:sz w:val="20"/>
                <w:szCs w:val="20"/>
                <w:color w:val="auto"/>
              </w:rPr>
            </w:pPr>
            <w:r>
              <w:rPr>
                <w:rFonts w:ascii="Arial" w:cs="Arial" w:eastAsia="Arial" w:hAnsi="Arial"/>
                <w:sz w:val="18"/>
                <w:szCs w:val="18"/>
                <w:b w:val="1"/>
                <w:bCs w:val="1"/>
                <w:color w:val="auto"/>
                <w:w w:val="96"/>
              </w:rPr>
              <w:t>Option Number:</w:t>
            </w:r>
          </w:p>
        </w:tc>
        <w:tc>
          <w:tcPr>
            <w:tcW w:w="72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4120" w:type="dxa"/>
            <w:vAlign w:val="bottom"/>
          </w:tcPr>
          <w:p>
            <w:pPr>
              <w:jc w:val="right"/>
              <w:ind w:right="3912"/>
              <w:spacing w:after="0"/>
              <w:rPr>
                <w:sz w:val="20"/>
                <w:szCs w:val="20"/>
                <w:color w:val="auto"/>
              </w:rPr>
            </w:pPr>
            <w:r>
              <w:rPr>
                <w:rFonts w:ascii="Arial" w:cs="Arial" w:eastAsia="Arial" w:hAnsi="Arial"/>
                <w:sz w:val="22"/>
                <w:szCs w:val="22"/>
                <w:b w:val="1"/>
                <w:bCs w:val="1"/>
                <w:color w:val="auto"/>
              </w:rPr>
              <w:t>]</w:t>
            </w:r>
          </w:p>
        </w:tc>
      </w:tr>
      <w:tr>
        <w:trPr>
          <w:trHeight w:val="206"/>
        </w:trPr>
        <w:tc>
          <w:tcPr>
            <w:tcW w:w="4140" w:type="dxa"/>
            <w:vAlign w:val="bottom"/>
          </w:tcPr>
          <w:p>
            <w:pPr>
              <w:spacing w:after="0" w:line="206" w:lineRule="exact"/>
              <w:rPr>
                <w:sz w:val="20"/>
                <w:szCs w:val="20"/>
                <w:color w:val="auto"/>
              </w:rPr>
            </w:pPr>
            <w:r>
              <w:rPr>
                <w:rFonts w:ascii="Arial" w:cs="Arial" w:eastAsia="Arial" w:hAnsi="Arial"/>
                <w:sz w:val="18"/>
                <w:szCs w:val="18"/>
                <w:b w:val="1"/>
                <w:bCs w:val="1"/>
                <w:color w:val="auto"/>
              </w:rPr>
              <w:t>[OPTIONEE ADDRESS</w:t>
            </w:r>
          </w:p>
        </w:tc>
        <w:tc>
          <w:tcPr>
            <w:tcW w:w="1780" w:type="dxa"/>
            <w:vAlign w:val="bottom"/>
          </w:tcPr>
          <w:p>
            <w:pPr>
              <w:ind w:left="1100"/>
              <w:spacing w:after="0" w:line="206" w:lineRule="exact"/>
              <w:rPr>
                <w:sz w:val="20"/>
                <w:szCs w:val="20"/>
                <w:color w:val="auto"/>
              </w:rPr>
            </w:pPr>
            <w:r>
              <w:rPr>
                <w:rFonts w:ascii="Arial" w:cs="Arial" w:eastAsia="Arial" w:hAnsi="Arial"/>
                <w:sz w:val="18"/>
                <w:szCs w:val="18"/>
                <w:b w:val="1"/>
                <w:bCs w:val="1"/>
                <w:color w:val="auto"/>
              </w:rPr>
              <w:t>Plan:</w:t>
            </w:r>
          </w:p>
        </w:tc>
        <w:tc>
          <w:tcPr>
            <w:tcW w:w="660" w:type="dxa"/>
            <w:vAlign w:val="bottom"/>
          </w:tcPr>
          <w:p>
            <w:pPr>
              <w:spacing w:after="0"/>
              <w:rPr>
                <w:sz w:val="17"/>
                <w:szCs w:val="17"/>
                <w:color w:val="auto"/>
              </w:rPr>
            </w:pPr>
          </w:p>
        </w:tc>
        <w:tc>
          <w:tcPr>
            <w:tcW w:w="720" w:type="dxa"/>
            <w:vAlign w:val="bottom"/>
          </w:tcPr>
          <w:p>
            <w:pPr>
              <w:ind w:left="80"/>
              <w:spacing w:after="0" w:line="206" w:lineRule="exact"/>
              <w:rPr>
                <w:sz w:val="20"/>
                <w:szCs w:val="20"/>
                <w:color w:val="auto"/>
              </w:rPr>
            </w:pPr>
            <w:r>
              <w:rPr>
                <w:rFonts w:ascii="Arial" w:cs="Arial" w:eastAsia="Arial" w:hAnsi="Arial"/>
                <w:sz w:val="18"/>
                <w:szCs w:val="18"/>
                <w:b w:val="1"/>
                <w:bCs w:val="1"/>
                <w:color w:val="auto"/>
              </w:rPr>
              <w:t>04</w:t>
            </w:r>
          </w:p>
        </w:tc>
        <w:tc>
          <w:tcPr>
            <w:tcW w:w="4120" w:type="dxa"/>
            <w:vAlign w:val="bottom"/>
          </w:tcPr>
          <w:p>
            <w:pPr>
              <w:spacing w:after="0"/>
              <w:rPr>
                <w:sz w:val="17"/>
                <w:szCs w:val="17"/>
                <w:color w:val="auto"/>
              </w:rPr>
            </w:pPr>
          </w:p>
        </w:tc>
      </w:tr>
      <w:tr>
        <w:trPr>
          <w:trHeight w:val="281"/>
        </w:trPr>
        <w:tc>
          <w:tcPr>
            <w:tcW w:w="4140" w:type="dxa"/>
            <w:vAlign w:val="bottom"/>
          </w:tcPr>
          <w:p>
            <w:pPr>
              <w:spacing w:after="0"/>
              <w:rPr>
                <w:sz w:val="24"/>
                <w:szCs w:val="24"/>
                <w:color w:val="auto"/>
              </w:rPr>
            </w:pPr>
          </w:p>
        </w:tc>
        <w:tc>
          <w:tcPr>
            <w:tcW w:w="1780" w:type="dxa"/>
            <w:vAlign w:val="bottom"/>
          </w:tcPr>
          <w:p>
            <w:pPr>
              <w:ind w:left="1100"/>
              <w:spacing w:after="0"/>
              <w:rPr>
                <w:sz w:val="20"/>
                <w:szCs w:val="20"/>
                <w:color w:val="auto"/>
              </w:rPr>
            </w:pPr>
            <w:r>
              <w:rPr>
                <w:rFonts w:ascii="Arial" w:cs="Arial" w:eastAsia="Arial" w:hAnsi="Arial"/>
                <w:sz w:val="18"/>
                <w:szCs w:val="18"/>
                <w:b w:val="1"/>
                <w:bCs w:val="1"/>
                <w:color w:val="auto"/>
              </w:rPr>
              <w:t>ID</w:t>
            </w:r>
          </w:p>
        </w:tc>
        <w:tc>
          <w:tcPr>
            <w:tcW w:w="66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4120" w:type="dxa"/>
            <w:vAlign w:val="bottom"/>
          </w:tcPr>
          <w:p>
            <w:pPr>
              <w:jc w:val="right"/>
              <w:ind w:right="3912"/>
              <w:spacing w:after="0"/>
              <w:rPr>
                <w:sz w:val="20"/>
                <w:szCs w:val="20"/>
                <w:color w:val="auto"/>
              </w:rPr>
            </w:pPr>
            <w:r>
              <w:rPr>
                <w:rFonts w:ascii="Arial" w:cs="Arial" w:eastAsia="Arial" w:hAnsi="Arial"/>
                <w:sz w:val="22"/>
                <w:szCs w:val="22"/>
                <w:b w:val="1"/>
                <w:bCs w:val="1"/>
                <w:color w:val="auto"/>
              </w:rPr>
              <w:t>]</w:t>
            </w:r>
          </w:p>
        </w:tc>
      </w:tr>
      <w:tr>
        <w:trPr>
          <w:trHeight w:val="240"/>
        </w:trPr>
        <w:tc>
          <w:tcPr>
            <w:tcW w:w="4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Effective &lt;date&gt; (the Grant Date) you have been granted a Non-Qualified Stock Option to buy [ ] shares of Regeneron Pharmaceuticals, Inc. (the Company) stock at [$ ] per share.</w:t>
      </w:r>
    </w:p>
    <w:p>
      <w:pPr>
        <w:spacing w:after="0" w:line="187"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color w:val="auto"/>
        </w:rPr>
        <w:t>The total option price of the shares granted is [$</w:t>
        <w:tab/>
        <w:t>].</w:t>
      </w:r>
    </w:p>
    <w:p>
      <w:pPr>
        <w:spacing w:after="0" w:line="248"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Stock options granted pursuant to this award will be eligible to vest on [</w:t>
      </w:r>
      <w:r>
        <w:rPr>
          <w:sz w:val="20"/>
          <w:szCs w:val="20"/>
          <w:color w:val="auto"/>
        </w:rPr>
        <w:tab/>
      </w:r>
      <w:r>
        <w:rPr>
          <w:rFonts w:ascii="Arial" w:cs="Arial" w:eastAsia="Arial" w:hAnsi="Arial"/>
          <w:sz w:val="16"/>
          <w:szCs w:val="16"/>
          <w:color w:val="auto"/>
        </w:rPr>
        <w:t>]*. The number of stock options that will vest on that date will be determined based</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the total number of points that are earned according to the table below during the period commencing on [ ] and ending on [ ]* (the Performance Measurement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 Points</w:t>
            </w:r>
          </w:p>
        </w:tc>
        <w:tc>
          <w:tcPr>
            <w:tcW w:w="1700" w:type="dxa"/>
            <w:vAlign w:val="bottom"/>
          </w:tcPr>
          <w:p>
            <w:pPr>
              <w:spacing w:after="0"/>
              <w:rPr>
                <w:sz w:val="19"/>
                <w:szCs w:val="19"/>
                <w:color w:val="auto"/>
              </w:rPr>
            </w:pPr>
          </w:p>
        </w:tc>
        <w:tc>
          <w:tcPr>
            <w:tcW w:w="21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w w:val="87"/>
              </w:rPr>
              <w:t>Stock Options to Vest on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1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C0C0C0"/>
          </w:tcPr>
          <w:p>
            <w:pPr>
              <w:ind w:left="500"/>
              <w:spacing w:after="0"/>
              <w:rPr>
                <w:sz w:val="20"/>
                <w:szCs w:val="20"/>
                <w:color w:val="auto"/>
              </w:rPr>
            </w:pPr>
            <w:r>
              <w:rPr>
                <w:rFonts w:ascii="Arial" w:cs="Arial" w:eastAsia="Arial" w:hAnsi="Arial"/>
                <w:sz w:val="18"/>
                <w:szCs w:val="18"/>
                <w:color w:val="auto"/>
              </w:rPr>
              <w:t>] or less</w:t>
            </w:r>
          </w:p>
        </w:tc>
        <w:tc>
          <w:tcPr>
            <w:tcW w:w="304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r>
      <w:tr>
        <w:trPr>
          <w:trHeight w:val="242"/>
        </w:trPr>
        <w:tc>
          <w:tcPr>
            <w:tcW w:w="160" w:type="dxa"/>
            <w:vAlign w:val="bottom"/>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r>
      <w:tr>
        <w:trPr>
          <w:trHeight w:val="244"/>
        </w:trPr>
        <w:tc>
          <w:tcPr>
            <w:tcW w:w="1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C0C0C0"/>
          </w:tcPr>
          <w:p>
            <w:pPr>
              <w:ind w:left="50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r>
      <w:tr>
        <w:trPr>
          <w:trHeight w:val="242"/>
        </w:trPr>
        <w:tc>
          <w:tcPr>
            <w:tcW w:w="160" w:type="dxa"/>
            <w:vAlign w:val="bottom"/>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r>
      <w:tr>
        <w:trPr>
          <w:trHeight w:val="244"/>
        </w:trPr>
        <w:tc>
          <w:tcPr>
            <w:tcW w:w="1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C0C0C0"/>
          </w:tcPr>
          <w:p>
            <w:pPr>
              <w:ind w:left="50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r>
      <w:tr>
        <w:trPr>
          <w:trHeight w:val="242"/>
        </w:trPr>
        <w:tc>
          <w:tcPr>
            <w:tcW w:w="160" w:type="dxa"/>
            <w:vAlign w:val="bottom"/>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r>
      <w:tr>
        <w:trPr>
          <w:trHeight w:val="244"/>
        </w:trPr>
        <w:tc>
          <w:tcPr>
            <w:tcW w:w="1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8"/>
              </w:rPr>
              <w:t>[</w:t>
            </w:r>
          </w:p>
        </w:tc>
        <w:tc>
          <w:tcPr>
            <w:tcW w:w="1220" w:type="dxa"/>
            <w:vAlign w:val="bottom"/>
            <w:shd w:val="clear" w:color="auto" w:fill="C0C0C0"/>
          </w:tcPr>
          <w:p>
            <w:pPr>
              <w:ind w:left="500"/>
              <w:spacing w:after="0"/>
              <w:rPr>
                <w:sz w:val="20"/>
                <w:szCs w:val="20"/>
                <w:color w:val="auto"/>
              </w:rPr>
            </w:pPr>
            <w:r>
              <w:rPr>
                <w:rFonts w:ascii="Arial" w:cs="Arial" w:eastAsia="Arial" w:hAnsi="Arial"/>
                <w:sz w:val="18"/>
                <w:szCs w:val="18"/>
                <w:color w:val="auto"/>
                <w:w w:val="97"/>
              </w:rPr>
              <w:t>] or more</w:t>
            </w:r>
          </w:p>
        </w:tc>
        <w:tc>
          <w:tcPr>
            <w:tcW w:w="3040" w:type="dxa"/>
            <w:vAlign w:val="bottom"/>
            <w:gridSpan w:val="2"/>
            <w:shd w:val="clear" w:color="auto" w:fill="C0C0C0"/>
          </w:tcPr>
          <w:p>
            <w:pPr>
              <w:ind w:left="2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Total points in the table set forth above will be calculated based on the following criteria as achieved during the Performance Measurement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performance criteria and allocation of points for achieving specific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avoidance of doubt, points may be earned upon achievement of the specified criteria by or on behalf of the Company or any subsidiary of the Company, including by any other entity pursuant to or in connection with any license or collaboration agreement under which such entity has rights to develop the Drug Candidate.]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if [insert certain criteria] have not been achieved during the Performance Measurement Period, then the number of stock options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this award that will vest on [ ]* may not exceed [ ] unless otherwise determined by the Compensation Committee or there is an acceleration of this stock option award following a Change in Control pursuant to any employment agreement, change in control agreement or similar agreement in effect between the Grantee and the Company.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anything to the contrary set forth herein, the Compensation Committee of the Board of Directors of the Company shall have the discretion to cause or accelerate the vesting of any or all of the stock options granted pursuant to this award.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of the Board of Directors of the Company shall have the authority in its sole discretion to determine whether the criteria required for earning the points in the table set forth above were achieved.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Non-Qualified Stock Option expires on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Amended and Restated 2000 Long-Term Incentive Plan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This date will be the last day of the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313690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REGENERON PHARMACEUTICALS, INC.</w:t>
      </w:r>
    </w:p>
    <w:p>
      <w:pPr>
        <w:sectPr>
          <w:pgSz w:w="11900" w:h="16838" w:orient="portrait"/>
          <w:cols w:equalWidth="0" w:num="1">
            <w:col w:w="11420"/>
          </w:cols>
          <w:pgMar w:left="240" w:top="125" w:right="239" w:bottom="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OPTION AGREEMENT</w:t>
      </w:r>
    </w:p>
    <w:p>
      <w:pPr>
        <w:jc w:val="center"/>
        <w:ind w:right="-19"/>
        <w:spacing w:after="0" w:line="230" w:lineRule="auto"/>
        <w:rPr>
          <w:sz w:val="20"/>
          <w:szCs w:val="20"/>
          <w:color w:val="auto"/>
        </w:rPr>
      </w:pPr>
      <w:r>
        <w:rPr>
          <w:rFonts w:ascii="Arial" w:cs="Arial" w:eastAsia="Arial" w:hAnsi="Arial"/>
          <w:sz w:val="22"/>
          <w:szCs w:val="22"/>
          <w:b w:val="1"/>
          <w:bCs w:val="1"/>
          <w:color w:val="auto"/>
        </w:rPr>
        <w:t>PURSUANT TO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2000 LONG-TERM INCENTIVE PLAN</w:t>
      </w:r>
    </w:p>
    <w:p>
      <w:pPr>
        <w:sectPr>
          <w:pgSz w:w="11900" w:h="16838" w:orient="portrait"/>
          <w:cols w:equalWidth="0" w:num="1">
            <w:col w:w="11420"/>
          </w:cols>
          <w:pgMar w:left="240" w:top="125" w:right="239" w:bottom="0" w:gutter="0" w:footer="0" w:header="0"/>
          <w:type w:val="continuous"/>
        </w:sectPr>
      </w:pPr>
    </w:p>
    <w:bookmarkStart w:id="34" w:name="page35"/>
    <w:bookmarkEnd w:id="34"/>
    <w:p>
      <w:pPr>
        <w:jc w:val="both"/>
        <w:ind w:firstLine="729"/>
        <w:spacing w:after="0" w:line="332" w:lineRule="auto"/>
        <w:rPr>
          <w:sz w:val="20"/>
          <w:szCs w:val="20"/>
          <w:color w:val="auto"/>
        </w:rPr>
      </w:pPr>
      <w:r>
        <w:rPr>
          <w:rFonts w:ascii="Arial" w:cs="Arial" w:eastAsia="Arial" w:hAnsi="Arial"/>
          <w:sz w:val="16"/>
          <w:szCs w:val="16"/>
          <w:color w:val="auto"/>
        </w:rPr>
        <w:t xml:space="preserve">THIS AGREEMENT, made as of the date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by and between Regeneron Pharmaceuticals, Inc., a New York corporation (the "Company"), and the employee [(or member of the Board of Directors)]* named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"Grantee");</w:t>
      </w:r>
    </w:p>
    <w:p>
      <w:pPr>
        <w:spacing w:after="0" w:line="166" w:lineRule="exact"/>
        <w:rPr>
          <w:sz w:val="20"/>
          <w:szCs w:val="20"/>
          <w:color w:val="auto"/>
        </w:rPr>
      </w:pPr>
    </w:p>
    <w:p>
      <w:pPr>
        <w:jc w:val="both"/>
        <w:ind w:firstLine="662"/>
        <w:spacing w:after="0" w:line="259" w:lineRule="auto"/>
        <w:rPr>
          <w:sz w:val="20"/>
          <w:szCs w:val="20"/>
          <w:color w:val="auto"/>
        </w:rPr>
      </w:pPr>
      <w:r>
        <w:rPr>
          <w:rFonts w:ascii="Arial" w:cs="Arial" w:eastAsia="Arial" w:hAnsi="Arial"/>
          <w:sz w:val="18"/>
          <w:szCs w:val="18"/>
          <w:color w:val="auto"/>
        </w:rPr>
        <w:t>WHEREAS, the Grantee is an employee [or member of the Board of Directors]* of the Company and the Company desires to afford the Grantee the opportunity to acquire or enlarge the Grantee's stock ownership in the Company so that the Grantee may have a direct proprietary interest in the Company's success; and</w:t>
      </w:r>
    </w:p>
    <w:p>
      <w:pPr>
        <w:spacing w:after="0" w:line="2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 xml:space="preserve">WHEREAS, the Committee administering the 2000 Long-Term Incentive Plan (as amended from time to time,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Grantee a Stock Option to purchase the number of shares of the Company's Common Stock ($.001 par value) (the "Common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46" w:lineRule="exact"/>
        <w:rPr>
          <w:sz w:val="20"/>
          <w:szCs w:val="20"/>
          <w:color w:val="auto"/>
        </w:rPr>
      </w:pPr>
    </w:p>
    <w:p>
      <w:pPr>
        <w:jc w:val="both"/>
        <w:ind w:firstLine="292"/>
        <w:spacing w:after="0" w:line="288" w:lineRule="auto"/>
        <w:tabs>
          <w:tab w:leader="none" w:pos="46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 subject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terms and conditions set forth here, the option to purchase from the Company all or any part of an aggregate of shares of Common Stock at the purchase price per share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"Code").]*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Non-Qualified Stock Option.]**</w:t>
      </w:r>
    </w:p>
    <w:p>
      <w:pPr>
        <w:spacing w:after="0" w:line="196" w:lineRule="exact"/>
        <w:rPr>
          <w:rFonts w:ascii="Arial" w:cs="Arial" w:eastAsia="Arial" w:hAnsi="Arial"/>
          <w:sz w:val="16"/>
          <w:szCs w:val="16"/>
          <w:b w:val="1"/>
          <w:bCs w:val="1"/>
          <w:color w:val="auto"/>
        </w:rPr>
      </w:pPr>
    </w:p>
    <w:p>
      <w:pPr>
        <w:jc w:val="both"/>
        <w:ind w:firstLine="346"/>
        <w:spacing w:after="0" w:line="288" w:lineRule="auto"/>
        <w:tabs>
          <w:tab w:leader="none" w:pos="524"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 in connection with the exercise of the Option to remit to the Company in cash an amount sufficient to satisfy any federal, state and local withholding tax requirements related thereto.</w:t>
      </w:r>
    </w:p>
    <w:p>
      <w:pPr>
        <w:spacing w:after="0" w:line="200" w:lineRule="exact"/>
        <w:rPr>
          <w:sz w:val="20"/>
          <w:szCs w:val="20"/>
          <w:color w:val="auto"/>
        </w:rPr>
      </w:pPr>
    </w:p>
    <w:p>
      <w:pPr>
        <w:spacing w:after="0" w:line="223" w:lineRule="exact"/>
        <w:rPr>
          <w:sz w:val="20"/>
          <w:szCs w:val="20"/>
          <w:color w:val="auto"/>
        </w:rPr>
      </w:pPr>
    </w:p>
    <w:p>
      <w:pPr>
        <w:jc w:val="both"/>
        <w:ind w:firstLine="319"/>
        <w:spacing w:after="0" w:line="288" w:lineRule="auto"/>
        <w:tabs>
          <w:tab w:leader="none" w:pos="5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the Full Vest Dates. Except as otherwise provided in any employment agreement, consulting agreement, change in control agreement or similar agreement or plan in effect between the Employer and the Grantee on the date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no vesting shall occur after such date as the Grantee ceases to be employed by the Employer [(or providing services as a member of the Board of Directors, as the case may be)]* and all unvested Options shall be forfeited at such time.</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both"/>
        <w:ind w:firstLine="278"/>
        <w:spacing w:after="0" w:line="285"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termination of the Grantee’s employment with the Employer [(or services as a member of the Board of Directors)]* if the Grantee’s employment with the Employer [(or services a member of the Board of Directors)]*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w:t>
      </w:r>
      <w:r>
        <w:rPr>
          <w:rFonts w:ascii="Arial" w:cs="Arial" w:eastAsia="Arial" w:hAnsi="Arial"/>
          <w:sz w:val="16"/>
          <w:szCs w:val="16"/>
          <w:color w:val="auto"/>
        </w:rPr>
        <w:t xml:space="preserve"> </w:t>
      </w:r>
      <w:r>
        <w:rPr>
          <w:rFonts w:ascii="Arial" w:cs="Arial" w:eastAsia="Arial" w:hAnsi="Arial"/>
          <w:sz w:val="16"/>
          <w:szCs w:val="16"/>
          <w:i w:val="1"/>
          <w:iCs w:val="1"/>
          <w:color w:val="auto"/>
        </w:rPr>
        <w:t>Options</w:t>
      </w:r>
      <w:r>
        <w:rPr>
          <w:rFonts w:ascii="Arial" w:cs="Arial" w:eastAsia="Arial" w:hAnsi="Arial"/>
          <w:sz w:val="16"/>
          <w:szCs w:val="16"/>
          <w:color w:val="auto"/>
        </w:rPr>
        <w:t>, if the application of the provision in the foregoing sentence, similar provisions in other stock option or restricted stock grants, and other payments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payable to the Grantee upon termination of employment [(or service as member of the Board of Directors)]*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-2526030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6" w:lineRule="exact"/>
        <w:rPr>
          <w:sz w:val="20"/>
          <w:szCs w:val="20"/>
          <w:color w:val="auto"/>
        </w:rPr>
      </w:pPr>
    </w:p>
    <w:p>
      <w:pPr>
        <w:jc w:val="both"/>
        <w:ind w:firstLine="346"/>
        <w:spacing w:after="0" w:line="288" w:lineRule="auto"/>
        <w:tabs>
          <w:tab w:leader="none" w:pos="527"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or long-term disability, (B) the tenth anniversary of this grant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ectPr>
          <w:pgSz w:w="11900" w:h="16838" w:orient="portrait"/>
          <w:cols w:equalWidth="0" w:num="1">
            <w:col w:w="11420"/>
          </w:cols>
          <w:pgMar w:left="240" w:top="158" w:right="239" w:bottom="0" w:gutter="0" w:footer="0" w:header="0"/>
        </w:sectPr>
      </w:pPr>
    </w:p>
    <w:bookmarkStart w:id="35" w:name="page36"/>
    <w:bookmarkEnd w:id="35"/>
    <w:p>
      <w:pPr>
        <w:spacing w:after="0" w:line="73" w:lineRule="exact"/>
        <w:rPr>
          <w:sz w:val="20"/>
          <w:szCs w:val="20"/>
          <w:color w:val="auto"/>
        </w:rPr>
      </w:pPr>
    </w:p>
    <w:p>
      <w:pPr>
        <w:jc w:val="both"/>
        <w:ind w:firstLine="332"/>
        <w:spacing w:after="0" w:line="286" w:lineRule="auto"/>
        <w:tabs>
          <w:tab w:leader="none" w:pos="591" w:val="left"/>
        </w:tabs>
        <w:numPr>
          <w:ilvl w:val="4"/>
          <w:numId w:val="20"/>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(i) in the case where there is no employment agreement, consulting agreement, change in control agreement or similar agreement or plan in effect between the Company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that defines “cause” (or words of like import), as defined under such agreement or plan. For purposes of this Section 3(b), no act, or failure to act,</w:t>
      </w:r>
      <w:r>
        <w:rPr>
          <w:rFonts w:ascii="Arial" w:cs="Arial" w:eastAsia="Arial" w:hAnsi="Arial"/>
          <w:sz w:val="16"/>
          <w:szCs w:val="16"/>
          <w:i w:val="1"/>
          <w:iCs w:val="1"/>
          <w:color w:val="auto"/>
        </w:rPr>
        <w:t xml:space="preserve"> </w:t>
      </w:r>
      <w:r>
        <w:rPr>
          <w:rFonts w:ascii="Arial" w:cs="Arial" w:eastAsia="Arial" w:hAnsi="Arial"/>
          <w:sz w:val="16"/>
          <w:szCs w:val="16"/>
          <w:color w:val="auto"/>
        </w:rPr>
        <w:t>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jc w:val="both"/>
        <w:ind w:firstLine="346"/>
        <w:spacing w:after="0" w:line="285" w:lineRule="auto"/>
        <w:tabs>
          <w:tab w:leader="none" w:pos="595" w:val="left"/>
        </w:tabs>
        <w:numPr>
          <w:ilvl w:val="4"/>
          <w:numId w:val="20"/>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(or where there is such an agreement or plan but it does not define “good reason” (or words of like import)) a termination of employment by the Grantee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w:t>
      </w:r>
    </w:p>
    <w:p>
      <w:pPr>
        <w:spacing w:after="0" w:line="201" w:lineRule="exact"/>
        <w:rPr>
          <w:rFonts w:ascii="Arial" w:cs="Arial" w:eastAsia="Arial" w:hAnsi="Arial"/>
          <w:sz w:val="16"/>
          <w:szCs w:val="16"/>
          <w:color w:val="auto"/>
        </w:rPr>
      </w:pPr>
    </w:p>
    <w:p>
      <w:pPr>
        <w:jc w:val="both"/>
        <w:ind w:firstLine="332"/>
        <w:spacing w:after="0" w:line="289" w:lineRule="auto"/>
        <w:tabs>
          <w:tab w:leader="none" w:pos="513" w:val="left"/>
        </w:tabs>
        <w:numPr>
          <w:ilvl w:val="3"/>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93" w:lineRule="exact"/>
        <w:rPr>
          <w:rFonts w:ascii="Arial" w:cs="Arial" w:eastAsia="Arial" w:hAnsi="Arial"/>
          <w:sz w:val="16"/>
          <w:szCs w:val="16"/>
          <w:b w:val="1"/>
          <w:bCs w:val="1"/>
          <w:color w:val="auto"/>
        </w:rPr>
      </w:pPr>
    </w:p>
    <w:p>
      <w:pPr>
        <w:jc w:val="both"/>
        <w:ind w:firstLine="292"/>
        <w:spacing w:after="0" w:line="339" w:lineRule="auto"/>
        <w:tabs>
          <w:tab w:leader="none" w:pos="462" w:val="left"/>
        </w:tabs>
        <w:numPr>
          <w:ilvl w:val="2"/>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of a Stockholder. </w:t>
      </w:r>
      <w:r>
        <w:rPr>
          <w:rFonts w:ascii="Arial" w:cs="Arial" w:eastAsia="Arial" w:hAnsi="Arial"/>
          <w:sz w:val="15"/>
          <w:szCs w:val="15"/>
          <w:color w:val="auto"/>
        </w:rPr>
        <w:t>The Grantee shall have no rights as a stockholder with respect to any shares of Common Stock subject to this Option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200" w:lineRule="exact"/>
        <w:rPr>
          <w:rFonts w:ascii="Arial" w:cs="Arial" w:eastAsia="Arial" w:hAnsi="Arial"/>
          <w:sz w:val="15"/>
          <w:szCs w:val="15"/>
          <w:b w:val="1"/>
          <w:bCs w:val="1"/>
          <w:color w:val="auto"/>
        </w:rPr>
      </w:pPr>
    </w:p>
    <w:p>
      <w:pPr>
        <w:spacing w:after="0" w:line="203" w:lineRule="exact"/>
        <w:rPr>
          <w:rFonts w:ascii="Arial" w:cs="Arial" w:eastAsia="Arial" w:hAnsi="Arial"/>
          <w:sz w:val="15"/>
          <w:szCs w:val="15"/>
          <w:b w:val="1"/>
          <w:bCs w:val="1"/>
          <w:color w:val="auto"/>
        </w:rPr>
      </w:pPr>
    </w:p>
    <w:p>
      <w:pPr>
        <w:jc w:val="both"/>
        <w:ind w:firstLine="278"/>
        <w:spacing w:after="0" w:line="288" w:lineRule="auto"/>
        <w:tabs>
          <w:tab w:leader="none" w:pos="446"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 local</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96" w:lineRule="exact"/>
        <w:rPr>
          <w:rFonts w:ascii="Arial" w:cs="Arial" w:eastAsia="Arial" w:hAnsi="Arial"/>
          <w:sz w:val="16"/>
          <w:szCs w:val="16"/>
          <w:b w:val="1"/>
          <w:bCs w:val="1"/>
          <w:color w:val="auto"/>
        </w:rPr>
      </w:pPr>
    </w:p>
    <w:p>
      <w:pPr>
        <w:jc w:val="both"/>
        <w:ind w:firstLine="278"/>
        <w:spacing w:after="0" w:line="258" w:lineRule="auto"/>
        <w:tabs>
          <w:tab w:leader="none" w:pos="446"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217" w:lineRule="exact"/>
        <w:rPr>
          <w:rFonts w:ascii="Arial" w:cs="Arial" w:eastAsia="Arial" w:hAnsi="Arial"/>
          <w:sz w:val="18"/>
          <w:szCs w:val="18"/>
          <w:b w:val="1"/>
          <w:bCs w:val="1"/>
          <w:color w:val="auto"/>
        </w:rPr>
      </w:pPr>
    </w:p>
    <w:p>
      <w:pPr>
        <w:jc w:val="both"/>
        <w:ind w:firstLine="278"/>
        <w:spacing w:after="0" w:line="256" w:lineRule="auto"/>
        <w:tabs>
          <w:tab w:leader="none" w:pos="446"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 mail, at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or service, to the last address for the Grantee indicated in the records of the Employer, or such other address as the relevant party shall specify at any time hereafter in accordance with this Section 8.</w:t>
      </w:r>
    </w:p>
    <w:p>
      <w:pPr>
        <w:spacing w:after="0" w:line="192" w:lineRule="exact"/>
        <w:rPr>
          <w:rFonts w:ascii="Arial" w:cs="Arial" w:eastAsia="Arial" w:hAnsi="Arial"/>
          <w:sz w:val="18"/>
          <w:szCs w:val="18"/>
          <w:b w:val="1"/>
          <w:bCs w:val="1"/>
          <w:color w:val="auto"/>
        </w:rPr>
      </w:pPr>
    </w:p>
    <w:p>
      <w:pPr>
        <w:ind w:firstLine="268"/>
        <w:spacing w:after="0" w:line="275" w:lineRule="auto"/>
        <w:tabs>
          <w:tab w:leader="none" w:pos="44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nor does it modify in any respect the Grantee's employment 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-7840345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-3517900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14" w:lineRule="exact"/>
        <w:rPr>
          <w:sz w:val="20"/>
          <w:szCs w:val="20"/>
          <w:color w:val="auto"/>
        </w:rPr>
      </w:pPr>
    </w:p>
    <w:p>
      <w:pPr>
        <w:ind w:right="8220" w:firstLine="8"/>
        <w:spacing w:after="0" w:line="367" w:lineRule="auto"/>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Non-Qualified Stock Option Awards. ** For Incentive Stock Option Awards.</w:t>
      </w:r>
    </w:p>
    <w:p>
      <w:pPr>
        <w:sectPr>
          <w:pgSz w:w="11900" w:h="16912" w:orient="portrait"/>
          <w:cols w:equalWidth="0" w:num="1">
            <w:col w:w="11420"/>
          </w:cols>
          <w:pgMar w:left="240" w:top="158" w:right="239" w:bottom="0" w:gutter="0" w:footer="0" w:header="0"/>
        </w:sectPr>
      </w:pPr>
    </w:p>
    <w:bookmarkStart w:id="36" w:name="page37"/>
    <w:bookmarkEnd w:id="36"/>
    <w:p>
      <w:pPr>
        <w:spacing w:after="0" w:line="367" w:lineRule="auto"/>
        <w:tabs>
          <w:tab w:leader="none" w:pos="28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LEASE</w:t>
      </w:r>
    </w:p>
    <w:p>
      <w:pPr>
        <w:spacing w:after="0" w:line="232" w:lineRule="exact"/>
        <w:rPr>
          <w:sz w:val="20"/>
          <w:szCs w:val="20"/>
          <w:color w:val="auto"/>
        </w:rPr>
      </w:pPr>
    </w:p>
    <w:p>
      <w:pPr>
        <w:jc w:val="both"/>
        <w:ind w:firstLine="297"/>
        <w:spacing w:after="0" w:line="222" w:lineRule="auto"/>
        <w:rPr>
          <w:sz w:val="20"/>
          <w:szCs w:val="20"/>
          <w:color w:val="auto"/>
        </w:rPr>
      </w:pPr>
      <w:r>
        <w:rPr>
          <w:rFonts w:ascii="Arial" w:cs="Arial" w:eastAsia="Arial" w:hAnsi="Arial"/>
          <w:sz w:val="18"/>
          <w:szCs w:val="18"/>
          <w:color w:val="auto"/>
        </w:rPr>
        <w:t>THIS THIRD AMENDMENT TO LEASE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2009 (“</w:t>
      </w:r>
      <w:r>
        <w:rPr>
          <w:rFonts w:ascii="Arial" w:cs="Arial" w:eastAsia="Arial" w:hAnsi="Arial"/>
          <w:sz w:val="18"/>
          <w:szCs w:val="18"/>
          <w:u w:val="single" w:color="auto"/>
          <w:color w:val="auto"/>
        </w:rPr>
        <w:t>Execution Date</w:t>
      </w:r>
      <w:r>
        <w:rPr>
          <w:rFonts w:ascii="Arial" w:cs="Arial" w:eastAsia="Arial" w:hAnsi="Arial"/>
          <w:sz w:val="18"/>
          <w:szCs w:val="18"/>
          <w:color w:val="auto"/>
        </w:rPr>
        <w:t>”),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8"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A. WHEREAS, Landlord and Tenant entered into that certain Lease dated as of December 21, 2006 (the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that certain First Amendment to Lease dated as of October 24, 2007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and that certain Second Amendment to Lease dated as of September 30, 2008 (the “</w:t>
      </w:r>
      <w:r>
        <w:rPr>
          <w:rFonts w:ascii="Arial" w:cs="Arial" w:eastAsia="Arial" w:hAnsi="Arial"/>
          <w:sz w:val="16"/>
          <w:szCs w:val="16"/>
          <w:u w:val="single" w:color="auto"/>
          <w:color w:val="auto"/>
        </w:rPr>
        <w:t>Second Amendment</w:t>
      </w:r>
      <w:r>
        <w:rPr>
          <w:rFonts w:ascii="Arial" w:cs="Arial" w:eastAsia="Arial" w:hAnsi="Arial"/>
          <w:sz w:val="16"/>
          <w:szCs w:val="16"/>
          <w:color w:val="auto"/>
        </w:rPr>
        <w:t>” and, collectively with the Original Lease and the First Amendment, and as the same may have been further amended, supplemented or otherwise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whereby Tenant leases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from Landlord at 735, 745, 765 and 777 Old Saw Mill River Road in Tarrytown, New York (collectively, the “</w:t>
      </w:r>
      <w:r>
        <w:rPr>
          <w:rFonts w:ascii="Arial" w:cs="Arial" w:eastAsia="Arial" w:hAnsi="Arial"/>
          <w:sz w:val="16"/>
          <w:szCs w:val="16"/>
          <w:u w:val="single" w:color="auto"/>
          <w:color w:val="auto"/>
        </w:rPr>
        <w:t>Buildings</w:t>
      </w:r>
      <w:r>
        <w:rPr>
          <w:rFonts w:ascii="Arial" w:cs="Arial" w:eastAsia="Arial" w:hAnsi="Arial"/>
          <w:sz w:val="16"/>
          <w:szCs w:val="16"/>
          <w:color w:val="auto"/>
        </w:rPr>
        <w:t>”, and each a “</w:t>
      </w:r>
      <w:r>
        <w:rPr>
          <w:rFonts w:ascii="Arial" w:cs="Arial" w:eastAsia="Arial" w:hAnsi="Arial"/>
          <w:sz w:val="16"/>
          <w:szCs w:val="16"/>
          <w:u w:val="single" w:color="auto"/>
          <w:color w:val="auto"/>
        </w:rPr>
        <w:t>Building</w:t>
      </w:r>
      <w:r>
        <w:rPr>
          <w:rFonts w:ascii="Arial" w:cs="Arial" w:eastAsia="Arial" w:hAnsi="Arial"/>
          <w:sz w:val="16"/>
          <w:szCs w:val="16"/>
          <w:color w:val="auto"/>
        </w:rPr>
        <w:t>”);</w:t>
      </w:r>
    </w:p>
    <w:p>
      <w:pPr>
        <w:spacing w:after="0" w:line="197"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B. WHEREAS, Emisphere Technologies, Inc. (“</w:t>
      </w:r>
      <w:r>
        <w:rPr>
          <w:rFonts w:ascii="Arial" w:cs="Arial" w:eastAsia="Arial" w:hAnsi="Arial"/>
          <w:sz w:val="18"/>
          <w:szCs w:val="18"/>
          <w:u w:val="single" w:color="auto"/>
          <w:color w:val="auto"/>
        </w:rPr>
        <w:t>Emisphere</w:t>
      </w:r>
      <w:r>
        <w:rPr>
          <w:rFonts w:ascii="Arial" w:cs="Arial" w:eastAsia="Arial" w:hAnsi="Arial"/>
          <w:sz w:val="18"/>
          <w:szCs w:val="18"/>
          <w:color w:val="auto"/>
        </w:rPr>
        <w:t>”), leases certain space from Landlord at 765 Old Saw Mill River Road (the “</w:t>
      </w:r>
      <w:r>
        <w:rPr>
          <w:rFonts w:ascii="Arial" w:cs="Arial" w:eastAsia="Arial" w:hAnsi="Arial"/>
          <w:sz w:val="18"/>
          <w:szCs w:val="18"/>
          <w:u w:val="single" w:color="auto"/>
          <w:color w:val="auto"/>
        </w:rPr>
        <w:t>765 Building</w:t>
      </w:r>
      <w:r>
        <w:rPr>
          <w:rFonts w:ascii="Arial" w:cs="Arial" w:eastAsia="Arial" w:hAnsi="Arial"/>
          <w:sz w:val="18"/>
          <w:szCs w:val="18"/>
          <w:color w:val="auto"/>
        </w:rPr>
        <w:t>”) pursuant to that certain Lease dated as of March 31, 1997, as the same may have been amended, supplemented or otherwise modified from time to time, the “</w:t>
      </w:r>
      <w:r>
        <w:rPr>
          <w:rFonts w:ascii="Arial" w:cs="Arial" w:eastAsia="Arial" w:hAnsi="Arial"/>
          <w:sz w:val="18"/>
          <w:szCs w:val="18"/>
          <w:u w:val="single" w:color="auto"/>
          <w:color w:val="auto"/>
        </w:rPr>
        <w:t>Emisphere Lease</w:t>
      </w:r>
      <w:r>
        <w:rPr>
          <w:rFonts w:ascii="Arial" w:cs="Arial" w:eastAsia="Arial" w:hAnsi="Arial"/>
          <w:sz w:val="18"/>
          <w:szCs w:val="18"/>
          <w:color w:val="auto"/>
        </w:rPr>
        <w:t>”);</w:t>
      </w:r>
    </w:p>
    <w:p>
      <w:pPr>
        <w:spacing w:after="0" w:line="221"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C. WHEREAS, Emisphere, as sublessor, subleases to Tenant, as sublessee, approximately 13,652 rentable square feet of space (the “</w:t>
      </w:r>
      <w:r>
        <w:rPr>
          <w:rFonts w:ascii="Arial" w:cs="Arial" w:eastAsia="Arial" w:hAnsi="Arial"/>
          <w:sz w:val="16"/>
          <w:szCs w:val="16"/>
          <w:u w:val="single" w:color="auto"/>
          <w:color w:val="auto"/>
        </w:rPr>
        <w:t>Regeneron Sublease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in the Quad I &amp; II Premises (as defined below) pursuant to that certain Sublease Agreement dated as of April 15, 2008 (the “</w:t>
      </w:r>
      <w:r>
        <w:rPr>
          <w:rFonts w:ascii="Arial" w:cs="Arial" w:eastAsia="Arial" w:hAnsi="Arial"/>
          <w:sz w:val="16"/>
          <w:szCs w:val="16"/>
          <w:u w:val="single" w:color="auto"/>
          <w:color w:val="auto"/>
        </w:rPr>
        <w:t>Regeneron Sublease</w:t>
      </w:r>
      <w:r>
        <w:rPr>
          <w:rFonts w:ascii="Arial" w:cs="Arial" w:eastAsia="Arial" w:hAnsi="Arial"/>
          <w:sz w:val="16"/>
          <w:szCs w:val="16"/>
          <w:color w:val="auto"/>
        </w:rPr>
        <w:t>”);</w:t>
      </w:r>
    </w:p>
    <w:p>
      <w:pPr>
        <w:spacing w:after="0" w:line="16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D. WHEREAS, Emisphere, as sublessor, subleases to PsychoGenics Inc. (“</w:t>
      </w:r>
      <w:r>
        <w:rPr>
          <w:rFonts w:ascii="Arial" w:cs="Arial" w:eastAsia="Arial" w:hAnsi="Arial"/>
          <w:sz w:val="18"/>
          <w:szCs w:val="18"/>
          <w:u w:val="single" w:color="auto"/>
          <w:color w:val="auto"/>
        </w:rPr>
        <w:t>PsychoGenics</w:t>
      </w:r>
      <w:r>
        <w:rPr>
          <w:rFonts w:ascii="Arial" w:cs="Arial" w:eastAsia="Arial" w:hAnsi="Arial"/>
          <w:sz w:val="18"/>
          <w:szCs w:val="18"/>
          <w:color w:val="auto"/>
        </w:rPr>
        <w:t>”), as sublessee, approximately 2,275 rentable square feet of space (the “</w:t>
      </w:r>
      <w:r>
        <w:rPr>
          <w:rFonts w:ascii="Arial" w:cs="Arial" w:eastAsia="Arial" w:hAnsi="Arial"/>
          <w:sz w:val="18"/>
          <w:szCs w:val="18"/>
          <w:u w:val="single" w:color="auto"/>
          <w:color w:val="auto"/>
        </w:rPr>
        <w:t>PsychoGenics Premises</w:t>
      </w:r>
      <w:r>
        <w:rPr>
          <w:rFonts w:ascii="Arial" w:cs="Arial" w:eastAsia="Arial" w:hAnsi="Arial"/>
          <w:sz w:val="18"/>
          <w:szCs w:val="18"/>
          <w:color w:val="auto"/>
        </w:rPr>
        <w:t>”) in the Quad III &amp; IV Premises (as defined below) pursuant to that certain Sublease dated as of January __[sic], 2008 (the “</w:t>
      </w:r>
      <w:r>
        <w:rPr>
          <w:rFonts w:ascii="Arial" w:cs="Arial" w:eastAsia="Arial" w:hAnsi="Arial"/>
          <w:sz w:val="18"/>
          <w:szCs w:val="18"/>
          <w:u w:val="single" w:color="auto"/>
          <w:color w:val="auto"/>
        </w:rPr>
        <w:t>PsychoGenics Sublease</w:t>
      </w:r>
      <w:r>
        <w:rPr>
          <w:rFonts w:ascii="Arial" w:cs="Arial" w:eastAsia="Arial" w:hAnsi="Arial"/>
          <w:sz w:val="18"/>
          <w:szCs w:val="18"/>
          <w:color w:val="auto"/>
        </w:rPr>
        <w:t>”);</w:t>
      </w:r>
    </w:p>
    <w:p>
      <w:pPr>
        <w:spacing w:after="0" w:line="221"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E. WHEREAS, as of the date hereof, Landlord and Emisphere have terminated the Emisphere Lease and, consequently, the Regeneron Sublease and PsychoGenics Sublease have been terminated;</w:t>
      </w:r>
    </w:p>
    <w:p>
      <w:pPr>
        <w:spacing w:after="0" w:line="213"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F. WHEREAS, Tenant desires to continue to occupy and lease directly from Landlord the Regeneron Sublease Premises, to surrender certain other space within the Buildings and to lease additional space in the 765 Building from Landlord; and</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 WHEREAS, Landlord and Tenant desire to modify and amend the Lease only in the respects and on the conditions hereinafter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13" w:lineRule="exact"/>
        <w:rPr>
          <w:sz w:val="20"/>
          <w:szCs w:val="20"/>
          <w:color w:val="auto"/>
        </w:rPr>
      </w:pPr>
    </w:p>
    <w:p>
      <w:pPr>
        <w:ind w:firstLine="278"/>
        <w:spacing w:after="0" w:line="268" w:lineRule="auto"/>
        <w:tabs>
          <w:tab w:leader="none" w:pos="46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Amendment, capitalized terms shall have the meanings ascribed to them in the Lease unless otherwise defined herein. The Lease, as amended by this Amendment, is referred to herein as the “</w:t>
      </w:r>
      <w:r>
        <w:rPr>
          <w:rFonts w:ascii="Arial" w:cs="Arial" w:eastAsia="Arial" w:hAnsi="Arial"/>
          <w:sz w:val="18"/>
          <w:szCs w:val="18"/>
          <w:u w:val="single" w:color="auto"/>
          <w:color w:val="auto"/>
        </w:rPr>
        <w:t>Amended Lease</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jc w:val="both"/>
        <w:ind w:firstLine="278"/>
        <w:spacing w:after="0" w:line="298" w:lineRule="auto"/>
        <w:tabs>
          <w:tab w:leader="none" w:pos="46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Swap Premises</w:t>
      </w:r>
      <w:r>
        <w:rPr>
          <w:rFonts w:ascii="Arial" w:cs="Arial" w:eastAsia="Arial" w:hAnsi="Arial"/>
          <w:sz w:val="16"/>
          <w:szCs w:val="16"/>
          <w:color w:val="auto"/>
        </w:rPr>
        <w:t>. Landlord hereby leases to Tenant, and Tenant hereby leases from Landlord (y) as of the Execution Date, the Regeneron Sublease Premises, and (z) as of May 1, 2009 (the “</w:t>
      </w:r>
      <w:r>
        <w:rPr>
          <w:rFonts w:ascii="Arial" w:cs="Arial" w:eastAsia="Arial" w:hAnsi="Arial"/>
          <w:sz w:val="16"/>
          <w:szCs w:val="16"/>
          <w:u w:val="single" w:color="auto"/>
          <w:color w:val="auto"/>
        </w:rPr>
        <w:t>Swap Premises Commencement Date</w:t>
      </w:r>
      <w:r>
        <w:rPr>
          <w:rFonts w:ascii="Arial" w:cs="Arial" w:eastAsia="Arial" w:hAnsi="Arial"/>
          <w:sz w:val="16"/>
          <w:szCs w:val="16"/>
          <w:color w:val="auto"/>
        </w:rPr>
        <w:t>”), the portions of the following premises that are not part of the Regeneron Sublease Premises. The Quad I &amp; II Premises and Quad III &amp; IV Premises (including the Regeneron Sublease Premises) are referred to herein collectively as the “</w:t>
      </w:r>
      <w:r>
        <w:rPr>
          <w:rFonts w:ascii="Arial" w:cs="Arial" w:eastAsia="Arial" w:hAnsi="Arial"/>
          <w:sz w:val="16"/>
          <w:szCs w:val="16"/>
          <w:u w:val="single" w:color="auto"/>
          <w:color w:val="auto"/>
        </w:rPr>
        <w:t>Swap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w:t>
      </w:r>
      <w:r>
        <w:rPr>
          <w:rFonts w:ascii="Arial" w:cs="Arial" w:eastAsia="Arial" w:hAnsi="Arial"/>
          <w:sz w:val="16"/>
          <w:szCs w:val="16"/>
          <w:color w:val="auto"/>
        </w:rPr>
        <w:t>.” The Swap Premises consist of approximately 77,178 rentable square feet.</w:t>
      </w:r>
    </w:p>
    <w:p>
      <w:pPr>
        <w:spacing w:after="0" w:line="193" w:lineRule="exact"/>
        <w:rPr>
          <w:rFonts w:ascii="Arial" w:cs="Arial" w:eastAsia="Arial" w:hAnsi="Arial"/>
          <w:sz w:val="16"/>
          <w:szCs w:val="16"/>
          <w:color w:val="auto"/>
        </w:rPr>
      </w:pPr>
    </w:p>
    <w:p>
      <w:pPr>
        <w:ind w:right="20" w:firstLine="575"/>
        <w:spacing w:after="0" w:line="268" w:lineRule="auto"/>
        <w:tabs>
          <w:tab w:leader="none" w:pos="749" w:val="left"/>
        </w:tabs>
        <w:numPr>
          <w:ilvl w:val="3"/>
          <w:numId w:val="26"/>
        </w:numPr>
        <w:rPr>
          <w:rFonts w:ascii="Arial" w:cs="Arial" w:eastAsia="Arial" w:hAnsi="Arial"/>
          <w:sz w:val="18"/>
          <w:szCs w:val="18"/>
          <w:color w:val="auto"/>
        </w:rPr>
      </w:pPr>
      <w:r>
        <w:rPr>
          <w:rFonts w:ascii="Arial" w:cs="Arial" w:eastAsia="Arial" w:hAnsi="Arial"/>
          <w:sz w:val="18"/>
          <w:szCs w:val="18"/>
          <w:u w:val="single" w:color="auto"/>
          <w:color w:val="auto"/>
        </w:rPr>
        <w:t>Quad I Premises</w:t>
      </w:r>
      <w:r>
        <w:rPr>
          <w:rFonts w:ascii="Arial" w:cs="Arial" w:eastAsia="Arial" w:hAnsi="Arial"/>
          <w:sz w:val="18"/>
          <w:szCs w:val="18"/>
          <w:color w:val="auto"/>
        </w:rPr>
        <w:t xml:space="preserve">. Approximately 13,462 rentable square feet of space located on the second floor of the 765 Building,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Quad I Premises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right="20" w:firstLine="562"/>
        <w:spacing w:after="0" w:line="268" w:lineRule="auto"/>
        <w:tabs>
          <w:tab w:leader="none" w:pos="745" w:val="left"/>
        </w:tabs>
        <w:numPr>
          <w:ilvl w:val="3"/>
          <w:numId w:val="26"/>
        </w:numPr>
        <w:rPr>
          <w:rFonts w:ascii="Arial" w:cs="Arial" w:eastAsia="Arial" w:hAnsi="Arial"/>
          <w:sz w:val="18"/>
          <w:szCs w:val="18"/>
          <w:color w:val="auto"/>
        </w:rPr>
      </w:pPr>
      <w:r>
        <w:rPr>
          <w:rFonts w:ascii="Arial" w:cs="Arial" w:eastAsia="Arial" w:hAnsi="Arial"/>
          <w:sz w:val="18"/>
          <w:szCs w:val="18"/>
          <w:u w:val="single" w:color="auto"/>
          <w:color w:val="auto"/>
        </w:rPr>
        <w:t>Quad II Premises</w:t>
      </w:r>
      <w:r>
        <w:rPr>
          <w:rFonts w:ascii="Arial" w:cs="Arial" w:eastAsia="Arial" w:hAnsi="Arial"/>
          <w:sz w:val="18"/>
          <w:szCs w:val="18"/>
          <w:color w:val="auto"/>
        </w:rPr>
        <w:t xml:space="preserve">. Approximately 22,219 rentable square feet of space located on the second floor of the 765 Building,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Quad II Premises</w:t>
      </w:r>
      <w:r>
        <w:rPr>
          <w:rFonts w:ascii="Arial" w:cs="Arial" w:eastAsia="Arial" w:hAnsi="Arial"/>
          <w:sz w:val="18"/>
          <w:szCs w:val="18"/>
          <w:color w:val="auto"/>
        </w:rPr>
        <w:t>” and, collectively with the Quad I Premises, the “</w:t>
      </w:r>
      <w:r>
        <w:rPr>
          <w:rFonts w:ascii="Arial" w:cs="Arial" w:eastAsia="Arial" w:hAnsi="Arial"/>
          <w:sz w:val="18"/>
          <w:szCs w:val="18"/>
          <w:u w:val="single" w:color="auto"/>
          <w:color w:val="auto"/>
        </w:rPr>
        <w:t>Quad I &amp; II Premises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firstLine="548"/>
        <w:spacing w:after="0" w:line="268" w:lineRule="auto"/>
        <w:tabs>
          <w:tab w:leader="none" w:pos="72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Quad III Premises</w:t>
      </w:r>
      <w:r>
        <w:rPr>
          <w:rFonts w:ascii="Arial" w:cs="Arial" w:eastAsia="Arial" w:hAnsi="Arial"/>
          <w:sz w:val="18"/>
          <w:szCs w:val="18"/>
          <w:color w:val="auto"/>
        </w:rPr>
        <w:t xml:space="preserve">. Approximately 20,748 rentable square feet of space located on the second floor of the 765 Building,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Quad III Premises</w:t>
      </w:r>
      <w:r>
        <w:rPr>
          <w:rFonts w:ascii="Arial" w:cs="Arial" w:eastAsia="Arial" w:hAnsi="Arial"/>
          <w:sz w:val="18"/>
          <w:szCs w:val="18"/>
          <w:color w:val="auto"/>
        </w:rPr>
        <w:t>”); and</w:t>
      </w:r>
    </w:p>
    <w:p>
      <w:pPr>
        <w:spacing w:after="0" w:line="212" w:lineRule="exact"/>
        <w:rPr>
          <w:rFonts w:ascii="Arial" w:cs="Arial" w:eastAsia="Arial" w:hAnsi="Arial"/>
          <w:sz w:val="18"/>
          <w:szCs w:val="18"/>
          <w:color w:val="auto"/>
        </w:rPr>
      </w:pPr>
    </w:p>
    <w:p>
      <w:pPr>
        <w:ind w:firstLine="724"/>
        <w:spacing w:after="0" w:line="268" w:lineRule="auto"/>
        <w:tabs>
          <w:tab w:leader="none" w:pos="921" w:val="left"/>
        </w:tabs>
        <w:numPr>
          <w:ilvl w:val="4"/>
          <w:numId w:val="26"/>
        </w:numPr>
        <w:rPr>
          <w:rFonts w:ascii="Arial" w:cs="Arial" w:eastAsia="Arial" w:hAnsi="Arial"/>
          <w:sz w:val="18"/>
          <w:szCs w:val="18"/>
          <w:color w:val="auto"/>
        </w:rPr>
      </w:pPr>
      <w:r>
        <w:rPr>
          <w:rFonts w:ascii="Arial" w:cs="Arial" w:eastAsia="Arial" w:hAnsi="Arial"/>
          <w:sz w:val="18"/>
          <w:szCs w:val="18"/>
          <w:u w:val="single" w:color="auto"/>
          <w:color w:val="auto"/>
        </w:rPr>
        <w:t>Quad IV Premises</w:t>
      </w:r>
      <w:r>
        <w:rPr>
          <w:rFonts w:ascii="Arial" w:cs="Arial" w:eastAsia="Arial" w:hAnsi="Arial"/>
          <w:sz w:val="18"/>
          <w:szCs w:val="18"/>
          <w:color w:val="auto"/>
        </w:rPr>
        <w:t xml:space="preserve">. Approximately 20,749 rentable square feet of space located on the second floor of the 765 Building,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Quad IV Premises</w:t>
      </w:r>
      <w:r>
        <w:rPr>
          <w:rFonts w:ascii="Arial" w:cs="Arial" w:eastAsia="Arial" w:hAnsi="Arial"/>
          <w:sz w:val="18"/>
          <w:szCs w:val="18"/>
          <w:color w:val="auto"/>
        </w:rPr>
        <w:t>” and, collectively with the Quad III Premises, the “</w:t>
      </w:r>
      <w:r>
        <w:rPr>
          <w:rFonts w:ascii="Arial" w:cs="Arial" w:eastAsia="Arial" w:hAnsi="Arial"/>
          <w:sz w:val="18"/>
          <w:szCs w:val="18"/>
          <w:u w:val="single" w:color="auto"/>
          <w:color w:val="auto"/>
        </w:rPr>
        <w:t>Quad III &amp; IV Premises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jc w:val="both"/>
        <w:ind w:firstLine="292"/>
        <w:spacing w:after="0" w:line="254" w:lineRule="auto"/>
        <w:tabs>
          <w:tab w:leader="none" w:pos="47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Surrender Premises</w:t>
      </w:r>
      <w:r>
        <w:rPr>
          <w:rFonts w:ascii="Arial" w:cs="Arial" w:eastAsia="Arial" w:hAnsi="Arial"/>
          <w:sz w:val="18"/>
          <w:szCs w:val="18"/>
          <w:color w:val="auto"/>
        </w:rPr>
        <w:t xml:space="preserve">. The parties acknowledge that, as part of the Additional Premises, Tenant currently leases approximately 35,681 rentable square feet in the North portion of the Building located at 777 Old Saw Mill River Road, as shown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Surrender Premises</w:t>
      </w:r>
      <w:r>
        <w:rPr>
          <w:rFonts w:ascii="Arial" w:cs="Arial" w:eastAsia="Arial" w:hAnsi="Arial"/>
          <w:sz w:val="18"/>
          <w:szCs w:val="18"/>
          <w:color w:val="auto"/>
        </w:rPr>
        <w:t>”). The Additional Premises less the Surrender Premises shall be referred to herein as the “</w:t>
      </w:r>
      <w:r>
        <w:rPr>
          <w:rFonts w:ascii="Arial" w:cs="Arial" w:eastAsia="Arial" w:hAnsi="Arial"/>
          <w:sz w:val="18"/>
          <w:szCs w:val="18"/>
          <w:u w:val="single" w:color="auto"/>
          <w:color w:val="auto"/>
        </w:rPr>
        <w:t>Modified Additional Premises.</w:t>
      </w:r>
      <w:r>
        <w:rPr>
          <w:rFonts w:ascii="Arial" w:cs="Arial" w:eastAsia="Arial" w:hAnsi="Arial"/>
          <w:sz w:val="18"/>
          <w:szCs w:val="18"/>
          <w:color w:val="auto"/>
        </w:rPr>
        <w:t>” Notwithstanding anything to the contrary in the Lease, the Term for the Surrender Premises shall expire on August 31, 2009, and Landlord and Tenant shall be released from each of their respective obligations under the Lease with respect to the Surrender Premises (including the payment of Rent), except for those obligations that expressly survive the expiration or earlier termination of the 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 w:firstLine="319"/>
        <w:spacing w:after="0" w:line="335" w:lineRule="auto"/>
        <w:tabs>
          <w:tab w:leader="none" w:pos="491"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Tenant’s Pro Rata Shares</w:t>
      </w:r>
      <w:r>
        <w:rPr>
          <w:rFonts w:ascii="Arial" w:cs="Arial" w:eastAsia="Arial" w:hAnsi="Arial"/>
          <w:sz w:val="15"/>
          <w:szCs w:val="15"/>
          <w:color w:val="auto"/>
        </w:rPr>
        <w:t>. From and after the Execution Date until the Swap Premises Commencement Date, (a) the Premises shall be deemed to include the Regeneron Sublease Premises, (b) Tenant’s Pro Rate Share of the 765 Building shall increase from 15.25% to 22.94%, (c) Tenant’s Pro Rata Share of the Existing Project (based on Retained Premises, Additional Premises and Regeneron Sublease Premises only) shall increase from 15.75% to 17.57%, and (iv)</w:t>
      </w:r>
    </w:p>
    <w:p>
      <w:pPr>
        <w:sectPr>
          <w:pgSz w:w="11900" w:h="16923" w:orient="portrait"/>
          <w:cols w:equalWidth="0" w:num="1">
            <w:col w:w="11420"/>
          </w:cols>
          <w:pgMar w:left="240" w:top="125" w:right="239" w:bottom="0" w:gutter="0" w:footer="0" w:header="0"/>
        </w:sectPr>
      </w:pPr>
    </w:p>
    <w:bookmarkStart w:id="38" w:name="page39"/>
    <w:bookmarkEnd w:id="38"/>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Tenant’s Pro Rata Share of the Entire Project shall increase from 31.29% to 32.52%. From and after the Swap Premises Commencement Date,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Lease is hereby deleted and replaced in its entirety with the following:</w:t>
      </w:r>
    </w:p>
    <w:p>
      <w:pPr>
        <w:spacing w:after="0" w:line="219" w:lineRule="exact"/>
        <w:rPr>
          <w:sz w:val="20"/>
          <w:szCs w:val="20"/>
          <w:color w:val="auto"/>
        </w:rPr>
      </w:pPr>
    </w:p>
    <w:p>
      <w:pPr>
        <w:ind w:left="540" w:right="580"/>
        <w:spacing w:after="0" w:line="332" w:lineRule="auto"/>
        <w:rPr>
          <w:sz w:val="20"/>
          <w:szCs w:val="20"/>
          <w:color w:val="auto"/>
        </w:rPr>
      </w:pPr>
      <w:r>
        <w:rPr>
          <w:rFonts w:ascii="Arial" w:cs="Arial" w:eastAsia="Arial" w:hAnsi="Arial"/>
          <w:sz w:val="16"/>
          <w:szCs w:val="16"/>
          <w:color w:val="auto"/>
        </w:rPr>
        <w:t xml:space="preserve">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500" w:type="dxa"/>
            <w:vAlign w:val="bottom"/>
            <w:tcBorders>
              <w:top w:val="single" w:sz="8" w:color="auto"/>
              <w:lef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1220" w:type="dxa"/>
            <w:vAlign w:val="bottom"/>
            <w:tcBorders>
              <w:top w:val="single" w:sz="8" w:color="auto"/>
              <w:right w:val="single" w:sz="8" w:color="auto"/>
            </w:tcBorders>
          </w:tcPr>
          <w:p>
            <w:pPr>
              <w:spacing w:after="0"/>
              <w:rPr>
                <w:sz w:val="22"/>
                <w:szCs w:val="22"/>
                <w:color w:val="auto"/>
              </w:rPr>
            </w:pPr>
          </w:p>
        </w:tc>
        <w:tc>
          <w:tcPr>
            <w:tcW w:w="57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 (As of the Swap</w:t>
            </w:r>
          </w:p>
        </w:tc>
        <w:tc>
          <w:tcPr>
            <w:tcW w:w="20" w:type="dxa"/>
            <w:vAlign w:val="bottom"/>
          </w:tcPr>
          <w:p>
            <w:pPr>
              <w:spacing w:after="0"/>
              <w:rPr>
                <w:sz w:val="22"/>
                <w:szCs w:val="22"/>
                <w:color w:val="auto"/>
              </w:rPr>
            </w:pPr>
          </w:p>
        </w:tc>
      </w:tr>
      <w:tr>
        <w:trPr>
          <w:trHeight w:val="244"/>
        </w:trPr>
        <w:tc>
          <w:tcPr>
            <w:tcW w:w="1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Premises Commencement Date)</w:t>
            </w:r>
          </w:p>
        </w:tc>
        <w:tc>
          <w:tcPr>
            <w:tcW w:w="20" w:type="dxa"/>
            <w:vAlign w:val="bottom"/>
          </w:tcPr>
          <w:p>
            <w:pPr>
              <w:spacing w:after="0"/>
              <w:rPr>
                <w:sz w:val="21"/>
                <w:szCs w:val="21"/>
                <w:color w:val="auto"/>
              </w:rPr>
            </w:pPr>
          </w:p>
        </w:tc>
      </w:tr>
      <w:tr>
        <w:trPr>
          <w:trHeight w:val="170"/>
        </w:trPr>
        <w:tc>
          <w:tcPr>
            <w:tcW w:w="4500" w:type="dxa"/>
            <w:vAlign w:val="bottom"/>
            <w:tcBorders>
              <w:lef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“Premises”</w:t>
            </w:r>
          </w:p>
        </w:tc>
        <w:tc>
          <w:tcPr>
            <w:tcW w:w="1220" w:type="dxa"/>
            <w:vAlign w:val="bottom"/>
            <w:tcBorders>
              <w:right w:val="single" w:sz="8" w:color="auto"/>
            </w:tcBorders>
          </w:tcPr>
          <w:p>
            <w:pPr>
              <w:spacing w:after="0"/>
              <w:rPr>
                <w:sz w:val="14"/>
                <w:szCs w:val="14"/>
                <w:color w:val="auto"/>
              </w:rPr>
            </w:pPr>
          </w:p>
        </w:tc>
        <w:tc>
          <w:tcPr>
            <w:tcW w:w="57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Retained Premises, New Premises, Additional Premises, and Swap Premises</w:t>
            </w:r>
          </w:p>
        </w:tc>
        <w:tc>
          <w:tcPr>
            <w:tcW w:w="20" w:type="dxa"/>
            <w:vAlign w:val="bottom"/>
          </w:tcPr>
          <w:p>
            <w:pPr>
              <w:spacing w:after="0"/>
              <w:rPr>
                <w:sz w:val="14"/>
                <w:szCs w:val="14"/>
                <w:color w:val="auto"/>
              </w:rPr>
            </w:pP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500" w:type="dxa"/>
            <w:vAlign w:val="bottom"/>
            <w:tcBorders>
              <w:left w:val="single" w:sz="8" w:color="auto"/>
            </w:tcBorders>
            <w:gridSpan w:val="4"/>
          </w:tcPr>
          <w:p>
            <w:pPr>
              <w:ind w:left="20"/>
              <w:spacing w:after="0" w:line="170" w:lineRule="exact"/>
              <w:rPr>
                <w:sz w:val="20"/>
                <w:szCs w:val="20"/>
                <w:color w:val="auto"/>
              </w:rPr>
            </w:pPr>
            <w:r>
              <w:rPr>
                <w:rFonts w:ascii="Arial" w:cs="Arial" w:eastAsia="Arial" w:hAnsi="Arial"/>
                <w:sz w:val="18"/>
                <w:szCs w:val="18"/>
                <w:color w:val="auto"/>
              </w:rPr>
              <w:t>“Buildings”</w:t>
            </w:r>
          </w:p>
        </w:tc>
        <w:tc>
          <w:tcPr>
            <w:tcW w:w="1220" w:type="dxa"/>
            <w:vAlign w:val="bottom"/>
            <w:tcBorders>
              <w:right w:val="single" w:sz="8" w:color="auto"/>
            </w:tcBorders>
          </w:tcPr>
          <w:p>
            <w:pPr>
              <w:spacing w:after="0"/>
              <w:rPr>
                <w:sz w:val="14"/>
                <w:szCs w:val="14"/>
                <w:color w:val="auto"/>
              </w:rPr>
            </w:pPr>
          </w:p>
        </w:tc>
        <w:tc>
          <w:tcPr>
            <w:tcW w:w="57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735 Building, 745 Building, 765 Building and 777 Building</w:t>
            </w:r>
          </w:p>
        </w:tc>
        <w:tc>
          <w:tcPr>
            <w:tcW w:w="20" w:type="dxa"/>
            <w:vAlign w:val="bottom"/>
          </w:tcPr>
          <w:p>
            <w:pPr>
              <w:spacing w:after="0"/>
              <w:rPr>
                <w:sz w:val="14"/>
                <w:szCs w:val="14"/>
                <w:color w:val="auto"/>
              </w:rPr>
            </w:pP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Premises</w:t>
            </w:r>
          </w:p>
        </w:tc>
        <w:tc>
          <w:tcPr>
            <w:tcW w:w="12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389,529</w:t>
            </w:r>
          </w:p>
        </w:tc>
        <w:tc>
          <w:tcPr>
            <w:tcW w:w="20" w:type="dxa"/>
            <w:vAlign w:val="bottom"/>
          </w:tcPr>
          <w:p>
            <w:pPr>
              <w:spacing w:after="0"/>
              <w:rPr>
                <w:sz w:val="20"/>
                <w:szCs w:val="20"/>
                <w:color w:val="auto"/>
              </w:rPr>
            </w:pPr>
          </w:p>
        </w:tc>
      </w:tr>
      <w:tr>
        <w:trPr>
          <w:trHeight w:val="236"/>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Buildings</w:t>
            </w:r>
          </w:p>
        </w:tc>
        <w:tc>
          <w:tcPr>
            <w:tcW w:w="12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117,935 for 735 Building</w:t>
            </w:r>
          </w:p>
        </w:tc>
        <w:tc>
          <w:tcPr>
            <w:tcW w:w="20" w:type="dxa"/>
            <w:vAlign w:val="bottom"/>
          </w:tcPr>
          <w:p>
            <w:pPr>
              <w:spacing w:after="0"/>
              <w:rPr>
                <w:sz w:val="20"/>
                <w:szCs w:val="20"/>
                <w:color w:val="auto"/>
              </w:rPr>
            </w:pPr>
          </w:p>
        </w:tc>
      </w:tr>
      <w:tr>
        <w:trPr>
          <w:trHeight w:val="243"/>
        </w:trPr>
        <w:tc>
          <w:tcPr>
            <w:tcW w:w="100" w:type="dxa"/>
            <w:vAlign w:val="bottom"/>
            <w:tcBorders>
              <w:lef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111,708 for 745 Building</w:t>
            </w:r>
          </w:p>
        </w:tc>
        <w:tc>
          <w:tcPr>
            <w:tcW w:w="20" w:type="dxa"/>
            <w:vAlign w:val="bottom"/>
          </w:tcPr>
          <w:p>
            <w:pPr>
              <w:spacing w:after="0"/>
              <w:rPr>
                <w:sz w:val="21"/>
                <w:szCs w:val="21"/>
                <w:color w:val="auto"/>
              </w:rPr>
            </w:pPr>
          </w:p>
        </w:tc>
      </w:tr>
      <w:tr>
        <w:trPr>
          <w:trHeight w:val="243"/>
        </w:trPr>
        <w:tc>
          <w:tcPr>
            <w:tcW w:w="100" w:type="dxa"/>
            <w:vAlign w:val="bottom"/>
            <w:tcBorders>
              <w:lef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177,203 for 765 Building</w:t>
            </w:r>
          </w:p>
        </w:tc>
        <w:tc>
          <w:tcPr>
            <w:tcW w:w="20" w:type="dxa"/>
            <w:vAlign w:val="bottom"/>
          </w:tcPr>
          <w:p>
            <w:pPr>
              <w:spacing w:after="0"/>
              <w:rPr>
                <w:sz w:val="21"/>
                <w:szCs w:val="21"/>
                <w:color w:val="auto"/>
              </w:rPr>
            </w:pPr>
          </w:p>
        </w:tc>
      </w:tr>
      <w:tr>
        <w:trPr>
          <w:trHeight w:val="244"/>
        </w:trPr>
        <w:tc>
          <w:tcPr>
            <w:tcW w:w="1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311,104 for 777 Building</w:t>
            </w:r>
          </w:p>
        </w:tc>
        <w:tc>
          <w:tcPr>
            <w:tcW w:w="20" w:type="dxa"/>
            <w:vAlign w:val="bottom"/>
          </w:tcPr>
          <w:p>
            <w:pPr>
              <w:spacing w:after="0"/>
              <w:rPr>
                <w:sz w:val="21"/>
                <w:szCs w:val="21"/>
                <w:color w:val="auto"/>
              </w:rPr>
            </w:pPr>
          </w:p>
        </w:tc>
      </w:tr>
      <w:tr>
        <w:trPr>
          <w:trHeight w:val="237"/>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Existing Project</w:t>
            </w:r>
          </w:p>
        </w:tc>
        <w:tc>
          <w:tcPr>
            <w:tcW w:w="12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751,648</w:t>
            </w:r>
          </w:p>
        </w:tc>
        <w:tc>
          <w:tcPr>
            <w:tcW w:w="20" w:type="dxa"/>
            <w:vAlign w:val="bottom"/>
          </w:tcPr>
          <w:p>
            <w:pPr>
              <w:spacing w:after="0"/>
              <w:rPr>
                <w:sz w:val="20"/>
                <w:szCs w:val="20"/>
                <w:color w:val="auto"/>
              </w:rPr>
            </w:pPr>
          </w:p>
        </w:tc>
      </w:tr>
      <w:tr>
        <w:trPr>
          <w:trHeight w:val="237"/>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New Project</w:t>
            </w:r>
          </w:p>
        </w:tc>
        <w:tc>
          <w:tcPr>
            <w:tcW w:w="12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360,520</w:t>
            </w:r>
          </w:p>
        </w:tc>
        <w:tc>
          <w:tcPr>
            <w:tcW w:w="20" w:type="dxa"/>
            <w:vAlign w:val="bottom"/>
          </w:tcPr>
          <w:p>
            <w:pPr>
              <w:spacing w:after="0"/>
              <w:rPr>
                <w:sz w:val="20"/>
                <w:szCs w:val="20"/>
                <w:color w:val="auto"/>
              </w:rPr>
            </w:pPr>
          </w:p>
        </w:tc>
      </w:tr>
      <w:tr>
        <w:trPr>
          <w:trHeight w:val="237"/>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Rentable Area of Entire Project</w:t>
            </w:r>
          </w:p>
        </w:tc>
        <w:tc>
          <w:tcPr>
            <w:tcW w:w="12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1,112,168</w:t>
            </w:r>
          </w:p>
        </w:tc>
        <w:tc>
          <w:tcPr>
            <w:tcW w:w="20" w:type="dxa"/>
            <w:vAlign w:val="bottom"/>
          </w:tcPr>
          <w:p>
            <w:pPr>
              <w:spacing w:after="0"/>
              <w:rPr>
                <w:sz w:val="20"/>
                <w:szCs w:val="20"/>
                <w:color w:val="auto"/>
              </w:rPr>
            </w:pPr>
          </w:p>
        </w:tc>
      </w:tr>
      <w:tr>
        <w:trPr>
          <w:trHeight w:val="236"/>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Tenant’s Pro Rata Share of Buildings</w:t>
            </w:r>
          </w:p>
        </w:tc>
        <w:tc>
          <w:tcPr>
            <w:tcW w:w="12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735 Building</w:t>
            </w:r>
          </w:p>
        </w:tc>
        <w:tc>
          <w:tcPr>
            <w:tcW w:w="20" w:type="dxa"/>
            <w:vAlign w:val="bottom"/>
          </w:tcPr>
          <w:p>
            <w:pPr>
              <w:spacing w:after="0"/>
              <w:rPr>
                <w:sz w:val="20"/>
                <w:szCs w:val="20"/>
                <w:color w:val="auto"/>
              </w:rPr>
            </w:pPr>
          </w:p>
        </w:tc>
      </w:tr>
      <w:tr>
        <w:trPr>
          <w:trHeight w:val="243"/>
        </w:trPr>
        <w:tc>
          <w:tcPr>
            <w:tcW w:w="100" w:type="dxa"/>
            <w:vAlign w:val="bottom"/>
            <w:tcBorders>
              <w:lef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745 Building</w:t>
            </w:r>
          </w:p>
        </w:tc>
        <w:tc>
          <w:tcPr>
            <w:tcW w:w="20" w:type="dxa"/>
            <w:vAlign w:val="bottom"/>
          </w:tcPr>
          <w:p>
            <w:pPr>
              <w:spacing w:after="0"/>
              <w:rPr>
                <w:sz w:val="21"/>
                <w:szCs w:val="21"/>
                <w:color w:val="auto"/>
              </w:rPr>
            </w:pPr>
          </w:p>
        </w:tc>
      </w:tr>
      <w:tr>
        <w:trPr>
          <w:trHeight w:val="243"/>
        </w:trPr>
        <w:tc>
          <w:tcPr>
            <w:tcW w:w="100" w:type="dxa"/>
            <w:vAlign w:val="bottom"/>
            <w:tcBorders>
              <w:lef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58.80 % of 765 Building</w:t>
            </w:r>
          </w:p>
        </w:tc>
        <w:tc>
          <w:tcPr>
            <w:tcW w:w="20" w:type="dxa"/>
            <w:vAlign w:val="bottom"/>
          </w:tcPr>
          <w:p>
            <w:pPr>
              <w:spacing w:after="0"/>
              <w:rPr>
                <w:sz w:val="21"/>
                <w:szCs w:val="21"/>
                <w:color w:val="auto"/>
              </w:rPr>
            </w:pPr>
          </w:p>
        </w:tc>
      </w:tr>
      <w:tr>
        <w:trPr>
          <w:trHeight w:val="244"/>
        </w:trPr>
        <w:tc>
          <w:tcPr>
            <w:tcW w:w="1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17.90% of 777 Building</w:t>
            </w:r>
          </w:p>
        </w:tc>
        <w:tc>
          <w:tcPr>
            <w:tcW w:w="20" w:type="dxa"/>
            <w:vAlign w:val="bottom"/>
          </w:tcPr>
          <w:p>
            <w:pPr>
              <w:spacing w:after="0"/>
              <w:rPr>
                <w:sz w:val="21"/>
                <w:szCs w:val="21"/>
                <w:color w:val="auto"/>
              </w:rPr>
            </w:pPr>
          </w:p>
        </w:tc>
      </w:tr>
      <w:tr>
        <w:trPr>
          <w:trHeight w:val="236"/>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Tenant’s Pro Rata Share of the Existing Project</w:t>
            </w:r>
          </w:p>
        </w:tc>
        <w:tc>
          <w:tcPr>
            <w:tcW w:w="12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20"/>
                <w:szCs w:val="20"/>
                <w:color w:val="auto"/>
              </w:rPr>
            </w:pPr>
          </w:p>
        </w:tc>
      </w:tr>
      <w:tr>
        <w:trPr>
          <w:trHeight w:val="243"/>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(Based on Retained Premises, Additional</w:t>
            </w: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Premises and Swap Premises only)</w:t>
            </w:r>
          </w:p>
        </w:tc>
        <w:tc>
          <w:tcPr>
            <w:tcW w:w="122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Tenant’s Pro Rata Share of the New Project</w:t>
            </w:r>
          </w:p>
        </w:tc>
        <w:tc>
          <w:tcPr>
            <w:tcW w:w="12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63.70%</w:t>
            </w:r>
          </w:p>
        </w:tc>
        <w:tc>
          <w:tcPr>
            <w:tcW w:w="20" w:type="dxa"/>
            <w:vAlign w:val="bottom"/>
          </w:tcPr>
          <w:p>
            <w:pPr>
              <w:spacing w:after="0"/>
              <w:rPr>
                <w:sz w:val="20"/>
                <w:szCs w:val="20"/>
                <w:color w:val="auto"/>
              </w:rPr>
            </w:pPr>
          </w:p>
        </w:tc>
      </w:tr>
      <w:tr>
        <w:trPr>
          <w:trHeight w:val="243"/>
        </w:trPr>
        <w:tc>
          <w:tcPr>
            <w:tcW w:w="450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(Based on New Premises only)</w:t>
            </w:r>
          </w:p>
        </w:tc>
        <w:tc>
          <w:tcPr>
            <w:tcW w:w="122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Arial" w:cs="Arial" w:eastAsia="Arial" w:hAnsi="Arial"/>
                <w:sz w:val="18"/>
                <w:szCs w:val="18"/>
                <w:color w:val="auto"/>
              </w:rPr>
              <w:t>Tenant’s Pro Rata Share of Entire Project</w:t>
            </w:r>
          </w:p>
        </w:tc>
        <w:tc>
          <w:tcPr>
            <w:tcW w:w="122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35.02%</w:t>
            </w:r>
          </w:p>
        </w:tc>
        <w:tc>
          <w:tcPr>
            <w:tcW w:w="20" w:type="dxa"/>
            <w:vAlign w:val="bottom"/>
          </w:tcPr>
          <w:p>
            <w:pPr>
              <w:spacing w:after="0"/>
              <w:rPr>
                <w:sz w:val="21"/>
                <w:szCs w:val="21"/>
                <w:color w:val="auto"/>
              </w:rPr>
            </w:pPr>
          </w:p>
        </w:tc>
      </w:tr>
      <w:tr>
        <w:trPr>
          <w:trHeight w:val="668"/>
        </w:trPr>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20" w:type="dxa"/>
            <w:vAlign w:val="bottom"/>
            <w:gridSpan w:val="2"/>
          </w:tcPr>
          <w:p>
            <w:pPr>
              <w:jc w:val="right"/>
              <w:ind w:right="55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228"/>
        </w:trPr>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297"/>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Basic Annual Rent</w:t>
      </w:r>
      <w:r>
        <w:rPr>
          <w:rFonts w:ascii="Arial" w:cs="Arial" w:eastAsia="Arial" w:hAnsi="Arial"/>
          <w:sz w:val="18"/>
          <w:szCs w:val="18"/>
          <w:color w:val="auto"/>
        </w:rPr>
        <w:t>. Commencing as of (i) the Swap Premises Commencement Date with respect to the Quad I Premises and (ii) September 1, 2009, with respect to the remainder of the Swap Premises (the relevant dates in (i) and (ii), the “</w:t>
      </w:r>
      <w:r>
        <w:rPr>
          <w:rFonts w:ascii="Arial" w:cs="Arial" w:eastAsia="Arial" w:hAnsi="Arial"/>
          <w:sz w:val="18"/>
          <w:szCs w:val="18"/>
          <w:u w:val="single" w:color="auto"/>
          <w:color w:val="auto"/>
        </w:rPr>
        <w:t>Swap</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Premises Rent Commencement Date</w:t>
      </w:r>
      <w:r>
        <w:rPr>
          <w:rFonts w:ascii="Arial" w:cs="Arial" w:eastAsia="Arial" w:hAnsi="Arial"/>
          <w:sz w:val="18"/>
          <w:szCs w:val="18"/>
          <w:color w:val="auto"/>
        </w:rPr>
        <w:t>”), and continuing through the Term, Tenant shall pay Landlord Basic Annual Rent for the Swap Premises (“</w:t>
      </w:r>
      <w:r>
        <w:rPr>
          <w:rFonts w:ascii="Arial" w:cs="Arial" w:eastAsia="Arial" w:hAnsi="Arial"/>
          <w:sz w:val="18"/>
          <w:szCs w:val="18"/>
          <w:u w:val="single" w:color="auto"/>
          <w:color w:val="auto"/>
        </w:rPr>
        <w:t>Swap Premises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Basic Annual Rent</w:t>
      </w:r>
      <w:r>
        <w:rPr>
          <w:rFonts w:ascii="Arial" w:cs="Arial" w:eastAsia="Arial" w:hAnsi="Arial"/>
          <w:sz w:val="18"/>
          <w:szCs w:val="18"/>
          <w:color w:val="auto"/>
        </w:rPr>
        <w:t>”) in the following amounts (in addition to Rent otherwise due under the Lease) and in accordance with the terms for payment of Basic Annual Rent set forth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237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4237990"/>
                    </a:xfrm>
                    <a:prstGeom prst="rect">
                      <a:avLst/>
                    </a:prstGeom>
                    <a:noFill/>
                  </pic:spPr>
                </pic:pic>
              </a:graphicData>
            </a:graphic>
          </wp:anchor>
        </w:drawing>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Quad I Premises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Date</w:t>
            </w:r>
          </w:p>
        </w:tc>
        <w:tc>
          <w:tcPr>
            <w:tcW w:w="1200" w:type="dxa"/>
            <w:vAlign w:val="bottom"/>
            <w:tcBorders>
              <w:top w:val="single" w:sz="8" w:color="auto"/>
            </w:tcBorders>
          </w:tcPr>
          <w:p>
            <w:pPr>
              <w:jc w:val="center"/>
              <w:ind w:left="172"/>
              <w:spacing w:after="0"/>
              <w:rPr>
                <w:sz w:val="20"/>
                <w:szCs w:val="20"/>
                <w:color w:val="auto"/>
              </w:rPr>
            </w:pPr>
            <w:r>
              <w:rPr>
                <w:rFonts w:ascii="Arial" w:cs="Arial" w:eastAsia="Arial" w:hAnsi="Arial"/>
                <w:sz w:val="18"/>
                <w:szCs w:val="18"/>
                <w:color w:val="auto"/>
                <w:w w:val="85"/>
              </w:rPr>
              <w:t>Rentable</w:t>
            </w:r>
          </w:p>
        </w:tc>
        <w:tc>
          <w:tcPr>
            <w:tcW w:w="28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87"/>
              </w:rPr>
              <w:t>Per Rentable</w:t>
            </w:r>
          </w:p>
        </w:tc>
        <w:tc>
          <w:tcPr>
            <w:tcW w:w="58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w:t>
            </w:r>
          </w:p>
        </w:tc>
        <w:tc>
          <w:tcPr>
            <w:tcW w:w="3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center"/>
              <w:ind w:right="312"/>
              <w:spacing w:after="0"/>
              <w:rPr>
                <w:sz w:val="20"/>
                <w:szCs w:val="20"/>
                <w:color w:val="auto"/>
              </w:rPr>
            </w:pPr>
            <w:r>
              <w:rPr>
                <w:rFonts w:ascii="Arial" w:cs="Arial" w:eastAsia="Arial" w:hAnsi="Arial"/>
                <w:sz w:val="18"/>
                <w:szCs w:val="18"/>
                <w:color w:val="auto"/>
                <w:w w:val="92"/>
              </w:rPr>
              <w:t>Total Monthly</w:t>
            </w:r>
          </w:p>
        </w:tc>
      </w:tr>
      <w:tr>
        <w:trPr>
          <w:trHeight w:val="243"/>
        </w:trPr>
        <w:tc>
          <w:tcPr>
            <w:tcW w:w="3720" w:type="dxa"/>
            <w:vAlign w:val="bottom"/>
            <w:tcBorders>
              <w:right w:val="single" w:sz="8" w:color="auto"/>
            </w:tcBorders>
          </w:tcPr>
          <w:p>
            <w:pPr>
              <w:spacing w:after="0"/>
              <w:rPr>
                <w:sz w:val="21"/>
                <w:szCs w:val="21"/>
                <w:color w:val="auto"/>
              </w:rPr>
            </w:pP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1"/>
              </w:rPr>
              <w:t>s.f.</w:t>
            </w:r>
          </w:p>
        </w:tc>
        <w:tc>
          <w:tcPr>
            <w:tcW w:w="280" w:type="dxa"/>
            <w:vAlign w:val="bottom"/>
            <w:tcBorders>
              <w:right w:val="single" w:sz="8" w:color="auto"/>
            </w:tcBorders>
          </w:tcPr>
          <w:p>
            <w:pPr>
              <w:spacing w:after="0"/>
              <w:rPr>
                <w:sz w:val="21"/>
                <w:szCs w:val="21"/>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3"/>
              </w:rPr>
              <w:t>s.f.</w:t>
            </w:r>
          </w:p>
        </w:tc>
        <w:tc>
          <w:tcPr>
            <w:tcW w:w="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2"/>
        </w:trPr>
        <w:tc>
          <w:tcPr>
            <w:tcW w:w="3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2"/>
              </w:rPr>
              <w:t>Annually</w:t>
            </w:r>
          </w:p>
        </w:tc>
        <w:tc>
          <w:tcPr>
            <w:tcW w:w="5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Swap Premises</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13,462</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$26.50</w:t>
            </w: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$356,743.00 (to</w:t>
            </w:r>
          </w:p>
        </w:tc>
        <w:tc>
          <w:tcPr>
            <w:tcW w:w="380" w:type="dxa"/>
            <w:vAlign w:val="bottom"/>
          </w:tcPr>
          <w:p>
            <w:pPr>
              <w:spacing w:after="0"/>
              <w:rPr>
                <w:sz w:val="19"/>
                <w:szCs w:val="19"/>
                <w:color w:val="auto"/>
              </w:rPr>
            </w:pP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8"/>
              </w:rPr>
              <w:t>$29,728.58</w:t>
            </w:r>
          </w:p>
        </w:tc>
      </w:tr>
      <w:tr>
        <w:trPr>
          <w:trHeight w:val="243"/>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Commencement Date –</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be prorated)</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2"/>
        </w:trPr>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August 31, 2009</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September 1, 2009 – June 30,</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13,462</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$28.00</w:t>
            </w: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$376,936.00 (to</w:t>
            </w:r>
          </w:p>
        </w:tc>
        <w:tc>
          <w:tcPr>
            <w:tcW w:w="380" w:type="dxa"/>
            <w:vAlign w:val="bottom"/>
          </w:tcPr>
          <w:p>
            <w:pPr>
              <w:spacing w:after="0"/>
              <w:rPr>
                <w:sz w:val="19"/>
                <w:szCs w:val="19"/>
                <w:color w:val="auto"/>
              </w:rPr>
            </w:pP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8"/>
              </w:rPr>
              <w:t>$31,411.33</w:t>
            </w:r>
          </w:p>
        </w:tc>
      </w:tr>
      <w:tr>
        <w:trPr>
          <w:trHeight w:val="252"/>
        </w:trPr>
        <w:tc>
          <w:tcPr>
            <w:tcW w:w="3720" w:type="dxa"/>
            <w:vAlign w:val="bottom"/>
            <w:tcBorders>
              <w:bottom w:val="single" w:sz="8" w:color="auto"/>
              <w:right w:val="single" w:sz="8" w:color="auto"/>
            </w:tcBorders>
          </w:tcPr>
          <w:p>
            <w:pPr>
              <w:jc w:val="right"/>
              <w:ind w:right="1592"/>
              <w:spacing w:after="0"/>
              <w:rPr>
                <w:sz w:val="20"/>
                <w:szCs w:val="20"/>
                <w:color w:val="auto"/>
              </w:rPr>
            </w:pPr>
            <w:r>
              <w:rPr>
                <w:rFonts w:ascii="Arial" w:cs="Arial" w:eastAsia="Arial" w:hAnsi="Arial"/>
                <w:sz w:val="18"/>
                <w:szCs w:val="18"/>
                <w:color w:val="auto"/>
              </w:rPr>
              <w:t>2010</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be prorated)</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July 1, 2010 – remainder of</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13,462</w:t>
            </w:r>
          </w:p>
        </w:tc>
        <w:tc>
          <w:tcPr>
            <w:tcW w:w="28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32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Swap Premises Basic Annual Rent to increase</w:t>
            </w:r>
          </w:p>
        </w:tc>
        <w:tc>
          <w:tcPr>
            <w:tcW w:w="1480" w:type="dxa"/>
            <w:vAlign w:val="bottom"/>
          </w:tcPr>
          <w:p>
            <w:pPr>
              <w:spacing w:after="0"/>
              <w:rPr>
                <w:sz w:val="19"/>
                <w:szCs w:val="19"/>
                <w:color w:val="auto"/>
              </w:rPr>
            </w:pPr>
          </w:p>
        </w:tc>
      </w:tr>
      <w:tr>
        <w:trPr>
          <w:trHeight w:val="243"/>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the Term</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gridSpan w:val="5"/>
          </w:tcPr>
          <w:p>
            <w:pPr>
              <w:jc w:val="center"/>
              <w:spacing w:after="0"/>
              <w:rPr>
                <w:sz w:val="20"/>
                <w:szCs w:val="20"/>
                <w:color w:val="auto"/>
              </w:rPr>
            </w:pPr>
            <w:r>
              <w:rPr>
                <w:rFonts w:ascii="Arial" w:cs="Arial" w:eastAsia="Arial" w:hAnsi="Arial"/>
                <w:sz w:val="18"/>
                <w:szCs w:val="18"/>
                <w:color w:val="auto"/>
                <w:w w:val="89"/>
              </w:rPr>
              <w:t>annually every July 1 by 2.5% of the then-current</w:t>
            </w:r>
          </w:p>
        </w:tc>
      </w:tr>
      <w:tr>
        <w:trPr>
          <w:trHeight w:val="243"/>
        </w:trPr>
        <w:tc>
          <w:tcPr>
            <w:tcW w:w="37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gridSpan w:val="5"/>
          </w:tcPr>
          <w:p>
            <w:pPr>
              <w:jc w:val="center"/>
              <w:spacing w:after="0"/>
              <w:rPr>
                <w:sz w:val="20"/>
                <w:szCs w:val="20"/>
                <w:color w:val="auto"/>
              </w:rPr>
            </w:pPr>
            <w:r>
              <w:rPr>
                <w:rFonts w:ascii="Arial" w:cs="Arial" w:eastAsia="Arial" w:hAnsi="Arial"/>
                <w:sz w:val="18"/>
                <w:szCs w:val="18"/>
                <w:color w:val="auto"/>
                <w:w w:val="88"/>
              </w:rPr>
              <w:t>Swap Premises Basic Annual Rent applicable to</w:t>
            </w:r>
          </w:p>
        </w:tc>
      </w:tr>
      <w:tr>
        <w:trPr>
          <w:trHeight w:val="252"/>
        </w:trPr>
        <w:tc>
          <w:tcPr>
            <w:tcW w:w="3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86"/>
              </w:rPr>
              <w:t>Quad I Premises</w:t>
            </w:r>
          </w:p>
        </w:tc>
        <w:tc>
          <w:tcPr>
            <w:tcW w:w="1480" w:type="dxa"/>
            <w:vAlign w:val="bottom"/>
            <w:tcBorders>
              <w:bottom w:val="single" w:sz="8" w:color="auto"/>
            </w:tcBorders>
          </w:tcPr>
          <w:p>
            <w:pPr>
              <w:spacing w:after="0"/>
              <w:rPr>
                <w:sz w:val="21"/>
                <w:szCs w:val="2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color w:val="auto"/>
                <w:w w:val="87"/>
              </w:rPr>
              <w:t>Quad II Premises</w:t>
            </w: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Date</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85"/>
              </w:rPr>
              <w:t>Rentable</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Per Rentable</w:t>
            </w: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w:t>
            </w:r>
          </w:p>
        </w:tc>
        <w:tc>
          <w:tcPr>
            <w:tcW w:w="380" w:type="dxa"/>
            <w:vAlign w:val="bottom"/>
          </w:tcPr>
          <w:p>
            <w:pPr>
              <w:spacing w:after="0"/>
              <w:rPr>
                <w:sz w:val="19"/>
                <w:szCs w:val="19"/>
                <w:color w:val="auto"/>
              </w:rPr>
            </w:pP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92"/>
              </w:rPr>
              <w:t>Total Monthly</w:t>
            </w:r>
          </w:p>
        </w:tc>
      </w:tr>
      <w:tr>
        <w:trPr>
          <w:trHeight w:val="243"/>
        </w:trPr>
        <w:tc>
          <w:tcPr>
            <w:tcW w:w="3720" w:type="dxa"/>
            <w:vAlign w:val="bottom"/>
            <w:tcBorders>
              <w:right w:val="single" w:sz="8" w:color="auto"/>
            </w:tcBorders>
          </w:tcPr>
          <w:p>
            <w:pPr>
              <w:spacing w:after="0"/>
              <w:rPr>
                <w:sz w:val="21"/>
                <w:szCs w:val="21"/>
                <w:color w:val="auto"/>
              </w:rPr>
            </w:pP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1"/>
              </w:rPr>
              <w:t>s.f.</w:t>
            </w:r>
          </w:p>
        </w:tc>
        <w:tc>
          <w:tcPr>
            <w:tcW w:w="280" w:type="dxa"/>
            <w:vAlign w:val="bottom"/>
            <w:tcBorders>
              <w:right w:val="single" w:sz="8" w:color="auto"/>
            </w:tcBorders>
          </w:tcPr>
          <w:p>
            <w:pPr>
              <w:spacing w:after="0"/>
              <w:rPr>
                <w:sz w:val="21"/>
                <w:szCs w:val="21"/>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3"/>
              </w:rPr>
              <w:t>s.f.</w:t>
            </w:r>
          </w:p>
        </w:tc>
        <w:tc>
          <w:tcPr>
            <w:tcW w:w="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2"/>
        </w:trPr>
        <w:tc>
          <w:tcPr>
            <w:tcW w:w="3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2"/>
              </w:rPr>
              <w:t>Annually</w:t>
            </w:r>
          </w:p>
        </w:tc>
        <w:tc>
          <w:tcPr>
            <w:tcW w:w="5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Swap Premises Rent</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22,219</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$28.00</w:t>
            </w: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$622,132.00</w:t>
            </w:r>
          </w:p>
        </w:tc>
        <w:tc>
          <w:tcPr>
            <w:tcW w:w="380" w:type="dxa"/>
            <w:vAlign w:val="bottom"/>
          </w:tcPr>
          <w:p>
            <w:pPr>
              <w:spacing w:after="0"/>
              <w:rPr>
                <w:sz w:val="19"/>
                <w:szCs w:val="19"/>
                <w:color w:val="auto"/>
              </w:rPr>
            </w:pP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88"/>
              </w:rPr>
              <w:t>$51,844.33</w:t>
            </w:r>
          </w:p>
        </w:tc>
      </w:tr>
      <w:tr>
        <w:trPr>
          <w:trHeight w:val="243"/>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Commencement Date – June</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2"/>
        </w:trPr>
        <w:tc>
          <w:tcPr>
            <w:tcW w:w="37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rPr>
              <w:t>30, 2010</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July 1, 2010 – remainder of</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22,219</w:t>
            </w:r>
          </w:p>
        </w:tc>
        <w:tc>
          <w:tcPr>
            <w:tcW w:w="28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32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Swap Premises Basic Annual Rent to increase</w:t>
            </w:r>
          </w:p>
        </w:tc>
        <w:tc>
          <w:tcPr>
            <w:tcW w:w="1480" w:type="dxa"/>
            <w:vAlign w:val="bottom"/>
          </w:tcPr>
          <w:p>
            <w:pPr>
              <w:spacing w:after="0"/>
              <w:rPr>
                <w:sz w:val="19"/>
                <w:szCs w:val="19"/>
                <w:color w:val="auto"/>
              </w:rPr>
            </w:pPr>
          </w:p>
        </w:tc>
      </w:tr>
      <w:tr>
        <w:trPr>
          <w:trHeight w:val="243"/>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the Term</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gridSpan w:val="5"/>
          </w:tcPr>
          <w:p>
            <w:pPr>
              <w:jc w:val="center"/>
              <w:spacing w:after="0"/>
              <w:rPr>
                <w:sz w:val="20"/>
                <w:szCs w:val="20"/>
                <w:color w:val="auto"/>
              </w:rPr>
            </w:pPr>
            <w:r>
              <w:rPr>
                <w:rFonts w:ascii="Arial" w:cs="Arial" w:eastAsia="Arial" w:hAnsi="Arial"/>
                <w:sz w:val="18"/>
                <w:szCs w:val="18"/>
                <w:color w:val="auto"/>
                <w:w w:val="89"/>
              </w:rPr>
              <w:t>annually every July 1 by 2.5% of the then-current</w:t>
            </w:r>
          </w:p>
        </w:tc>
      </w:tr>
      <w:tr>
        <w:trPr>
          <w:trHeight w:val="243"/>
        </w:trPr>
        <w:tc>
          <w:tcPr>
            <w:tcW w:w="37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gridSpan w:val="5"/>
          </w:tcPr>
          <w:p>
            <w:pPr>
              <w:jc w:val="center"/>
              <w:spacing w:after="0"/>
              <w:rPr>
                <w:sz w:val="20"/>
                <w:szCs w:val="20"/>
                <w:color w:val="auto"/>
              </w:rPr>
            </w:pPr>
            <w:r>
              <w:rPr>
                <w:rFonts w:ascii="Arial" w:cs="Arial" w:eastAsia="Arial" w:hAnsi="Arial"/>
                <w:sz w:val="18"/>
                <w:szCs w:val="18"/>
                <w:color w:val="auto"/>
                <w:w w:val="88"/>
              </w:rPr>
              <w:t>Swap Premises Basic Annual Rent applicable to</w:t>
            </w:r>
          </w:p>
        </w:tc>
      </w:tr>
      <w:tr>
        <w:trPr>
          <w:trHeight w:val="252"/>
        </w:trPr>
        <w:tc>
          <w:tcPr>
            <w:tcW w:w="37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86"/>
              </w:rPr>
              <w:t>Quad II Premises</w:t>
            </w:r>
          </w:p>
        </w:tc>
        <w:tc>
          <w:tcPr>
            <w:tcW w:w="1480" w:type="dxa"/>
            <w:vAlign w:val="bottom"/>
            <w:tcBorders>
              <w:bottom w:val="single" w:sz="8" w:color="auto"/>
            </w:tcBorders>
          </w:tcPr>
          <w:p>
            <w:pPr>
              <w:spacing w:after="0"/>
              <w:rPr>
                <w:sz w:val="21"/>
                <w:szCs w:val="2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88"/>
              </w:rPr>
              <w:t>Quad III Premises</w:t>
            </w: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8"/>
        </w:trPr>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Date</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85"/>
              </w:rPr>
              <w:t>Rentable</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Per Rentable</w:t>
            </w: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w:t>
            </w:r>
          </w:p>
        </w:tc>
        <w:tc>
          <w:tcPr>
            <w:tcW w:w="380" w:type="dxa"/>
            <w:vAlign w:val="bottom"/>
          </w:tcPr>
          <w:p>
            <w:pPr>
              <w:spacing w:after="0"/>
              <w:rPr>
                <w:sz w:val="19"/>
                <w:szCs w:val="19"/>
                <w:color w:val="auto"/>
              </w:rPr>
            </w:pPr>
          </w:p>
        </w:tc>
        <w:tc>
          <w:tcPr>
            <w:tcW w:w="1480" w:type="dxa"/>
            <w:vAlign w:val="bottom"/>
          </w:tcPr>
          <w:p>
            <w:pPr>
              <w:jc w:val="center"/>
              <w:ind w:right="312"/>
              <w:spacing w:after="0"/>
              <w:rPr>
                <w:sz w:val="20"/>
                <w:szCs w:val="20"/>
                <w:color w:val="auto"/>
              </w:rPr>
            </w:pPr>
            <w:r>
              <w:rPr>
                <w:rFonts w:ascii="Arial" w:cs="Arial" w:eastAsia="Arial" w:hAnsi="Arial"/>
                <w:sz w:val="18"/>
                <w:szCs w:val="18"/>
                <w:color w:val="auto"/>
                <w:w w:val="92"/>
              </w:rPr>
              <w:t>Total Monthly</w:t>
            </w:r>
          </w:p>
        </w:tc>
      </w:tr>
      <w:tr>
        <w:trPr>
          <w:trHeight w:val="221"/>
        </w:trPr>
        <w:tc>
          <w:tcPr>
            <w:tcW w:w="372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ectPr>
          <w:pgSz w:w="11900" w:h="16900" w:orient="portrait"/>
          <w:cols w:equalWidth="0" w:num="1">
            <w:col w:w="11440"/>
          </w:cols>
          <w:pgMar w:left="240" w:top="131" w:right="219" w:bottom="0" w:gutter="0" w:footer="0" w:header="0"/>
        </w:sectPr>
      </w:pPr>
    </w:p>
    <w:bookmarkStart w:id="39" w:name="page40"/>
    <w:bookmarkEnd w:id="39"/>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720" w:type="dxa"/>
            <w:vAlign w:val="bottom"/>
            <w:tcBorders>
              <w:left w:val="single" w:sz="8" w:color="auto"/>
              <w:right w:val="single" w:sz="8" w:color="auto"/>
            </w:tcBorders>
          </w:tcPr>
          <w:p>
            <w:pPr>
              <w:spacing w:after="0"/>
              <w:rPr>
                <w:sz w:val="21"/>
                <w:szCs w:val="21"/>
                <w:color w:val="auto"/>
              </w:rPr>
            </w:pP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1"/>
              </w:rPr>
              <w:t>s.f.</w:t>
            </w:r>
          </w:p>
        </w:tc>
        <w:tc>
          <w:tcPr>
            <w:tcW w:w="280" w:type="dxa"/>
            <w:vAlign w:val="bottom"/>
            <w:tcBorders>
              <w:right w:val="single" w:sz="8" w:color="auto"/>
            </w:tcBorders>
          </w:tcPr>
          <w:p>
            <w:pPr>
              <w:spacing w:after="0"/>
              <w:rPr>
                <w:sz w:val="21"/>
                <w:szCs w:val="21"/>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3"/>
              </w:rPr>
              <w:t>s.f.</w:t>
            </w:r>
          </w:p>
        </w:tc>
        <w:tc>
          <w:tcPr>
            <w:tcW w:w="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2"/>
              </w:rPr>
              <w:t>Annually</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Swap Premises Rent</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$26.50</w:t>
            </w:r>
          </w:p>
        </w:tc>
        <w:tc>
          <w:tcPr>
            <w:tcW w:w="6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$549,822 (to be</w:t>
            </w:r>
          </w:p>
        </w:tc>
        <w:tc>
          <w:tcPr>
            <w:tcW w:w="380" w:type="dxa"/>
            <w:vAlign w:val="bottom"/>
          </w:tcPr>
          <w:p>
            <w:pPr>
              <w:spacing w:after="0"/>
              <w:rPr>
                <w:sz w:val="19"/>
                <w:szCs w:val="19"/>
                <w:color w:val="auto"/>
              </w:rPr>
            </w:pPr>
          </w:p>
        </w:tc>
        <w:tc>
          <w:tcPr>
            <w:tcW w:w="1480" w:type="dxa"/>
            <w:vAlign w:val="bottom"/>
            <w:tcBorders>
              <w:right w:val="single" w:sz="8" w:color="auto"/>
            </w:tcBorders>
          </w:tcPr>
          <w:p>
            <w:pPr>
              <w:jc w:val="center"/>
              <w:ind w:right="312"/>
              <w:spacing w:after="0"/>
              <w:rPr>
                <w:sz w:val="20"/>
                <w:szCs w:val="20"/>
                <w:color w:val="auto"/>
              </w:rPr>
            </w:pPr>
            <w:r>
              <w:rPr>
                <w:rFonts w:ascii="Arial" w:cs="Arial" w:eastAsia="Arial" w:hAnsi="Arial"/>
                <w:sz w:val="18"/>
                <w:szCs w:val="18"/>
                <w:color w:val="auto"/>
                <w:w w:val="86"/>
              </w:rPr>
              <w:t>$45,818</w:t>
            </w:r>
          </w:p>
        </w:tc>
        <w:tc>
          <w:tcPr>
            <w:tcW w:w="20" w:type="dxa"/>
            <w:vAlign w:val="bottom"/>
          </w:tcPr>
          <w:p>
            <w:pPr>
              <w:spacing w:after="0"/>
              <w:rPr>
                <w:sz w:val="19"/>
                <w:szCs w:val="19"/>
                <w:color w:val="auto"/>
              </w:rPr>
            </w:pPr>
          </w:p>
        </w:tc>
      </w:tr>
      <w:tr>
        <w:trPr>
          <w:trHeight w:val="243"/>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Commencement Date – June</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prorated)</w:t>
            </w:r>
          </w:p>
        </w:tc>
        <w:tc>
          <w:tcPr>
            <w:tcW w:w="3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30, 2010</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2010–June 30, 2011</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$27.16</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$563,515.68</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$46,959.64</w:t>
            </w:r>
          </w:p>
        </w:tc>
        <w:tc>
          <w:tcPr>
            <w:tcW w:w="20" w:type="dxa"/>
            <w:vAlign w:val="bottom"/>
          </w:tcPr>
          <w:p>
            <w:pPr>
              <w:spacing w:after="0"/>
              <w:rPr>
                <w:sz w:val="20"/>
                <w:szCs w:val="20"/>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2011–June 30, 2012</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$27.84</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$577,624.32</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$48,135.36</w:t>
            </w:r>
          </w:p>
        </w:tc>
        <w:tc>
          <w:tcPr>
            <w:tcW w:w="20" w:type="dxa"/>
            <w:vAlign w:val="bottom"/>
          </w:tcPr>
          <w:p>
            <w:pPr>
              <w:spacing w:after="0"/>
              <w:rPr>
                <w:sz w:val="20"/>
                <w:szCs w:val="20"/>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2012–June 30, 2013</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$28.00</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$580,944</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$48,412.00</w:t>
            </w:r>
          </w:p>
        </w:tc>
        <w:tc>
          <w:tcPr>
            <w:tcW w:w="20" w:type="dxa"/>
            <w:vAlign w:val="bottom"/>
          </w:tcPr>
          <w:p>
            <w:pPr>
              <w:spacing w:after="0"/>
              <w:rPr>
                <w:sz w:val="20"/>
                <w:szCs w:val="20"/>
                <w:color w:val="auto"/>
              </w:rPr>
            </w:pPr>
          </w:p>
        </w:tc>
      </w:tr>
      <w:tr>
        <w:trPr>
          <w:trHeight w:val="430"/>
        </w:trPr>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2"/>
          </w:tcPr>
          <w:p>
            <w:pPr>
              <w:jc w:val="right"/>
              <w:ind w:right="832"/>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gridSpan w:val="2"/>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348"/>
        </w:trPr>
        <w:tc>
          <w:tcPr>
            <w:tcW w:w="3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2013–June 30, 2014</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$28.00</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$580,944</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$48,412.00</w:t>
            </w:r>
          </w:p>
        </w:tc>
        <w:tc>
          <w:tcPr>
            <w:tcW w:w="20" w:type="dxa"/>
            <w:vAlign w:val="bottom"/>
          </w:tcPr>
          <w:p>
            <w:pPr>
              <w:spacing w:after="0"/>
              <w:rPr>
                <w:sz w:val="20"/>
                <w:szCs w:val="20"/>
                <w:color w:val="auto"/>
              </w:rPr>
            </w:pPr>
          </w:p>
        </w:tc>
      </w:tr>
      <w:tr>
        <w:trPr>
          <w:trHeight w:val="228"/>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July 1, 2014–remainder of</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20,748</w:t>
            </w:r>
          </w:p>
        </w:tc>
        <w:tc>
          <w:tcPr>
            <w:tcW w:w="28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32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Swap Premises Basic Annual Rent to increase</w:t>
            </w:r>
          </w:p>
        </w:tc>
        <w:tc>
          <w:tcPr>
            <w:tcW w:w="14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Term</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89"/>
              </w:rPr>
              <w:t>annually every July 1 by 2.5% of the then-current</w:t>
            </w:r>
          </w:p>
        </w:tc>
        <w:tc>
          <w:tcPr>
            <w:tcW w:w="20" w:type="dxa"/>
            <w:vAlign w:val="bottom"/>
          </w:tcPr>
          <w:p>
            <w:pPr>
              <w:spacing w:after="0"/>
              <w:rPr>
                <w:sz w:val="21"/>
                <w:szCs w:val="21"/>
                <w:color w:val="auto"/>
              </w:rPr>
            </w:pPr>
          </w:p>
        </w:tc>
      </w:tr>
      <w:tr>
        <w:trPr>
          <w:trHeight w:val="243"/>
        </w:trPr>
        <w:tc>
          <w:tcPr>
            <w:tcW w:w="3720" w:type="dxa"/>
            <w:vAlign w:val="bottom"/>
            <w:tcBorders>
              <w:left w:val="single" w:sz="8" w:color="auto"/>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88"/>
              </w:rPr>
              <w:t>Swap Premises Basic Annual Rent applicable to</w:t>
            </w:r>
          </w:p>
        </w:tc>
        <w:tc>
          <w:tcPr>
            <w:tcW w:w="20" w:type="dxa"/>
            <w:vAlign w:val="bottom"/>
          </w:tcPr>
          <w:p>
            <w:pPr>
              <w:spacing w:after="0"/>
              <w:rPr>
                <w:sz w:val="21"/>
                <w:szCs w:val="21"/>
                <w:color w:val="auto"/>
              </w:rPr>
            </w:pPr>
          </w:p>
        </w:tc>
      </w:tr>
      <w:tr>
        <w:trPr>
          <w:trHeight w:val="252"/>
        </w:trPr>
        <w:tc>
          <w:tcPr>
            <w:tcW w:w="3720" w:type="dxa"/>
            <w:vAlign w:val="bottom"/>
            <w:tcBorders>
              <w:left w:val="single" w:sz="8" w:color="auto"/>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88"/>
              </w:rPr>
              <w:t>Quad III Premises</w:t>
            </w:r>
          </w:p>
        </w:tc>
        <w:tc>
          <w:tcPr>
            <w:tcW w:w="14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20" w:type="dxa"/>
            <w:vAlign w:val="bottom"/>
            <w:tcBorders>
              <w:left w:val="single" w:sz="8" w:color="auto"/>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8"/>
                <w:szCs w:val="18"/>
                <w:color w:val="auto"/>
                <w:w w:val="87"/>
              </w:rPr>
              <w:t>Quad IV Premises</w:t>
            </w: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Date</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85"/>
              </w:rPr>
              <w:t>Rentable</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Per Rentable</w:t>
            </w:r>
          </w:p>
        </w:tc>
        <w:tc>
          <w:tcPr>
            <w:tcW w:w="6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w:t>
            </w:r>
          </w:p>
        </w:tc>
        <w:tc>
          <w:tcPr>
            <w:tcW w:w="380" w:type="dxa"/>
            <w:vAlign w:val="bottom"/>
          </w:tcPr>
          <w:p>
            <w:pPr>
              <w:spacing w:after="0"/>
              <w:rPr>
                <w:sz w:val="19"/>
                <w:szCs w:val="19"/>
                <w:color w:val="auto"/>
              </w:rPr>
            </w:pPr>
          </w:p>
        </w:tc>
        <w:tc>
          <w:tcPr>
            <w:tcW w:w="1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 Monthly</w:t>
            </w:r>
          </w:p>
        </w:tc>
        <w:tc>
          <w:tcPr>
            <w:tcW w:w="20" w:type="dxa"/>
            <w:vAlign w:val="bottom"/>
          </w:tcPr>
          <w:p>
            <w:pPr>
              <w:spacing w:after="0"/>
              <w:rPr>
                <w:sz w:val="19"/>
                <w:szCs w:val="19"/>
                <w:color w:val="auto"/>
              </w:rPr>
            </w:pPr>
          </w:p>
        </w:tc>
      </w:tr>
      <w:tr>
        <w:trPr>
          <w:trHeight w:val="243"/>
        </w:trPr>
        <w:tc>
          <w:tcPr>
            <w:tcW w:w="3720" w:type="dxa"/>
            <w:vAlign w:val="bottom"/>
            <w:tcBorders>
              <w:left w:val="single" w:sz="8" w:color="auto"/>
              <w:right w:val="single" w:sz="8" w:color="auto"/>
            </w:tcBorders>
          </w:tcPr>
          <w:p>
            <w:pPr>
              <w:spacing w:after="0"/>
              <w:rPr>
                <w:sz w:val="21"/>
                <w:szCs w:val="21"/>
                <w:color w:val="auto"/>
              </w:rPr>
            </w:pP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1"/>
              </w:rPr>
              <w:t>s.f.</w:t>
            </w:r>
          </w:p>
        </w:tc>
        <w:tc>
          <w:tcPr>
            <w:tcW w:w="280" w:type="dxa"/>
            <w:vAlign w:val="bottom"/>
            <w:tcBorders>
              <w:right w:val="single" w:sz="8" w:color="auto"/>
            </w:tcBorders>
          </w:tcPr>
          <w:p>
            <w:pPr>
              <w:spacing w:after="0"/>
              <w:rPr>
                <w:sz w:val="21"/>
                <w:szCs w:val="21"/>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3"/>
              </w:rPr>
              <w:t>s.f.</w:t>
            </w:r>
          </w:p>
        </w:tc>
        <w:tc>
          <w:tcPr>
            <w:tcW w:w="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3720" w:type="dxa"/>
            <w:vAlign w:val="bottom"/>
            <w:tcBorders>
              <w:left w:val="single" w:sz="8" w:color="auto"/>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2"/>
              </w:rPr>
              <w:t>Annually</w:t>
            </w:r>
          </w:p>
        </w:tc>
        <w:tc>
          <w:tcPr>
            <w:tcW w:w="6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Swap Premises Rent</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right w:val="single" w:sz="8" w:color="auto"/>
            </w:tcBorders>
          </w:tcPr>
          <w:p>
            <w:pPr>
              <w:spacing w:after="0"/>
              <w:rPr>
                <w:sz w:val="19"/>
                <w:szCs w:val="19"/>
                <w:color w:val="auto"/>
              </w:rPr>
            </w:pPr>
          </w:p>
        </w:tc>
        <w:tc>
          <w:tcPr>
            <w:tcW w:w="1480" w:type="dxa"/>
            <w:vAlign w:val="bottom"/>
          </w:tcPr>
          <w:p>
            <w:pPr>
              <w:jc w:val="center"/>
              <w:ind w:left="472"/>
              <w:spacing w:after="0"/>
              <w:rPr>
                <w:sz w:val="20"/>
                <w:szCs w:val="20"/>
                <w:color w:val="auto"/>
              </w:rPr>
            </w:pPr>
            <w:r>
              <w:rPr>
                <w:rFonts w:ascii="Arial" w:cs="Arial" w:eastAsia="Arial" w:hAnsi="Arial"/>
                <w:sz w:val="18"/>
                <w:szCs w:val="18"/>
                <w:color w:val="auto"/>
                <w:w w:val="87"/>
              </w:rPr>
              <w:t>$26.50</w:t>
            </w:r>
          </w:p>
        </w:tc>
        <w:tc>
          <w:tcPr>
            <w:tcW w:w="6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$549,848.50 (to</w:t>
            </w:r>
          </w:p>
        </w:tc>
        <w:tc>
          <w:tcPr>
            <w:tcW w:w="380" w:type="dxa"/>
            <w:vAlign w:val="bottom"/>
          </w:tcPr>
          <w:p>
            <w:pPr>
              <w:spacing w:after="0"/>
              <w:rPr>
                <w:sz w:val="19"/>
                <w:szCs w:val="19"/>
                <w:color w:val="auto"/>
              </w:rPr>
            </w:pPr>
          </w:p>
        </w:tc>
        <w:tc>
          <w:tcPr>
            <w:tcW w:w="1480" w:type="dxa"/>
            <w:vAlign w:val="bottom"/>
            <w:tcBorders>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$45,820.71</w:t>
            </w:r>
          </w:p>
        </w:tc>
        <w:tc>
          <w:tcPr>
            <w:tcW w:w="20" w:type="dxa"/>
            <w:vAlign w:val="bottom"/>
          </w:tcPr>
          <w:p>
            <w:pPr>
              <w:spacing w:after="0"/>
              <w:rPr>
                <w:sz w:val="19"/>
                <w:szCs w:val="19"/>
                <w:color w:val="auto"/>
              </w:rPr>
            </w:pPr>
          </w:p>
        </w:tc>
      </w:tr>
      <w:tr>
        <w:trPr>
          <w:trHeight w:val="243"/>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Commencement Date – June</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be prorated)</w:t>
            </w:r>
          </w:p>
        </w:tc>
        <w:tc>
          <w:tcPr>
            <w:tcW w:w="3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30, 2010</w:t>
            </w: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2010–June 30, 2011</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$27.16</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$563,542.84</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$46,961.90</w:t>
            </w:r>
          </w:p>
        </w:tc>
        <w:tc>
          <w:tcPr>
            <w:tcW w:w="20" w:type="dxa"/>
            <w:vAlign w:val="bottom"/>
          </w:tcPr>
          <w:p>
            <w:pPr>
              <w:spacing w:after="0"/>
              <w:rPr>
                <w:sz w:val="20"/>
                <w:szCs w:val="20"/>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2011–June 30, 2012</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$27.84</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$577,652.16</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$48,137.68</w:t>
            </w:r>
          </w:p>
        </w:tc>
        <w:tc>
          <w:tcPr>
            <w:tcW w:w="20" w:type="dxa"/>
            <w:vAlign w:val="bottom"/>
          </w:tcPr>
          <w:p>
            <w:pPr>
              <w:spacing w:after="0"/>
              <w:rPr>
                <w:sz w:val="20"/>
                <w:szCs w:val="20"/>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2012–June 30, 2013</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$28.00</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$580,972.00</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$48,414.33</w:t>
            </w:r>
          </w:p>
        </w:tc>
        <w:tc>
          <w:tcPr>
            <w:tcW w:w="20" w:type="dxa"/>
            <w:vAlign w:val="bottom"/>
          </w:tcPr>
          <w:p>
            <w:pPr>
              <w:spacing w:after="0"/>
              <w:rPr>
                <w:sz w:val="20"/>
                <w:szCs w:val="20"/>
                <w:color w:val="auto"/>
              </w:rPr>
            </w:pPr>
          </w:p>
        </w:tc>
      </w:tr>
      <w:tr>
        <w:trPr>
          <w:trHeight w:val="237"/>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July 1, 2013–June 30, 2014</w:t>
            </w:r>
          </w:p>
        </w:tc>
        <w:tc>
          <w:tcPr>
            <w:tcW w:w="12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$28.00</w:t>
            </w:r>
          </w:p>
        </w:tc>
        <w:tc>
          <w:tcPr>
            <w:tcW w:w="6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$580,972.00</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312"/>
              <w:spacing w:after="0"/>
              <w:rPr>
                <w:sz w:val="20"/>
                <w:szCs w:val="20"/>
                <w:color w:val="auto"/>
              </w:rPr>
            </w:pPr>
            <w:r>
              <w:rPr>
                <w:rFonts w:ascii="Arial" w:cs="Arial" w:eastAsia="Arial" w:hAnsi="Arial"/>
                <w:sz w:val="18"/>
                <w:szCs w:val="18"/>
                <w:color w:val="auto"/>
                <w:w w:val="88"/>
              </w:rPr>
              <w:t>$48,414.33</w:t>
            </w:r>
          </w:p>
        </w:tc>
        <w:tc>
          <w:tcPr>
            <w:tcW w:w="20" w:type="dxa"/>
            <w:vAlign w:val="bottom"/>
          </w:tcPr>
          <w:p>
            <w:pPr>
              <w:spacing w:after="0"/>
              <w:rPr>
                <w:sz w:val="20"/>
                <w:szCs w:val="20"/>
                <w:color w:val="auto"/>
              </w:rPr>
            </w:pPr>
          </w:p>
        </w:tc>
      </w:tr>
      <w:tr>
        <w:trPr>
          <w:trHeight w:val="228"/>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July 1, 2014–remainder of</w:t>
            </w:r>
          </w:p>
        </w:tc>
        <w:tc>
          <w:tcPr>
            <w:tcW w:w="1200" w:type="dxa"/>
            <w:vAlign w:val="bottom"/>
          </w:tcPr>
          <w:p>
            <w:pPr>
              <w:jc w:val="center"/>
              <w:ind w:left="152"/>
              <w:spacing w:after="0"/>
              <w:rPr>
                <w:sz w:val="20"/>
                <w:szCs w:val="20"/>
                <w:color w:val="auto"/>
              </w:rPr>
            </w:pPr>
            <w:r>
              <w:rPr>
                <w:rFonts w:ascii="Arial" w:cs="Arial" w:eastAsia="Arial" w:hAnsi="Arial"/>
                <w:sz w:val="18"/>
                <w:szCs w:val="18"/>
                <w:color w:val="auto"/>
                <w:w w:val="87"/>
              </w:rPr>
              <w:t>20,749</w:t>
            </w:r>
          </w:p>
        </w:tc>
        <w:tc>
          <w:tcPr>
            <w:tcW w:w="280" w:type="dxa"/>
            <w:vAlign w:val="bottom"/>
            <w:tcBorders>
              <w:right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32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Swap Premises Basic Annual Rent to increase</w:t>
            </w:r>
          </w:p>
        </w:tc>
        <w:tc>
          <w:tcPr>
            <w:tcW w:w="14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Term</w:t>
            </w: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89"/>
              </w:rPr>
              <w:t>annually every July 1 by 2.5% of the then-current</w:t>
            </w:r>
          </w:p>
        </w:tc>
        <w:tc>
          <w:tcPr>
            <w:tcW w:w="20" w:type="dxa"/>
            <w:vAlign w:val="bottom"/>
          </w:tcPr>
          <w:p>
            <w:pPr>
              <w:spacing w:after="0"/>
              <w:rPr>
                <w:sz w:val="21"/>
                <w:szCs w:val="21"/>
                <w:color w:val="auto"/>
              </w:rPr>
            </w:pPr>
          </w:p>
        </w:tc>
      </w:tr>
      <w:tr>
        <w:trPr>
          <w:trHeight w:val="243"/>
        </w:trPr>
        <w:tc>
          <w:tcPr>
            <w:tcW w:w="3720" w:type="dxa"/>
            <w:vAlign w:val="bottom"/>
            <w:tcBorders>
              <w:left w:val="single" w:sz="8" w:color="auto"/>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2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color w:val="auto"/>
                <w:w w:val="88"/>
              </w:rPr>
              <w:t>Swap Premises Basic Annual Rent applicable to</w:t>
            </w:r>
          </w:p>
        </w:tc>
        <w:tc>
          <w:tcPr>
            <w:tcW w:w="20" w:type="dxa"/>
            <w:vAlign w:val="bottom"/>
          </w:tcPr>
          <w:p>
            <w:pPr>
              <w:spacing w:after="0"/>
              <w:rPr>
                <w:sz w:val="21"/>
                <w:szCs w:val="21"/>
                <w:color w:val="auto"/>
              </w:rPr>
            </w:pPr>
          </w:p>
        </w:tc>
      </w:tr>
      <w:tr>
        <w:trPr>
          <w:trHeight w:val="252"/>
        </w:trPr>
        <w:tc>
          <w:tcPr>
            <w:tcW w:w="3720" w:type="dxa"/>
            <w:vAlign w:val="bottom"/>
            <w:tcBorders>
              <w:left w:val="single" w:sz="8" w:color="auto"/>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87"/>
              </w:rPr>
              <w:t>Quad IV Premises</w:t>
            </w:r>
          </w:p>
        </w:tc>
        <w:tc>
          <w:tcPr>
            <w:tcW w:w="148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-3416935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-3416935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52" w:lineRule="exact"/>
        <w:rPr>
          <w:sz w:val="20"/>
          <w:szCs w:val="20"/>
          <w:color w:val="auto"/>
        </w:rPr>
      </w:pPr>
    </w:p>
    <w:p>
      <w:pPr>
        <w:jc w:val="both"/>
        <w:ind w:right="20" w:firstLine="824"/>
        <w:spacing w:after="0" w:line="259" w:lineRule="auto"/>
        <w:rPr>
          <w:sz w:val="20"/>
          <w:szCs w:val="20"/>
          <w:color w:val="auto"/>
        </w:rPr>
      </w:pPr>
      <w:r>
        <w:rPr>
          <w:rFonts w:ascii="Arial" w:cs="Arial" w:eastAsia="Arial" w:hAnsi="Arial"/>
          <w:sz w:val="18"/>
          <w:szCs w:val="18"/>
          <w:color w:val="auto"/>
        </w:rPr>
        <w:t>i. In addition to Swap Premises Basic Annual Rent, commencing as of the Swap Premises Rent Commencement Date, Tenant shall pay to Landlord as Additional Rent, at times specified in the Amended Lease, Tenant’s Pro Rata Share of Operating Expenses with respect to the applicable portion of the Swap Premises.</w:t>
      </w:r>
    </w:p>
    <w:p>
      <w:pPr>
        <w:spacing w:after="0" w:line="221" w:lineRule="exact"/>
        <w:rPr>
          <w:sz w:val="20"/>
          <w:szCs w:val="20"/>
          <w:color w:val="auto"/>
        </w:rPr>
      </w:pPr>
    </w:p>
    <w:p>
      <w:pPr>
        <w:jc w:val="both"/>
        <w:ind w:right="20" w:firstLine="872"/>
        <w:spacing w:after="0" w:line="255"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in the Amended Lease to the contrary, and solely with respect to the Quad II Premises and the Quad III &amp; IV Premises, commencing as of the Swap Premises Commencement Date and continuing until (but not including) the Swap Premises Rent Commencement Date, Tenant shall pay to Landlord monthly, on the first day of each month as Additional Rent, a fixed amount of One Hundred Twenty Thousand Five Hundred Dollars ($120,500). The parties hereby agree and confirm that the foregoing amount shall be the sole obligation of Tenant with respect to Operating Expenses for the Quad II Premises and the Quad III &amp; IV Premises during such period.</w:t>
      </w:r>
    </w:p>
    <w:p>
      <w:pPr>
        <w:spacing w:after="0" w:line="223" w:lineRule="exact"/>
        <w:rPr>
          <w:rFonts w:ascii="Arial" w:cs="Arial" w:eastAsia="Arial" w:hAnsi="Arial"/>
          <w:sz w:val="18"/>
          <w:szCs w:val="18"/>
          <w:color w:val="auto"/>
        </w:rPr>
      </w:pPr>
    </w:p>
    <w:p>
      <w:pPr>
        <w:ind w:right="20" w:firstLine="886"/>
        <w:spacing w:after="0" w:line="268" w:lineRule="auto"/>
        <w:tabs>
          <w:tab w:leader="none" w:pos="1122"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the avoidance of doubt, HVAC for the Additional Premises and the Swap Premises shall be calculated in the same manner as provided in the Amended Lease with respect to the Retained Premises.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hanging="18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Rent Credit</w:t>
      </w:r>
      <w:r>
        <w:rPr>
          <w:rFonts w:ascii="Arial" w:cs="Arial" w:eastAsia="Arial" w:hAnsi="Arial"/>
          <w:sz w:val="18"/>
          <w:szCs w:val="18"/>
          <w:color w:val="auto"/>
        </w:rPr>
        <w:t>. Tenant shall be entitled to the following Rent credits:</w:t>
      </w:r>
    </w:p>
    <w:p>
      <w:pPr>
        <w:spacing w:after="0" w:line="252" w:lineRule="exact"/>
        <w:rPr>
          <w:rFonts w:ascii="Arial" w:cs="Arial" w:eastAsia="Arial" w:hAnsi="Arial"/>
          <w:sz w:val="18"/>
          <w:szCs w:val="18"/>
          <w:color w:val="auto"/>
        </w:rPr>
      </w:pPr>
    </w:p>
    <w:p>
      <w:pPr>
        <w:ind w:right="20" w:firstLine="594"/>
        <w:spacing w:after="0" w:line="268" w:lineRule="auto"/>
        <w:rPr>
          <w:rFonts w:ascii="Arial" w:cs="Arial" w:eastAsia="Arial" w:hAnsi="Arial"/>
          <w:sz w:val="18"/>
          <w:szCs w:val="18"/>
          <w:color w:val="auto"/>
        </w:rPr>
      </w:pPr>
      <w:r>
        <w:rPr>
          <w:rFonts w:ascii="Arial" w:cs="Arial" w:eastAsia="Arial" w:hAnsi="Arial"/>
          <w:sz w:val="18"/>
          <w:szCs w:val="18"/>
          <w:color w:val="auto"/>
        </w:rPr>
        <w:t>a. Effective as of December 1, 2009, a Rent credit equal to Five Hundred Thousand Dollars ($500,000) to be applied against any portion of Rent due to Landlord under the Amended Lease; and</w:t>
      </w:r>
    </w:p>
    <w:p>
      <w:pPr>
        <w:spacing w:after="0" w:line="212" w:lineRule="exact"/>
        <w:rPr>
          <w:rFonts w:ascii="Arial" w:cs="Arial" w:eastAsia="Arial" w:hAnsi="Arial"/>
          <w:sz w:val="18"/>
          <w:szCs w:val="18"/>
          <w:color w:val="auto"/>
        </w:rPr>
      </w:pPr>
    </w:p>
    <w:p>
      <w:pPr>
        <w:ind w:right="20" w:firstLine="621"/>
        <w:spacing w:after="0" w:line="332" w:lineRule="auto"/>
        <w:rPr>
          <w:rFonts w:ascii="Arial" w:cs="Arial" w:eastAsia="Arial" w:hAnsi="Arial"/>
          <w:sz w:val="18"/>
          <w:szCs w:val="18"/>
          <w:color w:val="auto"/>
        </w:rPr>
      </w:pPr>
      <w:r>
        <w:rPr>
          <w:rFonts w:ascii="Arial" w:cs="Arial" w:eastAsia="Arial" w:hAnsi="Arial"/>
          <w:sz w:val="16"/>
          <w:szCs w:val="16"/>
          <w:color w:val="auto"/>
        </w:rPr>
        <w:t>b. Effective as of December 1, 2012, a Rent credit equal to One Million Fifty Thousand Three Hundred Dollars ($1,050,300) to be applied against any portion of Rent due to Landlord under the Amended Lease (except that the foregoing credit shall not be applicable to cure a monetary default of Tenant).</w:t>
      </w:r>
    </w:p>
    <w:p>
      <w:pPr>
        <w:spacing w:after="0" w:line="166" w:lineRule="exact"/>
        <w:rPr>
          <w:rFonts w:ascii="Arial" w:cs="Arial" w:eastAsia="Arial" w:hAnsi="Arial"/>
          <w:sz w:val="18"/>
          <w:szCs w:val="18"/>
          <w:color w:val="auto"/>
        </w:rPr>
      </w:pPr>
    </w:p>
    <w:p>
      <w:pPr>
        <w:jc w:val="both"/>
        <w:ind w:right="20" w:firstLine="346"/>
        <w:spacing w:after="0" w:line="259" w:lineRule="auto"/>
        <w:tabs>
          <w:tab w:leader="none" w:pos="543"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Swap Premises Term Expiration Date</w:t>
      </w:r>
      <w:r>
        <w:rPr>
          <w:rFonts w:ascii="Arial" w:cs="Arial" w:eastAsia="Arial" w:hAnsi="Arial"/>
          <w:sz w:val="18"/>
          <w:szCs w:val="18"/>
          <w:color w:val="auto"/>
        </w:rPr>
        <w:t xml:space="preserve">. The Term for the Swap Premises shall expire on the Term Expiration Date for the New Premises, subject to (a) Tenant’s option to extend the Term of the Lease as provided in </w:t>
      </w:r>
      <w:r>
        <w:rPr>
          <w:rFonts w:ascii="Arial" w:cs="Arial" w:eastAsia="Arial" w:hAnsi="Arial"/>
          <w:sz w:val="18"/>
          <w:szCs w:val="18"/>
          <w:u w:val="single" w:color="auto"/>
          <w:color w:val="auto"/>
        </w:rPr>
        <w:t>Article 44</w:t>
      </w:r>
      <w:r>
        <w:rPr>
          <w:rFonts w:ascii="Arial" w:cs="Arial" w:eastAsia="Arial" w:hAnsi="Arial"/>
          <w:sz w:val="18"/>
          <w:szCs w:val="18"/>
          <w:color w:val="auto"/>
        </w:rPr>
        <w:t xml:space="preserve"> of the Lease (as amended by this Amendment), and (b) Tenant’s termination options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below.</w:t>
      </w:r>
    </w:p>
    <w:p>
      <w:pPr>
        <w:spacing w:after="0" w:line="221" w:lineRule="exact"/>
        <w:rPr>
          <w:rFonts w:ascii="Arial" w:cs="Arial" w:eastAsia="Arial" w:hAnsi="Arial"/>
          <w:sz w:val="18"/>
          <w:szCs w:val="18"/>
          <w:color w:val="auto"/>
        </w:rPr>
      </w:pPr>
    </w:p>
    <w:p>
      <w:pPr>
        <w:ind w:right="40" w:firstLine="332"/>
        <w:spacing w:after="0" w:line="268" w:lineRule="auto"/>
        <w:tabs>
          <w:tab w:leader="none" w:pos="51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Lease Extension Options</w:t>
      </w:r>
      <w:r>
        <w:rPr>
          <w:rFonts w:ascii="Arial" w:cs="Arial" w:eastAsia="Arial" w:hAnsi="Arial"/>
          <w:sz w:val="18"/>
          <w:szCs w:val="18"/>
          <w:color w:val="auto"/>
        </w:rPr>
        <w:t xml:space="preserve">. From and after the Swap Premises Commencement Date, the first paragraph of </w:t>
      </w:r>
      <w:r>
        <w:rPr>
          <w:rFonts w:ascii="Arial" w:cs="Arial" w:eastAsia="Arial" w:hAnsi="Arial"/>
          <w:sz w:val="18"/>
          <w:szCs w:val="18"/>
          <w:u w:val="single" w:color="auto"/>
          <w:color w:val="auto"/>
        </w:rPr>
        <w:t>Article 44</w:t>
      </w:r>
      <w:r>
        <w:rPr>
          <w:rFonts w:ascii="Arial" w:cs="Arial" w:eastAsia="Arial" w:hAnsi="Arial"/>
          <w:sz w:val="18"/>
          <w:szCs w:val="18"/>
          <w:color w:val="auto"/>
        </w:rPr>
        <w:t xml:space="preserve"> of the Lease is hereby deleted and replaced with the following:</w:t>
      </w:r>
    </w:p>
    <w:p>
      <w:pPr>
        <w:spacing w:after="0" w:line="186" w:lineRule="exact"/>
        <w:rPr>
          <w:sz w:val="20"/>
          <w:szCs w:val="20"/>
          <w:color w:val="auto"/>
        </w:rPr>
      </w:pPr>
    </w:p>
    <w:p>
      <w:pPr>
        <w:jc w:val="both"/>
        <w:ind w:left="540" w:right="560" w:firstLine="8"/>
        <w:spacing w:after="0" w:line="306" w:lineRule="auto"/>
        <w:tabs>
          <w:tab w:leader="none" w:pos="80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Option to Extend Term</w:t>
      </w:r>
      <w:r>
        <w:rPr>
          <w:rFonts w:ascii="Arial" w:cs="Arial" w:eastAsia="Arial" w:hAnsi="Arial"/>
          <w:sz w:val="16"/>
          <w:szCs w:val="16"/>
          <w:color w:val="auto"/>
        </w:rPr>
        <w:t>. Tenant shall have three (3) options (each, an “</w:t>
      </w:r>
      <w:r>
        <w:rPr>
          <w:rFonts w:ascii="Arial" w:cs="Arial" w:eastAsia="Arial" w:hAnsi="Arial"/>
          <w:sz w:val="16"/>
          <w:szCs w:val="16"/>
          <w:u w:val="single" w:color="auto"/>
          <w:color w:val="auto"/>
        </w:rPr>
        <w:t>Option</w:t>
      </w:r>
      <w:r>
        <w:rPr>
          <w:rFonts w:ascii="Arial" w:cs="Arial" w:eastAsia="Arial" w:hAnsi="Arial"/>
          <w:sz w:val="16"/>
          <w:szCs w:val="16"/>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w:t>
      </w:r>
    </w:p>
    <w:p>
      <w:pPr>
        <w:sectPr>
          <w:pgSz w:w="11900" w:h="16945" w:orient="portrait"/>
          <w:cols w:equalWidth="0" w:num="1">
            <w:col w:w="11440"/>
          </w:cols>
          <w:pgMar w:left="240" w:top="140" w:right="219" w:bottom="0" w:gutter="0" w:footer="0" w:header="0"/>
        </w:sectPr>
      </w:pPr>
    </w:p>
    <w:bookmarkStart w:id="40" w:name="page41"/>
    <w:bookmarkEnd w:id="40"/>
    <w:p>
      <w:pPr>
        <w:spacing w:after="0" w:line="57" w:lineRule="exact"/>
        <w:rPr>
          <w:sz w:val="20"/>
          <w:szCs w:val="20"/>
          <w:color w:val="auto"/>
        </w:rPr>
      </w:pPr>
    </w:p>
    <w:p>
      <w:pPr>
        <w:jc w:val="both"/>
        <w:ind w:left="540" w:right="540"/>
        <w:spacing w:after="0" w:line="291" w:lineRule="auto"/>
        <w:rPr>
          <w:sz w:val="20"/>
          <w:szCs w:val="20"/>
          <w:color w:val="auto"/>
        </w:rPr>
      </w:pPr>
      <w:r>
        <w:rPr>
          <w:rFonts w:ascii="Arial" w:cs="Arial" w:eastAsia="Arial" w:hAnsi="Arial"/>
          <w:sz w:val="16"/>
          <w:szCs w:val="16"/>
          <w:color w:val="auto"/>
        </w:rPr>
        <w:t>expire. Tenant may exercise its Option to extend the Term only as to any one or more of the following: (a) the entire Retained Premises, (b) the entire New Whole Building Premises, (c) the entire New Multiple Tenant Building Premises, (d) the Modified Additional Premises or (e) the Swap Premises. If Tenant fails to exercise an Option with respect to less than all of the Premises and the time to do so has lapsed (or if a Retained Premises Early Termination or a termination pursuant to a Swap Premises Termination Option (as defined below)has occurred), then Tenant shall no longer have an Option with respect to those portions of the Premises for which it failed to exercise an Option. Tenant’s Options for the remaining Premises shall remain in full force and effect.</w:t>
      </w:r>
    </w:p>
    <w:p>
      <w:pPr>
        <w:spacing w:after="0" w:line="201" w:lineRule="exact"/>
        <w:rPr>
          <w:sz w:val="20"/>
          <w:szCs w:val="20"/>
          <w:color w:val="auto"/>
        </w:rPr>
      </w:pPr>
    </w:p>
    <w:p>
      <w:pPr>
        <w:ind w:left="460" w:hanging="182"/>
        <w:spacing w:after="0"/>
        <w:tabs>
          <w:tab w:leader="none" w:pos="46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Delivery of Possession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35"/>
        <w:spacing w:after="0" w:line="301" w:lineRule="auto"/>
        <w:rPr>
          <w:rFonts w:ascii="Arial" w:cs="Arial" w:eastAsia="Arial" w:hAnsi="Arial"/>
          <w:sz w:val="18"/>
          <w:szCs w:val="18"/>
          <w:color w:val="auto"/>
        </w:rPr>
      </w:pPr>
      <w:r>
        <w:rPr>
          <w:rFonts w:ascii="Arial" w:cs="Arial" w:eastAsia="Arial" w:hAnsi="Arial"/>
          <w:sz w:val="15"/>
          <w:szCs w:val="15"/>
          <w:color w:val="auto"/>
        </w:rPr>
        <w:t xml:space="preserve">a. Tenant acknowledges that it is currently in possession of and occupies the Regeneron Sublease Premises. Landlord shall deliver to Tenant (i) on the Execution Date, the Regeneron Sublease Premises for construction of the Swap Premises Tenant Improvements (as defined below), and (ii) on the Swap Premises Commencement Date, the remainder of the Swap Premises for possession, occupancy and construction of the Swap Premises Tenant Improvements. As of each such date, Tenant’s possession and occupancy of the applicable portions of the Swap Premises shall be governed by and pursuant to the Amended Lease;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Tenant shall have no obligation to pay Swap Premises Basic Annual Rent with respect to its occupancy and possession of the Swap Premises prior to the applicable Swap Premises Rent Commencement Date. Landlord shall permit Tenant, accompanied by an employee of Landlord, to enter the portion of the Swap Premises that is not the Regeneron Sublease Premises at a time mutually acceptable to Landlord and Tenant (but in no event more than three</w:t>
      </w:r>
    </w:p>
    <w:p>
      <w:pPr>
        <w:spacing w:after="0" w:line="4"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days prior to the Swap Premises Commencement Date) for the purpose of Tenant planning its move into the Swap Premises.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b. If Landlord fails to deliver all or a portion of the Swap Premises to Tenant on the Swap Premises Commencement Date (such portion, the “</w:t>
      </w:r>
      <w:r>
        <w:rPr>
          <w:rFonts w:ascii="Arial" w:cs="Arial" w:eastAsia="Arial" w:hAnsi="Arial"/>
          <w:sz w:val="18"/>
          <w:szCs w:val="18"/>
          <w:u w:val="single" w:color="auto"/>
          <w:color w:val="auto"/>
        </w:rPr>
        <w:t>Late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Premises</w:t>
      </w:r>
      <w:r>
        <w:rPr>
          <w:rFonts w:ascii="Arial" w:cs="Arial" w:eastAsia="Arial" w:hAnsi="Arial"/>
          <w:sz w:val="18"/>
          <w:szCs w:val="18"/>
          <w:color w:val="auto"/>
        </w:rPr>
        <w:t>”), then Tenant shall not be obligated to pay Base Rent or Operating Expenses with respect to the Late Delivery Premises until Landlord delivers the Late Delivery Premises to Tenant.</w:t>
      </w:r>
    </w:p>
    <w:p>
      <w:pPr>
        <w:spacing w:after="0" w:line="221" w:lineRule="exact"/>
        <w:rPr>
          <w:sz w:val="20"/>
          <w:szCs w:val="20"/>
          <w:color w:val="auto"/>
        </w:rPr>
      </w:pPr>
    </w:p>
    <w:p>
      <w:pPr>
        <w:ind w:left="560" w:hanging="28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540"/>
        <w:spacing w:after="0" w:line="287" w:lineRule="auto"/>
        <w:rPr>
          <w:rFonts w:ascii="Arial" w:cs="Arial" w:eastAsia="Arial" w:hAnsi="Arial"/>
          <w:sz w:val="18"/>
          <w:szCs w:val="18"/>
          <w:color w:val="auto"/>
        </w:rPr>
      </w:pPr>
      <w:r>
        <w:rPr>
          <w:rFonts w:ascii="Arial" w:cs="Arial" w:eastAsia="Arial" w:hAnsi="Arial"/>
          <w:sz w:val="16"/>
          <w:szCs w:val="16"/>
          <w:color w:val="auto"/>
        </w:rPr>
        <w:t>a. Landlord shall make available to Tenant a tenant improvement allowance of Ten Dollars ($10) per rentable square foot of the Quad I &amp; II Premises (the “</w:t>
      </w:r>
      <w:r>
        <w:rPr>
          <w:rFonts w:ascii="Arial" w:cs="Arial" w:eastAsia="Arial" w:hAnsi="Arial"/>
          <w:sz w:val="16"/>
          <w:szCs w:val="16"/>
          <w:u w:val="single" w:color="auto"/>
          <w:color w:val="auto"/>
        </w:rPr>
        <w:t>Quad I &amp; II Premises TI Allowance</w:t>
      </w:r>
      <w:r>
        <w:rPr>
          <w:rFonts w:ascii="Arial" w:cs="Arial" w:eastAsia="Arial" w:hAnsi="Arial"/>
          <w:sz w:val="16"/>
          <w:szCs w:val="16"/>
          <w:color w:val="auto"/>
        </w:rPr>
        <w:t>”) at any time after the Swap Premises Commencement Date until such time as Tenant has exercised a Quad I &amp; II Termination Option (as defined below). Further, Landlord shall make available to Tenant a tenant improvement allowance of Twenty Dollars ($20) per rentable square foot of the Quad III &amp; IV Premises (the “</w:t>
      </w:r>
      <w:r>
        <w:rPr>
          <w:rFonts w:ascii="Arial" w:cs="Arial" w:eastAsia="Arial" w:hAnsi="Arial"/>
          <w:sz w:val="16"/>
          <w:szCs w:val="16"/>
          <w:u w:val="single" w:color="auto"/>
          <w:color w:val="auto"/>
        </w:rPr>
        <w:t>Quad III &amp; IV Premises TI Allowance</w:t>
      </w:r>
      <w:r>
        <w:rPr>
          <w:rFonts w:ascii="Arial" w:cs="Arial" w:eastAsia="Arial" w:hAnsi="Arial"/>
          <w:sz w:val="16"/>
          <w:szCs w:val="16"/>
          <w:color w:val="auto"/>
        </w:rPr>
        <w:t>”). Up to Ten Dollars ($10) per rentable square foot of the Quad III &amp; IV Premises TI Allowance (the “</w:t>
      </w:r>
      <w:r>
        <w:rPr>
          <w:rFonts w:ascii="Arial" w:cs="Arial" w:eastAsia="Arial" w:hAnsi="Arial"/>
          <w:sz w:val="16"/>
          <w:szCs w:val="16"/>
          <w:u w:val="single" w:color="auto"/>
          <w:color w:val="auto"/>
        </w:rPr>
        <w:t>Phase 1 Quad III &amp; IV Premises TI Allowance</w:t>
      </w:r>
      <w:r>
        <w:rPr>
          <w:rFonts w:ascii="Arial" w:cs="Arial" w:eastAsia="Arial" w:hAnsi="Arial"/>
          <w:sz w:val="16"/>
          <w:szCs w:val="16"/>
          <w:color w:val="auto"/>
        </w:rPr>
        <w:t>”) shall be available to Tenant at any time after the Swap Premises Rent Commencement Date. The balance of the Quad III &amp; IV Premises TI Allowance (not to exceed an additional Ten Dollars ($10) per rentable square foot (the “</w:t>
      </w:r>
      <w:r>
        <w:rPr>
          <w:rFonts w:ascii="Arial" w:cs="Arial" w:eastAsia="Arial" w:hAnsi="Arial"/>
          <w:sz w:val="16"/>
          <w:szCs w:val="16"/>
          <w:u w:val="single" w:color="auto"/>
          <w:color w:val="auto"/>
        </w:rPr>
        <w:t>Phase 2 Quad III &amp; IV Premises TI Allowance</w:t>
      </w:r>
      <w:r>
        <w:rPr>
          <w:rFonts w:ascii="Arial" w:cs="Arial" w:eastAsia="Arial" w:hAnsi="Arial"/>
          <w:sz w:val="16"/>
          <w:szCs w:val="16"/>
          <w:color w:val="auto"/>
        </w:rPr>
        <w:t xml:space="preserve">”)) shall be available to Tenant at any time during the Term after June 30, 2013;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has not exercised a Quad III &amp; IV Termination Option (as defined below). If Tenant has exercised a Quad III &amp; IV Termination Option with respect to the Quad III Premises or the Quad IV Premises only, then Tenant shall still be entitled to its pro rata amount of the Phase 2 Quad III &amp; IV Premises TI Allowance allocable to the non-terminated portion of the Quad III &amp; IV Premises.</w:t>
      </w:r>
    </w:p>
    <w:p>
      <w:pPr>
        <w:spacing w:after="0" w:line="203" w:lineRule="exact"/>
        <w:rPr>
          <w:rFonts w:ascii="Arial" w:cs="Arial" w:eastAsia="Arial" w:hAnsi="Arial"/>
          <w:sz w:val="18"/>
          <w:szCs w:val="18"/>
          <w:color w:val="auto"/>
        </w:rPr>
      </w:pPr>
    </w:p>
    <w:p>
      <w:pPr>
        <w:jc w:val="both"/>
        <w:ind w:firstLine="756"/>
        <w:spacing w:after="0" w:line="253" w:lineRule="auto"/>
        <w:rPr>
          <w:rFonts w:ascii="Arial" w:cs="Arial" w:eastAsia="Arial" w:hAnsi="Arial"/>
          <w:sz w:val="18"/>
          <w:szCs w:val="18"/>
          <w:color w:val="auto"/>
        </w:rPr>
      </w:pPr>
      <w:r>
        <w:rPr>
          <w:rFonts w:ascii="Arial" w:cs="Arial" w:eastAsia="Arial" w:hAnsi="Arial"/>
          <w:sz w:val="18"/>
          <w:szCs w:val="18"/>
          <w:color w:val="auto"/>
        </w:rPr>
        <w:t>b. The Quad I &amp; II Tenant Improvement Allowance and the Quad III &amp; IV Tenant Improvement Allowance (collectively, the “</w:t>
      </w:r>
      <w:r>
        <w:rPr>
          <w:rFonts w:ascii="Arial" w:cs="Arial" w:eastAsia="Arial" w:hAnsi="Arial"/>
          <w:sz w:val="18"/>
          <w:szCs w:val="18"/>
          <w:u w:val="single" w:color="auto"/>
          <w:color w:val="auto"/>
        </w:rPr>
        <w:t>Swap Premises TI</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Allowance</w:t>
      </w:r>
      <w:r>
        <w:rPr>
          <w:rFonts w:ascii="Arial" w:cs="Arial" w:eastAsia="Arial" w:hAnsi="Arial"/>
          <w:sz w:val="18"/>
          <w:szCs w:val="18"/>
          <w:color w:val="auto"/>
        </w:rPr>
        <w:t xml:space="preserve">”) shall be disbursed in the same manner as the Base TI Allowance under the applicable provisions of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the Lease, including, without limitation, the Disbursement Conditions, in order to finance improvements to the Swap Premises consistent with the provisions of the Lease and the Permitted Use (such improvements, the “</w:t>
      </w:r>
      <w:r>
        <w:rPr>
          <w:rFonts w:ascii="Arial" w:cs="Arial" w:eastAsia="Arial" w:hAnsi="Arial"/>
          <w:sz w:val="18"/>
          <w:szCs w:val="18"/>
          <w:u w:val="single" w:color="auto"/>
          <w:color w:val="auto"/>
        </w:rPr>
        <w:t>Swap Premises Tenant Improvements</w:t>
      </w:r>
      <w:r>
        <w:rPr>
          <w:rFonts w:ascii="Arial" w:cs="Arial" w:eastAsia="Arial" w:hAnsi="Arial"/>
          <w:sz w:val="18"/>
          <w:szCs w:val="18"/>
          <w:color w:val="auto"/>
        </w:rPr>
        <w:t>”). Tenant shall be responsible for performing and completing the Swap Premises Tenant Improvements, and Tenant shall pay Landlord a construction oversight fee of two and one-half percent (2.5%) of the total cost of the Swap Premises Tenant Improvements, including, without limitation, the Swap Premises TI Allowance to the extent disbursed to Tenant, which construction oversight fee may be paid out of the Swap Premises TI Allowance.</w:t>
      </w:r>
    </w:p>
    <w:p>
      <w:pPr>
        <w:spacing w:after="0" w:line="228" w:lineRule="exact"/>
        <w:rPr>
          <w:rFonts w:ascii="Arial" w:cs="Arial" w:eastAsia="Arial" w:hAnsi="Arial"/>
          <w:sz w:val="18"/>
          <w:szCs w:val="18"/>
          <w:color w:val="auto"/>
        </w:rPr>
      </w:pPr>
    </w:p>
    <w:p>
      <w:pPr>
        <w:jc w:val="both"/>
        <w:ind w:firstLine="305"/>
        <w:spacing w:after="0" w:line="298" w:lineRule="auto"/>
        <w:tabs>
          <w:tab w:leader="none" w:pos="57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Reduction in Additional Premises TI Allowance</w:t>
      </w:r>
      <w:r>
        <w:rPr>
          <w:rFonts w:ascii="Arial" w:cs="Arial" w:eastAsia="Arial" w:hAnsi="Arial"/>
          <w:sz w:val="16"/>
          <w:szCs w:val="16"/>
          <w:color w:val="auto"/>
        </w:rPr>
        <w:t xml:space="preserve">. The Additional Premises TI Allowance, as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Second Amendment, is hereby reduced by Three Hundred Fifty-Six Thousand Eight Hundred Ten Dollars ($356,810). For the avoidance of doubt, Landlord and Tenant acknowledge that the reduction in the Additional Premises TI Allowance results from Tenant surrendering the Surrender Premises, and that Tenant shall continue to have available to it, to the extent not previously disbursed, Ten Dollars ($10) per rentable square foot of the Modified Additional Premises.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32"/>
        <w:spacing w:after="0" w:line="298" w:lineRule="auto"/>
        <w:tabs>
          <w:tab w:leader="none" w:pos="604"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The parties acknowledge that, in accordance with the Lease, Tenant shall be entitled to its pro rata share of unreserved parking spaces on the South side of the Entire Project with respect to the Swap Premises. As of the Swap Premises Rent Commencement Date, Tenant shall be entitled to an additional two (2) parking spaces per thousand (1,000) rentable square feet of Swap Premises. In addition, Tenant’s pro rata share of unreserved parking spaces on the North side of the Entire Project shall be reduced proportionately to reflect Tenant’s surrendering of the Surrender Premises.</w:t>
      </w:r>
    </w:p>
    <w:p>
      <w:pPr>
        <w:spacing w:after="0" w:line="193" w:lineRule="exact"/>
        <w:rPr>
          <w:rFonts w:ascii="Arial" w:cs="Arial" w:eastAsia="Arial" w:hAnsi="Arial"/>
          <w:sz w:val="16"/>
          <w:szCs w:val="16"/>
          <w:color w:val="auto"/>
        </w:rPr>
      </w:pPr>
    </w:p>
    <w:p>
      <w:pPr>
        <w:ind w:left="560" w:hanging="282"/>
        <w:spacing w:after="0"/>
        <w:tabs>
          <w:tab w:leader="none" w:pos="56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Options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581"/>
        <w:spacing w:after="0" w:line="285" w:lineRule="auto"/>
        <w:rPr>
          <w:rFonts w:ascii="Arial" w:cs="Arial" w:eastAsia="Arial" w:hAnsi="Arial"/>
          <w:sz w:val="18"/>
          <w:szCs w:val="18"/>
          <w:color w:val="auto"/>
        </w:rPr>
      </w:pPr>
      <w:r>
        <w:rPr>
          <w:rFonts w:ascii="Arial" w:cs="Arial" w:eastAsia="Arial" w:hAnsi="Arial"/>
          <w:sz w:val="16"/>
          <w:szCs w:val="16"/>
          <w:color w:val="auto"/>
        </w:rPr>
        <w:t>a. Tenant shall be entitled to terminate the Lease with respect to (i) the entire Quad III Premises, (ii) the entire Quad IV Premises or (iii) the entire Quad III &amp; IV Premises (each, a “</w:t>
      </w:r>
      <w:r>
        <w:rPr>
          <w:rFonts w:ascii="Arial" w:cs="Arial" w:eastAsia="Arial" w:hAnsi="Arial"/>
          <w:sz w:val="16"/>
          <w:szCs w:val="16"/>
          <w:u w:val="single" w:color="auto"/>
          <w:color w:val="auto"/>
        </w:rPr>
        <w:t>Quad III &amp; IV Termination Option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Quad III &amp; IV Termination Options</w:t>
      </w:r>
      <w:r>
        <w:rPr>
          <w:rFonts w:ascii="Arial" w:cs="Arial" w:eastAsia="Arial" w:hAnsi="Arial"/>
          <w:sz w:val="16"/>
          <w:szCs w:val="16"/>
          <w:color w:val="auto"/>
        </w:rPr>
        <w:t>”). In each case, upon not less than eighteen (18) months’ prior written notice to Landlord, effective as of (l) June 30, 2013, upon payment to Landlord of Fifteen and 57/100 Dollars ($15.57) per rentable square foot of terminated space, (m) June 30, 2014, upon payment to Landlord of Fourteen and 16/100 Dollars ($14.16) per rentable square foot of terminated space, (n) December 31, 2015, upon payment to Landlord of Twelve and 03/100 Dollars ($12.03) per rentable square foot of terminated space, or (o) December 31, 2016, upon payment to Landlord of Ten and 62/100 Dollars ($10.62) per square foot of terminated space. If Tenant terminates less than all of the Quad III &amp; IV Premises prior to June 30, 2014, then Tenant’s right to exercise its remaining Quad III &amp; IV Termination Options with respect to the portion of the Quad III &amp; IV Premises not terminated shall survive until June 30, 2015 (i.e., eighteen (18) months prior to the last termination date). If Tenant receives any portion of the Phase 2 Quad III &amp; IV Premises TI Allowance, then the payment required to terminate the Quad III &amp; IV Premises shall increase by the unamortized portion of the Phase 2 Quad III &amp; IV TI Allowance allocable to the terminated portion or portions of the Quad III &amp; IV Premises as of the applicable termination date using straight-line amortization (such amortization period to commence as of the Swap Premises Rent Commencement Date). If Tenant timely exercises a Quad III &amp; IV Termination Option, then Tenant shall (y) surrender the applicable Premises to Landlord on the applicable surrender date in the condition required by the Amended Lease for surrendering Premises upon the expiration or earlier termination of the Term, and (z) if less than all of the Quad III &amp; IV Premises are terminated by Tenant, demise the terminated Premises at its expense, such demising to be performed in accordance with Applicable Laws.</w:t>
      </w:r>
    </w:p>
    <w:p>
      <w:pPr>
        <w:sectPr>
          <w:pgSz w:w="11900" w:h="16896" w:orient="portrait"/>
          <w:cols w:equalWidth="0" w:num="1">
            <w:col w:w="11420"/>
          </w:cols>
          <w:pgMar w:left="240" w:top="131" w:right="239" w:bottom="0" w:gutter="0" w:footer="0" w:header="0"/>
        </w:sectPr>
      </w:pPr>
    </w:p>
    <w:bookmarkStart w:id="41" w:name="page42"/>
    <w:bookmarkEnd w:id="41"/>
    <w:p>
      <w:pPr>
        <w:ind w:right="20"/>
        <w:spacing w:after="0" w:line="268" w:lineRule="auto"/>
        <w:rPr>
          <w:sz w:val="20"/>
          <w:szCs w:val="20"/>
          <w:color w:val="auto"/>
        </w:rPr>
      </w:pPr>
      <w:r>
        <w:rPr>
          <w:rFonts w:ascii="Arial" w:cs="Arial" w:eastAsia="Arial" w:hAnsi="Arial"/>
          <w:sz w:val="18"/>
          <w:szCs w:val="18"/>
          <w:color w:val="auto"/>
        </w:rPr>
        <w:t>Nothing in the foregoing clause (z) shall be deemed to require Tenant to perform any work to conform the terminated portion of the Premises with Applicable Laws (other than the demising thereof), except as may be expressly required by the Amended Lease.</w:t>
      </w:r>
    </w:p>
    <w:p>
      <w:pPr>
        <w:spacing w:after="0" w:line="213" w:lineRule="exact"/>
        <w:rPr>
          <w:sz w:val="20"/>
          <w:szCs w:val="20"/>
          <w:color w:val="auto"/>
        </w:rPr>
      </w:pPr>
    </w:p>
    <w:p>
      <w:pPr>
        <w:jc w:val="both"/>
        <w:ind w:firstLine="548"/>
        <w:spacing w:after="0" w:line="294" w:lineRule="auto"/>
        <w:tabs>
          <w:tab w:leader="none" w:pos="7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Additionally, Tenant shall be entitled to terminate the Lease with respect to the entire Quad I &amp; II Premises (the “</w:t>
      </w:r>
      <w:r>
        <w:rPr>
          <w:rFonts w:ascii="Arial" w:cs="Arial" w:eastAsia="Arial" w:hAnsi="Arial"/>
          <w:sz w:val="16"/>
          <w:szCs w:val="16"/>
          <w:u w:val="single" w:color="auto"/>
          <w:color w:val="auto"/>
        </w:rPr>
        <w:t>Quad I &amp; II Termination Option</w:t>
      </w:r>
      <w:r>
        <w:rPr>
          <w:rFonts w:ascii="Arial" w:cs="Arial" w:eastAsia="Arial" w:hAnsi="Arial"/>
          <w:sz w:val="16"/>
          <w:szCs w:val="16"/>
          <w:color w:val="auto"/>
        </w:rPr>
        <w:t>” and, together with the Quad III &amp; IV Premises Termination Options, the “</w:t>
      </w:r>
      <w:r>
        <w:rPr>
          <w:rFonts w:ascii="Arial" w:cs="Arial" w:eastAsia="Arial" w:hAnsi="Arial"/>
          <w:sz w:val="16"/>
          <w:szCs w:val="16"/>
          <w:u w:val="single" w:color="auto"/>
          <w:color w:val="auto"/>
        </w:rPr>
        <w:t>Swap Premises Termination Options</w:t>
      </w:r>
      <w:r>
        <w:rPr>
          <w:rFonts w:ascii="Arial" w:cs="Arial" w:eastAsia="Arial" w:hAnsi="Arial"/>
          <w:sz w:val="16"/>
          <w:szCs w:val="16"/>
          <w:color w:val="auto"/>
        </w:rPr>
        <w:t>”) upon not less than eighteen (18) months’ prior written notice to Landlord, effective as of (a) June 30, 2014, upon payment to Landlord of Twenty-Nine and 45/100s Dollars ($29.45) per rentable square foot of terminated space, (b) December 31, 2015, upon payment to Landlord of Twenty and 02/100s Dollars ($20.02) per rentable square foot of terminated space, or (c) December 31, 2016 upon payment to Landlord of Ten and 50/100s Dollars ($10.50) per square foot of terminated space.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0" w:hanging="282"/>
        <w:spacing w:after="0"/>
        <w:tabs>
          <w:tab w:leader="none" w:pos="5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Emisphere Lease; Regeneron Sublease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635"/>
        <w:spacing w:after="0" w:line="291" w:lineRule="auto"/>
        <w:rPr>
          <w:rFonts w:ascii="Arial" w:cs="Arial" w:eastAsia="Arial" w:hAnsi="Arial"/>
          <w:sz w:val="18"/>
          <w:szCs w:val="18"/>
          <w:color w:val="auto"/>
        </w:rPr>
      </w:pPr>
      <w:r>
        <w:rPr>
          <w:rFonts w:ascii="Arial" w:cs="Arial" w:eastAsia="Arial" w:hAnsi="Arial"/>
          <w:sz w:val="16"/>
          <w:szCs w:val="16"/>
          <w:color w:val="auto"/>
        </w:rPr>
        <w:t>a. Landlord represents and warrants that, as of the date hereof, Landlord and Emisphere have executed a lease termination agreement (the “</w:t>
      </w:r>
      <w:r>
        <w:rPr>
          <w:rFonts w:ascii="Arial" w:cs="Arial" w:eastAsia="Arial" w:hAnsi="Arial"/>
          <w:sz w:val="16"/>
          <w:szCs w:val="16"/>
          <w:u w:val="single" w:color="auto"/>
          <w:color w:val="auto"/>
        </w:rPr>
        <w:t>Emisphere</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that terminated the Emisphere Lease, except for those provisions that, by their express terms, survive the expiration or earlier termination thereof. Landlord shall use commercially reasonable efforts to enforce any obligations of Emisphere under the Emisphere Termination Agreement to the extent necessary to deliver the Swap Premises to Tenant on the Swap Premises Commencement Date. In addition, Landlord agrees that it shall provide copies of any cleaning records, surveys, swipes or other reports that it obtains from Emisphere as a result of the Emisphere Termination Agreement regarding the presence of Hazardous Materials in the Swap Premises.</w:t>
      </w:r>
    </w:p>
    <w:p>
      <w:pPr>
        <w:spacing w:after="0" w:line="201" w:lineRule="exact"/>
        <w:rPr>
          <w:rFonts w:ascii="Arial" w:cs="Arial" w:eastAsia="Arial" w:hAnsi="Arial"/>
          <w:sz w:val="18"/>
          <w:szCs w:val="18"/>
          <w:color w:val="auto"/>
        </w:rPr>
      </w:pPr>
    </w:p>
    <w:p>
      <w:pPr>
        <w:ind w:firstLine="608"/>
        <w:spacing w:after="0" w:line="268" w:lineRule="auto"/>
        <w:rPr>
          <w:rFonts w:ascii="Arial" w:cs="Arial" w:eastAsia="Arial" w:hAnsi="Arial"/>
          <w:sz w:val="18"/>
          <w:szCs w:val="18"/>
          <w:color w:val="auto"/>
        </w:rPr>
      </w:pPr>
      <w:r>
        <w:rPr>
          <w:rFonts w:ascii="Arial" w:cs="Arial" w:eastAsia="Arial" w:hAnsi="Arial"/>
          <w:sz w:val="18"/>
          <w:szCs w:val="18"/>
          <w:color w:val="auto"/>
        </w:rPr>
        <w:t>b. Landlord represents and warrants that, to its knowledge, as of the Execution Date, no Hazardous Materials exist in the Swap Premises in violation of Applicable Laws.</w:t>
      </w:r>
    </w:p>
    <w:p>
      <w:pPr>
        <w:spacing w:after="0" w:line="21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5"/>
          <w:szCs w:val="15"/>
          <w:color w:val="auto"/>
        </w:rPr>
        <w:t>c. Tenant hereby represents and warrants to Landlord that, with respect to the Regeneron Sublease, (a) Tenant has not prepaid to Emisphere more than one</w:t>
      </w:r>
    </w:p>
    <w:p>
      <w:pPr>
        <w:spacing w:after="0" w:line="49" w:lineRule="exact"/>
        <w:rPr>
          <w:rFonts w:ascii="Arial" w:cs="Arial" w:eastAsia="Arial" w:hAnsi="Arial"/>
          <w:sz w:val="18"/>
          <w:szCs w:val="18"/>
          <w:color w:val="auto"/>
        </w:rPr>
      </w:pPr>
    </w:p>
    <w:p>
      <w:pPr>
        <w:jc w:val="both"/>
        <w:ind w:firstLine="8"/>
        <w:spacing w:after="0" w:line="255" w:lineRule="auto"/>
        <w:tabs>
          <w:tab w:leader="none" w:pos="2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month’s Rent, (b) Landlord shall have no liability for any security deposits or other amounts Tenant has paid to Emisphere, (c) Tenant shall look solely to Emisphere (not Landlord) for reimbursement of any prepaid Rent or return of any security deposit and (d) to its knowledge, there are no defaults, or conditions existing that with the passage of time may become a default, whether on behalf of Tenant or Emisphere.</w:t>
      </w:r>
    </w:p>
    <w:p>
      <w:pPr>
        <w:spacing w:after="0" w:line="225" w:lineRule="exact"/>
        <w:rPr>
          <w:rFonts w:ascii="Arial" w:cs="Arial" w:eastAsia="Arial" w:hAnsi="Arial"/>
          <w:sz w:val="18"/>
          <w:szCs w:val="18"/>
          <w:color w:val="auto"/>
        </w:rPr>
      </w:pPr>
    </w:p>
    <w:p>
      <w:pPr>
        <w:jc w:val="both"/>
        <w:ind w:firstLine="319"/>
        <w:spacing w:after="0" w:line="286" w:lineRule="auto"/>
        <w:tabs>
          <w:tab w:leader="none" w:pos="590"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Condition of Premises</w:t>
      </w:r>
      <w:r>
        <w:rPr>
          <w:rFonts w:ascii="Arial" w:cs="Arial" w:eastAsia="Arial" w:hAnsi="Arial"/>
          <w:sz w:val="16"/>
          <w:szCs w:val="16"/>
          <w:color w:val="auto"/>
        </w:rPr>
        <w:t xml:space="preserve">. Tenant acknowledges that (a) it is in possession of and is fully familiar with the condition of that portion of the Swap Premises occupied by Tenant pursuant to the Regeneron Sublease, (b) is familiar with the condition of the remainder of the Swap Premises and, notwithstanding anything contained in the Amended Lease to the contrary, agrees to take the Swap Premises in its condition “as is” as of the Swap Premises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Landlord shall deliver the Swap Premises (other than the Regeneron Sublease Premises) in broom clean condition, taking into account that Tenant has entered into a separate agreement with Emisphere to have those certain items of Emisphere’s personal property set forth in the attached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Emisphere FF&amp;E</w:t>
      </w:r>
      <w:r>
        <w:rPr>
          <w:rFonts w:ascii="Arial" w:cs="Arial" w:eastAsia="Arial" w:hAnsi="Arial"/>
          <w:sz w:val="16"/>
          <w:szCs w:val="16"/>
          <w:color w:val="auto"/>
        </w:rPr>
        <w:t xml:space="preserve">”) remain in the Swap Premises after the termination of the Emisphere Lease. Landlord shall have no liability with respect to the Emisphere FF&amp;E, except to the extent that the same form a part of the Buildings or the Common Areas and Landlord would otherwise be required to repair and maintain the same pursuant to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Amended Lease, in which case Landlord shall be obligated to fulfill such repair and maintenance obligations. For the avoidance of doubt, Landlord and Tenant agree that: (y) Landlord shall have no liability for the existence or condition of the Emisphere FF&amp;E as of the Swap Premises Commencement Date and (z) the following items being left in the Swap Premises by Emisphere shall constitute and form a part of the Building: base building HVAC systems, elevators, restrooms, and exhaust fans and stacks.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305"/>
        <w:spacing w:after="0" w:line="268" w:lineRule="auto"/>
        <w:tabs>
          <w:tab w:leader="none" w:pos="57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xml:space="preserve">. From and after the Swap Premises Commencement Date, the second to last sentence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Lease shall be deleted and replaced in its entirety with the following:</w:t>
      </w:r>
    </w:p>
    <w:p>
      <w:pPr>
        <w:spacing w:after="0" w:line="186" w:lineRule="exact"/>
        <w:rPr>
          <w:sz w:val="20"/>
          <w:szCs w:val="20"/>
          <w:color w:val="auto"/>
        </w:rPr>
      </w:pPr>
    </w:p>
    <w:p>
      <w:pPr>
        <w:jc w:val="both"/>
        <w:ind w:left="540" w:right="540"/>
        <w:spacing w:after="0" w:line="294" w:lineRule="auto"/>
        <w:rPr>
          <w:sz w:val="20"/>
          <w:szCs w:val="20"/>
          <w:color w:val="auto"/>
        </w:rPr>
      </w:pPr>
      <w:r>
        <w:rPr>
          <w:rFonts w:ascii="Arial" w:cs="Arial" w:eastAsia="Arial" w:hAnsi="Arial"/>
          <w:sz w:val="16"/>
          <w:szCs w:val="16"/>
          <w:color w:val="auto"/>
        </w:rPr>
        <w:t>Landlord acknowledges that Tenant shall not be responsible for environmental conditions or contamination now or hereafter existing on, under or in the Entire Project, in the New Whole Building, in the New Multiple Tenant Building, in the Retained Premises, in the Additional Premises or in the Swap Premises caused by Landlord or tenants other than Tenant or by third parties in the Entire Project prior to the Execution Date or after such date, or for environmental conditions or contamination coming from off-site so long as Tenant, Tenant’s Affiliates, its permitted sublessees or its agents did not cause or contribute to such environmental conditions or contamination.</w:t>
      </w:r>
    </w:p>
    <w:p>
      <w:pPr>
        <w:spacing w:after="0" w:line="197" w:lineRule="exact"/>
        <w:rPr>
          <w:sz w:val="20"/>
          <w:szCs w:val="20"/>
          <w:color w:val="auto"/>
        </w:rPr>
      </w:pPr>
    </w:p>
    <w:p>
      <w:pPr>
        <w:jc w:val="both"/>
        <w:ind w:firstLine="373"/>
        <w:spacing w:after="0" w:line="256" w:lineRule="auto"/>
        <w:tabs>
          <w:tab w:leader="none" w:pos="658"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PsychoGenics License Agreement</w:t>
      </w:r>
      <w:r>
        <w:rPr>
          <w:rFonts w:ascii="Arial" w:cs="Arial" w:eastAsia="Arial" w:hAnsi="Arial"/>
          <w:sz w:val="18"/>
          <w:szCs w:val="18"/>
          <w:color w:val="auto"/>
        </w:rPr>
        <w:t xml:space="preserve">. Landlord and Tenant acknowledge that Tenant, as an accommodation to Landlord, intends to enter into a license agreement with PsychoGenics Inc.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PsychoGenics License Agreement</w:t>
      </w:r>
      <w:r>
        <w:rPr>
          <w:rFonts w:ascii="Arial" w:cs="Arial" w:eastAsia="Arial" w:hAnsi="Arial"/>
          <w:sz w:val="18"/>
          <w:szCs w:val="18"/>
          <w:color w:val="auto"/>
        </w:rPr>
        <w:t>”). Landlord, Tenant and PsychoGenics shall, prior to execution of the PsychoGenics License Agreement, enter into a consent to the PsychoGenics License Agreement on Landlord’s customary form, a copy of which has been provided to Tenant prior to the date hereof.</w:t>
      </w:r>
    </w:p>
    <w:p>
      <w:pPr>
        <w:spacing w:after="0" w:line="224" w:lineRule="exact"/>
        <w:rPr>
          <w:rFonts w:ascii="Arial" w:cs="Arial" w:eastAsia="Arial" w:hAnsi="Arial"/>
          <w:sz w:val="18"/>
          <w:szCs w:val="18"/>
          <w:color w:val="auto"/>
        </w:rPr>
      </w:pPr>
    </w:p>
    <w:p>
      <w:pPr>
        <w:jc w:val="both"/>
        <w:ind w:firstLine="359"/>
        <w:spacing w:after="0" w:line="294" w:lineRule="auto"/>
        <w:tabs>
          <w:tab w:leader="none" w:pos="644"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Each of Landlord and Tenant represents and warrants to the other that it has not dealt with any broker or agent in the negotiation for or the obtaining of this Amendment, other than Studley (“</w:t>
      </w:r>
      <w:r>
        <w:rPr>
          <w:rFonts w:ascii="Arial" w:cs="Arial" w:eastAsia="Arial" w:hAnsi="Arial"/>
          <w:sz w:val="16"/>
          <w:szCs w:val="16"/>
          <w:u w:val="single" w:color="auto"/>
          <w:color w:val="auto"/>
        </w:rPr>
        <w:t>Broker</w:t>
      </w:r>
      <w:r>
        <w:rPr>
          <w:rFonts w:ascii="Arial" w:cs="Arial" w:eastAsia="Arial" w:hAnsi="Arial"/>
          <w:sz w:val="16"/>
          <w:szCs w:val="16"/>
          <w:color w:val="auto"/>
        </w:rPr>
        <w:t>”), and each agrees to indemnify, defend and hold the other harmless from any and all cost or liability for compensation claimed by any such broker or agent, other than Broker, employed or engaged by it or claiming to have been employed or engaged by it. Broker is entitled to a leasing commission in connection with this Amendment, and Landlord shall pay such commission to Broker pursuant to a separate agreement between Landlord and Broker, which commission shall be calculated on the rentable square footage of the Quad III &amp; IV Premises only.</w:t>
      </w:r>
    </w:p>
    <w:p>
      <w:pPr>
        <w:spacing w:after="0" w:line="196" w:lineRule="exact"/>
        <w:rPr>
          <w:rFonts w:ascii="Arial" w:cs="Arial" w:eastAsia="Arial" w:hAnsi="Arial"/>
          <w:sz w:val="16"/>
          <w:szCs w:val="16"/>
          <w:color w:val="auto"/>
        </w:rPr>
      </w:pPr>
    </w:p>
    <w:p>
      <w:pPr>
        <w:jc w:val="both"/>
        <w:ind w:firstLine="292"/>
        <w:spacing w:after="0" w:line="291" w:lineRule="auto"/>
        <w:tabs>
          <w:tab w:leader="none" w:pos="56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 Default; Authority; Non-Contravention</w:t>
      </w:r>
      <w:r>
        <w:rPr>
          <w:rFonts w:ascii="Arial" w:cs="Arial" w:eastAsia="Arial" w:hAnsi="Arial"/>
          <w:sz w:val="16"/>
          <w:szCs w:val="16"/>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 Each of Landlord and Tenant further represents, warrants and covenants that it has the full power and authority to execute, deliver and comply with the terms of this Amendment, and doing so will not conflict with or result in the violation of or default under any provision of any agreement or other instrument to which it is a party (including without limitation, with respect to Landlord, the Emisphere Lease and the Emisphere Termination Agreement).</w:t>
      </w:r>
    </w:p>
    <w:p>
      <w:pPr>
        <w:sectPr>
          <w:pgSz w:w="11900" w:h="16838" w:orient="portrait"/>
          <w:cols w:equalWidth="0" w:num="1">
            <w:col w:w="11420"/>
          </w:cols>
          <w:pgMar w:left="240" w:top="131" w:right="239" w:bottom="292"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type w:val="continuous"/>
        </w:sectPr>
      </w:pPr>
    </w:p>
    <w:bookmarkStart w:id="42" w:name="page43"/>
    <w:bookmarkEnd w:id="42"/>
    <w:p>
      <w:pPr>
        <w:jc w:val="both"/>
        <w:ind w:firstLine="278"/>
        <w:spacing w:after="0" w:line="318" w:lineRule="auto"/>
        <w:tabs>
          <w:tab w:leader="none" w:pos="550"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Effect of Amendment</w:t>
      </w:r>
      <w:r>
        <w:rPr>
          <w:rFonts w:ascii="Arial" w:cs="Arial" w:eastAsia="Arial" w:hAnsi="Arial"/>
          <w:sz w:val="15"/>
          <w:szCs w:val="15"/>
          <w:color w:val="auto"/>
        </w:rPr>
        <w:t>. Except as modified by this Amendment, the Lease and all the covenants, agreements, terms, provisions and conditions thereof shall remain in full force and effect and are hereby ratified and affirmed. The covenants, agreements, terms, provisions and 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180" w:lineRule="exact"/>
        <w:rPr>
          <w:rFonts w:ascii="Arial" w:cs="Arial" w:eastAsia="Arial" w:hAnsi="Arial"/>
          <w:sz w:val="15"/>
          <w:szCs w:val="15"/>
          <w:color w:val="auto"/>
        </w:rPr>
      </w:pPr>
    </w:p>
    <w:p>
      <w:pPr>
        <w:jc w:val="both"/>
        <w:ind w:right="20" w:firstLine="278"/>
        <w:spacing w:after="0" w:line="259" w:lineRule="auto"/>
        <w:tabs>
          <w:tab w:leader="none" w:pos="55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becomes effective only upon execution and delivery hereof by Landlord and Tenant. The captions of the paragraphs and subparagraphs in this Amendment are included solely for convenience and shall not be considered or given any effect in construing the provisions hereof. All exhibits hereto are incorporated herein by reference.</w:t>
      </w:r>
    </w:p>
    <w:p>
      <w:pPr>
        <w:spacing w:after="0" w:line="221" w:lineRule="exact"/>
        <w:rPr>
          <w:rFonts w:ascii="Arial" w:cs="Arial" w:eastAsia="Arial" w:hAnsi="Arial"/>
          <w:sz w:val="18"/>
          <w:szCs w:val="18"/>
          <w:color w:val="auto"/>
        </w:rPr>
      </w:pPr>
    </w:p>
    <w:p>
      <w:pPr>
        <w:ind w:left="560" w:hanging="28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one or more counterparts that, when taken together, shall constitute one original.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84"/>
        <w:spacing w:after="0" w:line="268"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M Simonsen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1355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Kevin M. Simonsen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1355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VP, Real Estate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1355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00" w:lineRule="exact"/>
        <w:rPr>
          <w:sz w:val="20"/>
          <w:szCs w:val="20"/>
          <w:color w:val="auto"/>
        </w:rPr>
      </w:pP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675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675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69119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SWAP PREMISES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1895475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SURRENDER PREMISES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[Diagram]</w:t>
      </w:r>
    </w:p>
    <w:p>
      <w:pPr>
        <w:sectPr>
          <w:pgSz w:w="11900" w:h="16838" w:orient="portrait"/>
          <w:cols w:equalWidth="0" w:num="1">
            <w:col w:w="11420"/>
          </w:cols>
          <w:pgMar w:left="240" w:top="158" w:right="239" w:bottom="1134" w:gutter="0" w:footer="0" w:header="0"/>
        </w:sectPr>
      </w:pPr>
    </w:p>
    <w:bookmarkStart w:id="43" w:name="page44"/>
    <w:bookmarkEnd w:id="43"/>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961390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00" w:type="dxa"/>
            <w:vAlign w:val="bottom"/>
            <w:gridSpan w:val="2"/>
          </w:tcPr>
          <w:p>
            <w:pPr>
              <w:jc w:val="center"/>
              <w:ind w:right="4812"/>
              <w:spacing w:after="0"/>
              <w:rPr>
                <w:sz w:val="20"/>
                <w:szCs w:val="20"/>
                <w:color w:val="auto"/>
              </w:rPr>
            </w:pPr>
            <w:r>
              <w:rPr>
                <w:rFonts w:ascii="Arial" w:cs="Arial" w:eastAsia="Arial" w:hAnsi="Arial"/>
                <w:sz w:val="18"/>
                <w:szCs w:val="18"/>
                <w:b w:val="1"/>
                <w:bCs w:val="1"/>
                <w:color w:val="auto"/>
              </w:rPr>
              <w:t>EXHIBIT C</w:t>
            </w:r>
          </w:p>
        </w:tc>
      </w:tr>
      <w:tr>
        <w:trPr>
          <w:trHeight w:val="394"/>
        </w:trPr>
        <w:tc>
          <w:tcPr>
            <w:tcW w:w="3980" w:type="dxa"/>
            <w:vAlign w:val="bottom"/>
          </w:tcPr>
          <w:p>
            <w:pPr>
              <w:spacing w:after="0"/>
              <w:rPr>
                <w:sz w:val="24"/>
                <w:szCs w:val="24"/>
                <w:color w:val="auto"/>
              </w:rPr>
            </w:pPr>
          </w:p>
        </w:tc>
        <w:tc>
          <w:tcPr>
            <w:tcW w:w="7440" w:type="dxa"/>
            <w:vAlign w:val="bottom"/>
            <w:gridSpan w:val="3"/>
          </w:tcPr>
          <w:p>
            <w:pPr>
              <w:jc w:val="center"/>
              <w:ind w:right="3892"/>
              <w:spacing w:after="0"/>
              <w:rPr>
                <w:sz w:val="20"/>
                <w:szCs w:val="20"/>
                <w:color w:val="auto"/>
              </w:rPr>
            </w:pPr>
            <w:r>
              <w:rPr>
                <w:rFonts w:ascii="Arial" w:cs="Arial" w:eastAsia="Arial" w:hAnsi="Arial"/>
                <w:sz w:val="18"/>
                <w:szCs w:val="18"/>
                <w:b w:val="1"/>
                <w:bCs w:val="1"/>
                <w:color w:val="auto"/>
                <w:w w:val="99"/>
              </w:rPr>
              <w:t>EMISPHERE FF&amp;E</w:t>
            </w:r>
          </w:p>
        </w:tc>
      </w:tr>
      <w:tr>
        <w:trPr>
          <w:trHeight w:val="479"/>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940" w:type="dxa"/>
            <w:vAlign w:val="bottom"/>
            <w:tcBorders>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4920" w:type="dxa"/>
            <w:vAlign w:val="bottom"/>
            <w:tcBorders>
              <w:bottom w:val="single" w:sz="8" w:color="auto"/>
            </w:tcBorders>
          </w:tcPr>
          <w:p>
            <w:pPr>
              <w:jc w:val="center"/>
              <w:ind w:left="3952"/>
              <w:spacing w:after="0"/>
              <w:rPr>
                <w:sz w:val="20"/>
                <w:szCs w:val="20"/>
                <w:color w:val="auto"/>
              </w:rPr>
            </w:pPr>
            <w:r>
              <w:rPr>
                <w:rFonts w:ascii="Arial" w:cs="Arial" w:eastAsia="Arial" w:hAnsi="Arial"/>
                <w:sz w:val="18"/>
                <w:szCs w:val="18"/>
                <w:b w:val="1"/>
                <w:bCs w:val="1"/>
                <w:color w:val="auto"/>
                <w:w w:val="91"/>
              </w:rPr>
              <w:t>Qty.</w:t>
            </w:r>
          </w:p>
        </w:tc>
      </w:tr>
      <w:tr>
        <w:trPr>
          <w:trHeight w:val="238"/>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VWR double-door refrigerator</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Revco laboratory freezer</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Fisher Scientific Isotemp Plus, double door</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NuAire biological safety cabinet</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2</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Ice machine</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Misc. stainless steel tables</w:t>
            </w:r>
          </w:p>
        </w:tc>
        <w:tc>
          <w:tcPr>
            <w:tcW w:w="7440" w:type="dxa"/>
            <w:vAlign w:val="bottom"/>
            <w:gridSpan w:val="3"/>
          </w:tcPr>
          <w:p>
            <w:pPr>
              <w:jc w:val="center"/>
              <w:ind w:left="6452"/>
              <w:spacing w:after="0"/>
              <w:rPr>
                <w:sz w:val="20"/>
                <w:szCs w:val="20"/>
                <w:color w:val="auto"/>
              </w:rPr>
            </w:pPr>
            <w:r>
              <w:rPr>
                <w:rFonts w:ascii="Arial" w:cs="Arial" w:eastAsia="Arial" w:hAnsi="Arial"/>
                <w:sz w:val="18"/>
                <w:szCs w:val="18"/>
                <w:color w:val="auto"/>
                <w:w w:val="89"/>
              </w:rPr>
              <w:t>14</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Mobile benches</w:t>
            </w:r>
          </w:p>
        </w:tc>
        <w:tc>
          <w:tcPr>
            <w:tcW w:w="7440" w:type="dxa"/>
            <w:vAlign w:val="bottom"/>
            <w:gridSpan w:val="3"/>
            <w:shd w:val="clear" w:color="auto" w:fill="C0C0C0"/>
          </w:tcPr>
          <w:p>
            <w:pPr>
              <w:jc w:val="center"/>
              <w:ind w:left="6452"/>
              <w:spacing w:after="0"/>
              <w:rPr>
                <w:sz w:val="20"/>
                <w:szCs w:val="20"/>
                <w:color w:val="auto"/>
              </w:rPr>
            </w:pPr>
            <w:r>
              <w:rPr>
                <w:rFonts w:ascii="Arial" w:cs="Arial" w:eastAsia="Arial" w:hAnsi="Arial"/>
                <w:sz w:val="18"/>
                <w:szCs w:val="18"/>
                <w:color w:val="auto"/>
                <w:w w:val="89"/>
              </w:rPr>
              <w:t>15</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Bedding dump station</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Narcotics safe</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Flammable cabinets</w:t>
            </w:r>
          </w:p>
        </w:tc>
        <w:tc>
          <w:tcPr>
            <w:tcW w:w="7440" w:type="dxa"/>
            <w:vAlign w:val="bottom"/>
            <w:gridSpan w:val="3"/>
          </w:tcPr>
          <w:p>
            <w:pPr>
              <w:jc w:val="center"/>
              <w:ind w:left="6452"/>
              <w:spacing w:after="0"/>
              <w:rPr>
                <w:sz w:val="20"/>
                <w:szCs w:val="20"/>
                <w:color w:val="auto"/>
              </w:rPr>
            </w:pPr>
            <w:r>
              <w:rPr>
                <w:rFonts w:ascii="Arial" w:cs="Arial" w:eastAsia="Arial" w:hAnsi="Arial"/>
                <w:sz w:val="18"/>
                <w:szCs w:val="18"/>
                <w:color w:val="auto"/>
                <w:w w:val="89"/>
              </w:rPr>
              <w:t>10</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Corrosive &amp; acid cabinets</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3</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Cagewasher</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Lab casework, incl. fume hoods</w:t>
            </w:r>
          </w:p>
        </w:tc>
        <w:tc>
          <w:tcPr>
            <w:tcW w:w="940" w:type="dxa"/>
            <w:vAlign w:val="bottom"/>
            <w:shd w:val="clear" w:color="auto" w:fill="C0C0C0"/>
          </w:tcPr>
          <w:p>
            <w:pPr>
              <w:spacing w:after="0"/>
              <w:rPr>
                <w:sz w:val="21"/>
                <w:szCs w:val="21"/>
                <w:color w:val="auto"/>
              </w:rPr>
            </w:pPr>
          </w:p>
        </w:tc>
        <w:tc>
          <w:tcPr>
            <w:tcW w:w="1580" w:type="dxa"/>
            <w:vAlign w:val="bottom"/>
            <w:shd w:val="clear" w:color="auto" w:fill="C0C0C0"/>
          </w:tcPr>
          <w:p>
            <w:pPr>
              <w:spacing w:after="0"/>
              <w:rPr>
                <w:sz w:val="21"/>
                <w:szCs w:val="21"/>
                <w:color w:val="auto"/>
              </w:rPr>
            </w:pPr>
          </w:p>
        </w:tc>
        <w:tc>
          <w:tcPr>
            <w:tcW w:w="4920" w:type="dxa"/>
            <w:vAlign w:val="bottom"/>
            <w:shd w:val="clear" w:color="auto" w:fill="C0C0C0"/>
          </w:tcPr>
          <w:p>
            <w:pPr>
              <w:jc w:val="center"/>
              <w:ind w:left="3932"/>
              <w:spacing w:after="0"/>
              <w:rPr>
                <w:sz w:val="20"/>
                <w:szCs w:val="20"/>
                <w:color w:val="auto"/>
              </w:rPr>
            </w:pPr>
            <w:r>
              <w:rPr>
                <w:rFonts w:ascii="Arial" w:cs="Arial" w:eastAsia="Arial" w:hAnsi="Arial"/>
                <w:sz w:val="18"/>
                <w:szCs w:val="18"/>
                <w:color w:val="auto"/>
                <w:w w:val="90"/>
              </w:rPr>
              <w:t>throughout</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Cold room</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Downdraft table</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2"/>
        </w:trPr>
        <w:tc>
          <w:tcPr>
            <w:tcW w:w="3980" w:type="dxa"/>
            <w:vAlign w:val="bottom"/>
          </w:tcPr>
          <w:p>
            <w:pPr>
              <w:spacing w:after="0"/>
              <w:rPr>
                <w:sz w:val="20"/>
                <w:szCs w:val="20"/>
                <w:color w:val="auto"/>
              </w:rPr>
            </w:pPr>
            <w:r>
              <w:rPr>
                <w:rFonts w:ascii="Arial" w:cs="Arial" w:eastAsia="Arial" w:hAnsi="Arial"/>
                <w:sz w:val="18"/>
                <w:szCs w:val="18"/>
                <w:color w:val="auto"/>
              </w:rPr>
              <w:t>Animal watering system</w:t>
            </w:r>
          </w:p>
        </w:tc>
        <w:tc>
          <w:tcPr>
            <w:tcW w:w="7440" w:type="dxa"/>
            <w:vAlign w:val="bottom"/>
            <w:gridSpan w:val="3"/>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4"/>
        </w:trPr>
        <w:tc>
          <w:tcPr>
            <w:tcW w:w="3980" w:type="dxa"/>
            <w:vAlign w:val="bottom"/>
            <w:shd w:val="clear" w:color="auto" w:fill="C0C0C0"/>
          </w:tcPr>
          <w:p>
            <w:pPr>
              <w:spacing w:after="0"/>
              <w:rPr>
                <w:sz w:val="20"/>
                <w:szCs w:val="20"/>
                <w:color w:val="auto"/>
              </w:rPr>
            </w:pPr>
            <w:r>
              <w:rPr>
                <w:rFonts w:ascii="Arial" w:cs="Arial" w:eastAsia="Arial" w:hAnsi="Arial"/>
                <w:sz w:val="18"/>
                <w:szCs w:val="18"/>
                <w:color w:val="auto"/>
              </w:rPr>
              <w:t>Liebert air handling system in data center</w:t>
            </w:r>
          </w:p>
        </w:tc>
        <w:tc>
          <w:tcPr>
            <w:tcW w:w="7440" w:type="dxa"/>
            <w:vAlign w:val="bottom"/>
            <w:gridSpan w:val="3"/>
            <w:shd w:val="clear" w:color="auto" w:fill="C0C0C0"/>
          </w:tcPr>
          <w:p>
            <w:pPr>
              <w:jc w:val="center"/>
              <w:ind w:left="6472"/>
              <w:spacing w:after="0"/>
              <w:rPr>
                <w:sz w:val="20"/>
                <w:szCs w:val="20"/>
                <w:color w:val="auto"/>
              </w:rPr>
            </w:pPr>
            <w:r>
              <w:rPr>
                <w:rFonts w:ascii="Arial" w:cs="Arial" w:eastAsia="Arial" w:hAnsi="Arial"/>
                <w:sz w:val="18"/>
                <w:szCs w:val="18"/>
                <w:color w:val="auto"/>
                <w:w w:val="79"/>
              </w:rPr>
              <w:t>1</w:t>
            </w:r>
          </w:p>
        </w:tc>
      </w:tr>
      <w:tr>
        <w:trPr>
          <w:trHeight w:val="241"/>
        </w:trPr>
        <w:tc>
          <w:tcPr>
            <w:tcW w:w="3980" w:type="dxa"/>
            <w:vAlign w:val="bottom"/>
          </w:tcPr>
          <w:p>
            <w:pPr>
              <w:spacing w:after="0"/>
              <w:rPr>
                <w:sz w:val="20"/>
                <w:szCs w:val="20"/>
                <w:color w:val="auto"/>
              </w:rPr>
            </w:pPr>
            <w:r>
              <w:rPr>
                <w:rFonts w:ascii="Arial" w:cs="Arial" w:eastAsia="Arial" w:hAnsi="Arial"/>
                <w:sz w:val="18"/>
                <w:szCs w:val="18"/>
                <w:color w:val="auto"/>
              </w:rPr>
              <w:t>Office furniture (not including chairs)</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20" w:type="dxa"/>
            <w:vAlign w:val="bottom"/>
          </w:tcPr>
          <w:p>
            <w:pPr>
              <w:jc w:val="center"/>
              <w:ind w:left="3932"/>
              <w:spacing w:after="0"/>
              <w:rPr>
                <w:sz w:val="20"/>
                <w:szCs w:val="20"/>
                <w:color w:val="auto"/>
              </w:rPr>
            </w:pPr>
            <w:r>
              <w:rPr>
                <w:rFonts w:ascii="Arial" w:cs="Arial" w:eastAsia="Arial" w:hAnsi="Arial"/>
                <w:sz w:val="18"/>
                <w:szCs w:val="18"/>
                <w:color w:val="auto"/>
                <w:w w:val="90"/>
              </w:rPr>
              <w:t>throughout</w:t>
            </w:r>
          </w:p>
        </w:tc>
      </w:tr>
      <w:tr>
        <w:trPr>
          <w:trHeight w:val="675"/>
        </w:trPr>
        <w:tc>
          <w:tcPr>
            <w:tcW w:w="3980" w:type="dxa"/>
            <w:vAlign w:val="bottom"/>
          </w:tcPr>
          <w:p>
            <w:pPr>
              <w:spacing w:after="0"/>
              <w:rPr>
                <w:sz w:val="24"/>
                <w:szCs w:val="24"/>
                <w:color w:val="auto"/>
              </w:rPr>
            </w:pPr>
          </w:p>
        </w:tc>
        <w:tc>
          <w:tcPr>
            <w:tcW w:w="2520" w:type="dxa"/>
            <w:vAlign w:val="bottom"/>
            <w:gridSpan w:val="2"/>
          </w:tcPr>
          <w:p>
            <w:pPr>
              <w:jc w:val="center"/>
              <w:ind w:left="872"/>
              <w:spacing w:after="0"/>
              <w:rPr>
                <w:sz w:val="20"/>
                <w:szCs w:val="20"/>
                <w:color w:val="auto"/>
              </w:rPr>
            </w:pPr>
            <w:r>
              <w:rPr>
                <w:rFonts w:ascii="Arial" w:cs="Arial" w:eastAsia="Arial" w:hAnsi="Arial"/>
                <w:sz w:val="18"/>
                <w:szCs w:val="18"/>
                <w:color w:val="auto"/>
                <w:w w:val="79"/>
              </w:rPr>
              <w:t>3</w:t>
            </w:r>
          </w:p>
        </w:tc>
        <w:tc>
          <w:tcPr>
            <w:tcW w:w="4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PSYCHOGENICS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58"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this ___ day of April,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REGENERON PHARMACEUTICALS, INC. (“</w:t>
      </w:r>
      <w:r>
        <w:rPr>
          <w:rFonts w:ascii="Arial" w:cs="Arial" w:eastAsia="Arial" w:hAnsi="Arial"/>
          <w:sz w:val="18"/>
          <w:szCs w:val="18"/>
          <w:u w:val="single" w:color="auto"/>
          <w:color w:val="auto"/>
        </w:rPr>
        <w:t>Licensor</w:t>
      </w:r>
      <w:r>
        <w:rPr>
          <w:rFonts w:ascii="Arial" w:cs="Arial" w:eastAsia="Arial" w:hAnsi="Arial"/>
          <w:sz w:val="18"/>
          <w:szCs w:val="18"/>
          <w:color w:val="auto"/>
        </w:rPr>
        <w:t>”) and PSYCHOGENICS INC.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8"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A. The Licensor is a tenant in the Building located at 765 Old Saw Mill River Road (the “</w:t>
      </w:r>
      <w:r>
        <w:rPr>
          <w:rFonts w:ascii="Arial" w:cs="Arial" w:eastAsia="Arial" w:hAnsi="Arial"/>
          <w:sz w:val="18"/>
          <w:szCs w:val="18"/>
          <w:u w:val="single" w:color="auto"/>
          <w:color w:val="auto"/>
        </w:rPr>
        <w:t>Building</w:t>
      </w:r>
      <w:r>
        <w:rPr>
          <w:rFonts w:ascii="Arial" w:cs="Arial" w:eastAsia="Arial" w:hAnsi="Arial"/>
          <w:sz w:val="18"/>
          <w:szCs w:val="18"/>
          <w:color w:val="auto"/>
        </w:rPr>
        <w:t>”), located within the project the (“</w:t>
      </w:r>
      <w:r>
        <w:rPr>
          <w:rFonts w:ascii="Arial" w:cs="Arial" w:eastAsia="Arial" w:hAnsi="Arial"/>
          <w:sz w:val="18"/>
          <w:szCs w:val="18"/>
          <w:u w:val="single" w:color="auto"/>
          <w:color w:val="auto"/>
        </w:rPr>
        <w:t>Project</w:t>
      </w:r>
      <w:r>
        <w:rPr>
          <w:rFonts w:ascii="Arial" w:cs="Arial" w:eastAsia="Arial" w:hAnsi="Arial"/>
          <w:sz w:val="18"/>
          <w:szCs w:val="18"/>
          <w:color w:val="auto"/>
        </w:rPr>
        <w:t>”) known as The Landmark at Eastview, in the Towns of Mt. Pleasant and Greenburgh, New York. As tenant, Licensor has entered into a lease (as amended, supplemented or modified, the “</w:t>
      </w:r>
      <w:r>
        <w:rPr>
          <w:rFonts w:ascii="Arial" w:cs="Arial" w:eastAsia="Arial" w:hAnsi="Arial"/>
          <w:sz w:val="18"/>
          <w:szCs w:val="18"/>
          <w:u w:val="single" w:color="auto"/>
          <w:color w:val="auto"/>
        </w:rPr>
        <w:t>Lease</w:t>
      </w:r>
      <w:r>
        <w:rPr>
          <w:rFonts w:ascii="Arial" w:cs="Arial" w:eastAsia="Arial" w:hAnsi="Arial"/>
          <w:sz w:val="18"/>
          <w:szCs w:val="18"/>
          <w:color w:val="auto"/>
        </w:rPr>
        <w:t>”) with BMR-Landmark at Eastview, LLC (the “</w:t>
      </w:r>
      <w:r>
        <w:rPr>
          <w:rFonts w:ascii="Arial" w:cs="Arial" w:eastAsia="Arial" w:hAnsi="Arial"/>
          <w:sz w:val="18"/>
          <w:szCs w:val="18"/>
          <w:u w:val="single" w:color="auto"/>
          <w:color w:val="auto"/>
        </w:rPr>
        <w:t>Landlord</w:t>
      </w:r>
      <w:r>
        <w:rPr>
          <w:rFonts w:ascii="Arial" w:cs="Arial" w:eastAsia="Arial" w:hAnsi="Arial"/>
          <w:sz w:val="18"/>
          <w:szCs w:val="18"/>
          <w:color w:val="auto"/>
        </w:rPr>
        <w:t>”) for certain premises within the Project and, as of the Effective Date, is entering into an amendment of the Lease (the “</w:t>
      </w:r>
      <w:r>
        <w:rPr>
          <w:rFonts w:ascii="Arial" w:cs="Arial" w:eastAsia="Arial" w:hAnsi="Arial"/>
          <w:sz w:val="18"/>
          <w:szCs w:val="18"/>
          <w:u w:val="single" w:color="auto"/>
          <w:color w:val="auto"/>
        </w:rPr>
        <w:t>Amendment</w:t>
      </w:r>
      <w:r>
        <w:rPr>
          <w:rFonts w:ascii="Arial" w:cs="Arial" w:eastAsia="Arial" w:hAnsi="Arial"/>
          <w:sz w:val="18"/>
          <w:szCs w:val="18"/>
          <w:color w:val="auto"/>
        </w:rPr>
        <w:t>”) to lease from Landlord additional premises thereunder, comprising approximately 77,178 rentable square feet in the Building (the “</w:t>
      </w:r>
      <w:r>
        <w:rPr>
          <w:rFonts w:ascii="Arial" w:cs="Arial" w:eastAsia="Arial" w:hAnsi="Arial"/>
          <w:sz w:val="18"/>
          <w:szCs w:val="18"/>
          <w:u w:val="single" w:color="auto"/>
          <w:color w:val="auto"/>
        </w:rPr>
        <w:t>Leased Premises</w:t>
      </w:r>
      <w:r>
        <w:rPr>
          <w:rFonts w:ascii="Arial" w:cs="Arial" w:eastAsia="Arial" w:hAnsi="Arial"/>
          <w:sz w:val="18"/>
          <w:szCs w:val="18"/>
          <w:color w:val="auto"/>
        </w:rPr>
        <w:t>”).</w:t>
      </w:r>
    </w:p>
    <w:p>
      <w:pPr>
        <w:spacing w:after="0" w:line="224"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 xml:space="preserve">B. Prior to the date hereof, Licensee occupied an approximately 2,275 rentable square foot portion of the Leased Premises as more precisely described and designated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w:t>
      </w:r>
      <w:r>
        <w:rPr>
          <w:rFonts w:ascii="Arial" w:cs="Arial" w:eastAsia="Arial" w:hAnsi="Arial"/>
          <w:sz w:val="16"/>
          <w:szCs w:val="16"/>
          <w:u w:val="single" w:color="auto"/>
          <w:color w:val="auto"/>
        </w:rPr>
        <w:t>License Area</w:t>
      </w:r>
      <w:r>
        <w:rPr>
          <w:rFonts w:ascii="Arial" w:cs="Arial" w:eastAsia="Arial" w:hAnsi="Arial"/>
          <w:sz w:val="16"/>
          <w:szCs w:val="16"/>
          <w:color w:val="auto"/>
        </w:rPr>
        <w:t>”) pursuant to a sublease (the “</w:t>
      </w:r>
      <w:r>
        <w:rPr>
          <w:rFonts w:ascii="Arial" w:cs="Arial" w:eastAsia="Arial" w:hAnsi="Arial"/>
          <w:sz w:val="16"/>
          <w:szCs w:val="16"/>
          <w:u w:val="single" w:color="auto"/>
          <w:color w:val="auto"/>
        </w:rPr>
        <w:t>Sublease</w:t>
      </w:r>
      <w:r>
        <w:rPr>
          <w:rFonts w:ascii="Arial" w:cs="Arial" w:eastAsia="Arial" w:hAnsi="Arial"/>
          <w:sz w:val="16"/>
          <w:szCs w:val="16"/>
          <w:color w:val="auto"/>
        </w:rPr>
        <w:t>”), by and between Licensee, as subtenant and Emisphere Technologies Inc., as sublessor, which Sublease has been terminated as of the date hereof. Licensee desires to continue to occupy the License Area and, in furtherance thereof, to obtain a license from the Licensor for the temporary occupancy of the License Area. Licensor is willing to grant a license to Licensee, all subject to the terms and conditions set forth in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w:t>
      </w:r>
    </w:p>
    <w:p>
      <w:pPr>
        <w:spacing w:after="0" w:line="2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NOW THEREFORE, in consideration of the mutual promises and agreements set forth herein and other good and valuable consideration, the receipt and sufficiency of which is hereby acknowledged, Licensor hereby grants to Licensee a license (the “</w:t>
      </w:r>
      <w:r>
        <w:rPr>
          <w:rFonts w:ascii="Arial" w:cs="Arial" w:eastAsia="Arial" w:hAnsi="Arial"/>
          <w:sz w:val="18"/>
          <w:szCs w:val="18"/>
          <w:u w:val="single" w:color="auto"/>
          <w:color w:val="auto"/>
        </w:rPr>
        <w:t>License</w:t>
      </w:r>
      <w:r>
        <w:rPr>
          <w:rFonts w:ascii="Arial" w:cs="Arial" w:eastAsia="Arial" w:hAnsi="Arial"/>
          <w:sz w:val="18"/>
          <w:szCs w:val="18"/>
          <w:color w:val="auto"/>
        </w:rPr>
        <w:t>”)to use the Licensed Area, subject to the following conditions:</w:t>
      </w:r>
    </w:p>
    <w:p>
      <w:pPr>
        <w:spacing w:after="0" w:line="221" w:lineRule="exact"/>
        <w:rPr>
          <w:sz w:val="20"/>
          <w:szCs w:val="20"/>
          <w:color w:val="auto"/>
        </w:rPr>
      </w:pPr>
    </w:p>
    <w:p>
      <w:pPr>
        <w:ind w:firstLine="292"/>
        <w:spacing w:after="0" w:line="268" w:lineRule="auto"/>
        <w:tabs>
          <w:tab w:leader="none" w:pos="47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License Area</w:t>
      </w:r>
      <w:r>
        <w:rPr>
          <w:rFonts w:ascii="Arial" w:cs="Arial" w:eastAsia="Arial" w:hAnsi="Arial"/>
          <w:sz w:val="18"/>
          <w:szCs w:val="18"/>
          <w:color w:val="auto"/>
        </w:rPr>
        <w:t>. Licensor hereby grants to Licensee a non-transferable right and revocable license for the temporary use of the License Area. Nothing in this Agreement shall be construed to create any relationship between the parties other than that of licensor and licensee.</w:t>
      </w:r>
    </w:p>
    <w:p>
      <w:pPr>
        <w:spacing w:after="0" w:line="212" w:lineRule="exact"/>
        <w:rPr>
          <w:rFonts w:ascii="Arial" w:cs="Arial" w:eastAsia="Arial" w:hAnsi="Arial"/>
          <w:sz w:val="18"/>
          <w:szCs w:val="18"/>
          <w:color w:val="auto"/>
        </w:rPr>
      </w:pPr>
    </w:p>
    <w:p>
      <w:pPr>
        <w:jc w:val="both"/>
        <w:ind w:firstLine="319"/>
        <w:spacing w:after="0" w:line="294" w:lineRule="auto"/>
        <w:tabs>
          <w:tab w:leader="none" w:pos="50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the License (the “</w:t>
      </w:r>
      <w:r>
        <w:rPr>
          <w:rFonts w:ascii="Arial" w:cs="Arial" w:eastAsia="Arial" w:hAnsi="Arial"/>
          <w:sz w:val="16"/>
          <w:szCs w:val="16"/>
          <w:u w:val="single" w:color="auto"/>
          <w:color w:val="auto"/>
        </w:rPr>
        <w:t>Term</w:t>
      </w:r>
      <w:r>
        <w:rPr>
          <w:rFonts w:ascii="Arial" w:cs="Arial" w:eastAsia="Arial" w:hAnsi="Arial"/>
          <w:sz w:val="16"/>
          <w:szCs w:val="16"/>
          <w:color w:val="auto"/>
        </w:rPr>
        <w:t>”) shall commence on May 1, 2009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shall expire on January 15, 2010, unless sooner terminated as provided in this Agreement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If Licensee remains in the License Area after the Expiration Date, then, in addition to all other remedies Licensor may have at law, in equity or under this Agreement, Licensee shall be deemed to be a licensee at sufferance only and the License Fee (as such term is defined in paragraph 4 below) shall be increased to two hundred percent (200%) of the License Fee (as such term is defined below). If Licensee fails to surrender and vacate the License Area upon the termination or expiration of this Agreement, then Licensee shall indemnify, defend and hold Licensor</w:t>
      </w:r>
    </w:p>
    <w:p>
      <w:pPr>
        <w:sectPr>
          <w:pgSz w:w="11900" w:h="16838" w:orient="portrait"/>
          <w:cols w:equalWidth="0" w:num="1">
            <w:col w:w="11420"/>
          </w:cols>
          <w:pgMar w:left="240" w:top="1440" w:right="239" w:bottom="0" w:gutter="0" w:footer="0" w:header="0"/>
        </w:sectPr>
      </w:pPr>
    </w:p>
    <w:bookmarkStart w:id="44" w:name="page45"/>
    <w:bookmarkEnd w:id="44"/>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harmless from and against all loss and liability, including, without limitation, all costs to remove Licensee’s personal property and any claims made by any succeeding licensee, subtenant, or any other occupant founded on or resulting from such failure to surrender or vacate, including, without limitation, any attorneys’ fees, disbursements or other costs associated therewith.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92"/>
        <w:spacing w:after="0" w:line="332" w:lineRule="auto"/>
        <w:tabs>
          <w:tab w:leader="none" w:pos="47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Use</w:t>
      </w:r>
      <w:r>
        <w:rPr>
          <w:rFonts w:ascii="Arial" w:cs="Arial" w:eastAsia="Arial" w:hAnsi="Arial"/>
          <w:sz w:val="16"/>
          <w:szCs w:val="16"/>
          <w:color w:val="auto"/>
        </w:rPr>
        <w:t>. Licensee shall occupy and use the License Area during the term of this Agreement for the sole purposes of general, administrative, and executive use in rooms 721, 722 and 723, and laboratory use in Rooms 724, 726 and 727, and no other purpose without Licensor’s prior written consent.</w:t>
      </w:r>
    </w:p>
    <w:p>
      <w:pPr>
        <w:spacing w:after="0" w:line="166" w:lineRule="exact"/>
        <w:rPr>
          <w:rFonts w:ascii="Arial" w:cs="Arial" w:eastAsia="Arial" w:hAnsi="Arial"/>
          <w:sz w:val="16"/>
          <w:szCs w:val="16"/>
          <w:color w:val="auto"/>
        </w:rPr>
      </w:pPr>
    </w:p>
    <w:p>
      <w:pPr>
        <w:ind w:left="460" w:hanging="18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594"/>
        <w:spacing w:after="0" w:line="298" w:lineRule="auto"/>
        <w:rPr>
          <w:rFonts w:ascii="Arial" w:cs="Arial" w:eastAsia="Arial" w:hAnsi="Arial"/>
          <w:sz w:val="18"/>
          <w:szCs w:val="18"/>
          <w:color w:val="auto"/>
        </w:rPr>
      </w:pPr>
      <w:r>
        <w:rPr>
          <w:rFonts w:ascii="Arial" w:cs="Arial" w:eastAsia="Arial" w:hAnsi="Arial"/>
          <w:sz w:val="16"/>
          <w:szCs w:val="16"/>
          <w:color w:val="auto"/>
        </w:rPr>
        <w:t>A. Licensee shall pay to Licensor a monthly license fee of Eight Thousand, Six Hundred Twenty-Six and 40/100 Dollars ($8,626.40) (the “</w:t>
      </w:r>
      <w:r>
        <w:rPr>
          <w:rFonts w:ascii="Arial" w:cs="Arial" w:eastAsia="Arial" w:hAnsi="Arial"/>
          <w:sz w:val="16"/>
          <w:szCs w:val="16"/>
          <w:u w:val="single" w:color="auto"/>
          <w:color w:val="auto"/>
        </w:rPr>
        <w:t>Fixed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following additional amounts shall also be due hereunder: (i) for the payment due on September 1, 2009 an additional amount equal to One Thousand, Two Hundred Sixty-Three and 35/100 Dollars ($1,263.35), and (ii) for the payment due on January 1, 2009, an additional amount equal to One Hundred Ninety-Seven and 12/100 Dollars ($197.12) (such additional amounts, together with the Fixed Fee, the “</w:t>
      </w:r>
      <w:r>
        <w:rPr>
          <w:rFonts w:ascii="Arial" w:cs="Arial" w:eastAsia="Arial" w:hAnsi="Arial"/>
          <w:sz w:val="16"/>
          <w:szCs w:val="16"/>
          <w:u w:val="single" w:color="auto"/>
          <w:color w:val="auto"/>
        </w:rPr>
        <w:t>License Fee</w:t>
      </w:r>
      <w:r>
        <w:rPr>
          <w:rFonts w:ascii="Arial" w:cs="Arial" w:eastAsia="Arial" w:hAnsi="Arial"/>
          <w:sz w:val="16"/>
          <w:szCs w:val="16"/>
          <w:color w:val="auto"/>
        </w:rPr>
        <w:t>”).</w:t>
      </w:r>
    </w:p>
    <w:p>
      <w:pPr>
        <w:spacing w:after="0" w:line="193" w:lineRule="exact"/>
        <w:rPr>
          <w:rFonts w:ascii="Arial" w:cs="Arial" w:eastAsia="Arial" w:hAnsi="Arial"/>
          <w:sz w:val="18"/>
          <w:szCs w:val="18"/>
          <w:color w:val="auto"/>
        </w:rPr>
      </w:pPr>
    </w:p>
    <w:p>
      <w:pPr>
        <w:jc w:val="both"/>
        <w:ind w:firstLine="581"/>
        <w:spacing w:after="0" w:line="298" w:lineRule="auto"/>
        <w:rPr>
          <w:rFonts w:ascii="Arial" w:cs="Arial" w:eastAsia="Arial" w:hAnsi="Arial"/>
          <w:sz w:val="18"/>
          <w:szCs w:val="18"/>
          <w:color w:val="auto"/>
        </w:rPr>
      </w:pPr>
      <w:r>
        <w:rPr>
          <w:rFonts w:ascii="Arial" w:cs="Arial" w:eastAsia="Arial" w:hAnsi="Arial"/>
          <w:sz w:val="16"/>
          <w:szCs w:val="16"/>
          <w:color w:val="auto"/>
        </w:rPr>
        <w:t>B. The License Fee for the month of May, 2009 shall be paid by Licensee on the date of the full execution of this Agreement, and thereafter, the License Fee shall be payable in advance on a monthly basis during the Term, on the first day of each month commencing on June 1, 2009, without notice, demand, set-off, claim, or counterclaim, by check or money order, made payable to Licensor at Licensor’s address set forth below. If the first month or the last month of the Term shall be partial months, the License Fee for any such partial month shall be prorated on a daily basis.</w:t>
      </w:r>
    </w:p>
    <w:p>
      <w:pPr>
        <w:spacing w:after="0" w:line="193" w:lineRule="exact"/>
        <w:rPr>
          <w:rFonts w:ascii="Arial" w:cs="Arial" w:eastAsia="Arial" w:hAnsi="Arial"/>
          <w:sz w:val="18"/>
          <w:szCs w:val="18"/>
          <w:color w:val="auto"/>
        </w:rPr>
      </w:pPr>
    </w:p>
    <w:p>
      <w:pPr>
        <w:jc w:val="both"/>
        <w:ind w:firstLine="305"/>
        <w:spacing w:after="0" w:line="286" w:lineRule="auto"/>
        <w:tabs>
          <w:tab w:leader="none" w:pos="489"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Licensee has deposited with Licensor a security deposit in the amount of Twenty Thousand Dollars ($20,000) (the “</w:t>
      </w:r>
      <w:r>
        <w:rPr>
          <w:rFonts w:ascii="Arial" w:cs="Arial" w:eastAsia="Arial" w:hAnsi="Arial"/>
          <w:sz w:val="16"/>
          <w:szCs w:val="16"/>
          <w:u w:val="single" w:color="auto"/>
          <w:color w:val="auto"/>
        </w:rPr>
        <w:t>Security Deposit</w:t>
      </w:r>
      <w:r>
        <w:rPr>
          <w:rFonts w:ascii="Arial" w:cs="Arial" w:eastAsia="Arial" w:hAnsi="Arial"/>
          <w:sz w:val="16"/>
          <w:szCs w:val="16"/>
          <w:color w:val="auto"/>
        </w:rPr>
        <w:t>”), which sum shall be held by Licensor as security for the faithful performance by Licensee of all of the terms, covenants and conditions of this Agreement to be kept and performed by Licensee during the term. If Licensee defaults with respect to any provision of this Agreement, including, but not limited to, any provision relating to the payment of the License Fee, then Licensor may (but shall not be required to) use, apply or retain all or any part of the Security Deposit for the payment of any License Fees or any other sum in default, or to compensate Licensor for any other loss or damage that Licensor may suffer by reason of Licensee's default. If any portion of the Security Deposit is so used or applied, then Licensee shall, within ten (10) days following demand therefor, deposit cash with Licensor in an amount sufficient to restore the Security Deposit to its original amount, and Licensee's failure to do so shall be a material breach of this Agreement. Licensor shall not be required to keep this Security Deposit separate from its general funds, and Licensee shall not be entitled to interest on the Security Deposit. In the event of bankruptcy or other debtor-creditor proceedings against Licensee, the Security Deposit shall be deemed to be applied first to the payment of License Fee and other charges due Licensor for all periods prior to the filing of such proceedings. If Licensee shall fully and faithfully perform every provision of this Agreement to be performed by it, then the Security Deposit, or any balance thereof, shall be returned to Licensee within thirty (30) days after the expiration or earlier termination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2"/>
        <w:spacing w:after="0" w:line="294" w:lineRule="auto"/>
        <w:tabs>
          <w:tab w:leader="none" w:pos="47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Late Charges</w:t>
      </w:r>
      <w:r>
        <w:rPr>
          <w:rFonts w:ascii="Arial" w:cs="Arial" w:eastAsia="Arial" w:hAnsi="Arial"/>
          <w:sz w:val="16"/>
          <w:szCs w:val="16"/>
          <w:color w:val="auto"/>
        </w:rPr>
        <w:t>. Late payment by Licensee to Licensor of the License Fee or any other sums due shall cause Licensor to incur costs not contemplated by this Agreement, the exact amount of which shall be extremely difficult and impracticable to ascertain. Such costs include, but are not limited to, processing and accounting charges and late charges that may be imposed on Licensor by the terms of its Lease. Therefore, if any installment of License Fee or other fees due from Licensee pursuant to this Agreement is not received by Licensor within five (5) days after the date such payment is due, Licensee shall pay to Licensor an additional sum of six percent (6%) of the overdue amount as a late charge. The parties agree that this late charge represents a fair and reasonable estimate of the costs that Licensor shall incur by reason of late payment by Licensee. In addition to the late charge, amounts not paid when due shall bear interest from the fifth (5</w:t>
      </w:r>
      <w:r>
        <w:rPr>
          <w:rFonts w:ascii="Arial" w:cs="Arial" w:eastAsia="Arial" w:hAnsi="Arial"/>
          <w:sz w:val="26"/>
          <w:szCs w:val="26"/>
          <w:color w:val="auto"/>
          <w:vertAlign w:val="superscript"/>
        </w:rPr>
        <w:t>th</w:t>
      </w:r>
      <w:r>
        <w:rPr>
          <w:rFonts w:ascii="Arial" w:cs="Arial" w:eastAsia="Arial" w:hAnsi="Arial"/>
          <w:sz w:val="16"/>
          <w:szCs w:val="16"/>
          <w:color w:val="auto"/>
        </w:rPr>
        <w:t>) day after the date due until paid at the lesser of (a) twelve percent (12%) per annum or (b) the maximum rate permitted by applicable laws.</w:t>
      </w:r>
    </w:p>
    <w:p>
      <w:pPr>
        <w:spacing w:after="0" w:line="77" w:lineRule="exact"/>
        <w:rPr>
          <w:rFonts w:ascii="Arial" w:cs="Arial" w:eastAsia="Arial" w:hAnsi="Arial"/>
          <w:sz w:val="16"/>
          <w:szCs w:val="16"/>
          <w:color w:val="auto"/>
        </w:rPr>
      </w:pPr>
    </w:p>
    <w:p>
      <w:pPr>
        <w:jc w:val="both"/>
        <w:ind w:firstLine="332"/>
        <w:spacing w:after="0" w:line="288" w:lineRule="auto"/>
        <w:tabs>
          <w:tab w:leader="none" w:pos="52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Common Areas</w:t>
      </w:r>
      <w:r>
        <w:rPr>
          <w:rFonts w:ascii="Arial" w:cs="Arial" w:eastAsia="Arial" w:hAnsi="Arial"/>
          <w:sz w:val="16"/>
          <w:szCs w:val="16"/>
          <w:color w:val="auto"/>
        </w:rPr>
        <w:t xml:space="preserve">. Licensee shall have the right, subject to the provisions of this License, to use, without additional charge, on a non-exclusive basis, the common areas leased by Licensor pursuant to the Lease and the areas of the Leased Premises specified as “common areas”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Licensee shall be responsible for any and all damage caused by Licensee or its employees, agents and invitees in or to such common areas. Licensee shall not permit any of its files, furniture, personal property or other matters to be placed in such common areas, and shall keep such common areas free of debris and refuse. In addition to the foregoing, Licensee shall be entitled to access to the portion of the Leased Premises specified as “restricted access area”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Access to such restricted access areas shall be permitted only if (i) a representative of Licensor is present at all times during such access, and (ii) such access is solely for the purpose of allowing Licensee to use the elevator. Licensee agrees that it shall make available a representative for the purpose of such access during reasonable business hours and upon one (1) business days’ advance notice, provided that Licensor shall use reasonable efforts (but shall not be obligated) to provide a representative on shorter notice, should exigent circumstances require the same.</w:t>
      </w:r>
    </w:p>
    <w:p>
      <w:pPr>
        <w:spacing w:after="0" w:line="200" w:lineRule="exact"/>
        <w:rPr>
          <w:rFonts w:ascii="Arial" w:cs="Arial" w:eastAsia="Arial" w:hAnsi="Arial"/>
          <w:sz w:val="16"/>
          <w:szCs w:val="16"/>
          <w:color w:val="auto"/>
        </w:rPr>
      </w:pPr>
    </w:p>
    <w:p>
      <w:pPr>
        <w:jc w:val="both"/>
        <w:ind w:firstLine="346"/>
        <w:spacing w:after="0" w:line="286" w:lineRule="auto"/>
        <w:tabs>
          <w:tab w:leader="none" w:pos="543" w:val="left"/>
        </w:tabs>
        <w:numPr>
          <w:ilvl w:val="2"/>
          <w:numId w:val="48"/>
        </w:numPr>
        <w:rPr>
          <w:rFonts w:ascii="Arial" w:cs="Arial" w:eastAsia="Arial" w:hAnsi="Arial"/>
          <w:sz w:val="16"/>
          <w:szCs w:val="16"/>
          <w:color w:val="auto"/>
        </w:rPr>
      </w:pPr>
      <w:r>
        <w:rPr>
          <w:rFonts w:ascii="Arial" w:cs="Arial" w:eastAsia="Arial" w:hAnsi="Arial"/>
          <w:sz w:val="16"/>
          <w:szCs w:val="16"/>
          <w:u w:val="single" w:color="auto"/>
          <w:color w:val="auto"/>
        </w:rPr>
        <w:t>Licensee’s Maintenance; No Improvements</w:t>
      </w:r>
      <w:r>
        <w:rPr>
          <w:rFonts w:ascii="Arial" w:cs="Arial" w:eastAsia="Arial" w:hAnsi="Arial"/>
          <w:sz w:val="16"/>
          <w:szCs w:val="16"/>
          <w:color w:val="auto"/>
        </w:rPr>
        <w:t>. Licensee shall at all times maintain the License Area, and any equipment or property used or installed by Licensee in the License Area, in good, clean and safe condition, free of all debris and trash. Licensee shall not make any improvements, alterations or changes of any kind to the License Area without Licensor’s prior written approval. In addition to all of Licensor’s remedies under this Agreement, if (a) Licensee does not maintain the License Area as required under this Section or (b) repairs or replacement of any portion of the License Area is made necessary by any act, omission or negligence of Licensee or its agents, employees or invitees, then Licensor may make such repairs or provide such maintenance without liability to Licensee for any loss or damage to Licensee or its merchandise, fixtures or other property, or to Licensee’s business by reason of such repairs or maintenance. Further, upon completion of any such repairs or maintenance, Licensee shall pay upon demand, as additional License Fee, one hundred percent of Licensor’s costs for making such repairs or providing such maintenance, evidenced by invoices, together with Licensor’s administrative costs related thereto, which administrative costs the parties agree to be an amount equal to twenty percent (20%) of the total cost of such repair. Licensee shall not make any changes, alterations, installations, additions or improvements to the License Area without first obtaining the written consent of Licensor, which consent may be granted or withheld in the sole discretion of Licensor.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2"/>
        <w:spacing w:after="0" w:line="323" w:lineRule="auto"/>
        <w:tabs>
          <w:tab w:leader="none" w:pos="459"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Hazardous Materials</w:t>
      </w:r>
      <w:r>
        <w:rPr>
          <w:rFonts w:ascii="Arial" w:cs="Arial" w:eastAsia="Arial" w:hAnsi="Arial"/>
          <w:sz w:val="15"/>
          <w:szCs w:val="15"/>
          <w:color w:val="auto"/>
        </w:rPr>
        <w:t>. Licensee shall not cause or permit any Hazardous Materials (as hereinafter defined) to be brought upon, kept or used in or about the License Area, the Building or the Project in violation of Applicable Laws (as hereinafter defined) by Licensee, its agents, employees, contractors or invitees. If Licensee breaches such obligation, or if the presence of Hazardous Materials as a result of such a breach results in contamination of the License Area, the Leased Premises, the Building, the Project or any adjacent property, or if contamination of the License Area, the Leased Premises, the Building, the Project or any</w:t>
      </w:r>
    </w:p>
    <w:p>
      <w:pPr>
        <w:sectPr>
          <w:pgSz w:w="11900" w:h="16967" w:orient="portrait"/>
          <w:cols w:equalWidth="0" w:num="1">
            <w:col w:w="11420"/>
          </w:cols>
          <w:pgMar w:left="240" w:top="131" w:right="239" w:bottom="0" w:gutter="0" w:footer="0" w:header="0"/>
        </w:sectPr>
      </w:pPr>
    </w:p>
    <w:bookmarkStart w:id="45" w:name="page46"/>
    <w:bookmarkEnd w:id="45"/>
    <w:p>
      <w:pPr>
        <w:spacing w:after="0" w:line="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adjacent property by Hazardous Materials otherwise occurs during the Term or any extension or renewal hereof or holding over hereunder due to such breach by Licensee, then Licensee shall indemnify, save, defend and hold Licensor, its agents and contractors harmless from and against any and all losses, costs, damages or judgments (including sums paid in settlement, attorneys’ fees, consultants’ fees and experts’ fees) that arise during or after the Term as a result of such breach or contamination. This indemnification of Licensor by Licensee includes, without limitation, costs incurred in connection with any investigation of site conditions or any cleanup, remedial, removal or restoration work required by any federal, state, regional, local or municipal governmental authority, agency or subdivision (collectively, the “</w:t>
      </w:r>
      <w:r>
        <w:rPr>
          <w:rFonts w:ascii="Arial" w:cs="Arial" w:eastAsia="Arial" w:hAnsi="Arial"/>
          <w:sz w:val="16"/>
          <w:szCs w:val="16"/>
          <w:u w:val="single" w:color="auto"/>
          <w:color w:val="auto"/>
        </w:rPr>
        <w:t>Governmental Authorities</w:t>
      </w:r>
      <w:r>
        <w:rPr>
          <w:rFonts w:ascii="Arial" w:cs="Arial" w:eastAsia="Arial" w:hAnsi="Arial"/>
          <w:sz w:val="16"/>
          <w:szCs w:val="16"/>
          <w:color w:val="auto"/>
        </w:rPr>
        <w:t>”) because of Hazardous Materials present in the air, soil or groundwater above, on or under the License Area, the Leased Premises, the Building, the Project or any adjacent property. Without limiting the foregoing, if the presence of any Hazardous Materials in, on, under or about the License Area, the Leased Premises, the Building, the Project or any adjacent property caused or permitted by Licensee results in any contamination of the License Area, the Leased Premises, the Building, the Project or any adjacent property, then Licensee shall promptly take all actions at its sole cost and expense as are necessary to return the License Area, the Leased Premises, the Building, the Project and any adjacent property to their respective condition existing prior to the time of such contamination; provided that Licensor’s written approval and the written approval of Landlord of such action shall first be obtained, which approval Licensor shall not unreasonably withhold; and provided, further, that it shall be reasonable for Licensor to withhold its consent if (i) Landlord withholds such consent, or (ii) such actions could have a material adverse long-term or short-term effect on the License Area, the Leased Premises, the Building, the Project or any adjacent property. Licensor acknowledges that Licensee shall not be responsible for environmental conditions or contamination now or hereafter existing on, under or in the License Area, the Leased Premises, the Building or the Project, or for environmental conditions or contamination coming from off site, to the extent the same was not caused or contributed to by Licensee, Licensee’s affiliates, or their agents. Licensee’s obligations under this paragraph shall survive the Expiration Date. During any period of time needed by Licensee or Licensor after the Expiration Date to complete the removal from the License Area of any such Hazardous Materials, Licensee shall continue to pay License Fee for the affected area(s) in accordance with this Agreement, which License Fee shall be pro-rated daily. As used herein, the term “Hazardous Material” means any hazardous or toxic substance, material or waste that is so designated by Applicable Laws and/or becomes regulated by any Governmental Authority.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46"/>
        <w:spacing w:after="0" w:line="290" w:lineRule="auto"/>
        <w:tabs>
          <w:tab w:leader="none" w:pos="631" w:val="left"/>
        </w:tabs>
        <w:numPr>
          <w:ilvl w:val="4"/>
          <w:numId w:val="50"/>
        </w:numPr>
        <w:rPr>
          <w:rFonts w:ascii="Arial" w:cs="Arial" w:eastAsia="Arial" w:hAnsi="Arial"/>
          <w:sz w:val="16"/>
          <w:szCs w:val="16"/>
          <w:color w:val="auto"/>
        </w:rPr>
      </w:pPr>
      <w:r>
        <w:rPr>
          <w:rFonts w:ascii="Arial" w:cs="Arial" w:eastAsia="Arial" w:hAnsi="Arial"/>
          <w:sz w:val="16"/>
          <w:szCs w:val="16"/>
          <w:u w:val="single" w:color="auto"/>
          <w:color w:val="auto"/>
        </w:rPr>
        <w:t>Damage and Repairs</w:t>
      </w:r>
      <w:r>
        <w:rPr>
          <w:rFonts w:ascii="Arial" w:cs="Arial" w:eastAsia="Arial" w:hAnsi="Arial"/>
          <w:sz w:val="16"/>
          <w:szCs w:val="16"/>
          <w:color w:val="auto"/>
        </w:rPr>
        <w:t>. Any damage, destruction, graffiti or debris around, to, or on the License Area, the Leased Premises, the Building or the Project caused by Licensee, its agents, employees or invitees shall be Licensee’s responsibility. If Licensee fails to repair, clean or replace any such damage or debris within two (2) days of Licensor’s demand to do so, then Licensor may make such repairs, clean-up or replacement. Upon completion of any such repairs, clean-up or replacement, Licensee shall pay upon demand, as additional License Fee, one hundred percent (100%) of Licensor’s costs for making such repairs or providing such clean-up or replacement, evidenced by invoices, together with Licensor’s administrative costs related thereto, which administrative costs the parties agree to be an amount equal one twenty percent (20%) of the total cost of such repairs, clean-up or replacement. Any damage to the License Area caused directly by Licensor shall be Licensor’s responsibility to repair and maintain.</w:t>
      </w:r>
    </w:p>
    <w:p>
      <w:pPr>
        <w:spacing w:after="0" w:line="199" w:lineRule="exact"/>
        <w:rPr>
          <w:rFonts w:ascii="Arial" w:cs="Arial" w:eastAsia="Arial" w:hAnsi="Arial"/>
          <w:sz w:val="16"/>
          <w:szCs w:val="16"/>
          <w:color w:val="auto"/>
        </w:rPr>
      </w:pPr>
    </w:p>
    <w:p>
      <w:pPr>
        <w:jc w:val="both"/>
        <w:ind w:firstLine="332"/>
        <w:spacing w:after="0" w:line="259" w:lineRule="auto"/>
        <w:tabs>
          <w:tab w:leader="none" w:pos="597" w:val="left"/>
        </w:tabs>
        <w:numPr>
          <w:ilvl w:val="3"/>
          <w:numId w:val="51"/>
        </w:numPr>
        <w:rPr>
          <w:rFonts w:ascii="Arial" w:cs="Arial" w:eastAsia="Arial" w:hAnsi="Arial"/>
          <w:sz w:val="18"/>
          <w:szCs w:val="18"/>
          <w:color w:val="auto"/>
        </w:rPr>
      </w:pPr>
      <w:r>
        <w:rPr>
          <w:rFonts w:ascii="Arial" w:cs="Arial" w:eastAsia="Arial" w:hAnsi="Arial"/>
          <w:sz w:val="18"/>
          <w:szCs w:val="18"/>
          <w:u w:val="single" w:color="auto"/>
          <w:color w:val="auto"/>
        </w:rPr>
        <w:t>Fire and Casualty Damage</w:t>
      </w:r>
      <w:r>
        <w:rPr>
          <w:rFonts w:ascii="Arial" w:cs="Arial" w:eastAsia="Arial" w:hAnsi="Arial"/>
          <w:sz w:val="18"/>
          <w:szCs w:val="18"/>
          <w:color w:val="auto"/>
        </w:rPr>
        <w:t>. If the License Area is rendered partially or wholly untenantable by fire or other casualty, this License shall terminate as to such affected License Area as of the date of such fire or casualty as if that date had been originally fixed in this Agreement for the Expiration Date for the affected License Area.</w:t>
      </w:r>
    </w:p>
    <w:p>
      <w:pPr>
        <w:spacing w:after="0" w:line="221" w:lineRule="exact"/>
        <w:rPr>
          <w:rFonts w:ascii="Arial" w:cs="Arial" w:eastAsia="Arial" w:hAnsi="Arial"/>
          <w:sz w:val="18"/>
          <w:szCs w:val="18"/>
          <w:color w:val="auto"/>
        </w:rPr>
      </w:pPr>
    </w:p>
    <w:p>
      <w:pPr>
        <w:jc w:val="both"/>
        <w:ind w:firstLine="292"/>
        <w:spacing w:after="0" w:line="259" w:lineRule="auto"/>
        <w:tabs>
          <w:tab w:leader="none" w:pos="563"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Transfer and Assignment</w:t>
      </w:r>
      <w:r>
        <w:rPr>
          <w:rFonts w:ascii="Arial" w:cs="Arial" w:eastAsia="Arial" w:hAnsi="Arial"/>
          <w:sz w:val="18"/>
          <w:szCs w:val="18"/>
          <w:color w:val="auto"/>
        </w:rPr>
        <w:t>. Licensee shall have no right to assign or transfer this License or rights arising under this License. Any assignment by operation of law or otherwise shall be deemed a prohibited assignment hereunder. In the event of a transfer or such assignment, this License shall automatically terminate and thereafter shall be considered null and void.</w:t>
      </w:r>
    </w:p>
    <w:p>
      <w:pPr>
        <w:spacing w:after="0" w:line="221" w:lineRule="exact"/>
        <w:rPr>
          <w:rFonts w:ascii="Arial" w:cs="Arial" w:eastAsia="Arial" w:hAnsi="Arial"/>
          <w:sz w:val="18"/>
          <w:szCs w:val="18"/>
          <w:color w:val="auto"/>
        </w:rPr>
      </w:pPr>
    </w:p>
    <w:p>
      <w:pPr>
        <w:jc w:val="both"/>
        <w:ind w:firstLine="278"/>
        <w:spacing w:after="0" w:line="256" w:lineRule="auto"/>
        <w:tabs>
          <w:tab w:leader="none" w:pos="55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Inspections</w:t>
      </w:r>
      <w:r>
        <w:rPr>
          <w:rFonts w:ascii="Arial" w:cs="Arial" w:eastAsia="Arial" w:hAnsi="Arial"/>
          <w:sz w:val="18"/>
          <w:szCs w:val="18"/>
          <w:color w:val="auto"/>
        </w:rPr>
        <w:t>. Provided that Licensor uses reasonable efforts not to interfere with Licensee’s use of the Licensed Area, Licensor shall have the right to enter the License Area at any reasonable time for the following purposes: (a) to ascertain the condition of the License Area; (b) to determine whether Licensee is diligently fulfilling Licensee’s responsibilities under this License, or; (c) to do any other act or thing which Licensor deems reasonably necessary to preserve the Licensed Area or to comply with its obligations hereunder or under the Lease.</w:t>
      </w:r>
    </w:p>
    <w:p>
      <w:pPr>
        <w:spacing w:after="0" w:line="224" w:lineRule="exact"/>
        <w:rPr>
          <w:rFonts w:ascii="Arial" w:cs="Arial" w:eastAsia="Arial" w:hAnsi="Arial"/>
          <w:sz w:val="18"/>
          <w:szCs w:val="18"/>
          <w:color w:val="auto"/>
        </w:rPr>
      </w:pPr>
    </w:p>
    <w:p>
      <w:pPr>
        <w:ind w:left="560" w:hanging="282"/>
        <w:spacing w:after="0"/>
        <w:tabs>
          <w:tab w:leader="none" w:pos="56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On the Expiration Date, Licensee shall (a) return the License Area to Licensor in good, sanitary and satisfactory condition and</w:t>
      </w:r>
    </w:p>
    <w:p>
      <w:pPr>
        <w:spacing w:after="0" w:line="38" w:lineRule="exact"/>
        <w:rPr>
          <w:rFonts w:ascii="Arial" w:cs="Arial" w:eastAsia="Arial" w:hAnsi="Arial"/>
          <w:sz w:val="16"/>
          <w:szCs w:val="16"/>
          <w:color w:val="auto"/>
        </w:rPr>
      </w:pPr>
    </w:p>
    <w:p>
      <w:pPr>
        <w:jc w:val="both"/>
        <w:ind w:firstLine="8"/>
        <w:spacing w:after="0" w:line="288" w:lineRule="auto"/>
        <w:tabs>
          <w:tab w:leader="none" w:pos="257"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remove its equipment and any other of its property from the License Area, the Leased Premises, the Building and the Project, unless otherwise agreed to by Licensor. Licensee acknowledges and agrees that it shall reimburse Licensor upon demand for one hundred percent (100%) of Licensor’s costs to repair any damage caused by such removal by Licensee, evidenced by invoices, together with Licensor’s administrative costs related thereto, which administrative costs the parties agree to be an amount equal to twenty percent (20%) of the total costs such repair. Any equipment or property not removed within two (2) days of the date of termination or expiration of this Agreement shall be deemed abandoned by Licensee, and Licensor shall have the right, but not the obligation, to remove and dispose of such abandoned equipment or property at Licensee’s sole cost and risk, and Licensor shall be entitle to Licensor’s administrative costs related thereto, which administrative costs the parties agree to be an amount equal to twenty percent (20%) of the total costs such removal and disposal.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92"/>
        <w:spacing w:after="0" w:line="268" w:lineRule="auto"/>
        <w:tabs>
          <w:tab w:leader="none" w:pos="56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Personal Property Taxes</w:t>
      </w:r>
      <w:r>
        <w:rPr>
          <w:rFonts w:ascii="Arial" w:cs="Arial" w:eastAsia="Arial" w:hAnsi="Arial"/>
          <w:sz w:val="18"/>
          <w:szCs w:val="18"/>
          <w:color w:val="auto"/>
        </w:rPr>
        <w:t>. Licensee shall pay all sales and use taxes, if any, imposed as a result of Licensee’s business conducted on the License Area and all taxes assessed against property of Licensee situated thereon during the Term.</w:t>
      </w:r>
    </w:p>
    <w:p>
      <w:pPr>
        <w:spacing w:after="0" w:line="212" w:lineRule="exact"/>
        <w:rPr>
          <w:rFonts w:ascii="Arial" w:cs="Arial" w:eastAsia="Arial" w:hAnsi="Arial"/>
          <w:sz w:val="18"/>
          <w:szCs w:val="18"/>
          <w:color w:val="auto"/>
        </w:rPr>
      </w:pPr>
    </w:p>
    <w:p>
      <w:pPr>
        <w:jc w:val="both"/>
        <w:ind w:firstLine="278"/>
        <w:spacing w:after="0" w:line="287" w:lineRule="auto"/>
        <w:tabs>
          <w:tab w:leader="none" w:pos="55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Compliance with Laws; Liens</w:t>
      </w:r>
      <w:r>
        <w:rPr>
          <w:rFonts w:ascii="Arial" w:cs="Arial" w:eastAsia="Arial" w:hAnsi="Arial"/>
          <w:sz w:val="16"/>
          <w:szCs w:val="16"/>
          <w:color w:val="auto"/>
        </w:rPr>
        <w:t>. Licensee shall at all times observe and comply with all federal, state and local laws, ordinances, rules, regulations and code requirements (collectively, the “</w:t>
      </w:r>
      <w:r>
        <w:rPr>
          <w:rFonts w:ascii="Arial" w:cs="Arial" w:eastAsia="Arial" w:hAnsi="Arial"/>
          <w:sz w:val="16"/>
          <w:szCs w:val="16"/>
          <w:u w:val="single" w:color="auto"/>
          <w:color w:val="auto"/>
        </w:rPr>
        <w:t>Applicable Laws</w:t>
      </w:r>
      <w:r>
        <w:rPr>
          <w:rFonts w:ascii="Arial" w:cs="Arial" w:eastAsia="Arial" w:hAnsi="Arial"/>
          <w:sz w:val="16"/>
          <w:szCs w:val="16"/>
          <w:color w:val="auto"/>
        </w:rPr>
        <w:t>”). Licensee shall obtain all permits and licenses for the operation of its business at the Building or its use or occupancy of the License Area and shall comply with all current and future rules and regulations of Landlord for tenants or licensees of the Leased Premises, the Building, or the Project. Licensee shall at all times maintain sufficient supervision and control of its employees and invitees. Licensee shall not (a) obstruct the free flow of pedestrian or vehicular traffic in any area of the Property, (b) harm the License Area, commit any waste, create a nuisance or make any use of the License Area that is offensive or (c) act or fail to act in any manner that could result in injury or harm to any person in or about the Property. Licensee shall, and shall instruct its employees, agents and invitees to, act in accordance with Landlord’s rules and regulations as they may be promulgated by Landlord from time to time, provided Licensee is given copies thereof. Licensee shall keep the License Area free and clear of any mechanics’ liens and other liens. Nothing in this Agreement shall be construed as consent on the part of Licensor to subject the Leased Premises, the Building or the Project to any lien or liability under the lien laws of the State of New York.</w:t>
      </w:r>
    </w:p>
    <w:p>
      <w:pPr>
        <w:spacing w:after="0" w:line="203" w:lineRule="exact"/>
        <w:rPr>
          <w:rFonts w:ascii="Arial" w:cs="Arial" w:eastAsia="Arial" w:hAnsi="Arial"/>
          <w:sz w:val="16"/>
          <w:szCs w:val="16"/>
          <w:color w:val="auto"/>
        </w:rPr>
      </w:pPr>
    </w:p>
    <w:p>
      <w:pPr>
        <w:jc w:val="both"/>
        <w:ind w:firstLine="278"/>
        <w:spacing w:after="0" w:line="323" w:lineRule="auto"/>
        <w:tabs>
          <w:tab w:leader="none" w:pos="550"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Licensee shall, at all times during the Term, and at its own cost and expense, procure and continue in force insurance in the amounts and on the terms set forth in this Section 17. Said insurance shall name Landlord and Licensor as additional insureds and shall be subject to reasonable approval of Licensor and Landlord. Licensee shall obtain from the insurance companies, or cause the insurance companies to furnish, certificates of coverage. The delivery of proof of such insurance is a condition precedent to this Agreement. All certificates of insurance shall provide that the insurer will provide Licensor twenty (20) days notice</w:t>
      </w:r>
    </w:p>
    <w:p>
      <w:pPr>
        <w:sectPr>
          <w:pgSz w:w="11900" w:h="16872" w:orient="portrait"/>
          <w:cols w:equalWidth="0" w:num="1">
            <w:col w:w="11420"/>
          </w:cols>
          <w:pgMar w:left="240" w:top="131" w:right="239" w:bottom="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8"/>
          <w:szCs w:val="18"/>
          <w:color w:val="auto"/>
        </w:rPr>
        <w:t>of cancellation of or any change of said policies by certified mail, return receipt requested or via established overnight courier. In the event Licensee shall fail to comply with any or all of the provisions of this paragraph, Licensor is hereby authorized to purchase said insurance and charge Licensee for the premiums of same and any other costs incurred thereon, and such sums shall be deemed additional License Fee and may be collected by Licensor as such in the next ensuing installment of License Fee. At a minimum, Licensee shall procure Comprehensive General Liability Insurance, in the broadest form available in New York State, with a minimum amount of $3,000,000 combined single limit and which shall contain personal injury liability, fire damage liability on real property (with sublimits for such events in amounts no less than the minimum amount of $3,000,000), Workers Compensation Insurance, and such other insurance as was required pursuant to the Sublease.</w:t>
      </w:r>
    </w:p>
    <w:p>
      <w:pPr>
        <w:spacing w:after="0" w:line="22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Licensee agrees to use commercially reasonable efforts to include in each of its policies insuring against loss, damage or destruction by fire or other casualty, a waiver of the insurer’s right of subrogation against Licensor. If such waiver shall not be, or shall cease to be, obtainable without additional charge, or is otherwise not available at all, Licensee shall promptly so notify Licensor. In such case, if the other party shall so elect and shall pay the insurer’s additional charge therefore, such waiver shall be included in the policy.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46"/>
        <w:spacing w:after="0" w:line="259" w:lineRule="auto"/>
        <w:tabs>
          <w:tab w:leader="none" w:pos="631" w:val="left"/>
        </w:tabs>
        <w:numPr>
          <w:ilvl w:val="3"/>
          <w:numId w:val="57"/>
        </w:numPr>
        <w:rPr>
          <w:rFonts w:ascii="Arial" w:cs="Arial" w:eastAsia="Arial" w:hAnsi="Arial"/>
          <w:sz w:val="18"/>
          <w:szCs w:val="18"/>
          <w:color w:val="auto"/>
        </w:rPr>
      </w:pPr>
      <w:r>
        <w:rPr>
          <w:rFonts w:ascii="Arial" w:cs="Arial" w:eastAsia="Arial" w:hAnsi="Arial"/>
          <w:sz w:val="18"/>
          <w:szCs w:val="18"/>
          <w:u w:val="single" w:color="auto"/>
          <w:color w:val="auto"/>
        </w:rPr>
        <w:t>Consent of Landlord</w:t>
      </w:r>
      <w:r>
        <w:rPr>
          <w:rFonts w:ascii="Arial" w:cs="Arial" w:eastAsia="Arial" w:hAnsi="Arial"/>
          <w:sz w:val="18"/>
          <w:szCs w:val="18"/>
          <w:color w:val="auto"/>
        </w:rPr>
        <w:t>. This Agreement is subject to the written consent of Landlord (the “</w:t>
      </w:r>
      <w:r>
        <w:rPr>
          <w:rFonts w:ascii="Arial" w:cs="Arial" w:eastAsia="Arial" w:hAnsi="Arial"/>
          <w:sz w:val="18"/>
          <w:szCs w:val="18"/>
          <w:u w:val="single" w:color="auto"/>
          <w:color w:val="auto"/>
        </w:rPr>
        <w:t>Consent</w:t>
      </w:r>
      <w:r>
        <w:rPr>
          <w:rFonts w:ascii="Arial" w:cs="Arial" w:eastAsia="Arial" w:hAnsi="Arial"/>
          <w:sz w:val="18"/>
          <w:szCs w:val="18"/>
          <w:color w:val="auto"/>
        </w:rPr>
        <w:t>”), which consent shall be evidenced by Landlord’s customary form of consent, with such changes as may be agreed to by the parties thereto. In the event Landlord rejects this Agreement, neither party shall have any rights against the other, and this Agreement shall be deemed null and void.</w:t>
      </w:r>
    </w:p>
    <w:p>
      <w:pPr>
        <w:spacing w:after="0" w:line="221" w:lineRule="exact"/>
        <w:rPr>
          <w:rFonts w:ascii="Arial" w:cs="Arial" w:eastAsia="Arial" w:hAnsi="Arial"/>
          <w:sz w:val="18"/>
          <w:szCs w:val="18"/>
          <w:color w:val="auto"/>
        </w:rPr>
      </w:pPr>
    </w:p>
    <w:p>
      <w:pPr>
        <w:jc w:val="both"/>
        <w:ind w:firstLine="346"/>
        <w:spacing w:after="0" w:line="291" w:lineRule="auto"/>
        <w:tabs>
          <w:tab w:leader="none" w:pos="631" w:val="left"/>
        </w:tabs>
        <w:numPr>
          <w:ilvl w:val="3"/>
          <w:numId w:val="57"/>
        </w:numPr>
        <w:rPr>
          <w:rFonts w:ascii="Arial" w:cs="Arial" w:eastAsia="Arial" w:hAnsi="Arial"/>
          <w:sz w:val="16"/>
          <w:szCs w:val="16"/>
          <w:color w:val="auto"/>
        </w:rPr>
      </w:pPr>
      <w:r>
        <w:rPr>
          <w:rFonts w:ascii="Arial" w:cs="Arial" w:eastAsia="Arial" w:hAnsi="Arial"/>
          <w:sz w:val="16"/>
          <w:szCs w:val="16"/>
          <w:u w:val="single" w:color="auto"/>
          <w:color w:val="auto"/>
        </w:rPr>
        <w:t>Utilities, Services</w:t>
      </w:r>
      <w:r>
        <w:rPr>
          <w:rFonts w:ascii="Arial" w:cs="Arial" w:eastAsia="Arial" w:hAnsi="Arial"/>
          <w:sz w:val="16"/>
          <w:szCs w:val="16"/>
          <w:color w:val="auto"/>
        </w:rPr>
        <w:t>. Licensor shall use commercially reasonable efforts to cause Landlord to furnish the License Area with all services required by the Lease to the extent Licensee was receiving the same pursuant to the Sublease. Licensor shall not be liable to Licensee for any loss, injury or damage to persons or property caused by or resulting from any variation, failure, or interruption of any services or utilities to be provided by Landlord under the Lease due to any cause whatsoever. Licensee’s use or occupancy of the License Area shall not in any manner (i) cause the design loads for the Building or the systems providing exhaust, heating, cooling, ventilation, electrical, life safety, water, sewer or other utility or safety services to be exceeded or (ii) adversely affect the Building or the operation of said systems in the License Area, the Leased Premises or the Building or cause deterioration or damage to the Building or such systems.</w:t>
      </w:r>
    </w:p>
    <w:p>
      <w:pPr>
        <w:spacing w:after="0" w:line="201" w:lineRule="exact"/>
        <w:rPr>
          <w:rFonts w:ascii="Arial" w:cs="Arial" w:eastAsia="Arial" w:hAnsi="Arial"/>
          <w:sz w:val="16"/>
          <w:szCs w:val="16"/>
          <w:color w:val="auto"/>
        </w:rPr>
      </w:pPr>
    </w:p>
    <w:p>
      <w:pPr>
        <w:jc w:val="both"/>
        <w:ind w:firstLine="292"/>
        <w:spacing w:after="0" w:line="256" w:lineRule="auto"/>
        <w:tabs>
          <w:tab w:leader="none" w:pos="56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Access and Parking</w:t>
      </w:r>
      <w:r>
        <w:rPr>
          <w:rFonts w:ascii="Arial" w:cs="Arial" w:eastAsia="Arial" w:hAnsi="Arial"/>
          <w:sz w:val="18"/>
          <w:szCs w:val="18"/>
          <w:color w:val="auto"/>
        </w:rPr>
        <w:t>. Licensee and its agents, employees and invitees may have access to the License Area during its above term twenty-four (24) hours a day. Licensee agrees that it shall not park in any reserved spot on the Property or in front of any roll access/loading doors to the other buildings. Licensee must also keep a fire lane available around the Building. Any costs or liability associated with enforcing this parking access shall be Licensee’s or violator’s sole responsibility.</w:t>
      </w:r>
    </w:p>
    <w:p>
      <w:pPr>
        <w:spacing w:after="0" w:line="224" w:lineRule="exact"/>
        <w:rPr>
          <w:rFonts w:ascii="Arial" w:cs="Arial" w:eastAsia="Arial" w:hAnsi="Arial"/>
          <w:sz w:val="18"/>
          <w:szCs w:val="18"/>
          <w:color w:val="auto"/>
        </w:rPr>
      </w:pPr>
    </w:p>
    <w:p>
      <w:pPr>
        <w:jc w:val="both"/>
        <w:ind w:firstLine="305"/>
        <w:spacing w:after="0" w:line="255" w:lineRule="auto"/>
        <w:tabs>
          <w:tab w:leader="none" w:pos="57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Any failure by Licensee to perform any term or condition of this Agreement shall constitute a default under this Agreement and, in such event, Licensor may exercise any remedy available to it under this Agreement, at law or in equity. Without limiting the foregoing, in the event any such default is not cured within forty-eight (48) hours of Licensor’s notice to Licensee thereof, Licensor may, at its option, terminate this Agreement and revoke the license granted hereby. Licensee shall reimburse Licensor for any and all costs and expenses (including attorneys’ fees and costs) that Licensor incurs in connection with enforcing Licensee’s obligations under this Agreement.</w:t>
      </w:r>
    </w:p>
    <w:p>
      <w:pPr>
        <w:spacing w:after="0" w:line="223" w:lineRule="exact"/>
        <w:rPr>
          <w:rFonts w:ascii="Arial" w:cs="Arial" w:eastAsia="Arial" w:hAnsi="Arial"/>
          <w:sz w:val="18"/>
          <w:szCs w:val="18"/>
          <w:color w:val="auto"/>
        </w:rPr>
      </w:pPr>
    </w:p>
    <w:p>
      <w:pPr>
        <w:jc w:val="both"/>
        <w:ind w:firstLine="319"/>
        <w:spacing w:after="0" w:line="291" w:lineRule="auto"/>
        <w:tabs>
          <w:tab w:leader="none" w:pos="590"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Limitation of Recovery; Waiver</w:t>
      </w:r>
      <w:r>
        <w:rPr>
          <w:rFonts w:ascii="Arial" w:cs="Arial" w:eastAsia="Arial" w:hAnsi="Arial"/>
          <w:sz w:val="16"/>
          <w:szCs w:val="16"/>
          <w:color w:val="auto"/>
        </w:rPr>
        <w:t>. There shall be no personal liability of Licensor with respect to any of the terms of this Agreement. In the event of any breach or default by Licensor under this Agreement, Licensee shall look solely to the equity of Licensor in the Building for satisfaction of Licensee’s remedies. Licensee releases and waives all right of recovery that it might otherwise have against Licensor, or other tenants or licensees of the Building, and their respective agents and employees, by reason of any loss or damage resulting from any recovery, claim, action or cause of action against Licensor, damage or injury or other occurrence no matter how caused, to the extent the same is either covered by Licensee’s insurance (assuming no deductible) or would have been covered had Licensee complied with the requirements of this Agreement.</w:t>
      </w:r>
    </w:p>
    <w:p>
      <w:pPr>
        <w:spacing w:after="0" w:line="201" w:lineRule="exact"/>
        <w:rPr>
          <w:rFonts w:ascii="Arial" w:cs="Arial" w:eastAsia="Arial" w:hAnsi="Arial"/>
          <w:sz w:val="16"/>
          <w:szCs w:val="16"/>
          <w:color w:val="auto"/>
        </w:rPr>
      </w:pPr>
    </w:p>
    <w:p>
      <w:pPr>
        <w:jc w:val="both"/>
        <w:ind w:firstLine="319"/>
        <w:spacing w:after="0" w:line="259" w:lineRule="auto"/>
        <w:tabs>
          <w:tab w:leader="none" w:pos="590"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Other than Licensee’s lease agreement with Licensor, this Agreement contains the entire agreement between the parties and all prior understandings and agreements between the parties are merged into this Agreement. This Agreement may be modified only by a writing signed by both of the parties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9"/>
        <w:spacing w:after="0" w:line="255" w:lineRule="auto"/>
        <w:tabs>
          <w:tab w:leader="none" w:pos="59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Acceptance of License Area</w:t>
      </w:r>
      <w:r>
        <w:rPr>
          <w:rFonts w:ascii="Arial" w:cs="Arial" w:eastAsia="Arial" w:hAnsi="Arial"/>
          <w:sz w:val="18"/>
          <w:szCs w:val="18"/>
          <w:color w:val="auto"/>
        </w:rPr>
        <w:t>. By taking possession of the License Area, Licensee shall be deemed to have inspected the License Area and accepted the License Area “as is” in its present condition. Licensee acknowledges and agrees that neither Licensor, nor any employee, agent nor representative of Licensor, has made any representation or warranty, express or implied, of any kind as to the condition of the License Area or its suitability for Licensee’s proposed use. Licensee further acknowledges and agrees that Licensor has no obligation to improve, maintain or repair the License Area unless said obligation is expressly set forth in this Agreement.</w:t>
      </w:r>
    </w:p>
    <w:p>
      <w:pPr>
        <w:spacing w:after="0" w:line="223" w:lineRule="exact"/>
        <w:rPr>
          <w:rFonts w:ascii="Arial" w:cs="Arial" w:eastAsia="Arial" w:hAnsi="Arial"/>
          <w:sz w:val="18"/>
          <w:szCs w:val="18"/>
          <w:color w:val="auto"/>
        </w:rPr>
      </w:pPr>
    </w:p>
    <w:p>
      <w:pPr>
        <w:jc w:val="both"/>
        <w:ind w:firstLine="454"/>
        <w:spacing w:after="0" w:line="287" w:lineRule="auto"/>
        <w:tabs>
          <w:tab w:leader="none" w:pos="752"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Waiver of Responsibility; Indemnification</w:t>
      </w:r>
      <w:r>
        <w:rPr>
          <w:rFonts w:ascii="Arial" w:cs="Arial" w:eastAsia="Arial" w:hAnsi="Arial"/>
          <w:sz w:val="16"/>
          <w:szCs w:val="16"/>
          <w:color w:val="auto"/>
        </w:rPr>
        <w:t>. Licensee shall assume liability for, and shall indemnify, defend and hold harmless Licensor and its shareholders, members, officers, directors, employees, contractors, subcontractors, agents, customers, mortgagees, lenders and invitees from and against any and all liabilities, obligations, losses, fines, damages, claims, demands, judgments, penalties, expenses (including, without limitation, attorneys’ fees and costs) arising, directly or indirectly, from (a) any labor dispute involving Licensee or its contractors or agents, (b) the use or enjoyment of the License Area or the Project by Licensee or its contractors, agents, employees and/or customers or invitees, (c) injury to or death of any person or persons, or damage to or destruction of any property (including, without limitation, the cost of investigation, removal or remedial action and disposal of any Hazardous Materials) occurring in, on or about the License Area or (d) a breach of this Agreement by Licensee or any act or omission of Licensee or its agents, employees or contractors (“</w:t>
      </w:r>
      <w:r>
        <w:rPr>
          <w:rFonts w:ascii="Arial" w:cs="Arial" w:eastAsia="Arial" w:hAnsi="Arial"/>
          <w:sz w:val="16"/>
          <w:szCs w:val="16"/>
          <w:u w:val="single" w:color="auto"/>
          <w:color w:val="auto"/>
        </w:rPr>
        <w:t>Claims</w:t>
      </w:r>
      <w:r>
        <w:rPr>
          <w:rFonts w:ascii="Arial" w:cs="Arial" w:eastAsia="Arial" w:hAnsi="Arial"/>
          <w:sz w:val="16"/>
          <w:szCs w:val="16"/>
          <w:color w:val="auto"/>
        </w:rPr>
        <w:t>”). Notwithstanding anything to the contrary in this Section, nothing in this Section shall relieve Licensor from responsibility for its proportionate share of fault attributable to its negligence in causing any Claims. To the maximum extent permitted by law, Licensee’s activities on and use of the License Area and the Property shall be at Licensee’s sole risk. Licensee’s obligations under this Section shall survive the Expiration Date.</w:t>
      </w:r>
    </w:p>
    <w:p>
      <w:pPr>
        <w:spacing w:after="0" w:line="203" w:lineRule="exact"/>
        <w:rPr>
          <w:rFonts w:ascii="Arial" w:cs="Arial" w:eastAsia="Arial" w:hAnsi="Arial"/>
          <w:sz w:val="16"/>
          <w:szCs w:val="16"/>
          <w:color w:val="auto"/>
        </w:rPr>
      </w:pPr>
    </w:p>
    <w:p>
      <w:pPr>
        <w:ind w:left="560" w:hanging="28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52" w:lineRule="exact"/>
        <w:rPr>
          <w:sz w:val="20"/>
          <w:szCs w:val="20"/>
          <w:color w:val="auto"/>
        </w:rPr>
      </w:pPr>
    </w:p>
    <w:p>
      <w:pPr>
        <w:ind w:firstLine="284"/>
        <w:spacing w:after="0" w:line="268" w:lineRule="auto"/>
        <w:rPr>
          <w:sz w:val="20"/>
          <w:szCs w:val="20"/>
          <w:color w:val="auto"/>
        </w:rPr>
      </w:pPr>
      <w:r>
        <w:rPr>
          <w:rFonts w:ascii="Arial" w:cs="Arial" w:eastAsia="Arial" w:hAnsi="Arial"/>
          <w:sz w:val="18"/>
          <w:szCs w:val="18"/>
          <w:color w:val="auto"/>
        </w:rPr>
        <w:t>A. Licensee represents and warrants to Licensor that, as of the Effective Date, the Sublease has been terminated and Licensee waives all rights of possession and occupancy of any portion of the Leased Premises pursuant thereto.</w:t>
      </w:r>
    </w:p>
    <w:p>
      <w:pPr>
        <w:sectPr>
          <w:pgSz w:w="11900" w:h="16838" w:orient="portrait"/>
          <w:cols w:equalWidth="0" w:num="1">
            <w:col w:w="11420"/>
          </w:cols>
          <w:pgMar w:left="240" w:top="131" w:right="239" w:bottom="0" w:gutter="0" w:footer="0" w:header="0"/>
        </w:sectPr>
      </w:pPr>
    </w:p>
    <w:bookmarkStart w:id="47" w:name="page48"/>
    <w:bookmarkEnd w:id="47"/>
    <w:p>
      <w:pPr>
        <w:jc w:val="both"/>
        <w:ind w:firstLine="292"/>
        <w:spacing w:after="0" w:line="256" w:lineRule="auto"/>
        <w:tabs>
          <w:tab w:leader="none" w:pos="563" w:val="left"/>
        </w:tabs>
        <w:numPr>
          <w:ilvl w:val="1"/>
          <w:numId w:val="61"/>
        </w:numPr>
        <w:rPr>
          <w:rFonts w:ascii="Arial" w:cs="Arial" w:eastAsia="Arial" w:hAnsi="Arial"/>
          <w:sz w:val="18"/>
          <w:szCs w:val="18"/>
          <w:color w:val="auto"/>
        </w:rPr>
      </w:pPr>
      <w:r>
        <w:rPr>
          <w:rFonts w:ascii="Arial" w:cs="Arial" w:eastAsia="Arial" w:hAnsi="Arial"/>
          <w:sz w:val="18"/>
          <w:szCs w:val="18"/>
          <w:color w:val="auto"/>
        </w:rPr>
        <w:t>Licensor hereby represents and warrants to Licensee that (i) as of the Effective Date, the Lease and the Amendment are in full force and effect and grant to Licensor a leasehold interest in and to the Leased Premises, and (ii) the Amendment does not materially modify the Lease with respect to Licensee's obligations under the Consent. Licensor shall provide Licensee with a fully-executed copy of the Amendment within five (5) business days of the date on which the same is made a part of the public record.</w:t>
      </w:r>
    </w:p>
    <w:p>
      <w:pPr>
        <w:spacing w:after="0" w:line="224" w:lineRule="exact"/>
        <w:rPr>
          <w:rFonts w:ascii="Arial" w:cs="Arial" w:eastAsia="Arial" w:hAnsi="Arial"/>
          <w:sz w:val="18"/>
          <w:szCs w:val="18"/>
          <w:color w:val="auto"/>
        </w:rPr>
      </w:pPr>
    </w:p>
    <w:p>
      <w:pPr>
        <w:ind w:firstLine="319"/>
        <w:spacing w:after="0" w:line="268" w:lineRule="auto"/>
        <w:tabs>
          <w:tab w:leader="none" w:pos="590"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Licensee is responsible for all of Licensee’s signage. All signage must be pre-approved in writing by Licensor and Landlord and hand-written signs are not permitted.</w:t>
      </w:r>
    </w:p>
    <w:p>
      <w:pPr>
        <w:spacing w:after="0" w:line="212" w:lineRule="exact"/>
        <w:rPr>
          <w:rFonts w:ascii="Arial" w:cs="Arial" w:eastAsia="Arial" w:hAnsi="Arial"/>
          <w:sz w:val="18"/>
          <w:szCs w:val="18"/>
          <w:color w:val="auto"/>
        </w:rPr>
      </w:pPr>
    </w:p>
    <w:p>
      <w:pPr>
        <w:ind w:left="560" w:hanging="282"/>
        <w:spacing w:after="0"/>
        <w:tabs>
          <w:tab w:leader="none" w:pos="5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2"/>
        <w:spacing w:after="0" w:line="256" w:lineRule="auto"/>
        <w:tabs>
          <w:tab w:leader="none" w:pos="5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Whenever under this License Agreement provision is made for any demand, notice, requests or declaration of any kind, or where it is deemed desirable or necessary by either party to give or serve any such notice, demand, request or declaration to the other party, it shall be in writing and such notices shall be deemed given when personally delivered, or the next business day after delivery to a reputable overnight delivery service such as Federal Express or United Parcel Service to the following addresses: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the Licensor at: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General Counsel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Joanne Deyo, Vice President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Licensee at: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PSYCHOGENICS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765 Old Saw Mill River Road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William Fasnacht, CFO/COO</w:t>
      </w:r>
    </w:p>
    <w:p>
      <w:pPr>
        <w:spacing w:after="0" w:line="246" w:lineRule="exact"/>
        <w:rPr>
          <w:sz w:val="20"/>
          <w:szCs w:val="20"/>
          <w:color w:val="auto"/>
        </w:rPr>
      </w:pPr>
    </w:p>
    <w:p>
      <w:pPr>
        <w:ind w:firstLine="278"/>
        <w:spacing w:after="0" w:line="268" w:lineRule="auto"/>
        <w:tabs>
          <w:tab w:leader="none" w:pos="4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provisions and covenants and conditions contained in this License shall apply to, inure to the benefit of, and be binding upon, the parties hereto and upon their respective heirs, legal representatives, successors and permitted assigns.</w:t>
      </w:r>
    </w:p>
    <w:p>
      <w:pPr>
        <w:spacing w:after="0" w:line="212" w:lineRule="exact"/>
        <w:rPr>
          <w:rFonts w:ascii="Arial" w:cs="Arial" w:eastAsia="Arial" w:hAnsi="Arial"/>
          <w:sz w:val="18"/>
          <w:szCs w:val="18"/>
          <w:color w:val="auto"/>
        </w:rPr>
      </w:pPr>
    </w:p>
    <w:p>
      <w:pPr>
        <w:ind w:left="500" w:hanging="22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obligations of Licensee hereunder not fully performed as of the Expiration Date shall survive the Expiration Date.</w:t>
      </w:r>
    </w:p>
    <w:p>
      <w:pPr>
        <w:spacing w:after="0" w:line="252" w:lineRule="exact"/>
        <w:rPr>
          <w:rFonts w:ascii="Arial" w:cs="Arial" w:eastAsia="Arial" w:hAnsi="Arial"/>
          <w:sz w:val="18"/>
          <w:szCs w:val="18"/>
          <w:color w:val="auto"/>
        </w:rPr>
      </w:pPr>
    </w:p>
    <w:p>
      <w:pPr>
        <w:ind w:left="500" w:hanging="22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Licensor and Licensee agree to indemnify the other for any claims made by any other brokers arising under the acts of such party.</w:t>
      </w:r>
    </w:p>
    <w:p>
      <w:pPr>
        <w:spacing w:after="0" w:line="252" w:lineRule="exact"/>
        <w:rPr>
          <w:rFonts w:ascii="Arial" w:cs="Arial" w:eastAsia="Arial" w:hAnsi="Arial"/>
          <w:sz w:val="18"/>
          <w:szCs w:val="18"/>
          <w:color w:val="auto"/>
        </w:rPr>
      </w:pPr>
    </w:p>
    <w:p>
      <w:pPr>
        <w:ind w:left="480" w:hanging="202"/>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Licensee represents that it has used no broker in connection with this transaction.</w:t>
      </w:r>
    </w:p>
    <w:p>
      <w:pPr>
        <w:spacing w:after="0" w:line="252" w:lineRule="exact"/>
        <w:rPr>
          <w:rFonts w:ascii="Arial" w:cs="Arial" w:eastAsia="Arial" w:hAnsi="Arial"/>
          <w:sz w:val="18"/>
          <w:szCs w:val="18"/>
          <w:color w:val="auto"/>
        </w:rPr>
      </w:pPr>
    </w:p>
    <w:p>
      <w:pPr>
        <w:ind w:left="460" w:hanging="18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Agreement may be signed in counterparts; each, when taken together, shall constitute one instrument.</w:t>
      </w:r>
    </w:p>
    <w:p>
      <w:pPr>
        <w:spacing w:after="0" w:line="25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G. If any term, provision or condition of this License shall, to any extent, be finally adjudicated to be invalid or unenforceable, the remainder of this License (or the application of such term, provision or condition to persons or circumstances other than those in respect of which it is finally adjudicated to be invalid or unenforceable) shall not be affected thereby and each and every other term, provision and condition of this License shall be valid and enforceable to the fullest extent permitted by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H. Licensee shall pay to Licensor all costs and expenses, including reasonable attorneys’ fees and costs, incurred by Licensor in connection with any action between Licensor and Licensee arising out of this License or incurred by Licensor as a result of any litigation to which Licensor becomes a party as a result of this License or Licensee’s use and occupancy of the Licensed Area or any portion thereof.</w:t>
      </w:r>
    </w:p>
    <w:p>
      <w:pPr>
        <w:spacing w:after="0" w:line="221" w:lineRule="exact"/>
        <w:rPr>
          <w:sz w:val="20"/>
          <w:szCs w:val="20"/>
          <w:color w:val="auto"/>
        </w:rPr>
      </w:pPr>
    </w:p>
    <w:p>
      <w:pPr>
        <w:ind w:firstLine="278"/>
        <w:spacing w:after="0" w:line="268" w:lineRule="auto"/>
        <w:tabs>
          <w:tab w:leader="none" w:pos="4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Licensor and Licensee waive trial by jury in the event of any action, proceeding or counterclaim brought by either Licensor or Licensee against the other in connection with this License.</w:t>
      </w:r>
    </w:p>
    <w:p>
      <w:pPr>
        <w:spacing w:after="0" w:line="212" w:lineRule="exact"/>
        <w:rPr>
          <w:rFonts w:ascii="Arial" w:cs="Arial" w:eastAsia="Arial" w:hAnsi="Arial"/>
          <w:sz w:val="18"/>
          <w:szCs w:val="18"/>
          <w:color w:val="auto"/>
        </w:rPr>
      </w:pPr>
    </w:p>
    <w:p>
      <w:pPr>
        <w:jc w:val="both"/>
        <w:ind w:firstLine="332"/>
        <w:spacing w:after="0" w:line="294" w:lineRule="auto"/>
        <w:tabs>
          <w:tab w:leader="none" w:pos="496"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Licensee fails timely to perform any of its duties under this License, Licensor shall have the right (but not the obligation), after the expiration of any grace or notice and cure period elsewhere under this License expressly granted to Licensee for the performance of such duty, to perform such duty on behalf and at the expense of Licensee (but only upon prior notice to Licensee), and all sums expended or expenses incurred by Licensor in performing such duty together with Licensor’s administrative costs related thereto, which administrative costs the parties agree to be an amount equal to twenty percent (20%) of Licensor’s cost of performing such duty, shall be deemed to be additional License Fee under this License and shall be due and payable upon demand by Licensor.</w:t>
      </w:r>
    </w:p>
    <w:p>
      <w:pPr>
        <w:spacing w:after="0" w:line="196" w:lineRule="exact"/>
        <w:rPr>
          <w:rFonts w:ascii="Arial" w:cs="Arial" w:eastAsia="Arial" w:hAnsi="Arial"/>
          <w:sz w:val="16"/>
          <w:szCs w:val="16"/>
          <w:color w:val="auto"/>
        </w:rPr>
      </w:pPr>
    </w:p>
    <w:p>
      <w:pPr>
        <w:ind w:left="500" w:hanging="222"/>
        <w:spacing w:after="0"/>
        <w:tabs>
          <w:tab w:leader="none" w:pos="5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interpreted in accordance with New York law, without regard to conflicts of law principles.</w:t>
      </w:r>
    </w:p>
    <w:p>
      <w:pPr>
        <w:spacing w:after="0" w:line="248" w:lineRule="exact"/>
        <w:rPr>
          <w:rFonts w:ascii="Arial" w:cs="Arial" w:eastAsia="Arial" w:hAnsi="Arial"/>
          <w:sz w:val="16"/>
          <w:szCs w:val="16"/>
          <w:color w:val="auto"/>
        </w:rPr>
      </w:pPr>
    </w:p>
    <w:p>
      <w:pPr>
        <w:ind w:left="3260"/>
        <w:spacing w:after="0"/>
        <w:rPr>
          <w:rFonts w:ascii="Arial" w:cs="Arial" w:eastAsia="Arial" w:hAnsi="Arial"/>
          <w:sz w:val="16"/>
          <w:szCs w:val="16"/>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420"/>
          </w:cols>
          <w:pgMar w:left="240" w:top="158" w:right="239" w:bottom="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WITNESS WHEREOF, Licensor and Licensee have hereunto set their hands as of the date and year first above written, and acknowledge that they possess the requisite authority to enter into this transaction and to execute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2540</wp:posOffset>
            </wp:positionV>
            <wp:extent cx="2126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&amp; Administration</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PSYCHOGENICS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2126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William Fasnacht</w:t>
      </w:r>
    </w:p>
    <w:p>
      <w:pPr>
        <w:spacing w:after="0" w:line="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LICENSE AREA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1895475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52"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80" w:right="80" w:hanging="413"/>
        <w:spacing w:after="0" w:line="259"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80" w:right="60" w:hanging="413"/>
        <w:spacing w:after="0" w:line="259"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80" w:right="120" w:hanging="413"/>
        <w:spacing w:after="0" w:line="332" w:lineRule="auto"/>
        <w:tabs>
          <w:tab w:leader="none" w:pos="8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80" w:right="140" w:hanging="413"/>
        <w:spacing w:after="0" w:line="259"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80" w:right="40" w:hanging="413"/>
        <w:spacing w:after="0" w:line="268"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80" w:right="80" w:hanging="413"/>
        <w:spacing w:after="0" w:line="268" w:lineRule="auto"/>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Date: April 30, 2009</w:t>
      </w:r>
      <w:r>
        <w:rPr>
          <w:sz w:val="20"/>
          <w:szCs w:val="20"/>
          <w:color w:val="auto"/>
        </w:rPr>
        <w:tab/>
      </w:r>
      <w:r>
        <w:rPr>
          <w:rFonts w:ascii="Arial" w:cs="Arial" w:eastAsia="Arial" w:hAnsi="Arial"/>
          <w:sz w:val="16"/>
          <w:szCs w:val="16"/>
          <w:u w:val="single" w:color="auto"/>
          <w:color w:val="auto"/>
        </w:rPr>
        <w:t>/s/ LEONARD S. SCHLEIFER</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52"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80" w:right="80" w:hanging="413"/>
        <w:spacing w:after="0" w:line="259" w:lineRule="auto"/>
        <w:tabs>
          <w:tab w:leader="none" w:pos="8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80" w:right="60" w:hanging="413"/>
        <w:spacing w:after="0" w:line="259" w:lineRule="auto"/>
        <w:tabs>
          <w:tab w:leader="none" w:pos="8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80" w:right="120" w:hanging="413"/>
        <w:spacing w:after="0" w:line="332" w:lineRule="auto"/>
        <w:tabs>
          <w:tab w:leader="none" w:pos="8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80" w:right="140" w:hanging="413"/>
        <w:spacing w:after="0" w:line="259" w:lineRule="auto"/>
        <w:tabs>
          <w:tab w:leader="none" w:pos="8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80" w:right="40" w:hanging="413"/>
        <w:spacing w:after="0" w:line="268" w:lineRule="auto"/>
        <w:tabs>
          <w:tab w:leader="none" w:pos="8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80" w:right="80" w:hanging="413"/>
        <w:spacing w:after="0" w:line="268" w:lineRule="auto"/>
        <w:tabs>
          <w:tab w:leader="none" w:pos="8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April 30, 2009</w:t>
      </w:r>
      <w:r>
        <w:rPr>
          <w:sz w:val="20"/>
          <w:szCs w:val="20"/>
          <w:color w:val="auto"/>
        </w:rPr>
        <w:tab/>
      </w:r>
      <w:r>
        <w:rPr>
          <w:rFonts w:ascii="Arial" w:cs="Arial" w:eastAsia="Arial" w:hAnsi="Arial"/>
          <w:sz w:val="16"/>
          <w:szCs w:val="16"/>
          <w:u w:val="single" w:color="auto"/>
          <w:color w:val="auto"/>
        </w:rPr>
        <w:t>/s/ MURRAY A. GOLDBERG</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2009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520" w:hanging="24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LEONARD S. SCHLEIFER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MURRAY A. GOLDBERG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2"/>
    </w:lvl>
  </w:abstractNum>
  <w:abstractNum w:abstractNumId="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
    <w:nsid w:val="2463B9E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
    <w:nsid w:val="5E884A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
    <w:nsid w:val="51EAD36B"/>
    <w:multiLevelType w:val="hybridMultilevel"/>
    <w:lvl w:ilvl="0">
      <w:lvlJc w:val="left"/>
      <w:lvlText w:val="%1."/>
      <w:numFmt w:val="decimal"/>
      <w:start w:val="3"/>
    </w:lvl>
  </w:abstractNum>
  <w:abstractNum w:abstractNumId="11">
    <w:nsid w:val="2D517796"/>
    <w:multiLevelType w:val="hybridMultilevel"/>
    <w:lvl w:ilvl="0">
      <w:lvlJc w:val="left"/>
      <w:lvlText w:val="(%1)"/>
      <w:numFmt w:val="lowerLetter"/>
      <w:start w:val="2"/>
    </w:lvl>
  </w:abstractNum>
  <w:abstractNum w:abstractNumId="12">
    <w:nsid w:val="580BD78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13">
    <w:nsid w:val="153EA438"/>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4">
    <w:nsid w:val="3855585C"/>
    <w:multiLevelType w:val="hybridMultilevel"/>
    <w:lvl w:ilvl="0">
      <w:lvlJc w:val="left"/>
      <w:lvlText w:val="%1."/>
      <w:numFmt w:val="decimal"/>
      <w:start w:val="6"/>
    </w:lvl>
    <w:lvl w:ilvl="1">
      <w:lvlJc w:val="left"/>
      <w:lvlText w:val="%2"/>
      <w:numFmt w:val="decimal"/>
      <w:start w:val="1"/>
    </w:lvl>
    <w:lvl w:ilvl="2">
      <w:lvlJc w:val="left"/>
      <w:lvlText w:val="%3."/>
      <w:numFmt w:val="decimal"/>
      <w:start w:val="9"/>
    </w:lvl>
    <w:lvl w:ilvl="3">
      <w:lvlJc w:val="left"/>
      <w:lvlText w:val="%4"/>
      <w:numFmt w:val="decimal"/>
      <w:start w:val="1"/>
    </w:lvl>
  </w:abstractNum>
  <w:abstractNum w:abstractNumId="15">
    <w:nsid w:val="70A64E2A"/>
    <w:multiLevelType w:val="hybridMultilevel"/>
    <w:lvl w:ilvl="0">
      <w:lvlJc w:val="left"/>
      <w:lvlText w:val="%1."/>
      <w:numFmt w:val="decimal"/>
      <w:start w:val="1"/>
    </w:lvl>
    <w:lvl w:ilvl="1">
      <w:lvlJc w:val="left"/>
      <w:lvlText w:val="%2."/>
      <w:numFmt w:val="decimal"/>
      <w:start w:val="2"/>
    </w:lvl>
  </w:abstractNum>
  <w:abstractNum w:abstractNumId="16">
    <w:nsid w:val="6A2342EC"/>
    <w:multiLevelType w:val="hybridMultilevel"/>
    <w:lvl w:ilvl="0">
      <w:lvlJc w:val="left"/>
      <w:lvlText w:val="%1"/>
      <w:numFmt w:val="lowerLetter"/>
      <w:start w:val="1"/>
    </w:lvl>
    <w:lvl w:ilvl="1">
      <w:lvlJc w:val="left"/>
      <w:lvlText w:val="(%2)"/>
      <w:numFmt w:val="lowerLetter"/>
      <w:start w:val="2"/>
    </w:lvl>
  </w:abstractNum>
  <w:abstractNum w:abstractNumId="17">
    <w:nsid w:val="2A487CB0"/>
    <w:multiLevelType w:val="hybridMultilevel"/>
    <w:lvl w:ilvl="0">
      <w:lvlJc w:val="left"/>
      <w:lvlText w:val="(%1)"/>
      <w:numFmt w:val="lowerLetter"/>
      <w:start w:val="3"/>
    </w:lvl>
    <w:lvl w:ilvl="1">
      <w:lvlJc w:val="left"/>
      <w:lvlText w:val="%2"/>
      <w:numFmt w:val="lowerLetter"/>
      <w:start w:val="1"/>
    </w:lvl>
  </w:abstractNum>
  <w:abstractNum w:abstractNumId="18">
    <w:nsid w:val="1D4ED43B"/>
    <w:multiLevelType w:val="hybridMultilevel"/>
    <w:lvl w:ilvl="0">
      <w:lvlJc w:val="left"/>
      <w:lvlText w:val="%1."/>
      <w:numFmt w:val="decimal"/>
      <w:start w:val="3"/>
    </w:lvl>
  </w:abstractNum>
  <w:abstractNum w:abstractNumId="19">
    <w:nsid w:val="725A06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2"/>
    </w:lvl>
  </w:abstractNum>
  <w:abstractNum w:abstractNumId="20">
    <w:nsid w:val="2CD89A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lowerLetter"/>
      <w:start w:val="1"/>
    </w:lvl>
  </w:abstractNum>
  <w:abstractNum w:abstractNumId="21">
    <w:nsid w:val="57E4CCAF"/>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2">
    <w:nsid w:val="7A6D8D3C"/>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lowerLetter"/>
      <w:start w:val="1"/>
    </w:lvl>
  </w:abstractNum>
  <w:abstractNum w:abstractNumId="23">
    <w:nsid w:val="4B588F54"/>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lvl w:ilvl="4">
      <w:lvlJc w:val="left"/>
      <w:lvlText w:val="%5."/>
      <w:numFmt w:val="lowerLetter"/>
      <w:start w:val="4"/>
    </w:lvl>
  </w:abstractNum>
  <w:abstractNum w:abstractNumId="26">
    <w:nsid w:val="38437FDB"/>
    <w:multiLevelType w:val="hybridMultilevel"/>
    <w:lvl w:ilvl="0">
      <w:lvlJc w:val="left"/>
      <w:lvlText w:val="%1."/>
      <w:numFmt w:val="decimal"/>
      <w:start w:val="4"/>
    </w:lvl>
  </w:abstractNum>
  <w:abstractNum w:abstractNumId="27">
    <w:nsid w:val="7644A45C"/>
    <w:multiLevelType w:val="hybridMultilevel"/>
    <w:lvl w:ilvl="0">
      <w:lvlJc w:val="left"/>
      <w:lvlText w:val="%1."/>
      <w:numFmt w:val="decimal"/>
      <w:start w:val="5"/>
    </w:lvl>
    <w:lvl w:ilvl="1">
      <w:lvlJc w:val="left"/>
      <w:lvlText w:val="%2"/>
      <w:numFmt w:val="lowerLetter"/>
      <w:start w:val="1"/>
    </w:lvl>
  </w:abstractNum>
  <w:abstractNum w:abstractNumId="28">
    <w:nsid w:val="32FFF902"/>
    <w:multiLevelType w:val="hybridMultilevel"/>
    <w:lvl w:ilvl="0">
      <w:lvlJc w:val="left"/>
      <w:lvlText w:val="%1."/>
      <w:numFmt w:val="lowerRoman"/>
      <w:start w:val="2"/>
    </w:lvl>
    <w:lvl w:ilvl="1">
      <w:lvlJc w:val="left"/>
      <w:lvlText w:val="%2."/>
      <w:numFmt w:val="lowerRoman"/>
      <w:start w:val="3"/>
    </w:lvl>
  </w:abstractNum>
  <w:abstractNum w:abstractNumId="29">
    <w:nsid w:val="684A481A"/>
    <w:multiLevelType w:val="hybridMultilevel"/>
    <w:lvl w:ilvl="0">
      <w:lvlJc w:val="left"/>
      <w:lvlText w:val="%1."/>
      <w:numFmt w:val="decimal"/>
      <w:start w:val="6"/>
    </w:lvl>
    <w:lvl w:ilvl="1">
      <w:lvlJc w:val="left"/>
      <w:lvlText w:val="%2."/>
      <w:numFmt w:val="decimal"/>
      <w:start w:val="7"/>
    </w:lvl>
    <w:lvl w:ilvl="2">
      <w:lvlJc w:val="left"/>
      <w:lvlText w:val="%3."/>
      <w:numFmt w:val="decimal"/>
      <w:start w:val="7"/>
    </w:lvl>
    <w:lvl w:ilvl="3">
      <w:lvlJc w:val="left"/>
      <w:lvlText w:val="%4"/>
      <w:numFmt w:val="lowerLetter"/>
      <w:start w:val="1"/>
    </w:lvl>
    <w:lvl w:ilvl="4">
      <w:lvlJc w:val="left"/>
      <w:lvlText w:val="%5"/>
      <w:numFmt w:val="lowerLetter"/>
      <w:start w:val="1"/>
    </w:lvl>
  </w:abstractNum>
  <w:abstractNum w:abstractNumId="30">
    <w:nsid w:val="579478FE"/>
    <w:multiLevelType w:val="hybridMultilevel"/>
    <w:lvl w:ilvl="0">
      <w:lvlJc w:val="left"/>
      <w:lvlText w:val="%1."/>
      <w:numFmt w:val="decimal"/>
      <w:start w:val="44"/>
    </w:lvl>
  </w:abstractNum>
  <w:abstractNum w:abstractNumId="31">
    <w:nsid w:val="749ABB4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32">
    <w:nsid w:val="3DC240F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3">
    <w:nsid w:val="1BA026FA"/>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lvl w:ilvl="3">
      <w:lvlJc w:val="left"/>
      <w:lvlText w:val="%4"/>
      <w:numFmt w:val="lowerLetter"/>
      <w:start w:val="1"/>
    </w:lvl>
  </w:abstractNum>
  <w:abstractNum w:abstractNumId="34">
    <w:nsid w:val="79A1DE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2"/>
    </w:lvl>
    <w:lvl w:ilvl="3">
      <w:lvlJc w:val="left"/>
      <w:lvlText w:val="%4"/>
      <w:numFmt w:val="lowerLetter"/>
      <w:start w:val="1"/>
    </w:lvl>
  </w:abstractNum>
  <w:abstractNum w:abstractNumId="35">
    <w:nsid w:val="75C6C33A"/>
    <w:multiLevelType w:val="hybridMultilevel"/>
    <w:lvl w:ilvl="0">
      <w:lvlJc w:val="left"/>
      <w:lvlText w:val="%1"/>
      <w:numFmt w:val="upperLetter"/>
      <w:start w:val="1"/>
    </w:lvl>
    <w:lvl w:ilvl="1">
      <w:lvlJc w:val="left"/>
      <w:lvlText w:val="%2."/>
      <w:numFmt w:val="decimal"/>
      <w:start w:val="13"/>
    </w:lvl>
    <w:lvl w:ilvl="2">
      <w:lvlJc w:val="left"/>
      <w:lvlText w:val="%3"/>
      <w:numFmt w:val="decimal"/>
      <w:start w:val="1"/>
    </w:lvl>
    <w:lvl w:ilvl="3">
      <w:lvlJc w:val="left"/>
      <w:lvlText w:val="%4"/>
      <w:numFmt w:val="lowerLetter"/>
      <w:start w:val="1"/>
    </w:lvl>
  </w:abstractNum>
  <w:abstractNum w:abstractNumId="36">
    <w:nsid w:val="12E685FB"/>
    <w:multiLevelType w:val="hybridMultilevel"/>
    <w:lvl w:ilvl="0">
      <w:lvlJc w:val="left"/>
      <w:lvlText w:val="%1."/>
      <w:numFmt w:val="lowerLetter"/>
      <w:start w:val="2"/>
    </w:lvl>
  </w:abstractNum>
  <w:abstractNum w:abstractNumId="37">
    <w:nsid w:val="70C6A529"/>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8">
    <w:nsid w:val="520EEDD1"/>
    <w:multiLevelType w:val="hybridMultilevel"/>
    <w:lvl w:ilvl="0">
      <w:lvlJc w:val="left"/>
      <w:lvlText w:val="(%1)"/>
      <w:numFmt w:val="decimal"/>
      <w:start w:val="1"/>
    </w:lvl>
    <w:lvl w:ilvl="1">
      <w:lvlJc w:val="left"/>
      <w:lvlText w:val="%2"/>
      <w:numFmt w:val="decimal"/>
      <w:start w:val="1"/>
    </w:lvl>
    <w:lvl w:ilvl="2">
      <w:lvlJc w:val="left"/>
      <w:lvlText w:val="%3."/>
      <w:numFmt w:val="decimal"/>
      <w:start w:val="15"/>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39">
    <w:nsid w:val="374A3FE6"/>
    <w:multiLevelType w:val="hybridMultilevel"/>
    <w:lvl w:ilvl="0">
      <w:lvlJc w:val="left"/>
      <w:lvlText w:val="%1."/>
      <w:numFmt w:val="decimal"/>
      <w:start w:val="16"/>
    </w:lvl>
  </w:abstractNum>
  <w:abstractNum w:abstractNumId="40">
    <w:nsid w:val="4F4EF005"/>
    <w:multiLevelType w:val="hybridMultilevel"/>
    <w:lvl w:ilvl="0">
      <w:lvlJc w:val="left"/>
      <w:lvlText w:val="%1"/>
      <w:numFmt w:val="decimal"/>
      <w:start w:val="1"/>
    </w:lvl>
    <w:lvl w:ilvl="1">
      <w:lvlJc w:val="left"/>
      <w:lvlText w:val="%2"/>
      <w:numFmt w:val="decimal"/>
      <w:start w:val="1"/>
    </w:lvl>
    <w:lvl w:ilvl="2">
      <w:lvlJc w:val="left"/>
      <w:lvlText w:val="%3."/>
      <w:numFmt w:val="decimal"/>
      <w:start w:val="17"/>
    </w:lvl>
  </w:abstractNum>
  <w:abstractNum w:abstractNumId="41">
    <w:nsid w:val="23F9C13C"/>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42">
    <w:nsid w:val="649BB77C"/>
    <w:multiLevelType w:val="hybridMultilevel"/>
    <w:lvl w:ilvl="0">
      <w:lvlJc w:val="left"/>
      <w:lvlText w:val="%1."/>
      <w:numFmt w:val="decimal"/>
      <w:start w:val="19"/>
    </w:lvl>
    <w:lvl w:ilvl="1">
      <w:lvlJc w:val="left"/>
      <w:lvlText w:val="%2"/>
      <w:numFmt w:val="decimal"/>
      <w:start w:val="1"/>
    </w:lvl>
    <w:lvl w:ilvl="2">
      <w:lvlJc w:val="left"/>
      <w:lvlText w:val="%3"/>
      <w:numFmt w:val="decimal"/>
      <w:start w:val="1"/>
    </w:lvl>
  </w:abstractNum>
  <w:abstractNum w:abstractNumId="43">
    <w:nsid w:val="275AC794"/>
    <w:multiLevelType w:val="hybridMultilevel"/>
    <w:lvl w:ilvl="0">
      <w:lvlJc w:val="left"/>
      <w:lvlText w:val="%1."/>
      <w:numFmt w:val="decimal"/>
      <w:start w:val="20"/>
    </w:lvl>
  </w:abstractNum>
  <w:abstractNum w:abstractNumId="44">
    <w:nsid w:val="39386575"/>
    <w:multiLevelType w:val="hybridMultilevel"/>
    <w:lvl w:ilvl="0">
      <w:lvlJc w:val="left"/>
      <w:lvlText w:val="%1."/>
      <w:numFmt w:val="decimal"/>
      <w:start w:val="1"/>
    </w:lvl>
    <w:lvl w:ilvl="1">
      <w:lvlJc w:val="left"/>
      <w:lvlText w:val="%2."/>
      <w:numFmt w:val="decimal"/>
      <w:start w:val="2"/>
    </w:lvl>
  </w:abstractNum>
  <w:abstractNum w:abstractNumId="45">
    <w:nsid w:val="1CF10FD8"/>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lvl w:ilvl="3">
      <w:lvlJc w:val="left"/>
      <w:lvlText w:val="%4"/>
      <w:numFmt w:val="upperLetter"/>
      <w:start w:val="1"/>
    </w:lvl>
    <w:lvl w:ilvl="4">
      <w:lvlJc w:val="left"/>
      <w:lvlText w:val="%5"/>
      <w:numFmt w:val="upperLetter"/>
      <w:start w:val="1"/>
    </w:lvl>
  </w:abstractNum>
  <w:abstractNum w:abstractNumId="46">
    <w:nsid w:val="180115BE"/>
    <w:multiLevelType w:val="hybridMultilevel"/>
    <w:lvl w:ilvl="0">
      <w:lvlJc w:val="left"/>
      <w:lvlText w:val="%1."/>
      <w:numFmt w:val="decimal"/>
      <w:start w:val="4"/>
    </w:lvl>
    <w:lvl w:ilvl="1">
      <w:lvlJc w:val="left"/>
      <w:lvlText w:val="%2"/>
      <w:numFmt w:val="decimal"/>
      <w:start w:val="1"/>
    </w:lvl>
    <w:lvl w:ilvl="2">
      <w:lvlJc w:val="left"/>
      <w:lvlText w:val="%3."/>
      <w:numFmt w:val="decimal"/>
      <w:start w:val="5"/>
    </w:lvl>
    <w:lvl w:ilvl="3">
      <w:lvlJc w:val="left"/>
      <w:lvlText w:val="%4"/>
      <w:numFmt w:val="upperLetter"/>
      <w:start w:val="1"/>
    </w:lvl>
    <w:lvl w:ilvl="4">
      <w:lvlJc w:val="left"/>
      <w:lvlText w:val="%5"/>
      <w:numFmt w:val="upperLetter"/>
      <w:start w:val="1"/>
    </w:lvl>
  </w:abstractNum>
  <w:abstractNum w:abstractNumId="47">
    <w:nsid w:val="235BA861"/>
    <w:multiLevelType w:val="hybridMultilevel"/>
    <w:lvl w:ilvl="0">
      <w:lvlJc w:val="left"/>
      <w:lvlText w:val="%1."/>
      <w:numFmt w:val="decimal"/>
      <w:start w:val="6"/>
    </w:lvl>
    <w:lvl w:ilvl="1">
      <w:lvlJc w:val="left"/>
      <w:lvlText w:val="%2."/>
      <w:numFmt w:val="decimal"/>
      <w:start w:val="7"/>
    </w:lvl>
    <w:lvl w:ilvl="2">
      <w:lvlJc w:val="left"/>
      <w:lvlText w:val="%3."/>
      <w:numFmt w:val="decimal"/>
      <w:start w:val="8"/>
    </w:lvl>
  </w:abstractNum>
  <w:abstractNum w:abstractNumId="48">
    <w:nsid w:val="47398C89"/>
    <w:multiLevelType w:val="hybridMultilevel"/>
    <w:lvl w:ilvl="0">
      <w:lvlJc w:val="left"/>
      <w:lvlText w:val="%1."/>
      <w:numFmt w:val="decimal"/>
      <w:start w:val="9"/>
    </w:lvl>
  </w:abstractNum>
  <w:abstractNum w:abstractNumId="49">
    <w:nsid w:val="354FE9F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0"/>
    </w:lvl>
  </w:abstractNum>
  <w:abstractNum w:abstractNumId="50">
    <w:nsid w:val="15B5AF5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11"/>
    </w:lvl>
    <w:lvl w:ilvl="4">
      <w:lvlJc w:val="left"/>
      <w:lvlText w:val="%5"/>
      <w:numFmt w:val="decimal"/>
      <w:start w:val="1"/>
    </w:lvl>
  </w:abstractNum>
  <w:abstractNum w:abstractNumId="51">
    <w:nsid w:val="741226B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2"/>
    </w:lvl>
    <w:lvl w:ilvl="3">
      <w:lvlJc w:val="left"/>
      <w:lvlText w:val="%4"/>
      <w:numFmt w:val="decimal"/>
      <w:start w:val="1"/>
    </w:lvl>
    <w:lvl w:ilvl="4">
      <w:lvlJc w:val="left"/>
      <w:lvlText w:val="%5"/>
      <w:numFmt w:val="decimal"/>
      <w:start w:val="1"/>
    </w:lvl>
  </w:abstractNum>
  <w:abstractNum w:abstractNumId="52">
    <w:nsid w:val="D34B6A8"/>
    <w:multiLevelType w:val="hybridMultilevel"/>
    <w:lvl w:ilvl="0">
      <w:lvlJc w:val="left"/>
      <w:lvlText w:val="%1"/>
      <w:numFmt w:val="lowerLetter"/>
      <w:start w:val="1"/>
    </w:lvl>
    <w:lvl w:ilvl="1">
      <w:lvlJc w:val="left"/>
      <w:lvlText w:val="%2."/>
      <w:numFmt w:val="decimal"/>
      <w:start w:val="13"/>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53">
    <w:nsid w:val="10233C99"/>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54">
    <w:nsid w:val="3F6AB60F"/>
    <w:multiLevelType w:val="hybridMultilevel"/>
    <w:lvl w:ilvl="0">
      <w:lvlJc w:val="left"/>
      <w:lvlText w:val="%1"/>
      <w:numFmt w:val="decimal"/>
      <w:start w:val="1"/>
    </w:lvl>
    <w:lvl w:ilvl="1">
      <w:lvlJc w:val="left"/>
      <w:lvlText w:val="%2."/>
      <w:numFmt w:val="decimal"/>
      <w:start w:val="15"/>
    </w:lvl>
  </w:abstractNum>
  <w:abstractNum w:abstractNumId="55">
    <w:nsid w:val="61574095"/>
    <w:multiLevelType w:val="hybridMultilevel"/>
    <w:lvl w:ilvl="0">
      <w:lvlJc w:val="left"/>
      <w:lvlText w:val="%1."/>
      <w:numFmt w:val="decimal"/>
      <w:start w:val="16"/>
    </w:lvl>
    <w:lvl w:ilvl="1">
      <w:lvlJc w:val="left"/>
      <w:lvlText w:val="%2"/>
      <w:numFmt w:val="decimal"/>
      <w:start w:val="1"/>
    </w:lvl>
  </w:abstractNum>
  <w:abstractNum w:abstractNumId="56">
    <w:nsid w:val="7E0C57B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8"/>
    </w:lvl>
  </w:abstractNum>
  <w:abstractNum w:abstractNumId="57">
    <w:nsid w:val="77AE35EB"/>
    <w:multiLevelType w:val="hybridMultilevel"/>
    <w:lvl w:ilvl="0">
      <w:lvlJc w:val="left"/>
      <w:lvlText w:val="%1."/>
      <w:numFmt w:val="decimal"/>
      <w:start w:val="20"/>
    </w:lvl>
    <w:lvl w:ilvl="1">
      <w:lvlJc w:val="left"/>
      <w:lvlText w:val="%2."/>
      <w:numFmt w:val="decimal"/>
      <w:start w:val="21"/>
    </w:lvl>
    <w:lvl w:ilvl="2">
      <w:lvlJc w:val="left"/>
      <w:lvlText w:val="%3."/>
      <w:numFmt w:val="decimal"/>
      <w:start w:val="22"/>
    </w:lvl>
    <w:lvl w:ilvl="3">
      <w:lvlJc w:val="left"/>
      <w:lvlText w:val="%4"/>
      <w:numFmt w:val="decimal"/>
      <w:start w:val="1"/>
    </w:lvl>
  </w:abstractNum>
  <w:abstractNum w:abstractNumId="58">
    <w:nsid w:val="579BE4F1"/>
    <w:multiLevelType w:val="hybridMultilevel"/>
    <w:lvl w:ilvl="0">
      <w:lvlJc w:val="left"/>
      <w:lvlText w:val="%1"/>
      <w:numFmt w:val="decimal"/>
      <w:start w:val="1"/>
    </w:lvl>
    <w:lvl w:ilvl="1">
      <w:lvlJc w:val="left"/>
      <w:lvlText w:val="%2."/>
      <w:numFmt w:val="decimal"/>
      <w:start w:val="24"/>
    </w:lvl>
    <w:lvl w:ilvl="2">
      <w:lvlJc w:val="left"/>
      <w:lvlText w:val="%3."/>
      <w:numFmt w:val="decimal"/>
      <w:start w:val="25"/>
    </w:lvl>
  </w:abstractNum>
  <w:abstractNum w:abstractNumId="59">
    <w:nsid w:val="310C50B3"/>
    <w:multiLevelType w:val="hybridMultilevel"/>
    <w:lvl w:ilvl="0">
      <w:lvlJc w:val="left"/>
      <w:lvlText w:val="%1."/>
      <w:numFmt w:val="decimal"/>
      <w:start w:val="26"/>
    </w:lvl>
    <w:lvl w:ilvl="1">
      <w:lvlJc w:val="left"/>
      <w:lvlText w:val="%2"/>
      <w:numFmt w:val="decimal"/>
      <w:start w:val="1"/>
    </w:lvl>
    <w:lvl w:ilvl="2">
      <w:lvlJc w:val="left"/>
      <w:lvlText w:val="%3"/>
      <w:numFmt w:val="decimal"/>
      <w:start w:val="1"/>
    </w:lvl>
  </w:abstractNum>
  <w:abstractNum w:abstractNumId="60">
    <w:nsid w:val="5FF87E05"/>
    <w:multiLevelType w:val="hybridMultilevel"/>
    <w:lvl w:ilvl="0">
      <w:lvlJc w:val="left"/>
      <w:lvlText w:val="%1"/>
      <w:numFmt w:val="decimal"/>
      <w:start w:val="1"/>
    </w:lvl>
    <w:lvl w:ilvl="1">
      <w:lvlJc w:val="left"/>
      <w:lvlText w:val="%2."/>
      <w:numFmt w:val="decimal"/>
      <w:start w:val="27"/>
    </w:lvl>
    <w:lvl w:ilvl="2">
      <w:lvlJc w:val="left"/>
      <w:lvlText w:val="%3."/>
      <w:numFmt w:val="decimal"/>
      <w:start w:val="28"/>
    </w:lvl>
  </w:abstractNum>
  <w:abstractNum w:abstractNumId="61">
    <w:nsid w:val="2F305DEF"/>
    <w:multiLevelType w:val="hybridMultilevel"/>
    <w:lvl w:ilvl="0">
      <w:lvlJc w:val="left"/>
      <w:lvlText w:val="%1."/>
      <w:numFmt w:val="decimal"/>
      <w:start w:val="29"/>
    </w:lvl>
    <w:lvl w:ilvl="1">
      <w:lvlJc w:val="left"/>
      <w:lvlText w:val="%2"/>
      <w:numFmt w:val="decimal"/>
      <w:start w:val="1"/>
    </w:lvl>
    <w:lvl w:ilvl="2">
      <w:lvlJc w:val="left"/>
      <w:lvlText w:val="%3"/>
      <w:numFmt w:val="decimal"/>
      <w:start w:val="1"/>
    </w:lvl>
  </w:abstractNum>
  <w:abstractNum w:abstractNumId="62">
    <w:nsid w:val="25A70BF7"/>
    <w:multiLevelType w:val="hybridMultilevel"/>
    <w:lvl w:ilvl="0">
      <w:lvlJc w:val="left"/>
      <w:lvlText w:val="%1."/>
      <w:numFmt w:val="upperLetter"/>
      <w:start w:val="1"/>
    </w:lvl>
  </w:abstractNum>
  <w:abstractNum w:abstractNumId="63">
    <w:nsid w:val="1DBABF00"/>
    <w:multiLevelType w:val="hybridMultilevel"/>
    <w:lvl w:ilvl="0">
      <w:lvlJc w:val="left"/>
      <w:lvlText w:val="%1."/>
      <w:numFmt w:val="upperLetter"/>
      <w:start w:val="2"/>
    </w:lvl>
  </w:abstractNum>
  <w:abstractNum w:abstractNumId="64">
    <w:nsid w:val="4AD084E9"/>
    <w:multiLevelType w:val="hybridMultilevel"/>
    <w:lvl w:ilvl="0">
      <w:lvlJc w:val="left"/>
      <w:lvlText w:val="%1."/>
      <w:numFmt w:val="upperLetter"/>
      <w:start w:val="9"/>
    </w:lvl>
    <w:lvl w:ilvl="1">
      <w:lvlJc w:val="left"/>
      <w:lvlText w:val="%2."/>
      <w:numFmt w:val="upperLetter"/>
      <w:start w:val="10"/>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2019-12-10T09:49:14Z</dcterms:created>
  <dcterms:modified xsi:type="dcterms:W3CDTF">2019-12-10T09:49:14Z</dcterms:modified>
</cp:coreProperties>
</file>