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December 21, 2011 (December 19, 2011)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374015</wp:posOffset>
            </wp:positionH>
            <wp:positionV relativeFrom="paragraph">
              <wp:posOffset>19685</wp:posOffset>
            </wp:positionV>
            <wp:extent cx="651764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6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REGENERON 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1454150</wp:posOffset>
            </wp:positionH>
            <wp:positionV relativeFrom="paragraph">
              <wp:posOffset>23495</wp:posOffset>
            </wp:positionV>
            <wp:extent cx="434784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8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Charter)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2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New York</w:t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000-19034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13-3444607</w:t>
            </w:r>
          </w:p>
        </w:tc>
      </w:tr>
      <w:tr>
        <w:trPr>
          <w:trHeight w:val="228"/>
        </w:trPr>
        <w:tc>
          <w:tcPr>
            <w:tcW w:w="2880" w:type="dxa"/>
            <w:vAlign w:val="bottom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(State or other jurisdiction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gridSpan w:val="4"/>
          </w:tcPr>
          <w:p>
            <w:pPr>
              <w:jc w:val="center"/>
              <w:ind w:righ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(Commission File No.)</w:t>
            </w:r>
          </w:p>
        </w:tc>
        <w:tc>
          <w:tcPr>
            <w:tcW w:w="314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(IRS Employer Identification No.)</w:t>
            </w:r>
          </w:p>
        </w:tc>
      </w:tr>
      <w:tr>
        <w:trPr>
          <w:trHeight w:val="243"/>
        </w:trPr>
        <w:tc>
          <w:tcPr>
            <w:tcW w:w="2880" w:type="dxa"/>
            <w:vAlign w:val="bottom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Incorporation)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495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777 Old Saw Mill River Road, Tarrytown, New York 10591-6707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20" w:type="dxa"/>
            <w:vAlign w:val="bottom"/>
            <w:gridSpan w:val="5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(Address of principal executive offices, including zip code)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95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(914) 347-7000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720" w:type="dxa"/>
            <w:vAlign w:val="bottom"/>
            <w:gridSpan w:val="5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(Registrant's telephone number, including area code)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7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380" w:hanging="372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240665</wp:posOffset>
            </wp:positionV>
            <wp:extent cx="7267575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692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7.01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Regulation FD Disclosure.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firstLine="27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Regeneron was informed by Sanofi that on December 19, 2011, Sanofi voluntarily withdrew, and plans to re-submit in early 2012, the Biologics License Application (BLA) it submitted to the U.S. Food and Drug Administration (FDA) for marketing approval of ZALTRAP</w:t>
      </w:r>
      <w:r>
        <w:rPr>
          <w:rFonts w:ascii="Arial" w:cs="Arial" w:eastAsia="Arial" w:hAnsi="Arial"/>
          <w:sz w:val="28"/>
          <w:szCs w:val="28"/>
          <w:color w:val="auto"/>
          <w:vertAlign w:val="superscript"/>
        </w:rPr>
        <w:t>®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(aflibercept) in previously treated metastatic colorectal cancer. The withdrawal was based upon comments from the FDA on the Chemistry, Manufacturing and Controls section of the BLA for ZALTRAP</w:t>
      </w:r>
      <w:r>
        <w:rPr>
          <w:rFonts w:ascii="Arial" w:cs="Arial" w:eastAsia="Arial" w:hAnsi="Arial"/>
          <w:sz w:val="28"/>
          <w:szCs w:val="28"/>
          <w:color w:val="auto"/>
          <w:vertAlign w:val="superscript"/>
        </w:rPr>
        <w:t>®</w:t>
      </w:r>
      <w:r>
        <w:rPr>
          <w:rFonts w:ascii="Arial" w:cs="Arial" w:eastAsia="Arial" w:hAnsi="Arial"/>
          <w:sz w:val="17"/>
          <w:szCs w:val="17"/>
          <w:color w:val="auto"/>
        </w:rPr>
        <w:t>. ZALTRAP</w:t>
      </w:r>
      <w:r>
        <w:rPr>
          <w:rFonts w:ascii="Arial" w:cs="Arial" w:eastAsia="Arial" w:hAnsi="Arial"/>
          <w:sz w:val="28"/>
          <w:szCs w:val="28"/>
          <w:color w:val="auto"/>
          <w:vertAlign w:val="superscript"/>
        </w:rPr>
        <w:t>®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is being developed in a worldwide collaboration by Regeneron and Sanofi.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56515</wp:posOffset>
            </wp:positionV>
            <wp:extent cx="7267575" cy="2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60"/>
          </w:cols>
          <w:pgMar w:left="240" w:top="584" w:right="599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firstLine="27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December 21,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REGENERON PHARMACEUTICALS,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5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Joseph J. LaRosa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3829685</wp:posOffset>
            </wp:positionH>
            <wp:positionV relativeFrom="paragraph">
              <wp:posOffset>19685</wp:posOffset>
            </wp:positionV>
            <wp:extent cx="3422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5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Joseph J. LaRosa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5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 Senior Vice President, General Counsel and 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240665</wp:posOffset>
            </wp:positionV>
            <wp:extent cx="7267575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00"/>
      </w:cols>
      <w:pgMar w:left="240" w:top="590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o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2019-12-10T10:26:33Z</dcterms:created>
  <dcterms:modified xsi:type="dcterms:W3CDTF">2019-12-10T10:26:33Z</dcterms:modified>
</cp:coreProperties>
</file>