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SCHEDULE 14A</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(Rule 14a-101)</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INFORMATION REQUIRED IN PROXY STATEMENT</w:t>
      </w:r>
    </w:p>
    <w:p>
      <w:pPr>
        <w:spacing w:after="0" w:line="27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SCHEDULE 14A INFORMATION</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Securities Exchange Act of 1934 (Amendment No. )</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[_]</w:t>
      </w:r>
    </w:p>
    <w:p>
      <w:pPr>
        <w:sectPr>
          <w:pgSz w:w="11900" w:h="16838" w:orient="portrait"/>
          <w:cols w:equalWidth="0" w:num="1">
            <w:col w:w="10219"/>
          </w:cols>
          <w:pgMar w:left="240" w:top="482" w:right="1440" w:bottom="1440" w:gutter="0" w:footer="0" w:header="0"/>
        </w:sect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[_] Preliminary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Confidential, For Use of the</w:t>
      </w:r>
    </w:p>
    <w:p>
      <w:pPr>
        <w:spacing w:after="0" w:line="9" w:lineRule="exact"/>
        <w:rPr>
          <w:sz w:val="24"/>
          <w:szCs w:val="24"/>
          <w:color w:val="auto"/>
        </w:rPr>
      </w:pPr>
    </w:p>
    <w:p>
      <w:pPr>
        <w:ind w:left="320"/>
        <w:spacing w:after="0"/>
        <w:rPr>
          <w:sz w:val="20"/>
          <w:szCs w:val="20"/>
          <w:color w:val="auto"/>
        </w:rPr>
      </w:pPr>
      <w:r>
        <w:rPr>
          <w:rFonts w:ascii="Arial" w:cs="Arial" w:eastAsia="Arial" w:hAnsi="Arial"/>
          <w:sz w:val="16"/>
          <w:szCs w:val="16"/>
          <w:color w:val="auto"/>
        </w:rPr>
        <w:t>Commission Only (as permitted</w:t>
      </w:r>
    </w:p>
    <w:p>
      <w:pPr>
        <w:spacing w:after="0" w:line="3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by Rule 14a-6(e)(2))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Definitive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[x] Definitive Additional Materials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[_] Soliciting Material Under Rule</w:t>
      </w:r>
    </w:p>
    <w:p>
      <w:pPr>
        <w:spacing w:after="0" w:line="3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14a-12</w:t>
      </w:r>
    </w:p>
    <w:p>
      <w:pPr>
        <w:spacing w:after="0" w:line="1041" w:lineRule="exact"/>
        <w:rPr>
          <w:sz w:val="24"/>
          <w:szCs w:val="24"/>
          <w:color w:val="auto"/>
        </w:rPr>
      </w:pPr>
    </w:p>
    <w:p>
      <w:pPr>
        <w:sectPr>
          <w:pgSz w:w="11900" w:h="16838" w:orient="portrait"/>
          <w:cols w:equalWidth="0" w:num="2">
            <w:col w:w="2560" w:space="560"/>
            <w:col w:w="7099"/>
          </w:cols>
          <w:pgMar w:left="240" w:top="482" w:right="1440" w:bottom="1440" w:gutter="0" w:footer="0" w:header="0"/>
          <w:type w:val="continuous"/>
        </w:sectPr>
      </w:pPr>
    </w:p>
    <w:p>
      <w:pPr>
        <w:spacing w:after="0" w:line="6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6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7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Fee computed on table below per Exchange Act Rules 14a-6(i)(4) and 0-11.</w:t>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1) Title of each class of securities to which transaction applies:</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 w:lineRule="exact"/>
        <w:rPr>
          <w:rFonts w:ascii="Arial" w:cs="Arial" w:eastAsia="Arial" w:hAnsi="Arial"/>
          <w:sz w:val="18"/>
          <w:szCs w:val="18"/>
          <w:color w:val="auto"/>
        </w:rPr>
      </w:pPr>
    </w:p>
    <w:p>
      <w:pPr>
        <w:ind w:left="220" w:right="1919" w:hanging="212"/>
        <w:spacing w:after="0" w:line="281" w:lineRule="auto"/>
        <w:tabs>
          <w:tab w:leader="none" w:pos="234"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5) Total fee paid:</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[_] Fee paid previously with preliminary materials:</w:t>
      </w:r>
    </w:p>
    <w:p>
      <w:pPr>
        <w:spacing w:after="0" w:line="36" w:lineRule="exact"/>
        <w:rPr>
          <w:sz w:val="24"/>
          <w:szCs w:val="24"/>
          <w:color w:val="auto"/>
        </w:rPr>
      </w:pPr>
    </w:p>
    <w:p>
      <w:pPr>
        <w:ind w:left="280" w:right="1579" w:hanging="262"/>
        <w:spacing w:after="0" w:line="273" w:lineRule="auto"/>
        <w:rPr>
          <w:sz w:val="20"/>
          <w:szCs w:val="20"/>
          <w:color w:val="auto"/>
        </w:rPr>
      </w:pPr>
      <w:r>
        <w:rPr>
          <w:rFonts w:ascii="Arial" w:cs="Arial" w:eastAsia="Arial" w:hAnsi="Arial"/>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1) Amount previously paid:</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80"/>
        <w:spacing w:after="0"/>
        <w:rPr>
          <w:sz w:val="20"/>
          <w:szCs w:val="20"/>
          <w:color w:val="auto"/>
        </w:rPr>
      </w:pPr>
      <w:r>
        <w:rPr>
          <w:rFonts w:ascii="Arial" w:cs="Arial" w:eastAsia="Arial" w:hAnsi="Arial"/>
          <w:sz w:val="18"/>
          <w:szCs w:val="18"/>
          <w:color w:val="auto"/>
        </w:rPr>
        <w:t>2) Form, Schedule or Registration Statement No.:</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3) Filing Party:</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482" w:right="1440" w:bottom="1440" w:gutter="0" w:footer="0" w:header="0"/>
          <w:type w:val="continuous"/>
        </w:sectPr>
      </w:pPr>
    </w:p>
    <w:bookmarkStart w:id="1" w:name="page2"/>
    <w:bookmarkEnd w:id="1"/>
    <w:p>
      <w:pPr>
        <w:jc w:val="center"/>
        <w:ind w:right="240"/>
        <w:spacing w:after="0"/>
        <w:rPr>
          <w:sz w:val="20"/>
          <w:szCs w:val="20"/>
          <w:color w:val="auto"/>
        </w:rPr>
      </w:pPr>
      <w:r>
        <w:rPr>
          <w:rFonts w:ascii="Arial" w:cs="Arial" w:eastAsia="Arial" w:hAnsi="Arial"/>
          <w:sz w:val="32"/>
          <w:szCs w:val="32"/>
          <w:b w:val="1"/>
          <w:bCs w:val="1"/>
          <w:color w:val="auto"/>
        </w:rPr>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34" w:lineRule="exact"/>
        <w:rPr>
          <w:sz w:val="20"/>
          <w:szCs w:val="20"/>
          <w:color w:val="auto"/>
        </w:rPr>
      </w:pPr>
    </w:p>
    <w:p>
      <w:pPr>
        <w:jc w:val="center"/>
        <w:ind w:right="240"/>
        <w:spacing w:after="0"/>
        <w:rPr>
          <w:sz w:val="20"/>
          <w:szCs w:val="20"/>
          <w:color w:val="auto"/>
        </w:rPr>
      </w:pPr>
      <w:r>
        <w:rPr>
          <w:rFonts w:ascii="Arial" w:cs="Arial" w:eastAsia="Arial" w:hAnsi="Arial"/>
          <w:sz w:val="19"/>
          <w:szCs w:val="19"/>
          <w:b w:val="1"/>
          <w:bCs w:val="1"/>
          <w:color w:val="auto"/>
        </w:rPr>
        <w:t>Important Notice Regarding the Availability of Proxy Materials for the</w:t>
      </w:r>
    </w:p>
    <w:p>
      <w:pPr>
        <w:spacing w:after="0" w:line="25"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Shareholder Meeting to Be Held on June 08,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150495</wp:posOffset>
            </wp:positionV>
            <wp:extent cx="3473450" cy="1509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3450" cy="1509395"/>
                    </a:xfrm>
                    <a:prstGeom prst="rect">
                      <a:avLst/>
                    </a:prstGeom>
                    <a:noFill/>
                  </pic:spPr>
                </pic:pic>
              </a:graphicData>
            </a:graphic>
          </wp:anchor>
        </w:drawing>
      </w:r>
    </w:p>
    <w:p>
      <w:pPr>
        <w:sectPr>
          <w:pgSz w:w="11900" w:h="16838" w:orient="portrait"/>
          <w:cols w:equalWidth="0" w:num="1">
            <w:col w:w="11180"/>
          </w:cols>
          <w:pgMar w:left="480" w:top="5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440"/>
        <w:spacing w:after="0"/>
        <w:rPr>
          <w:sz w:val="20"/>
          <w:szCs w:val="20"/>
          <w:color w:val="auto"/>
        </w:rPr>
      </w:pPr>
      <w:r>
        <w:rPr>
          <w:rFonts w:ascii="Arial" w:cs="Arial" w:eastAsia="Arial" w:hAnsi="Arial"/>
          <w:sz w:val="22"/>
          <w:szCs w:val="22"/>
          <w:b w:val="1"/>
          <w:bCs w:val="1"/>
          <w:i w:val="1"/>
          <w:i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REGENERON PHARMACEUTICALS, INC.</w:t>
      </w:r>
    </w:p>
    <w:p>
      <w:pPr>
        <w:spacing w:after="0" w:line="221" w:lineRule="auto"/>
        <w:rPr>
          <w:sz w:val="20"/>
          <w:szCs w:val="20"/>
          <w:color w:val="auto"/>
        </w:rPr>
      </w:pPr>
      <w:r>
        <w:rPr>
          <w:rFonts w:ascii="Arial" w:cs="Arial" w:eastAsia="Arial" w:hAnsi="Arial"/>
          <w:sz w:val="14"/>
          <w:szCs w:val="14"/>
          <w:i w:val="1"/>
          <w:iCs w:val="1"/>
          <w:color w:val="auto"/>
        </w:rPr>
        <w:t>777 OLD SAW MILL RIVER ROAD</w:t>
      </w:r>
    </w:p>
    <w:p>
      <w:pPr>
        <w:spacing w:after="0"/>
        <w:rPr>
          <w:sz w:val="20"/>
          <w:szCs w:val="20"/>
          <w:color w:val="auto"/>
        </w:rPr>
      </w:pPr>
      <w:r>
        <w:rPr>
          <w:rFonts w:ascii="Arial" w:cs="Arial" w:eastAsia="Arial" w:hAnsi="Arial"/>
          <w:sz w:val="14"/>
          <w:szCs w:val="14"/>
          <w:i w:val="1"/>
          <w:iCs w:val="1"/>
          <w:color w:val="auto"/>
        </w:rPr>
        <w:t>TARRYTOWN, NY 10591-6707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1226185</wp:posOffset>
            </wp:positionV>
            <wp:extent cx="146050" cy="1046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 cy="1046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1760"/>
        <w:spacing w:after="0"/>
        <w:rPr>
          <w:sz w:val="20"/>
          <w:szCs w:val="20"/>
          <w:color w:val="auto"/>
        </w:rPr>
      </w:pPr>
      <w:r>
        <w:rPr>
          <w:rFonts w:ascii="Arial" w:cs="Arial" w:eastAsia="Arial" w:hAnsi="Arial"/>
          <w:sz w:val="22"/>
          <w:szCs w:val="22"/>
          <w:b w:val="1"/>
          <w:bCs w:val="1"/>
          <w:u w:val="single" w:color="auto"/>
          <w:color w:val="auto"/>
        </w:rPr>
        <w:t>Meeting Information</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Meeting Type: </w:t>
      </w:r>
      <w:r>
        <w:rPr>
          <w:rFonts w:ascii="Arial" w:cs="Arial" w:eastAsia="Arial" w:hAnsi="Arial"/>
          <w:sz w:val="18"/>
          <w:szCs w:val="18"/>
          <w:color w:val="auto"/>
        </w:rPr>
        <w:t>Annual Meeting</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April 11, 2012</w:t>
      </w:r>
    </w:p>
    <w:p>
      <w:pPr>
        <w:spacing w:after="0" w:line="50" w:lineRule="exact"/>
        <w:rPr>
          <w:sz w:val="20"/>
          <w:szCs w:val="20"/>
          <w:color w:val="auto"/>
        </w:rPr>
      </w:pPr>
    </w:p>
    <w:p>
      <w:pPr>
        <w:ind w:left="120"/>
        <w:spacing w:after="0"/>
        <w:tabs>
          <w:tab w:leader="none" w:pos="176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June 08, 2012</w:t>
      </w:r>
      <w:r>
        <w:rPr>
          <w:sz w:val="20"/>
          <w:szCs w:val="20"/>
          <w:color w:val="auto"/>
        </w:rPr>
        <w:tab/>
      </w:r>
      <w:r>
        <w:rPr>
          <w:rFonts w:ascii="Arial" w:cs="Arial" w:eastAsia="Arial" w:hAnsi="Arial"/>
          <w:sz w:val="17"/>
          <w:szCs w:val="17"/>
          <w:b w:val="1"/>
          <w:bCs w:val="1"/>
          <w:color w:val="auto"/>
        </w:rPr>
        <w:t xml:space="preserve">Time: </w:t>
      </w:r>
      <w:r>
        <w:rPr>
          <w:rFonts w:ascii="Arial" w:cs="Arial" w:eastAsia="Arial" w:hAnsi="Arial"/>
          <w:sz w:val="17"/>
          <w:szCs w:val="17"/>
          <w:color w:val="auto"/>
        </w:rPr>
        <w:t>10:30 AM EDT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Westchester Marriott Hotel</w:t>
      </w:r>
    </w:p>
    <w:p>
      <w:pPr>
        <w:spacing w:after="0" w:line="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670 White Plains Road</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Tarrytown, New York 10591</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Meeting Directions go to:</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www.regeneron.com</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3477260" cy="364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7260" cy="364490"/>
                    </a:xfrm>
                    <a:prstGeom prst="rect">
                      <a:avLst/>
                    </a:prstGeom>
                    <a:noFill/>
                  </pic:spPr>
                </pic:pic>
              </a:graphicData>
            </a:graphic>
          </wp:anchor>
        </w:drawing>
      </w:r>
    </w:p>
    <w:p>
      <w:pPr>
        <w:spacing w:after="0" w:line="65" w:lineRule="exact"/>
        <w:rPr>
          <w:sz w:val="20"/>
          <w:szCs w:val="20"/>
          <w:color w:val="auto"/>
        </w:rPr>
      </w:pPr>
    </w:p>
    <w:p>
      <w:pPr>
        <w:ind w:left="60" w:right="80"/>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1000760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980" w:space="720"/>
            <w:col w:w="5480"/>
          </w:cols>
          <w:pgMar w:left="480" w:top="585" w:right="239" w:bottom="1440" w:gutter="0" w:footer="0" w:header="0"/>
          <w:type w:val="continuous"/>
        </w:sectPr>
      </w:pPr>
    </w:p>
    <w:bookmarkStart w:id="2" w:name="page3"/>
    <w:bookmarkEnd w:id="2"/>
    <w:p>
      <w:pPr>
        <w:ind w:left="3285"/>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32"/>
          <w:szCs w:val="32"/>
          <w:b w:val="1"/>
          <w:bCs w:val="1"/>
          <w:color w:val="auto"/>
        </w:rPr>
        <w:t>Before You Vote</w:t>
      </w:r>
      <w:r>
        <w:rPr>
          <w:rFonts w:ascii="Arial" w:cs="Arial" w:eastAsia="Arial" w:hAnsi="Arial"/>
          <w:sz w:val="22"/>
          <w:szCs w:val="22"/>
          <w:color w:val="auto"/>
        </w:rPr>
        <w:t xml:space="preserve"> ——</w:t>
      </w:r>
    </w:p>
    <w:p>
      <w:pPr>
        <w:spacing w:after="0" w:line="34" w:lineRule="exact"/>
        <w:rPr>
          <w:sz w:val="20"/>
          <w:szCs w:val="20"/>
          <w:color w:val="auto"/>
        </w:rPr>
      </w:pPr>
    </w:p>
    <w:p>
      <w:pPr>
        <w:ind w:left="3445"/>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6740525" cy="2409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2409825"/>
                    </a:xfrm>
                    <a:prstGeom prst="rect">
                      <a:avLst/>
                    </a:prstGeom>
                    <a:noFill/>
                  </pic:spPr>
                </pic:pic>
              </a:graphicData>
            </a:graphic>
          </wp:anchor>
        </w:drawing>
      </w:r>
    </w:p>
    <w:p>
      <w:pPr>
        <w:spacing w:after="0" w:line="4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1" w:lineRule="exact"/>
        <w:rPr>
          <w:sz w:val="20"/>
          <w:szCs w:val="20"/>
          <w:color w:val="auto"/>
        </w:rPr>
      </w:pPr>
    </w:p>
    <w:p>
      <w:pPr>
        <w:ind w:left="5"/>
        <w:spacing w:after="0"/>
        <w:tabs>
          <w:tab w:leader="none" w:pos="2325" w:val="left"/>
        </w:tabs>
        <w:rPr>
          <w:sz w:val="20"/>
          <w:szCs w:val="20"/>
          <w:color w:val="auto"/>
        </w:rPr>
      </w:pPr>
      <w:r>
        <w:rPr>
          <w:rFonts w:ascii="Arial" w:cs="Arial" w:eastAsia="Arial" w:hAnsi="Arial"/>
          <w:sz w:val="18"/>
          <w:szCs w:val="18"/>
          <w:color w:val="auto"/>
        </w:rPr>
        <w:t>1. Notice &amp; Proxy Statement</w:t>
      </w:r>
      <w:r>
        <w:rPr>
          <w:sz w:val="20"/>
          <w:szCs w:val="20"/>
          <w:color w:val="auto"/>
        </w:rPr>
        <w:tab/>
      </w:r>
      <w:r>
        <w:rPr>
          <w:rFonts w:ascii="Arial" w:cs="Arial" w:eastAsia="Arial" w:hAnsi="Arial"/>
          <w:sz w:val="15"/>
          <w:szCs w:val="15"/>
          <w:color w:val="auto"/>
        </w:rPr>
        <w:t>2. Annual Report</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How to View Online:</w:t>
      </w:r>
    </w:p>
    <w:p>
      <w:pPr>
        <w:spacing w:after="0" w:line="9" w:lineRule="exact"/>
        <w:rPr>
          <w:sz w:val="20"/>
          <w:szCs w:val="20"/>
          <w:color w:val="auto"/>
        </w:rPr>
      </w:pPr>
    </w:p>
    <w:p>
      <w:pPr>
        <w:ind w:left="5"/>
        <w:spacing w:after="0"/>
        <w:tabs>
          <w:tab w:leader="none" w:pos="5425" w:val="left"/>
        </w:tabs>
        <w:rPr>
          <w:sz w:val="20"/>
          <w:szCs w:val="20"/>
          <w:color w:val="auto"/>
        </w:rPr>
      </w:pPr>
      <w:r>
        <w:rPr>
          <w:rFonts w:ascii="Arial" w:cs="Arial" w:eastAsia="Arial" w:hAnsi="Arial"/>
          <w:sz w:val="18"/>
          <w:szCs w:val="18"/>
          <w:color w:val="auto"/>
        </w:rPr>
        <w:t>Have the information that is printed in the box marked by the arrow</w:t>
        <w:tab/>
        <w:t>è XXXX XXXX XXXX (located on the following page) and visit:</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9" w:lineRule="exact"/>
        <w:rPr>
          <w:sz w:val="20"/>
          <w:szCs w:val="20"/>
          <w:color w:val="auto"/>
        </w:rPr>
      </w:pPr>
    </w:p>
    <w:p>
      <w:pPr>
        <w:ind w:left="5"/>
        <w:spacing w:after="0" w:line="254"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 w:lineRule="exact"/>
        <w:rPr>
          <w:sz w:val="20"/>
          <w:szCs w:val="20"/>
          <w:color w:val="auto"/>
        </w:rPr>
      </w:pPr>
    </w:p>
    <w:p>
      <w:pPr>
        <w:ind w:left="1005" w:hanging="195"/>
        <w:spacing w:after="0"/>
        <w:tabs>
          <w:tab w:leader="none" w:pos="10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r>
        <w:rPr>
          <w:rFonts w:ascii="Arial" w:cs="Arial" w:eastAsia="Arial" w:hAnsi="Arial"/>
          <w:sz w:val="16"/>
          <w:szCs w:val="16"/>
          <w:color w:val="auto"/>
        </w:rPr>
        <w:t>www.proxyvote.com</w:t>
      </w:r>
    </w:p>
    <w:p>
      <w:pPr>
        <w:spacing w:after="0" w:line="22" w:lineRule="exact"/>
        <w:rPr>
          <w:rFonts w:ascii="Arial" w:cs="Arial" w:eastAsia="Arial" w:hAnsi="Arial"/>
          <w:sz w:val="18"/>
          <w:szCs w:val="18"/>
          <w:color w:val="auto"/>
        </w:rPr>
      </w:pPr>
    </w:p>
    <w:p>
      <w:pPr>
        <w:ind w:left="1005" w:hanging="195"/>
        <w:spacing w:after="0"/>
        <w:tabs>
          <w:tab w:leader="none" w:pos="10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23" w:lineRule="exact"/>
        <w:rPr>
          <w:sz w:val="20"/>
          <w:szCs w:val="20"/>
          <w:color w:val="auto"/>
        </w:rPr>
      </w:pPr>
    </w:p>
    <w:p>
      <w:pPr>
        <w:ind w:left="805"/>
        <w:spacing w:after="0"/>
        <w:tabs>
          <w:tab w:leader="none" w:pos="2425" w:val="left"/>
        </w:tabs>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BY E-MAIL</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sendmaterial@proxyvote.com</w:t>
      </w:r>
    </w:p>
    <w:p>
      <w:pPr>
        <w:spacing w:after="0" w:line="15" w:lineRule="exact"/>
        <w:rPr>
          <w:sz w:val="20"/>
          <w:szCs w:val="20"/>
          <w:color w:val="auto"/>
        </w:rPr>
      </w:pPr>
    </w:p>
    <w:p>
      <w:pPr>
        <w:ind w:left="5" w:right="20" w:hanging="5"/>
        <w:spacing w:after="0" w:line="261" w:lineRule="auto"/>
        <w:tabs>
          <w:tab w:leader="none" w:pos="137"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requesting materials by e-mail, please send a blank e-mail with the information that is printed in the box marked by the arrow è XXXX XXXX XXXX (located on the following page) in the subject line.</w:t>
      </w:r>
    </w:p>
    <w:p>
      <w:pPr>
        <w:spacing w:after="0" w:line="192" w:lineRule="exact"/>
        <w:rPr>
          <w:sz w:val="20"/>
          <w:szCs w:val="20"/>
          <w:color w:val="auto"/>
        </w:rPr>
      </w:pPr>
    </w:p>
    <w:p>
      <w:pPr>
        <w:jc w:val="both"/>
        <w:ind w:left="5" w:right="20"/>
        <w:spacing w:after="0" w:line="26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27, 2012 to facilitate timely delivery.</w:t>
      </w:r>
    </w:p>
    <w:p>
      <w:pPr>
        <w:spacing w:after="0" w:line="396" w:lineRule="exact"/>
        <w:rPr>
          <w:sz w:val="20"/>
          <w:szCs w:val="20"/>
          <w:color w:val="auto"/>
        </w:rPr>
      </w:pPr>
    </w:p>
    <w:p>
      <w:pPr>
        <w:jc w:val="center"/>
        <w:ind w:right="575"/>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32"/>
          <w:szCs w:val="32"/>
          <w:b w:val="1"/>
          <w:bCs w:val="1"/>
          <w:color w:val="auto"/>
        </w:rPr>
        <w:t>How To Vote</w:t>
      </w:r>
      <w:r>
        <w:rPr>
          <w:rFonts w:ascii="Arial" w:cs="Arial" w:eastAsia="Arial" w:hAnsi="Arial"/>
          <w:sz w:val="22"/>
          <w:szCs w:val="22"/>
          <w:color w:val="auto"/>
        </w:rPr>
        <w:t xml:space="preserve"> ——</w:t>
      </w:r>
    </w:p>
    <w:p>
      <w:pPr>
        <w:spacing w:after="0" w:line="34" w:lineRule="exact"/>
        <w:rPr>
          <w:sz w:val="20"/>
          <w:szCs w:val="20"/>
          <w:color w:val="auto"/>
        </w:rPr>
      </w:pPr>
    </w:p>
    <w:p>
      <w:pPr>
        <w:ind w:left="2685"/>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6740525" cy="1406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0525" cy="1406525"/>
                    </a:xfrm>
                    <a:prstGeom prst="rect">
                      <a:avLst/>
                    </a:prstGeom>
                    <a:noFill/>
                  </pic:spPr>
                </pic:pic>
              </a:graphicData>
            </a:graphic>
          </wp:anchor>
        </w:drawing>
      </w:r>
    </w:p>
    <w:p>
      <w:pPr>
        <w:spacing w:after="0" w:line="189"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 ticket issued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-300355</wp:posOffset>
            </wp:positionV>
            <wp:extent cx="146050" cy="1063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 cy="1063625"/>
                    </a:xfrm>
                    <a:prstGeom prst="rect">
                      <a:avLst/>
                    </a:prstGeom>
                    <a:noFill/>
                  </pic:spPr>
                </pic:pic>
              </a:graphicData>
            </a:graphic>
          </wp:anchor>
        </w:drawing>
      </w:r>
    </w:p>
    <w:p>
      <w:pPr>
        <w:spacing w:after="0" w:line="166" w:lineRule="exact"/>
        <w:rPr>
          <w:sz w:val="20"/>
          <w:szCs w:val="20"/>
          <w:color w:val="auto"/>
        </w:rPr>
      </w:pPr>
    </w:p>
    <w:p>
      <w:pPr>
        <w:jc w:val="both"/>
        <w:ind w:left="5" w:right="20"/>
        <w:spacing w:after="0" w:line="275"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 Have the information that is printed in the box marked by the arrow è XXXX</w:t>
      </w:r>
      <w:r>
        <w:rPr>
          <w:rFonts w:ascii="Arial" w:cs="Arial" w:eastAsia="Arial" w:hAnsi="Arial"/>
          <w:sz w:val="18"/>
          <w:szCs w:val="18"/>
          <w:b w:val="1"/>
          <w:bCs w:val="1"/>
          <w:color w:val="auto"/>
        </w:rPr>
        <w:t xml:space="preserve"> </w:t>
      </w:r>
      <w:r>
        <w:rPr>
          <w:rFonts w:ascii="Arial" w:cs="Arial" w:eastAsia="Arial" w:hAnsi="Arial"/>
          <w:sz w:val="18"/>
          <w:szCs w:val="18"/>
          <w:color w:val="auto"/>
        </w:rPr>
        <w:t>XXXX XXXX available and follow the instructions.</w:t>
      </w:r>
    </w:p>
    <w:p>
      <w:pPr>
        <w:spacing w:after="0" w:line="20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458470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85"/>
          </w:cols>
          <w:pgMar w:left="955" w:top="341" w:right="359" w:bottom="1440" w:gutter="0" w:footer="0" w:header="0"/>
        </w:sectPr>
      </w:pPr>
    </w:p>
    <w:bookmarkStart w:id="3" w:name="page4"/>
    <w:bookmarkEnd w:id="3"/>
    <w:p>
      <w:pPr>
        <w:ind w:left="1702"/>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294640</wp:posOffset>
            </wp:positionH>
            <wp:positionV relativeFrom="page">
              <wp:posOffset>243205</wp:posOffset>
            </wp:positionV>
            <wp:extent cx="263271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2710" cy="188595"/>
                    </a:xfrm>
                    <a:prstGeom prst="rect">
                      <a:avLst/>
                    </a:prstGeom>
                    <a:noFill/>
                  </pic:spPr>
                </pic:pic>
              </a:graphicData>
            </a:graphic>
          </wp:anchor>
        </w:drawing>
        <w:t>Voting items</w:t>
      </w:r>
    </w:p>
    <w:p>
      <w:pPr>
        <w:spacing w:after="0" w:line="82"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The Board of Directors recommends you vote FOR the following:</w:t>
      </w:r>
    </w:p>
    <w:p>
      <w:pPr>
        <w:spacing w:after="0" w:line="192" w:lineRule="exact"/>
        <w:rPr>
          <w:sz w:val="20"/>
          <w:szCs w:val="20"/>
          <w:color w:val="auto"/>
        </w:rPr>
      </w:pPr>
    </w:p>
    <w:p>
      <w:pPr>
        <w:ind w:left="262" w:hanging="262"/>
        <w:spacing w:after="0"/>
        <w:tabs>
          <w:tab w:leader="none" w:pos="262"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Election of Directors</w:t>
      </w:r>
    </w:p>
    <w:p>
      <w:pPr>
        <w:spacing w:after="0" w:line="12" w:lineRule="exact"/>
        <w:rPr>
          <w:rFonts w:ascii="Arial" w:cs="Arial" w:eastAsia="Arial" w:hAnsi="Arial"/>
          <w:sz w:val="14"/>
          <w:szCs w:val="14"/>
          <w:b w:val="1"/>
          <w:bCs w:val="1"/>
          <w:color w:val="auto"/>
        </w:rPr>
      </w:pPr>
    </w:p>
    <w:p>
      <w:pPr>
        <w:ind w:left="262"/>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Nominees</w:t>
      </w:r>
    </w:p>
    <w:p>
      <w:pPr>
        <w:spacing w:after="0" w:line="17" w:lineRule="exact"/>
        <w:rPr>
          <w:sz w:val="20"/>
          <w:szCs w:val="20"/>
          <w:color w:val="auto"/>
        </w:rPr>
      </w:pPr>
    </w:p>
    <w:p>
      <w:pPr>
        <w:ind w:left="2"/>
        <w:spacing w:after="0"/>
        <w:tabs>
          <w:tab w:leader="none" w:pos="242" w:val="left"/>
          <w:tab w:leader="none" w:pos="2522" w:val="left"/>
          <w:tab w:leader="none" w:pos="2782" w:val="left"/>
          <w:tab w:leader="none" w:pos="4902" w:val="left"/>
          <w:tab w:leader="none" w:pos="5162" w:val="left"/>
          <w:tab w:leader="none" w:pos="6942" w:val="left"/>
          <w:tab w:leader="none" w:pos="7222" w:val="left"/>
          <w:tab w:leader="none" w:pos="9002" w:val="left"/>
          <w:tab w:leader="none" w:pos="9262" w:val="left"/>
        </w:tabs>
        <w:rPr>
          <w:sz w:val="20"/>
          <w:szCs w:val="20"/>
          <w:color w:val="auto"/>
        </w:rPr>
      </w:pPr>
      <w:r>
        <w:rPr>
          <w:rFonts w:ascii="Arial" w:cs="Arial" w:eastAsia="Arial" w:hAnsi="Arial"/>
          <w:sz w:val="14"/>
          <w:szCs w:val="14"/>
          <w:color w:val="auto"/>
        </w:rPr>
        <w:t>01</w:t>
        <w:tab/>
        <w:t>Charles A. Baker</w:t>
      </w:r>
      <w:r>
        <w:rPr>
          <w:sz w:val="20"/>
          <w:szCs w:val="20"/>
          <w:color w:val="auto"/>
        </w:rPr>
        <w:tab/>
      </w:r>
      <w:r>
        <w:rPr>
          <w:rFonts w:ascii="Arial" w:cs="Arial" w:eastAsia="Arial" w:hAnsi="Arial"/>
          <w:sz w:val="14"/>
          <w:szCs w:val="14"/>
          <w:color w:val="auto"/>
        </w:rPr>
        <w:t>02</w:t>
        <w:tab/>
        <w:t>Michael S. Brown, M.D.</w:t>
      </w:r>
      <w:r>
        <w:rPr>
          <w:sz w:val="20"/>
          <w:szCs w:val="20"/>
          <w:color w:val="auto"/>
        </w:rPr>
        <w:tab/>
      </w:r>
      <w:r>
        <w:rPr>
          <w:rFonts w:ascii="Arial" w:cs="Arial" w:eastAsia="Arial" w:hAnsi="Arial"/>
          <w:sz w:val="14"/>
          <w:szCs w:val="14"/>
          <w:color w:val="auto"/>
        </w:rPr>
        <w:t>03</w:t>
        <w:tab/>
        <w:t>Arthur F. Ryan</w:t>
      </w:r>
      <w:r>
        <w:rPr>
          <w:sz w:val="20"/>
          <w:szCs w:val="20"/>
          <w:color w:val="auto"/>
        </w:rPr>
        <w:tab/>
      </w:r>
      <w:r>
        <w:rPr>
          <w:rFonts w:ascii="Arial" w:cs="Arial" w:eastAsia="Arial" w:hAnsi="Arial"/>
          <w:sz w:val="14"/>
          <w:szCs w:val="14"/>
          <w:color w:val="auto"/>
        </w:rPr>
        <w:t>04</w:t>
        <w:tab/>
        <w:t>George L. Sing</w:t>
      </w:r>
      <w:r>
        <w:rPr>
          <w:sz w:val="20"/>
          <w:szCs w:val="20"/>
          <w:color w:val="auto"/>
        </w:rPr>
        <w:tab/>
      </w:r>
      <w:r>
        <w:rPr>
          <w:rFonts w:ascii="Arial" w:cs="Arial" w:eastAsia="Arial" w:hAnsi="Arial"/>
          <w:sz w:val="14"/>
          <w:szCs w:val="14"/>
          <w:color w:val="auto"/>
        </w:rPr>
        <w:t>05</w:t>
      </w:r>
      <w:r>
        <w:rPr>
          <w:sz w:val="20"/>
          <w:szCs w:val="20"/>
          <w:color w:val="auto"/>
        </w:rPr>
        <w:tab/>
      </w:r>
      <w:r>
        <w:rPr>
          <w:rFonts w:ascii="Arial" w:cs="Arial" w:eastAsia="Arial" w:hAnsi="Arial"/>
          <w:sz w:val="12"/>
          <w:szCs w:val="12"/>
          <w:color w:val="auto"/>
        </w:rPr>
        <w:t>Marc Tessier-Lavigne</w:t>
      </w:r>
    </w:p>
    <w:p>
      <w:pPr>
        <w:spacing w:after="0" w:line="364"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The Board of Directors recommends you vote FOR proposal 2:</w:t>
      </w:r>
    </w:p>
    <w:p>
      <w:pPr>
        <w:spacing w:after="0" w:line="192" w:lineRule="exact"/>
        <w:rPr>
          <w:sz w:val="20"/>
          <w:szCs w:val="20"/>
          <w:color w:val="auto"/>
        </w:rPr>
      </w:pPr>
    </w:p>
    <w:p>
      <w:pPr>
        <w:ind w:left="262" w:right="1460" w:hanging="262"/>
        <w:spacing w:after="0" w:line="278" w:lineRule="auto"/>
        <w:tabs>
          <w:tab w:leader="none" w:pos="262"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Proposal to ratify the appointment of PricewaterhouseCoopers LLP as the Company's independent registered public accounting firm for the fiscal year ending December 31, 2012.</w:t>
      </w:r>
    </w:p>
    <w:p>
      <w:pPr>
        <w:spacing w:after="0" w:line="152" w:lineRule="exact"/>
        <w:rPr>
          <w:sz w:val="20"/>
          <w:szCs w:val="20"/>
          <w:color w:val="auto"/>
        </w:rPr>
      </w:pPr>
    </w:p>
    <w:p>
      <w:pPr>
        <w:ind w:left="2" w:right="1460"/>
        <w:spacing w:after="0" w:line="28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named proxies may vote on such other business as may properly come before the Annual Meeting or at any adjourned or postponed</w:t>
      </w:r>
      <w:r>
        <w:rPr>
          <w:rFonts w:ascii="Arial" w:cs="Arial" w:eastAsia="Arial" w:hAnsi="Arial"/>
          <w:sz w:val="14"/>
          <w:szCs w:val="14"/>
          <w:b w:val="1"/>
          <w:bCs w:val="1"/>
          <w:color w:val="auto"/>
        </w:rPr>
        <w:t xml:space="preserve"> </w:t>
      </w:r>
      <w:r>
        <w:rPr>
          <w:rFonts w:ascii="Arial" w:cs="Arial" w:eastAsia="Arial" w:hAnsi="Arial"/>
          <w:sz w:val="14"/>
          <w:szCs w:val="14"/>
          <w:color w:val="auto"/>
        </w:rPr>
        <w:t>session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2056130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831850</wp:posOffset>
            </wp:positionV>
            <wp:extent cx="137160" cy="1046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1046480"/>
                    </a:xfrm>
                    <a:prstGeom prst="rect">
                      <a:avLst/>
                    </a:prstGeom>
                    <a:noFill/>
                  </pic:spPr>
                </pic:pic>
              </a:graphicData>
            </a:graphic>
          </wp:anchor>
        </w:drawing>
      </w:r>
    </w:p>
    <w:p>
      <w:pPr>
        <w:sectPr>
          <w:pgSz w:w="11900" w:h="16838" w:orient="portrait"/>
          <w:cols w:equalWidth="0" w:num="1">
            <w:col w:w="10482"/>
          </w:cols>
          <w:pgMar w:left="478" w:top="437" w:right="9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290830</wp:posOffset>
            </wp:positionH>
            <wp:positionV relativeFrom="page">
              <wp:posOffset>1328420</wp:posOffset>
            </wp:positionV>
            <wp:extent cx="712597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5970" cy="596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3688715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2404110</wp:posOffset>
            </wp:positionV>
            <wp:extent cx="146050" cy="1063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6050" cy="10636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2019-12-09T10:45:36Z</dcterms:created>
  <dcterms:modified xsi:type="dcterms:W3CDTF">2019-12-09T10:45:36Z</dcterms:modified>
</cp:coreProperties>
</file>