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89" w:lineRule="exact"/>
        <w:rPr>
          <w:sz w:val="24"/>
          <w:szCs w:val="24"/>
          <w:color w:val="auto"/>
        </w:rPr>
      </w:pPr>
    </w:p>
    <w:tbl>
      <w:tblPr>
        <w:tblLayout w:type="fixed"/>
        <w:tblInd w:w="1012"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60" w:type="dxa"/>
            <w:vAlign w:val="bottom"/>
            <w:gridSpan w:val="3"/>
          </w:tcPr>
          <w:p>
            <w:pPr>
              <w:jc w:val="center"/>
              <w:ind w:left="502"/>
              <w:spacing w:after="0"/>
              <w:rPr>
                <w:sz w:val="20"/>
                <w:szCs w:val="20"/>
                <w:color w:val="auto"/>
              </w:rPr>
            </w:pPr>
            <w:r>
              <w:rPr>
                <w:rFonts w:ascii="Arial" w:cs="Arial" w:eastAsia="Arial" w:hAnsi="Arial"/>
                <w:sz w:val="18"/>
                <w:szCs w:val="18"/>
                <w:b w:val="1"/>
                <w:bCs w:val="1"/>
                <w:color w:val="auto"/>
                <w:w w:val="97"/>
              </w:rPr>
              <w:t>CURRENT REPORT</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59"/>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60" w:type="dxa"/>
            <w:vAlign w:val="bottom"/>
            <w:gridSpan w:val="9"/>
          </w:tcPr>
          <w:p>
            <w:pPr>
              <w:jc w:val="center"/>
              <w:ind w:right="1700"/>
              <w:spacing w:after="0"/>
              <w:rPr>
                <w:sz w:val="20"/>
                <w:szCs w:val="20"/>
                <w:color w:val="auto"/>
              </w:rPr>
            </w:pPr>
            <w:r>
              <w:rPr>
                <w:rFonts w:ascii="Arial" w:cs="Arial" w:eastAsia="Arial" w:hAnsi="Arial"/>
                <w:sz w:val="18"/>
                <w:szCs w:val="18"/>
                <w:b w:val="1"/>
                <w:bCs w:val="1"/>
                <w:color w:val="auto"/>
                <w:w w:val="87"/>
              </w:rPr>
              <w:t>Pursuant to Section 13 or 15(d) of the Securities and Exchange Act of 1934</w:t>
            </w:r>
          </w:p>
        </w:tc>
      </w:tr>
      <w:tr>
        <w:trPr>
          <w:trHeight w:val="473"/>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6"/>
          </w:tcPr>
          <w:p>
            <w:pPr>
              <w:ind w:left="120"/>
              <w:spacing w:after="0"/>
              <w:rPr>
                <w:sz w:val="20"/>
                <w:szCs w:val="20"/>
                <w:color w:val="auto"/>
              </w:rPr>
            </w:pPr>
            <w:r>
              <w:rPr>
                <w:rFonts w:ascii="Arial" w:cs="Arial" w:eastAsia="Arial" w:hAnsi="Arial"/>
                <w:sz w:val="18"/>
                <w:szCs w:val="18"/>
                <w:b w:val="1"/>
                <w:bCs w:val="1"/>
                <w:color w:val="auto"/>
              </w:rPr>
              <w:t>Date of Report (Date of earliest event reported):</w:t>
            </w:r>
          </w:p>
        </w:tc>
        <w:tc>
          <w:tcPr>
            <w:tcW w:w="3380" w:type="dxa"/>
            <w:vAlign w:val="bottom"/>
            <w:gridSpan w:val="5"/>
          </w:tcPr>
          <w:p>
            <w:pPr>
              <w:ind w:left="60"/>
              <w:spacing w:after="0"/>
              <w:rPr>
                <w:sz w:val="20"/>
                <w:szCs w:val="20"/>
                <w:color w:val="auto"/>
              </w:rPr>
            </w:pPr>
            <w:r>
              <w:rPr>
                <w:rFonts w:ascii="Arial" w:cs="Arial" w:eastAsia="Arial" w:hAnsi="Arial"/>
                <w:sz w:val="18"/>
                <w:szCs w:val="18"/>
                <w:b w:val="1"/>
                <w:bCs w:val="1"/>
                <w:color w:val="auto"/>
              </w:rPr>
              <w:t>June 14, 2010 (June 11, 2010)</w:t>
            </w:r>
          </w:p>
        </w:tc>
      </w:tr>
      <w:tr>
        <w:trPr>
          <w:trHeight w:val="738"/>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8"/>
              </w:rPr>
              <w:t>REGENERON PHARMACEUTICALS, INC.</w:t>
            </w:r>
          </w:p>
        </w:tc>
        <w:tc>
          <w:tcPr>
            <w:tcW w:w="2800" w:type="dxa"/>
            <w:vAlign w:val="bottom"/>
            <w:gridSpan w:val="4"/>
          </w:tcPr>
          <w:p>
            <w:pPr>
              <w:spacing w:after="0"/>
              <w:rPr>
                <w:sz w:val="24"/>
                <w:szCs w:val="24"/>
                <w:color w:val="auto"/>
              </w:rPr>
            </w:pPr>
          </w:p>
        </w:tc>
      </w:tr>
      <w:tr>
        <w:trPr>
          <w:trHeight w:val="202"/>
        </w:trPr>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40" w:type="dxa"/>
            <w:vAlign w:val="bottom"/>
            <w:gridSpan w:val="8"/>
          </w:tcPr>
          <w:p>
            <w:pPr>
              <w:jc w:val="center"/>
              <w:ind w:right="282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519"/>
        </w:trPr>
        <w:tc>
          <w:tcPr>
            <w:tcW w:w="44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New York</w:t>
            </w:r>
          </w:p>
        </w:tc>
        <w:tc>
          <w:tcPr>
            <w:tcW w:w="33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000-19034</w:t>
            </w:r>
          </w:p>
        </w:tc>
        <w:tc>
          <w:tcPr>
            <w:tcW w:w="820" w:type="dxa"/>
            <w:vAlign w:val="bottom"/>
          </w:tcPr>
          <w:p>
            <w:pPr>
              <w:spacing w:after="0"/>
              <w:rPr>
                <w:sz w:val="24"/>
                <w:szCs w:val="24"/>
                <w:color w:val="auto"/>
              </w:rPr>
            </w:pPr>
          </w:p>
        </w:tc>
        <w:tc>
          <w:tcPr>
            <w:tcW w:w="3120" w:type="dxa"/>
            <w:vAlign w:val="bottom"/>
            <w:gridSpan w:val="4"/>
          </w:tcPr>
          <w:p>
            <w:pPr>
              <w:jc w:val="center"/>
              <w:ind w:left="2197"/>
              <w:spacing w:after="0"/>
              <w:rPr>
                <w:sz w:val="20"/>
                <w:szCs w:val="20"/>
                <w:color w:val="auto"/>
              </w:rPr>
            </w:pPr>
            <w:r>
              <w:rPr>
                <w:rFonts w:ascii="Arial" w:cs="Arial" w:eastAsia="Arial" w:hAnsi="Arial"/>
                <w:sz w:val="18"/>
                <w:szCs w:val="18"/>
                <w:b w:val="1"/>
                <w:bCs w:val="1"/>
                <w:color w:val="auto"/>
                <w:w w:val="87"/>
              </w:rPr>
              <w:t>13-3444607</w:t>
            </w:r>
          </w:p>
        </w:tc>
        <w:tc>
          <w:tcPr>
            <w:tcW w:w="260" w:type="dxa"/>
            <w:vAlign w:val="bottom"/>
          </w:tcPr>
          <w:p>
            <w:pPr>
              <w:spacing w:after="0"/>
              <w:rPr>
                <w:sz w:val="24"/>
                <w:szCs w:val="24"/>
                <w:color w:val="auto"/>
              </w:rPr>
            </w:pPr>
          </w:p>
        </w:tc>
      </w:tr>
      <w:tr>
        <w:trPr>
          <w:trHeight w:val="21"/>
        </w:trPr>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1720" w:type="dxa"/>
            <w:vAlign w:val="bottom"/>
            <w:gridSpan w:val="3"/>
          </w:tcPr>
          <w:p>
            <w:pPr>
              <w:jc w:val="center"/>
              <w:ind w:right="72"/>
              <w:spacing w:after="0"/>
              <w:rPr>
                <w:sz w:val="20"/>
                <w:szCs w:val="20"/>
                <w:color w:val="auto"/>
              </w:rPr>
            </w:pPr>
            <w:r>
              <w:rPr>
                <w:rFonts w:ascii="Arial" w:cs="Arial" w:eastAsia="Arial" w:hAnsi="Arial"/>
                <w:sz w:val="14"/>
                <w:szCs w:val="14"/>
                <w:color w:val="auto"/>
                <w:w w:val="89"/>
              </w:rPr>
              <w:t>(State or other jurisdiction of</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60" w:type="dxa"/>
            <w:vAlign w:val="bottom"/>
            <w:gridSpan w:val="3"/>
          </w:tcPr>
          <w:p>
            <w:pPr>
              <w:jc w:val="center"/>
              <w:ind w:left="362"/>
              <w:spacing w:after="0"/>
              <w:rPr>
                <w:sz w:val="20"/>
                <w:szCs w:val="20"/>
                <w:color w:val="auto"/>
              </w:rPr>
            </w:pPr>
            <w:r>
              <w:rPr>
                <w:rFonts w:ascii="Arial" w:cs="Arial" w:eastAsia="Arial" w:hAnsi="Arial"/>
                <w:sz w:val="14"/>
                <w:szCs w:val="14"/>
                <w:color w:val="auto"/>
                <w:w w:val="90"/>
              </w:rPr>
              <w:t>(Commission File Number)</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1"/>
              </w:rPr>
              <w:t>(I.R.S. Employer</w:t>
            </w:r>
          </w:p>
        </w:tc>
      </w:tr>
      <w:tr>
        <w:trPr>
          <w:trHeight w:val="243"/>
        </w:trPr>
        <w:tc>
          <w:tcPr>
            <w:tcW w:w="1720" w:type="dxa"/>
            <w:vAlign w:val="bottom"/>
            <w:gridSpan w:val="3"/>
          </w:tcPr>
          <w:p>
            <w:pPr>
              <w:jc w:val="center"/>
              <w:ind w:right="72"/>
              <w:spacing w:after="0"/>
              <w:rPr>
                <w:sz w:val="20"/>
                <w:szCs w:val="20"/>
                <w:color w:val="auto"/>
              </w:rPr>
            </w:pPr>
            <w:r>
              <w:rPr>
                <w:rFonts w:ascii="Arial" w:cs="Arial" w:eastAsia="Arial" w:hAnsi="Arial"/>
                <w:sz w:val="14"/>
                <w:szCs w:val="14"/>
                <w:color w:val="auto"/>
                <w:w w:val="88"/>
              </w:rPr>
              <w:t>incorporation)</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0"/>
              </w:rPr>
              <w:t>Identification Number)</w:t>
            </w:r>
          </w:p>
        </w:tc>
      </w:tr>
      <w:tr>
        <w:trPr>
          <w:trHeight w:val="521"/>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10591-6707</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2"/>
        </w:trPr>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380" w:type="dxa"/>
            <w:vAlign w:val="bottom"/>
            <w:gridSpan w:val="5"/>
          </w:tcPr>
          <w:p>
            <w:pPr>
              <w:ind w:left="180"/>
              <w:spacing w:after="0"/>
              <w:rPr>
                <w:sz w:val="20"/>
                <w:szCs w:val="20"/>
                <w:color w:val="auto"/>
              </w:rPr>
            </w:pPr>
            <w:r>
              <w:rPr>
                <w:rFonts w:ascii="Arial" w:cs="Arial" w:eastAsia="Arial" w:hAnsi="Arial"/>
                <w:sz w:val="14"/>
                <w:szCs w:val="14"/>
                <w:b w:val="1"/>
                <w:bCs w:val="1"/>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3267710</wp:posOffset>
            </wp:positionH>
            <wp:positionV relativeFrom="paragraph">
              <wp:posOffset>23495</wp:posOffset>
            </wp:positionV>
            <wp:extent cx="7200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47" w:lineRule="exact"/>
        <w:rPr>
          <w:sz w:val="24"/>
          <w:szCs w:val="24"/>
          <w:color w:val="auto"/>
        </w:rPr>
      </w:pPr>
    </w:p>
    <w:p>
      <w:pPr>
        <w:jc w:val="center"/>
        <w:ind w:right="-11"/>
        <w:spacing w:after="0"/>
        <w:rPr>
          <w:sz w:val="20"/>
          <w:szCs w:val="20"/>
          <w:color w:val="auto"/>
        </w:rPr>
      </w:pPr>
      <w:r>
        <w:rPr>
          <w:rFonts w:ascii="Arial" w:cs="Arial" w:eastAsia="Arial" w:hAnsi="Arial"/>
          <w:sz w:val="14"/>
          <w:szCs w:val="14"/>
          <w:color w:val="auto"/>
        </w:rPr>
        <w:t>(Registrant's telephone number, including area code)</w:t>
      </w:r>
    </w:p>
    <w:p>
      <w:pPr>
        <w:spacing w:after="0" w:line="287" w:lineRule="exact"/>
        <w:rPr>
          <w:sz w:val="24"/>
          <w:szCs w:val="24"/>
          <w:color w:val="auto"/>
        </w:rPr>
      </w:pPr>
    </w:p>
    <w:p>
      <w:pPr>
        <w:ind w:left="272"/>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213" w:lineRule="exact"/>
        <w:rPr>
          <w:sz w:val="24"/>
          <w:szCs w:val="24"/>
          <w:color w:val="auto"/>
        </w:rPr>
      </w:pPr>
    </w:p>
    <w:p>
      <w:pPr>
        <w:ind w:left="292" w:hanging="292"/>
        <w:spacing w:after="0"/>
        <w:tabs>
          <w:tab w:leader="none" w:pos="292"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92" w:hanging="292"/>
        <w:spacing w:after="0"/>
        <w:tabs>
          <w:tab w:leader="none" w:pos="29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92" w:hanging="292"/>
        <w:spacing w:after="0"/>
        <w:tabs>
          <w:tab w:leader="none" w:pos="29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92" w:hanging="292"/>
        <w:spacing w:after="0"/>
        <w:tabs>
          <w:tab w:leader="none" w:pos="29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463"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1160" w:right="40"/>
        <w:spacing w:after="0" w:line="268" w:lineRule="auto"/>
        <w:rPr>
          <w:sz w:val="20"/>
          <w:szCs w:val="20"/>
          <w:color w:val="auto"/>
        </w:rPr>
      </w:pPr>
      <w:r>
        <w:rPr>
          <w:rFonts w:ascii="Arial" w:cs="Arial" w:eastAsia="Arial" w:hAnsi="Arial"/>
          <w:sz w:val="18"/>
          <w:szCs w:val="18"/>
          <w:color w:val="auto"/>
        </w:rPr>
        <w:t>On June 11, 2010, Regeneron Pharmaceuticals, Inc. held its Annual Meeting of Shareholders in Tarrytown, New York. Shareholders voted on the matters set forth below.</w:t>
      </w:r>
    </w:p>
    <w:p>
      <w:pPr>
        <w:spacing w:after="0" w:line="180" w:lineRule="exact"/>
        <w:rPr>
          <w:sz w:val="20"/>
          <w:szCs w:val="20"/>
          <w:color w:val="auto"/>
        </w:rPr>
      </w:pPr>
    </w:p>
    <w:p>
      <w:pPr>
        <w:ind w:left="1960" w:right="340" w:hanging="466"/>
        <w:spacing w:after="0" w:line="277"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nominees for election as Class I Directors were elected, each for a three-year term expiring at the 2013 Annual Meeting of Shareholders.</w:t>
      </w:r>
    </w:p>
    <w:p>
      <w:pPr>
        <w:spacing w:after="0" w:line="217"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Nominee</w:t>
            </w:r>
          </w:p>
        </w:tc>
        <w:tc>
          <w:tcPr>
            <w:tcW w:w="2380" w:type="dxa"/>
            <w:vAlign w:val="bottom"/>
          </w:tcPr>
          <w:p>
            <w:pPr>
              <w:jc w:val="center"/>
              <w:ind w:left="332"/>
              <w:spacing w:after="0"/>
              <w:rPr>
                <w:sz w:val="20"/>
                <w:szCs w:val="20"/>
                <w:color w:val="auto"/>
              </w:rPr>
            </w:pPr>
            <w:r>
              <w:rPr>
                <w:rFonts w:ascii="Arial" w:cs="Arial" w:eastAsia="Arial" w:hAnsi="Arial"/>
                <w:sz w:val="18"/>
                <w:szCs w:val="18"/>
                <w:color w:val="auto"/>
                <w:w w:val="87"/>
              </w:rPr>
              <w:t>Votes For</w:t>
            </w:r>
          </w:p>
        </w:tc>
        <w:tc>
          <w:tcPr>
            <w:tcW w:w="2180" w:type="dxa"/>
            <w:vAlign w:val="bottom"/>
          </w:tcPr>
          <w:p>
            <w:pPr>
              <w:jc w:val="center"/>
              <w:ind w:left="12"/>
              <w:spacing w:after="0"/>
              <w:rPr>
                <w:sz w:val="20"/>
                <w:szCs w:val="20"/>
                <w:color w:val="auto"/>
              </w:rPr>
            </w:pPr>
            <w:r>
              <w:rPr>
                <w:rFonts w:ascii="Arial" w:cs="Arial" w:eastAsia="Arial" w:hAnsi="Arial"/>
                <w:sz w:val="18"/>
                <w:szCs w:val="18"/>
                <w:color w:val="auto"/>
                <w:w w:val="89"/>
              </w:rPr>
              <w:t>Votes Withheld</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Broker Non-Votes</w:t>
            </w:r>
          </w:p>
        </w:tc>
      </w:tr>
      <w:tr>
        <w:trPr>
          <w:trHeight w:val="251"/>
        </w:trPr>
        <w:tc>
          <w:tcPr>
            <w:tcW w:w="2700" w:type="dxa"/>
            <w:vAlign w:val="bottom"/>
            <w:shd w:val="clear" w:color="auto" w:fill="C0C0C0"/>
          </w:tcPr>
          <w:p>
            <w:pPr>
              <w:spacing w:after="0"/>
              <w:rPr>
                <w:sz w:val="20"/>
                <w:szCs w:val="20"/>
                <w:color w:val="auto"/>
              </w:rPr>
            </w:pPr>
            <w:r>
              <w:rPr>
                <w:rFonts w:ascii="Arial" w:cs="Arial" w:eastAsia="Arial" w:hAnsi="Arial"/>
                <w:sz w:val="18"/>
                <w:szCs w:val="18"/>
                <w:color w:val="auto"/>
              </w:rPr>
              <w:t>Leonard S. Schleifer</w:t>
            </w:r>
          </w:p>
        </w:tc>
        <w:tc>
          <w:tcPr>
            <w:tcW w:w="2380" w:type="dxa"/>
            <w:vAlign w:val="bottom"/>
            <w:shd w:val="clear" w:color="auto" w:fill="C0C0C0"/>
          </w:tcPr>
          <w:p>
            <w:pPr>
              <w:jc w:val="center"/>
              <w:ind w:left="332"/>
              <w:spacing w:after="0"/>
              <w:rPr>
                <w:sz w:val="20"/>
                <w:szCs w:val="20"/>
                <w:color w:val="auto"/>
              </w:rPr>
            </w:pPr>
            <w:r>
              <w:rPr>
                <w:rFonts w:ascii="Arial" w:cs="Arial" w:eastAsia="Arial" w:hAnsi="Arial"/>
                <w:sz w:val="18"/>
                <w:szCs w:val="18"/>
                <w:color w:val="auto"/>
                <w:w w:val="88"/>
              </w:rPr>
              <w:t>82,881,842</w:t>
            </w:r>
          </w:p>
        </w:tc>
        <w:tc>
          <w:tcPr>
            <w:tcW w:w="2180" w:type="dxa"/>
            <w:vAlign w:val="bottom"/>
            <w:shd w:val="clear" w:color="auto" w:fill="C0C0C0"/>
          </w:tcPr>
          <w:p>
            <w:pPr>
              <w:jc w:val="center"/>
              <w:ind w:left="32"/>
              <w:spacing w:after="0"/>
              <w:rPr>
                <w:sz w:val="20"/>
                <w:szCs w:val="20"/>
                <w:color w:val="auto"/>
              </w:rPr>
            </w:pPr>
            <w:r>
              <w:rPr>
                <w:rFonts w:ascii="Arial" w:cs="Arial" w:eastAsia="Arial" w:hAnsi="Arial"/>
                <w:sz w:val="18"/>
                <w:szCs w:val="18"/>
                <w:color w:val="auto"/>
                <w:w w:val="87"/>
              </w:rPr>
              <w:t>2,612,770</w:t>
            </w:r>
          </w:p>
        </w:tc>
        <w:tc>
          <w:tcPr>
            <w:tcW w:w="22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7,375,225</w:t>
            </w:r>
          </w:p>
        </w:tc>
      </w:tr>
      <w:tr>
        <w:trPr>
          <w:trHeight w:val="235"/>
        </w:trPr>
        <w:tc>
          <w:tcPr>
            <w:tcW w:w="2700" w:type="dxa"/>
            <w:vAlign w:val="bottom"/>
          </w:tcPr>
          <w:p>
            <w:pPr>
              <w:spacing w:after="0"/>
              <w:rPr>
                <w:sz w:val="20"/>
                <w:szCs w:val="20"/>
                <w:color w:val="auto"/>
              </w:rPr>
            </w:pPr>
            <w:r>
              <w:rPr>
                <w:rFonts w:ascii="Arial" w:cs="Arial" w:eastAsia="Arial" w:hAnsi="Arial"/>
                <w:sz w:val="18"/>
                <w:szCs w:val="18"/>
                <w:color w:val="auto"/>
              </w:rPr>
              <w:t>Eric M. Shooter</w:t>
            </w:r>
          </w:p>
        </w:tc>
        <w:tc>
          <w:tcPr>
            <w:tcW w:w="2380" w:type="dxa"/>
            <w:vAlign w:val="bottom"/>
          </w:tcPr>
          <w:p>
            <w:pPr>
              <w:jc w:val="center"/>
              <w:ind w:left="332"/>
              <w:spacing w:after="0"/>
              <w:rPr>
                <w:sz w:val="20"/>
                <w:szCs w:val="20"/>
                <w:color w:val="auto"/>
              </w:rPr>
            </w:pPr>
            <w:r>
              <w:rPr>
                <w:rFonts w:ascii="Arial" w:cs="Arial" w:eastAsia="Arial" w:hAnsi="Arial"/>
                <w:sz w:val="18"/>
                <w:szCs w:val="18"/>
                <w:color w:val="auto"/>
                <w:w w:val="88"/>
              </w:rPr>
              <w:t>82,825,682</w:t>
            </w:r>
          </w:p>
        </w:tc>
        <w:tc>
          <w:tcPr>
            <w:tcW w:w="2180" w:type="dxa"/>
            <w:vAlign w:val="bottom"/>
          </w:tcPr>
          <w:p>
            <w:pPr>
              <w:jc w:val="center"/>
              <w:ind w:left="32"/>
              <w:spacing w:after="0"/>
              <w:rPr>
                <w:sz w:val="20"/>
                <w:szCs w:val="20"/>
                <w:color w:val="auto"/>
              </w:rPr>
            </w:pPr>
            <w:r>
              <w:rPr>
                <w:rFonts w:ascii="Arial" w:cs="Arial" w:eastAsia="Arial" w:hAnsi="Arial"/>
                <w:sz w:val="18"/>
                <w:szCs w:val="18"/>
                <w:color w:val="auto"/>
                <w:w w:val="87"/>
              </w:rPr>
              <w:t>2,668,930</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7,375,225</w:t>
            </w:r>
          </w:p>
        </w:tc>
      </w:tr>
      <w:tr>
        <w:trPr>
          <w:trHeight w:val="251"/>
        </w:trPr>
        <w:tc>
          <w:tcPr>
            <w:tcW w:w="2700" w:type="dxa"/>
            <w:vAlign w:val="bottom"/>
            <w:shd w:val="clear" w:color="auto" w:fill="C0C0C0"/>
          </w:tcPr>
          <w:p>
            <w:pPr>
              <w:spacing w:after="0"/>
              <w:rPr>
                <w:sz w:val="20"/>
                <w:szCs w:val="20"/>
                <w:color w:val="auto"/>
              </w:rPr>
            </w:pPr>
            <w:r>
              <w:rPr>
                <w:rFonts w:ascii="Arial" w:cs="Arial" w:eastAsia="Arial" w:hAnsi="Arial"/>
                <w:sz w:val="18"/>
                <w:szCs w:val="18"/>
                <w:color w:val="auto"/>
              </w:rPr>
              <w:t>George D. Yancopoulos</w:t>
            </w:r>
          </w:p>
        </w:tc>
        <w:tc>
          <w:tcPr>
            <w:tcW w:w="2380" w:type="dxa"/>
            <w:vAlign w:val="bottom"/>
            <w:shd w:val="clear" w:color="auto" w:fill="C0C0C0"/>
          </w:tcPr>
          <w:p>
            <w:pPr>
              <w:jc w:val="center"/>
              <w:ind w:left="312"/>
              <w:spacing w:after="0"/>
              <w:rPr>
                <w:sz w:val="20"/>
                <w:szCs w:val="20"/>
                <w:color w:val="auto"/>
              </w:rPr>
            </w:pPr>
            <w:r>
              <w:rPr>
                <w:rFonts w:ascii="Arial" w:cs="Arial" w:eastAsia="Arial" w:hAnsi="Arial"/>
                <w:sz w:val="18"/>
                <w:szCs w:val="18"/>
                <w:color w:val="auto"/>
                <w:w w:val="86"/>
              </w:rPr>
              <w:t>82,879,911</w:t>
            </w:r>
          </w:p>
        </w:tc>
        <w:tc>
          <w:tcPr>
            <w:tcW w:w="2180" w:type="dxa"/>
            <w:vAlign w:val="bottom"/>
            <w:shd w:val="clear" w:color="auto" w:fill="C0C0C0"/>
          </w:tcPr>
          <w:p>
            <w:pPr>
              <w:jc w:val="center"/>
              <w:ind w:left="32"/>
              <w:spacing w:after="0"/>
              <w:rPr>
                <w:sz w:val="20"/>
                <w:szCs w:val="20"/>
                <w:color w:val="auto"/>
              </w:rPr>
            </w:pPr>
            <w:r>
              <w:rPr>
                <w:rFonts w:ascii="Arial" w:cs="Arial" w:eastAsia="Arial" w:hAnsi="Arial"/>
                <w:sz w:val="18"/>
                <w:szCs w:val="18"/>
                <w:color w:val="auto"/>
                <w:w w:val="87"/>
              </w:rPr>
              <w:t>2,614,701</w:t>
            </w:r>
          </w:p>
        </w:tc>
        <w:tc>
          <w:tcPr>
            <w:tcW w:w="22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7,375,225</w:t>
            </w:r>
          </w:p>
        </w:tc>
      </w:tr>
    </w:tbl>
    <w:p>
      <w:pPr>
        <w:spacing w:after="0" w:line="229" w:lineRule="exact"/>
        <w:rPr>
          <w:sz w:val="20"/>
          <w:szCs w:val="20"/>
          <w:color w:val="auto"/>
        </w:rPr>
      </w:pPr>
    </w:p>
    <w:p>
      <w:pPr>
        <w:ind w:left="2020" w:right="680" w:hanging="459"/>
        <w:spacing w:after="0" w:line="308" w:lineRule="auto"/>
        <w:tabs>
          <w:tab w:leader="none" w:pos="2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proposal to ratify the appointment of PricewaterhouseCoopers, LLP as the Company’s independent registered public accounting firm for the fiscal year ending December 31, 2010 was approved based upon the following votes.</w:t>
      </w:r>
    </w:p>
    <w:p>
      <w:pPr>
        <w:spacing w:after="0" w:line="188" w:lineRule="exact"/>
        <w:rPr>
          <w:sz w:val="20"/>
          <w:szCs w:val="20"/>
          <w:color w:val="auto"/>
        </w:rPr>
      </w:pPr>
    </w:p>
    <w:tbl>
      <w:tblPr>
        <w:tblLayout w:type="fixed"/>
        <w:tblInd w:w="1900" w:type="dxa"/>
        <w:tblCellMar>
          <w:top w:w="0" w:type="dxa"/>
          <w:left w:w="0" w:type="dxa"/>
          <w:bottom w:w="0" w:type="dxa"/>
          <w:right w:w="0" w:type="dxa"/>
        </w:tblCellMar>
      </w:tblPr>
      <w:tr>
        <w:trPr>
          <w:trHeight w:val="243"/>
        </w:trPr>
        <w:tc>
          <w:tcPr>
            <w:tcW w:w="2660" w:type="dxa"/>
            <w:vAlign w:val="bottom"/>
            <w:shd w:val="clear" w:color="auto" w:fill="C0C0C0"/>
          </w:tcPr>
          <w:p>
            <w:pPr>
              <w:spacing w:after="0"/>
              <w:rPr>
                <w:sz w:val="20"/>
                <w:szCs w:val="20"/>
                <w:color w:val="auto"/>
              </w:rPr>
            </w:pPr>
            <w:r>
              <w:rPr>
                <w:rFonts w:ascii="Arial" w:cs="Arial" w:eastAsia="Arial" w:hAnsi="Arial"/>
                <w:sz w:val="18"/>
                <w:szCs w:val="18"/>
                <w:color w:val="auto"/>
              </w:rPr>
              <w:t>Votes For</w:t>
            </w:r>
          </w:p>
        </w:tc>
        <w:tc>
          <w:tcPr>
            <w:tcW w:w="2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91,869,117</w:t>
            </w:r>
          </w:p>
        </w:tc>
      </w:tr>
      <w:tr>
        <w:trPr>
          <w:trHeight w:val="235"/>
        </w:trPr>
        <w:tc>
          <w:tcPr>
            <w:tcW w:w="2660" w:type="dxa"/>
            <w:vAlign w:val="bottom"/>
          </w:tcPr>
          <w:p>
            <w:pPr>
              <w:spacing w:after="0"/>
              <w:rPr>
                <w:sz w:val="20"/>
                <w:szCs w:val="20"/>
                <w:color w:val="auto"/>
              </w:rPr>
            </w:pPr>
            <w:r>
              <w:rPr>
                <w:rFonts w:ascii="Arial" w:cs="Arial" w:eastAsia="Arial" w:hAnsi="Arial"/>
                <w:sz w:val="18"/>
                <w:szCs w:val="18"/>
                <w:color w:val="auto"/>
              </w:rPr>
              <w:t>Votes Against</w:t>
            </w:r>
          </w:p>
        </w:tc>
        <w:tc>
          <w:tcPr>
            <w:tcW w:w="2480" w:type="dxa"/>
            <w:vAlign w:val="bottom"/>
          </w:tcPr>
          <w:p>
            <w:pPr>
              <w:jc w:val="right"/>
              <w:spacing w:after="0"/>
              <w:rPr>
                <w:sz w:val="20"/>
                <w:szCs w:val="20"/>
                <w:color w:val="auto"/>
              </w:rPr>
            </w:pPr>
            <w:r>
              <w:rPr>
                <w:rFonts w:ascii="Arial" w:cs="Arial" w:eastAsia="Arial" w:hAnsi="Arial"/>
                <w:sz w:val="18"/>
                <w:szCs w:val="18"/>
                <w:color w:val="auto"/>
              </w:rPr>
              <w:t>468,375</w:t>
            </w:r>
          </w:p>
        </w:tc>
      </w:tr>
      <w:tr>
        <w:trPr>
          <w:trHeight w:val="251"/>
        </w:trPr>
        <w:tc>
          <w:tcPr>
            <w:tcW w:w="2660" w:type="dxa"/>
            <w:vAlign w:val="bottom"/>
            <w:shd w:val="clear" w:color="auto" w:fill="C0C0C0"/>
          </w:tcPr>
          <w:p>
            <w:pPr>
              <w:spacing w:after="0"/>
              <w:rPr>
                <w:sz w:val="20"/>
                <w:szCs w:val="20"/>
                <w:color w:val="auto"/>
              </w:rPr>
            </w:pPr>
            <w:r>
              <w:rPr>
                <w:rFonts w:ascii="Arial" w:cs="Arial" w:eastAsia="Arial" w:hAnsi="Arial"/>
                <w:sz w:val="18"/>
                <w:szCs w:val="18"/>
                <w:color w:val="auto"/>
              </w:rPr>
              <w:t>Abstentions</w:t>
            </w:r>
          </w:p>
        </w:tc>
        <w:tc>
          <w:tcPr>
            <w:tcW w:w="2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532,345</w:t>
            </w:r>
          </w:p>
        </w:tc>
      </w:tr>
    </w:tbl>
    <w:p>
      <w:pPr>
        <w:spacing w:after="0" w:line="200" w:lineRule="exact"/>
        <w:rPr>
          <w:sz w:val="20"/>
          <w:szCs w:val="20"/>
          <w:color w:val="auto"/>
        </w:rPr>
      </w:pPr>
    </w:p>
    <w:p>
      <w:pPr>
        <w:spacing w:after="0" w:line="305" w:lineRule="exact"/>
        <w:rPr>
          <w:sz w:val="20"/>
          <w:szCs w:val="20"/>
          <w:color w:val="auto"/>
        </w:rPr>
      </w:pPr>
    </w:p>
    <w:p>
      <w:pPr>
        <w:ind w:right="820" w:firstLine="27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Dated: June 14, 2010</w:t>
      </w:r>
      <w:r>
        <w:rPr>
          <w:sz w:val="20"/>
          <w:szCs w:val="20"/>
          <w:color w:val="auto"/>
        </w:rPr>
        <w:tab/>
      </w:r>
      <w:r>
        <w:rPr>
          <w:rFonts w:ascii="Arial" w:cs="Arial" w:eastAsia="Arial" w:hAnsi="Arial"/>
          <w:sz w:val="16"/>
          <w:szCs w:val="16"/>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19685</wp:posOffset>
            </wp:positionV>
            <wp:extent cx="3387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Stuart Kolinski</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General Counsel</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c"/>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2019-12-10T08:51:15Z</dcterms:created>
  <dcterms:modified xsi:type="dcterms:W3CDTF">2019-12-10T08:51:15Z</dcterms:modified>
</cp:coreProperties>
</file>