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TO SECTION 13 OR 15 (D)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15, 2006 (November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220"/>
        </w:trPr>
        <w:tc>
          <w:tcPr>
            <w:tcW w:w="54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0"/>
              </w:rPr>
              <w:t>000-19034</w:t>
            </w:r>
          </w:p>
        </w:tc>
        <w:tc>
          <w:tcPr>
            <w:tcW w:w="3840" w:type="dxa"/>
            <w:vAlign w:val="bottom"/>
          </w:tcPr>
          <w:p>
            <w:pPr>
              <w:jc w:val="right"/>
              <w:ind w:right="730"/>
              <w:spacing w:after="0"/>
              <w:rPr>
                <w:sz w:val="20"/>
                <w:szCs w:val="20"/>
                <w:color w:val="auto"/>
              </w:rPr>
            </w:pPr>
            <w:r>
              <w:rPr>
                <w:rFonts w:ascii="Arial" w:cs="Arial" w:eastAsia="Arial" w:hAnsi="Arial"/>
                <w:sz w:val="18"/>
                <w:szCs w:val="18"/>
                <w:b w:val="1"/>
                <w:bCs w:val="1"/>
                <w:color w:val="auto"/>
              </w:rPr>
              <w:t>133444607</w:t>
            </w:r>
          </w:p>
        </w:tc>
      </w:tr>
      <w:tr>
        <w:trPr>
          <w:trHeight w:val="230"/>
        </w:trPr>
        <w:tc>
          <w:tcPr>
            <w:tcW w:w="5400" w:type="dxa"/>
            <w:vAlign w:val="bottom"/>
          </w:tcPr>
          <w:p>
            <w:pPr>
              <w:jc w:val="center"/>
              <w:ind w:right="1290"/>
              <w:spacing w:after="0"/>
              <w:rPr>
                <w:sz w:val="20"/>
                <w:szCs w:val="20"/>
                <w:color w:val="auto"/>
              </w:rPr>
            </w:pPr>
            <w:r>
              <w:rPr>
                <w:rFonts w:ascii="Arial" w:cs="Arial" w:eastAsia="Arial" w:hAnsi="Arial"/>
                <w:sz w:val="18"/>
                <w:szCs w:val="18"/>
                <w:color w:val="auto"/>
                <w:w w:val="93"/>
              </w:rPr>
              <w:t>(Commission File No.)</w:t>
            </w:r>
          </w:p>
        </w:tc>
        <w:tc>
          <w:tcPr>
            <w:tcW w:w="3840" w:type="dxa"/>
            <w:vAlign w:val="bottom"/>
          </w:tcPr>
          <w:p>
            <w:pPr>
              <w:jc w:val="center"/>
              <w:ind w:left="12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840" w:type="dxa"/>
            <w:vAlign w:val="bottom"/>
          </w:tcPr>
          <w:p>
            <w:pPr>
              <w:jc w:val="right"/>
              <w:ind w:right="710"/>
              <w:spacing w:after="0"/>
              <w:rPr>
                <w:sz w:val="20"/>
                <w:szCs w:val="20"/>
                <w:color w:val="auto"/>
              </w:rPr>
            </w:pPr>
            <w:r>
              <w:rPr>
                <w:rFonts w:ascii="Arial" w:cs="Arial" w:eastAsia="Arial" w:hAnsi="Arial"/>
                <w:sz w:val="18"/>
                <w:szCs w:val="18"/>
                <w:b w:val="1"/>
                <w:bCs w:val="1"/>
                <w:color w:val="auto"/>
              </w:rPr>
              <w:t>10591-6707</w:t>
            </w:r>
          </w:p>
        </w:tc>
      </w:tr>
      <w:tr>
        <w:trPr>
          <w:trHeight w:val="230"/>
        </w:trPr>
        <w:tc>
          <w:tcPr>
            <w:tcW w:w="5400" w:type="dxa"/>
            <w:vAlign w:val="bottom"/>
          </w:tcPr>
          <w:p>
            <w:pPr>
              <w:jc w:val="center"/>
              <w:ind w:right="129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Regeneron Pharmaceuticals, Inc. (the “Company”) has entered into an Underwriting Agreement, dated as of November 13, 2006, (the “Underwriting Agreement”) with Morgan Stanley &amp; Co. Incorporated, for the issuance and sale by the Company of 7,600,000 shares of its common stock (the “Shares”).</w:t>
      </w:r>
    </w:p>
    <w:p>
      <w:pPr>
        <w:spacing w:after="0" w:line="16"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sale of the Shares by the Company has been registered pursuant to an effective registration statement on Form S-3 filed with the Securities and Exchange Commission under the Securities Act of 1933, as amended.</w:t>
      </w:r>
    </w:p>
    <w:p>
      <w:pPr>
        <w:spacing w:after="0" w:line="62"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above summary is qualified in its entirety by reference to the Underwriting Agreement, a copy of which is attached to this Current Report on Form 8-K as Exhibit 1.1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480" w:type="dxa"/>
            <w:vAlign w:val="bottom"/>
          </w:tcPr>
          <w:p>
            <w:pPr>
              <w:ind w:left="220"/>
              <w:spacing w:after="0"/>
              <w:rPr>
                <w:sz w:val="20"/>
                <w:szCs w:val="20"/>
                <w:color w:val="auto"/>
              </w:rPr>
            </w:pPr>
            <w:r>
              <w:rPr>
                <w:rFonts w:ascii="Arial" w:cs="Arial" w:eastAsia="Arial" w:hAnsi="Arial"/>
                <w:sz w:val="14"/>
                <w:szCs w:val="14"/>
                <w:b w:val="1"/>
                <w:bCs w:val="1"/>
                <w:color w:val="auto"/>
              </w:rPr>
              <w:t>Document</w:t>
            </w:r>
          </w:p>
        </w:tc>
      </w:tr>
      <w:tr>
        <w:trPr>
          <w:trHeight w:val="417"/>
        </w:trPr>
        <w:tc>
          <w:tcPr>
            <w:tcW w:w="940" w:type="dxa"/>
            <w:vAlign w:val="bottom"/>
          </w:tcPr>
          <w:p>
            <w:pPr>
              <w:spacing w:after="0"/>
              <w:rPr>
                <w:sz w:val="20"/>
                <w:szCs w:val="20"/>
                <w:color w:val="auto"/>
              </w:rPr>
            </w:pPr>
            <w:r>
              <w:rPr>
                <w:rFonts w:ascii="Arial" w:cs="Arial" w:eastAsia="Arial" w:hAnsi="Arial"/>
                <w:sz w:val="18"/>
                <w:szCs w:val="18"/>
                <w:color w:val="auto"/>
              </w:rPr>
              <w:t>1.1</w:t>
            </w:r>
          </w:p>
        </w:tc>
        <w:tc>
          <w:tcPr>
            <w:tcW w:w="10480" w:type="dxa"/>
            <w:vAlign w:val="bottom"/>
          </w:tcPr>
          <w:p>
            <w:pPr>
              <w:ind w:left="220"/>
              <w:spacing w:after="0"/>
              <w:rPr>
                <w:sz w:val="20"/>
                <w:szCs w:val="20"/>
                <w:color w:val="auto"/>
              </w:rPr>
            </w:pPr>
            <w:r>
              <w:rPr>
                <w:rFonts w:ascii="Arial" w:cs="Arial" w:eastAsia="Arial" w:hAnsi="Arial"/>
                <w:sz w:val="18"/>
                <w:szCs w:val="18"/>
                <w:color w:val="auto"/>
              </w:rPr>
              <w:t>Underwriting Agreement, dated as of November 13, 2006, between the Company and Morgan Stanley &amp; Co. Incorporated.</w:t>
            </w:r>
          </w:p>
        </w:tc>
      </w:tr>
      <w:tr>
        <w:trPr>
          <w:trHeight w:val="632"/>
        </w:trPr>
        <w:tc>
          <w:tcPr>
            <w:tcW w:w="940" w:type="dxa"/>
            <w:vAlign w:val="bottom"/>
            <w:tcBorders>
              <w:bottom w:val="single" w:sz="8" w:color="808080"/>
            </w:tcBorders>
          </w:tcPr>
          <w:p>
            <w:pPr>
              <w:spacing w:after="0"/>
              <w:rPr>
                <w:sz w:val="24"/>
                <w:szCs w:val="24"/>
                <w:color w:val="auto"/>
              </w:rPr>
            </w:pPr>
          </w:p>
        </w:tc>
        <w:tc>
          <w:tcPr>
            <w:tcW w:w="10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360" w:type="dxa"/>
            <w:vAlign w:val="bottom"/>
            <w:gridSpan w:val="2"/>
          </w:tcPr>
          <w:p>
            <w:pPr>
              <w:ind w:left="158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15, 2006</w:t>
            </w:r>
          </w:p>
        </w:tc>
        <w:tc>
          <w:tcPr>
            <w:tcW w:w="6360" w:type="dxa"/>
            <w:vAlign w:val="bottom"/>
            <w:gridSpan w:val="2"/>
          </w:tcPr>
          <w:p>
            <w:pPr>
              <w:ind w:left="158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Stuart Kolinski</w:t>
            </w:r>
          </w:p>
        </w:tc>
      </w:tr>
      <w:tr>
        <w:trPr>
          <w:trHeight w:val="191"/>
        </w:trPr>
        <w:tc>
          <w:tcPr>
            <w:tcW w:w="35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Stuart Kolinski</w:t>
            </w:r>
          </w:p>
        </w:tc>
      </w:tr>
      <w:tr>
        <w:trPr>
          <w:trHeight w:val="234"/>
        </w:trPr>
        <w:tc>
          <w:tcPr>
            <w:tcW w:w="3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Vice President and General Counsel</w:t>
            </w:r>
          </w:p>
        </w:tc>
      </w:tr>
    </w:tbl>
    <w:p>
      <w:pPr>
        <w:sectPr>
          <w:pgSz w:w="11900" w:h="16838" w:orient="portrait"/>
          <w:cols w:equalWidth="0" w:num="1">
            <w:col w:w="10520"/>
          </w:cols>
          <w:pgMar w:left="240" w:top="958" w:right="113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t>7,600,000 SHARES</w:t>
      </w:r>
    </w:p>
    <w:p>
      <w:pPr>
        <w:spacing w:after="0" w:line="33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REGENERON PHARMACEUTICALS, INC.</w:t>
      </w:r>
    </w:p>
    <w:p>
      <w:pPr>
        <w:spacing w:after="0" w:line="333" w:lineRule="exact"/>
        <w:rPr>
          <w:sz w:val="20"/>
          <w:szCs w:val="20"/>
          <w:color w:val="auto"/>
        </w:rPr>
      </w:pPr>
    </w:p>
    <w:p>
      <w:pPr>
        <w:jc w:val="right"/>
        <w:ind w:right="237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33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November 13,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80" w:firstLine="225"/>
        <w:spacing w:after="0" w:line="314" w:lineRule="auto"/>
        <w:rPr>
          <w:sz w:val="20"/>
          <w:szCs w:val="20"/>
          <w:color w:val="auto"/>
        </w:rPr>
      </w:pPr>
      <w:r>
        <w:rPr>
          <w:rFonts w:ascii="Arial" w:cs="Arial" w:eastAsia="Arial" w:hAnsi="Arial"/>
          <w:sz w:val="16"/>
          <w:szCs w:val="16"/>
          <w:color w:val="auto"/>
        </w:rPr>
        <w:t>REGENERON PHARMACEUTICALS, INC., a New York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you (the “</w:t>
      </w:r>
      <w:r>
        <w:rPr>
          <w:rFonts w:ascii="Arial" w:cs="Arial" w:eastAsia="Arial" w:hAnsi="Arial"/>
          <w:sz w:val="16"/>
          <w:szCs w:val="16"/>
          <w:b w:val="1"/>
          <w:bCs w:val="1"/>
          <w:color w:val="auto"/>
        </w:rPr>
        <w:t>Underwriter</w:t>
      </w:r>
      <w:r>
        <w:rPr>
          <w:rFonts w:ascii="Arial" w:cs="Arial" w:eastAsia="Arial" w:hAnsi="Arial"/>
          <w:sz w:val="16"/>
          <w:szCs w:val="16"/>
          <w:color w:val="auto"/>
        </w:rPr>
        <w:t>”) the number of shares of its common stock, $0.001 par value per share, set forth in Schedule I hereto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common stock, $0.001 par value per share, of the Company to be outstanding after giving effect to the sales contemplated hereby are hereinafter referred to as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34"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on Form S-3 (the file number of which is set forth in Schedule I hereto), relating to the securities (the “</w:t>
      </w:r>
      <w:r>
        <w:rPr>
          <w:rFonts w:ascii="Arial" w:cs="Arial" w:eastAsia="Arial" w:hAnsi="Arial"/>
          <w:sz w:val="16"/>
          <w:szCs w:val="16"/>
          <w:b w:val="1"/>
          <w:bCs w:val="1"/>
          <w:color w:val="auto"/>
        </w:rPr>
        <w:t>Shelf Securities</w:t>
      </w:r>
      <w:r>
        <w:rPr>
          <w:rFonts w:ascii="Arial" w:cs="Arial" w:eastAsia="Arial" w:hAnsi="Arial"/>
          <w:sz w:val="16"/>
          <w:szCs w:val="16"/>
          <w:color w:val="auto"/>
        </w:rPr>
        <w:t>”), including the Shares,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covering the Shelf Securities dated February 10, 2005 in the form first used to confirm sales of the Shares (or in the form first made available to the Underwriter by the Company to meet requests of purchasers pursuant to</w:t>
      </w:r>
    </w:p>
    <w:p>
      <w:pPr>
        <w:spacing w:after="0" w:line="4"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Rule 173 under the Securities Act) is hereinafter referred to 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prospectus supplement specifically relating to the Shares in the form first used to confirm sales of the Shares (or in the form first made available to the Underwriter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any preliminary form of the Prospectus. 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w:t>
      </w:r>
    </w:p>
    <w:p>
      <w:pPr>
        <w:spacing w:after="0" w:line="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Rule 405 under the Securities Act,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Basic Prospectus together with the final term sheet identified in Schedule I hereto, and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The terms “</w:t>
      </w:r>
      <w:r>
        <w:rPr>
          <w:rFonts w:ascii="Arial" w:cs="Arial" w:eastAsia="Arial" w:hAnsi="Arial"/>
          <w:sz w:val="16"/>
          <w:szCs w:val="16"/>
          <w:b w:val="1"/>
          <w:bCs w:val="1"/>
          <w:color w:val="auto"/>
        </w:rPr>
        <w:t>supplement</w:t>
      </w:r>
      <w:r>
        <w:rPr>
          <w:rFonts w:ascii="Arial" w:cs="Arial" w:eastAsia="Arial" w:hAnsi="Arial"/>
          <w:sz w:val="16"/>
          <w:szCs w:val="16"/>
          <w:color w:val="auto"/>
        </w:rPr>
        <w:t>,” “</w:t>
      </w:r>
      <w:r>
        <w:rPr>
          <w:rFonts w:ascii="Arial" w:cs="Arial" w:eastAsia="Arial" w:hAnsi="Arial"/>
          <w:sz w:val="16"/>
          <w:szCs w:val="16"/>
          <w:b w:val="1"/>
          <w:bCs w:val="1"/>
          <w:color w:val="auto"/>
        </w:rPr>
        <w:t>amendment</w:t>
      </w:r>
      <w:r>
        <w:rPr>
          <w:rFonts w:ascii="Arial" w:cs="Arial" w:eastAsia="Arial" w:hAnsi="Arial"/>
          <w:sz w:val="16"/>
          <w:szCs w:val="16"/>
          <w:color w:val="auto"/>
        </w:rPr>
        <w:t>,” and “</w:t>
      </w:r>
      <w:r>
        <w:rPr>
          <w:rFonts w:ascii="Arial" w:cs="Arial" w:eastAsia="Arial" w:hAnsi="Arial"/>
          <w:sz w:val="16"/>
          <w:szCs w:val="16"/>
          <w:b w:val="1"/>
          <w:bCs w:val="1"/>
          <w:color w:val="auto"/>
        </w:rPr>
        <w:t>amend</w:t>
      </w:r>
      <w:r>
        <w:rPr>
          <w:rFonts w:ascii="Arial" w:cs="Arial" w:eastAsia="Arial" w:hAnsi="Arial"/>
          <w:sz w:val="16"/>
          <w:szCs w:val="16"/>
          <w:color w:val="auto"/>
        </w:rPr>
        <w:t>” as used herein with respect to the Registration Statement, the Basic Prospectus, the Time of Sale Prospectus,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preliminary prospectus or free writing prospectus, if any, shall include all documents subsequently filed by the Company with the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that are deemed to be incorporated by reference therein.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the Underwriter that:</w:t>
      </w:r>
    </w:p>
    <w:p>
      <w:pPr>
        <w:spacing w:after="0" w:line="117" w:lineRule="exact"/>
        <w:rPr>
          <w:sz w:val="20"/>
          <w:szCs w:val="20"/>
          <w:color w:val="auto"/>
        </w:rPr>
      </w:pPr>
    </w:p>
    <w:p>
      <w:pPr>
        <w:ind w:right="560" w:firstLine="233"/>
        <w:spacing w:after="0" w:line="308" w:lineRule="auto"/>
        <w:tabs>
          <w:tab w:leader="none" w:pos="48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Registration Statement Effective; Eligibility. </w:t>
      </w:r>
      <w:r>
        <w:rPr>
          <w:rFonts w:ascii="Arial" w:cs="Arial" w:eastAsia="Arial" w:hAnsi="Arial"/>
          <w:sz w:val="17"/>
          <w:szCs w:val="17"/>
          <w:color w:val="auto"/>
        </w:rPr>
        <w:t>The Registration Statement has become effective; no stop order suspending the effectiveness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is in effect, and no proceedings for such purpose are pending before or threatened by the Commission.</w:t>
      </w:r>
    </w:p>
    <w:p>
      <w:pPr>
        <w:spacing w:after="0" w:line="38" w:lineRule="exact"/>
        <w:rPr>
          <w:rFonts w:ascii="Arial" w:cs="Arial" w:eastAsia="Arial" w:hAnsi="Arial"/>
          <w:sz w:val="17"/>
          <w:szCs w:val="17"/>
          <w:i w:val="1"/>
          <w:iCs w:val="1"/>
          <w:color w:val="auto"/>
        </w:rPr>
      </w:pPr>
    </w:p>
    <w:p>
      <w:pPr>
        <w:ind w:firstLine="233"/>
        <w:spacing w:after="0" w:line="267" w:lineRule="auto"/>
        <w:tabs>
          <w:tab w:leader="none" w:pos="48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Compliance with Form; Disclosure. </w:t>
      </w:r>
      <w:r>
        <w:rPr>
          <w:rFonts w:ascii="Arial" w:cs="Arial" w:eastAsia="Arial" w:hAnsi="Arial"/>
          <w:sz w:val="17"/>
          <w:szCs w:val="17"/>
          <w:color w:val="auto"/>
        </w:rPr>
        <w:t>(i) Each document, if any, filed or to be filed pursuant to the Exchange Act and incorporated by reference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Underwriter furnished to the Company in writing by such Underwriter expressly for use therein.</w:t>
      </w:r>
    </w:p>
    <w:p>
      <w:pPr>
        <w:spacing w:after="0" w:line="117" w:lineRule="exact"/>
        <w:rPr>
          <w:sz w:val="20"/>
          <w:szCs w:val="20"/>
          <w:color w:val="auto"/>
        </w:rPr>
      </w:pPr>
    </w:p>
    <w:p>
      <w:pPr>
        <w:ind w:firstLine="233"/>
        <w:spacing w:after="0" w:line="271" w:lineRule="auto"/>
        <w:tabs>
          <w:tab w:leader="none" w:pos="47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Free Writing Prospectuses. </w:t>
      </w:r>
      <w:r>
        <w:rPr>
          <w:rFonts w:ascii="Arial" w:cs="Arial" w:eastAsia="Arial" w:hAnsi="Arial"/>
          <w:sz w:val="17"/>
          <w:szCs w:val="17"/>
          <w:color w:val="auto"/>
        </w:rPr>
        <w:t>The Company is not an “ineligible issuer” in connection with the offering pursuant to Rules 164, 405 and 433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you before first use, the Company has not prepared, used or referred to, and will not, without your prior consent, prepare, use or refer to, any free writing prospectus.</w:t>
      </w:r>
    </w:p>
    <w:p>
      <w:pPr>
        <w:spacing w:after="0" w:line="70" w:lineRule="exact"/>
        <w:rPr>
          <w:rFonts w:ascii="Arial" w:cs="Arial" w:eastAsia="Arial" w:hAnsi="Arial"/>
          <w:sz w:val="17"/>
          <w:szCs w:val="17"/>
          <w:i w:val="1"/>
          <w:iCs w:val="1"/>
          <w:color w:val="auto"/>
        </w:rPr>
      </w:pPr>
    </w:p>
    <w:p>
      <w:pPr>
        <w:ind w:right="40" w:firstLine="233"/>
        <w:spacing w:after="0" w:line="271" w:lineRule="auto"/>
        <w:tabs>
          <w:tab w:leader="none" w:pos="48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Incorporated Documents</w:t>
      </w:r>
      <w:r>
        <w:rPr>
          <w:rFonts w:ascii="Arial" w:cs="Arial" w:eastAsia="Arial" w:hAnsi="Arial"/>
          <w:sz w:val="17"/>
          <w:szCs w:val="17"/>
          <w:color w:val="auto"/>
        </w:rPr>
        <w:t>. The documents incorporated or deemed to be incorporated by reference in the Registration Statement, the Time of Sale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and the Prospectus, at the time they were or hereafter are filed with the Commission (or, in the case of the Time of Sale Prospectus, first used, and, in the case of the Prospectus, for so long as a prospectus is required to be delivered in connection with the sale of the Shares), complied and will comply in all material respects with the requirements of the 1934 Act and the rules and regulations of the Commission thereunder (the “</w:t>
      </w:r>
      <w:r>
        <w:rPr>
          <w:rFonts w:ascii="Arial" w:cs="Arial" w:eastAsia="Arial" w:hAnsi="Arial"/>
          <w:sz w:val="17"/>
          <w:szCs w:val="17"/>
          <w:b w:val="1"/>
          <w:bCs w:val="1"/>
          <w:color w:val="auto"/>
        </w:rPr>
        <w:t>1934 Act Regulations</w:t>
      </w:r>
      <w:r>
        <w:rPr>
          <w:rFonts w:ascii="Arial" w:cs="Arial" w:eastAsia="Arial" w:hAnsi="Arial"/>
          <w:sz w:val="17"/>
          <w:szCs w:val="17"/>
          <w:color w:val="auto"/>
        </w:rPr>
        <w:t>”) and, when read together with the other information in (i) the Time of Sale Prospectus, at the time the Registration Statement became effective and at the time of each sale of Shares in the offering when the Prospectus is not yet available to prospective purchasers, and (ii) the Prospectus at the time the Prospectus was issued and at the Closing Time, in each case, did not and will not contain an untrue statement of a material fact or omit to state a material fact required to be stated therein or necessary to make the statements therein not misleading.</w:t>
      </w:r>
    </w:p>
    <w:p>
      <w:pPr>
        <w:spacing w:after="0" w:line="70" w:lineRule="exact"/>
        <w:rPr>
          <w:rFonts w:ascii="Arial" w:cs="Arial" w:eastAsia="Arial" w:hAnsi="Arial"/>
          <w:sz w:val="17"/>
          <w:szCs w:val="17"/>
          <w:i w:val="1"/>
          <w:iCs w:val="1"/>
          <w:color w:val="auto"/>
        </w:rPr>
      </w:pPr>
    </w:p>
    <w:p>
      <w:pPr>
        <w:ind w:right="180" w:firstLine="233"/>
        <w:spacing w:after="0" w:line="264" w:lineRule="auto"/>
        <w:tabs>
          <w:tab w:leader="none" w:pos="47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 The accountants who certified the financial statements and supporting schedules included in the Registration Statement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public accountants as required by the 1933 Act and the rules and regulations of the Commission under the Securities Act (the “</w:t>
      </w:r>
      <w:r>
        <w:rPr>
          <w:rFonts w:ascii="Arial" w:cs="Arial" w:eastAsia="Arial" w:hAnsi="Arial"/>
          <w:sz w:val="18"/>
          <w:szCs w:val="18"/>
          <w:b w:val="1"/>
          <w:bCs w:val="1"/>
          <w:color w:val="auto"/>
        </w:rPr>
        <w:t>1933 Act</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Regulations</w:t>
      </w:r>
      <w:r>
        <w:rPr>
          <w:rFonts w:ascii="Arial" w:cs="Arial" w:eastAsia="Arial" w:hAnsi="Arial"/>
          <w:sz w:val="18"/>
          <w:szCs w:val="18"/>
          <w:color w:val="auto"/>
        </w:rPr>
        <w:t>”).</w:t>
      </w:r>
    </w:p>
    <w:p>
      <w:pPr>
        <w:spacing w:after="0" w:line="73" w:lineRule="exact"/>
        <w:rPr>
          <w:rFonts w:ascii="Arial" w:cs="Arial" w:eastAsia="Arial" w:hAnsi="Arial"/>
          <w:sz w:val="18"/>
          <w:szCs w:val="18"/>
          <w:i w:val="1"/>
          <w:iCs w:val="1"/>
          <w:color w:val="auto"/>
        </w:rPr>
      </w:pPr>
    </w:p>
    <w:p>
      <w:pPr>
        <w:ind w:right="260" w:firstLine="233"/>
        <w:spacing w:after="0" w:line="264" w:lineRule="auto"/>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financial statements included in the Registration Statement, the Time of Sale Prospectus and the Prospectus,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schedules and notes, present fairly the respective financial positions of the Company at the dates indicated and the statement of operations, stockholders’ equity and cash flows of the Company for the periods specified;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line="295" w:lineRule="auto"/>
        <w:rPr>
          <w:sz w:val="20"/>
          <w:szCs w:val="20"/>
          <w:color w:val="auto"/>
        </w:rPr>
      </w:pPr>
      <w:r>
        <w:rPr>
          <w:rFonts w:ascii="Arial" w:cs="Arial" w:eastAsia="Arial" w:hAnsi="Arial"/>
          <w:sz w:val="16"/>
          <w:szCs w:val="16"/>
          <w:color w:val="auto"/>
        </w:rPr>
        <w:t>said financial statements have been prepared in conformity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The supporting schedules, if any, included in the Registration Statement present fairly in accordance with GAAP the information required to be stated therein. The selected financial data included in the Prospectus present fairly the information shown therein and have been compiled on a basis consistent with that of the audited financial statements included in the Registration Statement. All disclosures in the Registration Statement, the Time of Sale Prospectus or the Prospectus regarding “non-GAAP financial measures” (as such term is defined by the rules and regulations of the Commission) comply with Regulation G under the Exchange Act and Item 10(e) of Regulation S-K of the 1933 Act Regulations, to the extent applicable.</w:t>
      </w:r>
    </w:p>
    <w:p>
      <w:pPr>
        <w:spacing w:after="0" w:line="52" w:lineRule="exact"/>
        <w:rPr>
          <w:sz w:val="20"/>
          <w:szCs w:val="20"/>
          <w:color w:val="auto"/>
        </w:rPr>
      </w:pPr>
    </w:p>
    <w:p>
      <w:pPr>
        <w:ind w:firstLine="233"/>
        <w:spacing w:after="0" w:line="255" w:lineRule="auto"/>
        <w:tabs>
          <w:tab w:leader="none" w:pos="4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No Material Adverse Change in Business</w:t>
      </w:r>
      <w:r>
        <w:rPr>
          <w:rFonts w:ascii="Arial" w:cs="Arial" w:eastAsia="Arial" w:hAnsi="Arial"/>
          <w:sz w:val="18"/>
          <w:szCs w:val="18"/>
          <w:color w:val="auto"/>
        </w:rPr>
        <w:t>. Since the respective dates as of which information is given in the Registration Statement and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stated therein, (A) there has been no material adverse change or a development known to the Company involving a prospective material adverse change, in the condition, financial or otherwise, or in the earnings or business affairs of the Company, whether or not arising in the ordinary course of business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(B) there have been no transactions entered into by the Company, other than those in the ordinary course of business, which are material with respect to the Company, and (C) there has been no dividend or distribution of any kind declared, paid or made by the Company on any class of its capital stock.</w:t>
      </w:r>
    </w:p>
    <w:p>
      <w:pPr>
        <w:spacing w:after="0" w:line="85" w:lineRule="exact"/>
        <w:rPr>
          <w:rFonts w:ascii="Arial" w:cs="Arial" w:eastAsia="Arial" w:hAnsi="Arial"/>
          <w:sz w:val="18"/>
          <w:szCs w:val="18"/>
          <w:i w:val="1"/>
          <w:iCs w:val="1"/>
          <w:color w:val="auto"/>
        </w:rPr>
      </w:pPr>
    </w:p>
    <w:p>
      <w:pPr>
        <w:jc w:val="both"/>
        <w:ind w:firstLine="233"/>
        <w:spacing w:after="0" w:line="297" w:lineRule="auto"/>
        <w:tabs>
          <w:tab w:leader="none" w:pos="4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Good Standing of the Company</w:t>
      </w:r>
      <w:r>
        <w:rPr>
          <w:rFonts w:ascii="Arial" w:cs="Arial" w:eastAsia="Arial" w:hAnsi="Arial"/>
          <w:sz w:val="16"/>
          <w:szCs w:val="16"/>
          <w:color w:val="auto"/>
        </w:rPr>
        <w:t>. The Company has been duly organized and is validly existing as a corporation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New York and has corporate power and authority to own, lease and operate its properties and to conduct its business as described in the Time of Sale Prospectus and the Prospectus and to enter into and perform its obligations under this Agreement; and the Company is duly qualified as a foreign corporation to transact business and is in good standing in each jurisdiction in which such qualification is required, whether by reason of ownership or leasing of property or the conduct of business, except where the failure so to qualify or be in good standing would not result in a Material Adverse Effect.</w:t>
      </w:r>
    </w:p>
    <w:p>
      <w:pPr>
        <w:spacing w:after="0" w:line="50" w:lineRule="exact"/>
        <w:rPr>
          <w:rFonts w:ascii="Arial" w:cs="Arial" w:eastAsia="Arial" w:hAnsi="Arial"/>
          <w:sz w:val="16"/>
          <w:szCs w:val="16"/>
          <w:i w:val="1"/>
          <w:iCs w:val="1"/>
          <w:color w:val="auto"/>
        </w:rPr>
      </w:pPr>
    </w:p>
    <w:p>
      <w:pPr>
        <w:ind w:left="440" w:hanging="207"/>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 The Company has no subsidiaries.</w:t>
      </w:r>
    </w:p>
    <w:p>
      <w:pPr>
        <w:spacing w:after="0" w:line="117" w:lineRule="exact"/>
        <w:rPr>
          <w:rFonts w:ascii="Arial" w:cs="Arial" w:eastAsia="Arial" w:hAnsi="Arial"/>
          <w:sz w:val="18"/>
          <w:szCs w:val="18"/>
          <w:i w:val="1"/>
          <w:iCs w:val="1"/>
          <w:color w:val="auto"/>
        </w:rPr>
      </w:pPr>
    </w:p>
    <w:p>
      <w:pPr>
        <w:ind w:left="440" w:hanging="207"/>
        <w:spacing w:after="0"/>
        <w:tabs>
          <w:tab w:leader="none" w:pos="4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Capitalization</w:t>
      </w:r>
      <w:r>
        <w:rPr>
          <w:rFonts w:ascii="Arial" w:cs="Arial" w:eastAsia="Arial" w:hAnsi="Arial"/>
          <w:sz w:val="16"/>
          <w:szCs w:val="16"/>
          <w:color w:val="auto"/>
        </w:rPr>
        <w:t>. The authorized, issued and outstanding capital stock of the Company is as set forth in the condensed balance sheet at September 30,</w:t>
      </w:r>
    </w:p>
    <w:p>
      <w:pPr>
        <w:spacing w:after="0" w:line="46" w:lineRule="exact"/>
        <w:rPr>
          <w:rFonts w:ascii="Arial" w:cs="Arial" w:eastAsia="Arial" w:hAnsi="Arial"/>
          <w:sz w:val="16"/>
          <w:szCs w:val="16"/>
          <w:i w:val="1"/>
          <w:iCs w:val="1"/>
          <w:color w:val="auto"/>
        </w:rPr>
      </w:pPr>
    </w:p>
    <w:p>
      <w:pPr>
        <w:ind w:right="240"/>
        <w:spacing w:after="0" w:line="302" w:lineRule="auto"/>
        <w:rPr>
          <w:rFonts w:ascii="Arial" w:cs="Arial" w:eastAsia="Arial" w:hAnsi="Arial"/>
          <w:sz w:val="16"/>
          <w:szCs w:val="16"/>
          <w:i w:val="1"/>
          <w:iCs w:val="1"/>
          <w:color w:val="auto"/>
        </w:rPr>
      </w:pPr>
      <w:r>
        <w:rPr>
          <w:rFonts w:ascii="Arial" w:cs="Arial" w:eastAsia="Arial" w:hAnsi="Arial"/>
          <w:sz w:val="16"/>
          <w:szCs w:val="16"/>
          <w:color w:val="auto"/>
        </w:rPr>
        <w:t>2006 of the Company included in the Time of Sale Prospectus and the Prospectus (except for subsequent issuances, if any, pursuant to this Agreement, pursuant to reservations, agreements or employee benefit plans referred to in the Time of Sale Prospectus and the Prospectus or pursuant to the exercise of convertible securities or options referred to in the Time of Sale Prospectus and the Prospectus). The shares of issued and outstanding capital</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9" w:name="page10"/>
    <w:bookmarkEnd w:id="9"/>
    <w:p>
      <w:pPr>
        <w:ind w:right="180"/>
        <w:spacing w:after="0" w:line="277" w:lineRule="auto"/>
        <w:rPr>
          <w:sz w:val="20"/>
          <w:szCs w:val="20"/>
          <w:color w:val="auto"/>
        </w:rPr>
      </w:pPr>
      <w:r>
        <w:rPr>
          <w:rFonts w:ascii="Arial" w:cs="Arial" w:eastAsia="Arial" w:hAnsi="Arial"/>
          <w:sz w:val="18"/>
          <w:szCs w:val="18"/>
          <w:color w:val="auto"/>
        </w:rPr>
        <w:t>stock of the Company have been duly authorized and validly issued and are fully paid and non-assessable; none of the outstanding shares of capital stock of the Company was issued in violation of the preemptive or other similar rights of any securityholder of the Company.</w:t>
      </w:r>
    </w:p>
    <w:p>
      <w:pPr>
        <w:spacing w:after="0" w:line="62" w:lineRule="exact"/>
        <w:rPr>
          <w:sz w:val="20"/>
          <w:szCs w:val="20"/>
          <w:color w:val="auto"/>
        </w:rPr>
      </w:pPr>
    </w:p>
    <w:p>
      <w:pPr>
        <w:ind w:left="480" w:hanging="247"/>
        <w:spacing w:after="0"/>
        <w:tabs>
          <w:tab w:leader="none" w:pos="4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i w:val="1"/>
          <w:iCs w:val="1"/>
          <w:color w:val="auto"/>
        </w:rPr>
      </w:pPr>
    </w:p>
    <w:p>
      <w:pPr>
        <w:ind w:right="80" w:firstLine="233"/>
        <w:spacing w:after="0" w:line="255" w:lineRule="auto"/>
        <w:tabs>
          <w:tab w:leader="none" w:pos="43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Authorization and Description of Securities</w:t>
      </w:r>
      <w:r>
        <w:rPr>
          <w:rFonts w:ascii="Arial" w:cs="Arial" w:eastAsia="Arial" w:hAnsi="Arial"/>
          <w:sz w:val="18"/>
          <w:szCs w:val="18"/>
          <w:color w:val="auto"/>
        </w:rPr>
        <w:t>. The Shares to be purchased by the Underwriter from the Company have been duly authorized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 to the Underwriter pursuant to this Agreement and, when issued and delivered by the Company pursuant to this Agreement against payment of the consideration set forth herein, will be validly issued, fully paid and non-assessable; the Common Stock conforms to all statements relating thereto contained in the Time of Sale Prospectus and the Prospectus and such description conforms to the rights set forth in the instruments defining the same; and no holder of the Shares will be subject to personal liability by reason of being such a holder; and the issuance of the Shares are not subject to the preemptive or other similar rights of any securityholder of the Company.</w:t>
      </w:r>
    </w:p>
    <w:p>
      <w:pPr>
        <w:spacing w:after="0" w:line="85" w:lineRule="exact"/>
        <w:rPr>
          <w:rFonts w:ascii="Arial" w:cs="Arial" w:eastAsia="Arial" w:hAnsi="Arial"/>
          <w:sz w:val="18"/>
          <w:szCs w:val="18"/>
          <w:i w:val="1"/>
          <w:iCs w:val="1"/>
          <w:color w:val="auto"/>
        </w:rPr>
      </w:pPr>
    </w:p>
    <w:p>
      <w:pPr>
        <w:ind w:firstLine="233"/>
        <w:spacing w:after="0" w:line="268" w:lineRule="auto"/>
        <w:tabs>
          <w:tab w:leader="none" w:pos="517"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Absence of Defaults and Conflicts</w:t>
      </w:r>
      <w:r>
        <w:rPr>
          <w:rFonts w:ascii="Arial" w:cs="Arial" w:eastAsia="Arial" w:hAnsi="Arial"/>
          <w:sz w:val="17"/>
          <w:szCs w:val="17"/>
          <w:color w:val="auto"/>
        </w:rPr>
        <w:t>. The Company is not in violation of its charter or by-laws or in default in the performance or observance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agreement, covenant or condition contained in any contract, indenture, mortgage, deed of trust, loan or credit agreement, note, lease or other agreement or instrument to which the Company is a party or by which it may be bound, or to which any of the property or assets of the Company is subject (collectively, “</w:t>
      </w:r>
      <w:r>
        <w:rPr>
          <w:rFonts w:ascii="Arial" w:cs="Arial" w:eastAsia="Arial" w:hAnsi="Arial"/>
          <w:sz w:val="17"/>
          <w:szCs w:val="17"/>
          <w:b w:val="1"/>
          <w:bCs w:val="1"/>
          <w:color w:val="auto"/>
        </w:rPr>
        <w:t>Agreements and Instruments</w:t>
      </w:r>
      <w:r>
        <w:rPr>
          <w:rFonts w:ascii="Arial" w:cs="Arial" w:eastAsia="Arial" w:hAnsi="Arial"/>
          <w:sz w:val="17"/>
          <w:szCs w:val="17"/>
          <w:color w:val="auto"/>
        </w:rPr>
        <w:t>”) except for such defaults that would not result in a Material Adverse Effect; and the execution, delivery and performance of this Agreement by the Company and the consummation by the Company of the transactions contemplated herein and in the Prospectus (including the issuance and sale of the Shares and the use of the proceeds from the sale of the Shares as described in the Time of Sale Prospectus and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any applicable law, statute, rule, regulation, judgment, order, writ or decree of any government, government instrumentality or court, domestic or foreign, having jurisdiction over the Company or any of its assets, properties or operations except for any such violation that could not be expected to result in a Material Adverse Effect. As used herein, a “</w:t>
      </w:r>
      <w:r>
        <w:rPr>
          <w:rFonts w:ascii="Arial" w:cs="Arial" w:eastAsia="Arial" w:hAnsi="Arial"/>
          <w:sz w:val="17"/>
          <w:szCs w:val="17"/>
          <w:b w:val="1"/>
          <w:bCs w:val="1"/>
          <w:color w:val="auto"/>
        </w:rPr>
        <w:t>Repayment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120"/>
        <w:spacing w:after="0" w:line="313" w:lineRule="auto"/>
        <w:rPr>
          <w:sz w:val="20"/>
          <w:szCs w:val="20"/>
          <w:color w:val="auto"/>
        </w:rPr>
      </w:pPr>
      <w:r>
        <w:rPr>
          <w:rFonts w:ascii="Arial" w:cs="Arial" w:eastAsia="Arial" w:hAnsi="Arial"/>
          <w:sz w:val="17"/>
          <w:szCs w:val="17"/>
          <w:b w:val="1"/>
          <w:bCs w:val="1"/>
          <w:color w:val="auto"/>
        </w:rPr>
        <w:t>Event</w:t>
      </w:r>
      <w:r>
        <w:rPr>
          <w:rFonts w:ascii="Arial" w:cs="Arial" w:eastAsia="Arial" w:hAnsi="Arial"/>
          <w:sz w:val="17"/>
          <w:szCs w:val="17"/>
          <w:color w:val="auto"/>
        </w:rPr>
        <w:t>” means any event or condition which gives the holder of any note, debenture or other evidence of indebtedness (or any person acting on such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behalf) the right to require the repurchase, redemption or repayment of all or a portion of such indebtedness by the Company.</w:t>
      </w:r>
    </w:p>
    <w:p>
      <w:pPr>
        <w:spacing w:after="0" w:line="34" w:lineRule="exact"/>
        <w:rPr>
          <w:sz w:val="20"/>
          <w:szCs w:val="20"/>
          <w:color w:val="auto"/>
        </w:rPr>
      </w:pPr>
    </w:p>
    <w:p>
      <w:pPr>
        <w:ind w:right="400" w:firstLine="233"/>
        <w:spacing w:after="0" w:line="264" w:lineRule="auto"/>
        <w:tabs>
          <w:tab w:leader="none" w:pos="477"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exists or, to the knowledge of the Company, is imminent,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not aware of any existing or imminent labor disturbance by the employees of any of its principal suppliers, manufacturers, customers or contractors, which, in either case, may reasonably be expected to result in a Material Adverse Effect.</w:t>
      </w:r>
    </w:p>
    <w:p>
      <w:pPr>
        <w:spacing w:after="0" w:line="73" w:lineRule="exact"/>
        <w:rPr>
          <w:rFonts w:ascii="Arial" w:cs="Arial" w:eastAsia="Arial" w:hAnsi="Arial"/>
          <w:sz w:val="18"/>
          <w:szCs w:val="18"/>
          <w:i w:val="1"/>
          <w:iCs w:val="1"/>
          <w:color w:val="auto"/>
        </w:rPr>
      </w:pPr>
    </w:p>
    <w:p>
      <w:pPr>
        <w:ind w:firstLine="233"/>
        <w:spacing w:after="0" w:line="271" w:lineRule="auto"/>
        <w:tabs>
          <w:tab w:leader="none" w:pos="477"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Absence of Proceedings</w:t>
      </w:r>
      <w:r>
        <w:rPr>
          <w:rFonts w:ascii="Arial" w:cs="Arial" w:eastAsia="Arial" w:hAnsi="Arial"/>
          <w:sz w:val="17"/>
          <w:szCs w:val="17"/>
          <w:color w:val="auto"/>
        </w:rPr>
        <w:t>. There is no action, suit, proceeding, inquiry or investigation before or brought by any court or governmental agency or body,</w:t>
      </w:r>
      <w:r>
        <w:rPr>
          <w:rFonts w:ascii="Arial" w:cs="Arial" w:eastAsia="Arial" w:hAnsi="Arial"/>
          <w:sz w:val="17"/>
          <w:szCs w:val="17"/>
          <w:i w:val="1"/>
          <w:iCs w:val="1"/>
          <w:color w:val="auto"/>
        </w:rPr>
        <w:t xml:space="preserve"> </w:t>
      </w:r>
      <w:r>
        <w:rPr>
          <w:rFonts w:ascii="Arial" w:cs="Arial" w:eastAsia="Arial" w:hAnsi="Arial"/>
          <w:sz w:val="17"/>
          <w:szCs w:val="17"/>
          <w:color w:val="auto"/>
        </w:rPr>
        <w:t>domestic or foreign, now pending, or, to the knowledge of the Company, threatened, against or affecting the Company, which is required to be disclosed in the Registration Statement, the Time of Sale Prospectus and the Prospectus (other than as disclosed therein), or which might reasonably be expected to result in a Material Adverse Effect, or which might reasonably be expected to materially and adversely affect the properties or assets thereof or the consummation of the transactions contemplated in this Agreement or the performance by the Company of its obligations hereunder; the aggregate of all pending legal or governmental proceedings to which the Company is a party or of which any of its property or assets is the subject which are not described in the Registration Statement, the Time of Sale Prospectus and the Prospectus including ordinary routine litigation incidental to the business, could not reasonably be expected to result in a Material Adverse Effect.</w:t>
      </w:r>
    </w:p>
    <w:p>
      <w:pPr>
        <w:spacing w:after="0" w:line="70" w:lineRule="exact"/>
        <w:rPr>
          <w:rFonts w:ascii="Arial" w:cs="Arial" w:eastAsia="Arial" w:hAnsi="Arial"/>
          <w:sz w:val="17"/>
          <w:szCs w:val="17"/>
          <w:i w:val="1"/>
          <w:iCs w:val="1"/>
          <w:color w:val="auto"/>
        </w:rPr>
      </w:pPr>
    </w:p>
    <w:p>
      <w:pPr>
        <w:ind w:right="40" w:firstLine="233"/>
        <w:spacing w:after="0" w:line="264" w:lineRule="auto"/>
        <w:tabs>
          <w:tab w:leader="none" w:pos="477"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Accuracy of Exhibits</w:t>
      </w:r>
      <w:r>
        <w:rPr>
          <w:rFonts w:ascii="Arial" w:cs="Arial" w:eastAsia="Arial" w:hAnsi="Arial"/>
          <w:sz w:val="18"/>
          <w:szCs w:val="18"/>
          <w:color w:val="auto"/>
        </w:rPr>
        <w:t>. There are no contracts or documents which are required to be described in the Registration Statement, the Time of Sale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the Prospectus or the documents incorporated by reference therein or to be filed as exhibits thereto which have not been so described and filed as required.</w:t>
      </w:r>
    </w:p>
    <w:p>
      <w:pPr>
        <w:spacing w:after="0" w:line="73" w:lineRule="exact"/>
        <w:rPr>
          <w:rFonts w:ascii="Arial" w:cs="Arial" w:eastAsia="Arial" w:hAnsi="Arial"/>
          <w:sz w:val="18"/>
          <w:szCs w:val="18"/>
          <w:i w:val="1"/>
          <w:iCs w:val="1"/>
          <w:color w:val="auto"/>
        </w:rPr>
      </w:pPr>
    </w:p>
    <w:p>
      <w:pPr>
        <w:ind w:firstLine="233"/>
        <w:spacing w:after="0" w:line="255" w:lineRule="auto"/>
        <w:tabs>
          <w:tab w:leader="none" w:pos="4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Possession of Intellectual Property</w:t>
      </w:r>
      <w:r>
        <w:rPr>
          <w:rFonts w:ascii="Arial" w:cs="Arial" w:eastAsia="Arial" w:hAnsi="Arial"/>
          <w:sz w:val="18"/>
          <w:szCs w:val="18"/>
          <w:color w:val="auto"/>
        </w:rPr>
        <w:t>. The Company owns or possesses, or will use its best efforts to acquire on reasonable terms, adequate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8"/>
          <w:szCs w:val="18"/>
          <w:b w:val="1"/>
          <w:bCs w:val="1"/>
          <w:color w:val="auto"/>
        </w:rPr>
        <w:t>Intellectual Property</w:t>
      </w:r>
      <w:r>
        <w:rPr>
          <w:rFonts w:ascii="Arial" w:cs="Arial" w:eastAsia="Arial" w:hAnsi="Arial"/>
          <w:sz w:val="18"/>
          <w:szCs w:val="18"/>
          <w:color w:val="auto"/>
        </w:rPr>
        <w:t>”) necessary to carry on the business now operated by them. Except as disclosed in the Time of Sale Prospectus and the Prospectus, (i) there is no litigation or other proceeding pending or, to the Company’s knowledge, threatened and no claims are presently being asserted by any third party challenging or questioning the ownership, validity, enforceability of the Company’s right to use or own any Intellectual Property or asserting that the use of any Intellectual Property by the Company 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right="100"/>
        <w:spacing w:after="0" w:line="276" w:lineRule="auto"/>
        <w:rPr>
          <w:sz w:val="20"/>
          <w:szCs w:val="20"/>
          <w:color w:val="auto"/>
        </w:rPr>
      </w:pPr>
      <w:r>
        <w:rPr>
          <w:rFonts w:ascii="Arial" w:cs="Arial" w:eastAsia="Arial" w:hAnsi="Arial"/>
          <w:sz w:val="17"/>
          <w:szCs w:val="17"/>
          <w:color w:val="auto"/>
        </w:rPr>
        <w:t>the operation of the business of the Company infringes upon or misappropriates the Intellectual Property of any third party, other than infringements which would not be reasonably likely to have a Material Adverse Effect, and (ii) the Company is not otherwise aware of any infringement of or conflict with asserted rights of others with respect to any Intellectual Property or of any facts or circumstances which would render any Intellectual Property invalid or inadequate to protect the interest of the Company therein, and which infringement or conflict (if the subject of any unfavorable decision, ruling or finding) or invalidity or inadequacy, singly or in the aggregate, would result in a Material Adverse Effect.</w:t>
      </w:r>
    </w:p>
    <w:p>
      <w:pPr>
        <w:spacing w:after="0" w:line="64" w:lineRule="exact"/>
        <w:rPr>
          <w:sz w:val="20"/>
          <w:szCs w:val="20"/>
          <w:color w:val="auto"/>
        </w:rPr>
      </w:pPr>
    </w:p>
    <w:p>
      <w:pPr>
        <w:ind w:firstLine="233"/>
        <w:spacing w:after="0" w:line="259" w:lineRule="auto"/>
        <w:tabs>
          <w:tab w:leader="none" w:pos="457"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Absence of Further Requirements</w:t>
      </w:r>
      <w:r>
        <w:rPr>
          <w:rFonts w:ascii="Arial" w:cs="Arial" w:eastAsia="Arial" w:hAnsi="Arial"/>
          <w:sz w:val="18"/>
          <w:szCs w:val="18"/>
          <w:color w:val="auto"/>
        </w:rPr>
        <w:t>. No filing with, or authorization, approval, consent, license, order, registration, qualification or decree of, any court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or agency is necessary or required for the performance by the Company of its obligations hereunder, in connection with the offering, issuance or sale of the Shares hereunder or the consummation of the transactions contemplated by this Agreement, except such as have been already obtained or as may be required under the Securities Act or state securities laws.</w:t>
      </w:r>
    </w:p>
    <w:p>
      <w:pPr>
        <w:spacing w:after="0" w:line="78" w:lineRule="exact"/>
        <w:rPr>
          <w:rFonts w:ascii="Arial" w:cs="Arial" w:eastAsia="Arial" w:hAnsi="Arial"/>
          <w:sz w:val="18"/>
          <w:szCs w:val="18"/>
          <w:i w:val="1"/>
          <w:iCs w:val="1"/>
          <w:color w:val="auto"/>
        </w:rPr>
      </w:pPr>
    </w:p>
    <w:p>
      <w:pPr>
        <w:ind w:left="460" w:hanging="227"/>
        <w:spacing w:after="0"/>
        <w:tabs>
          <w:tab w:leader="none" w:pos="4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Possession of Licenses and Permits</w:t>
      </w:r>
      <w:r>
        <w:rPr>
          <w:rFonts w:ascii="Arial" w:cs="Arial" w:eastAsia="Arial" w:hAnsi="Arial"/>
          <w:sz w:val="17"/>
          <w:szCs w:val="17"/>
          <w:color w:val="auto"/>
        </w:rPr>
        <w:t>. The Company possesses such permits, licenses, approvals, consents and other authorizations (collectively,</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Licenses</w:t>
      </w:r>
      <w:r>
        <w:rPr>
          <w:rFonts w:ascii="Arial" w:cs="Arial" w:eastAsia="Arial" w:hAnsi="Arial"/>
          <w:sz w:val="16"/>
          <w:szCs w:val="16"/>
          <w:color w:val="auto"/>
        </w:rPr>
        <w:t>”) issued by the appropriate federal, state, local or foreign regulatory agencies or bodies necessary to conduct the business now operated by them; the Company is in compliance with the terms and conditions of all such Governmental Licenses, except where the failure so to comply would not, singly or in the aggregate, have a Material Adverse Effect; all of the Governmental Licenses are valid and in full force and effect, except when the invalidity of such Governmental Licenses or the failure of such Governmental Licenses to be in full force and effect would not have a Material Adverse Effect; and the Company has not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56" w:lineRule="exact"/>
        <w:rPr>
          <w:sz w:val="20"/>
          <w:szCs w:val="20"/>
          <w:color w:val="auto"/>
        </w:rPr>
      </w:pPr>
    </w:p>
    <w:p>
      <w:pPr>
        <w:ind w:right="140" w:firstLine="233"/>
        <w:spacing w:after="0" w:line="272" w:lineRule="auto"/>
        <w:tabs>
          <w:tab w:leader="none" w:pos="4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Title to Property</w:t>
      </w:r>
      <w:r>
        <w:rPr>
          <w:rFonts w:ascii="Arial" w:cs="Arial" w:eastAsia="Arial" w:hAnsi="Arial"/>
          <w:sz w:val="17"/>
          <w:szCs w:val="17"/>
          <w:color w:val="auto"/>
        </w:rPr>
        <w:t>. The Company has good and marketable title to all real property owned by the Company and good title to all other properties owned</w:t>
      </w:r>
      <w:r>
        <w:rPr>
          <w:rFonts w:ascii="Arial" w:cs="Arial" w:eastAsia="Arial" w:hAnsi="Arial"/>
          <w:sz w:val="17"/>
          <w:szCs w:val="17"/>
          <w:i w:val="1"/>
          <w:iCs w:val="1"/>
          <w:color w:val="auto"/>
        </w:rPr>
        <w:t xml:space="preserve"> </w:t>
      </w:r>
      <w:r>
        <w:rPr>
          <w:rFonts w:ascii="Arial" w:cs="Arial" w:eastAsia="Arial" w:hAnsi="Arial"/>
          <w:sz w:val="17"/>
          <w:szCs w:val="17"/>
          <w:color w:val="auto"/>
        </w:rPr>
        <w:t>by it, in each case, free and clear of all mortgages, pledges, liens, security interests, claims, restrictions or encumbrances of any kind except such as (a) are described in the Time of Sale Prospectus and the Prospectus or (b) do not, singly or in the aggregate, materially affect the value of such property and do not interfere with the use made and proposed to be made of such property by the Company; and all of the leases and subleases material to the business of the Company considered as one enterprise, and under which the Company holds properties described in the Time of Sale Prospectus and the Prospectus, are in full force and effect, and the Company has no notice of any material claim of any sort that has been asserted by anyone adverse to the rights of the Company any of the leases or subleases mentioned above, or affecting or questioning the rights of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Company to the continued possession of the leased or subleased premises under any such lease or sublease.</w:t>
      </w:r>
    </w:p>
    <w:p>
      <w:pPr>
        <w:spacing w:after="0" w:line="117" w:lineRule="exact"/>
        <w:rPr>
          <w:sz w:val="20"/>
          <w:szCs w:val="20"/>
          <w:color w:val="auto"/>
        </w:rPr>
      </w:pPr>
    </w:p>
    <w:p>
      <w:pPr>
        <w:ind w:firstLine="233"/>
        <w:spacing w:after="0" w:line="269" w:lineRule="auto"/>
        <w:tabs>
          <w:tab w:leader="none" w:pos="48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Environmental Laws</w:t>
      </w:r>
      <w:r>
        <w:rPr>
          <w:rFonts w:ascii="Arial" w:cs="Arial" w:eastAsia="Arial" w:hAnsi="Arial"/>
          <w:sz w:val="17"/>
          <w:szCs w:val="17"/>
          <w:color w:val="auto"/>
        </w:rPr>
        <w:t>. Except as described in the Registration Statement, the Time of Sale Prospectus and the Prospectus and except as would not,</w:t>
      </w:r>
      <w:r>
        <w:rPr>
          <w:rFonts w:ascii="Arial" w:cs="Arial" w:eastAsia="Arial" w:hAnsi="Arial"/>
          <w:sz w:val="17"/>
          <w:szCs w:val="17"/>
          <w:i w:val="1"/>
          <w:iCs w:val="1"/>
          <w:color w:val="auto"/>
        </w:rPr>
        <w:t xml:space="preserve"> </w:t>
      </w:r>
      <w:r>
        <w:rPr>
          <w:rFonts w:ascii="Arial" w:cs="Arial" w:eastAsia="Arial" w:hAnsi="Arial"/>
          <w:sz w:val="17"/>
          <w:szCs w:val="17"/>
          <w:color w:val="auto"/>
        </w:rPr>
        <w:t>singly or in the aggregate, result in a Material Adverse Effect, (A)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b w:val="1"/>
          <w:bCs w:val="1"/>
          <w:color w:val="auto"/>
        </w:rPr>
        <w:t>Hazardous</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w:t>
      </w:r>
      <w:r>
        <w:rPr>
          <w:rFonts w:ascii="Arial" w:cs="Arial" w:eastAsia="Arial" w:hAnsi="Arial"/>
          <w:sz w:val="17"/>
          <w:szCs w:val="17"/>
          <w:color w:val="auto"/>
        </w:rPr>
        <w:t>”) or to the manufacture, processing, distribution, use, treatment, storage, disposal, transport or handling of Hazardous Materials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(B) the Company has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and (D) there are no events or circumstances that might reasonably be expected to form the basis of an order for clean-up or remediation, or an action, suit or proceeding by any private party or governmental body.</w:t>
      </w:r>
    </w:p>
    <w:p>
      <w:pPr>
        <w:spacing w:after="0" w:line="71" w:lineRule="exact"/>
        <w:rPr>
          <w:rFonts w:ascii="Arial" w:cs="Arial" w:eastAsia="Arial" w:hAnsi="Arial"/>
          <w:sz w:val="17"/>
          <w:szCs w:val="17"/>
          <w:i w:val="1"/>
          <w:iCs w:val="1"/>
          <w:color w:val="auto"/>
        </w:rPr>
      </w:pPr>
    </w:p>
    <w:p>
      <w:pPr>
        <w:ind w:right="460" w:firstLine="233"/>
        <w:spacing w:after="0" w:line="286" w:lineRule="auto"/>
        <w:tabs>
          <w:tab w:leader="none" w:pos="47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upon the issuance and sale of the Shares as herein contemplated and the application of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therefrom as described in the Time of Sale Prospectus and the Prospectus will not be, an “investment company” or an entity controlled by an “investment company” as such terms are defined in the Investment Company Act of 1940, as amended (the “</w:t>
      </w:r>
      <w:r>
        <w:rPr>
          <w:rFonts w:ascii="Arial" w:cs="Arial" w:eastAsia="Arial" w:hAnsi="Arial"/>
          <w:sz w:val="17"/>
          <w:szCs w:val="17"/>
          <w:b w:val="1"/>
          <w:bCs w:val="1"/>
          <w:color w:val="auto"/>
        </w:rPr>
        <w:t>1940 Act</w:t>
      </w:r>
      <w:r>
        <w:rPr>
          <w:rFonts w:ascii="Arial" w:cs="Arial" w:eastAsia="Arial" w:hAnsi="Arial"/>
          <w:sz w:val="17"/>
          <w:szCs w:val="17"/>
          <w:color w:val="auto"/>
        </w:rPr>
        <w:t>”).</w:t>
      </w:r>
    </w:p>
    <w:p>
      <w:pPr>
        <w:spacing w:after="0" w:line="57" w:lineRule="exact"/>
        <w:rPr>
          <w:rFonts w:ascii="Arial" w:cs="Arial" w:eastAsia="Arial" w:hAnsi="Arial"/>
          <w:sz w:val="17"/>
          <w:szCs w:val="17"/>
          <w:i w:val="1"/>
          <w:iCs w:val="1"/>
          <w:color w:val="auto"/>
        </w:rPr>
      </w:pPr>
    </w:p>
    <w:p>
      <w:pPr>
        <w:ind w:right="60" w:firstLine="233"/>
        <w:spacing w:after="0" w:line="257" w:lineRule="auto"/>
        <w:tabs>
          <w:tab w:leader="none" w:pos="51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FDA and PTO Proceedings</w:t>
      </w:r>
      <w:r>
        <w:rPr>
          <w:rFonts w:ascii="Arial" w:cs="Arial" w:eastAsia="Arial" w:hAnsi="Arial"/>
          <w:sz w:val="18"/>
          <w:szCs w:val="18"/>
          <w:color w:val="auto"/>
        </w:rPr>
        <w:t>. To the Company’s knowledge, except as disclosed in the Time of Sale Prospectus and the Prospectus,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rulemaking or similar proceedings before the U.S. Food and Drug Administration, the U.S. Patent and Trademark Office or the European Patent Office which affect or involve the Company or any of the processes or products which the Time of Sale Prospectus and the Prospectus disclose the Company to have developed, to be developing or to propose to develop or use or propose to use which, if the subject of an action unfavorable to the Company, would have a Material Adverse Effect.</w:t>
      </w:r>
    </w:p>
    <w:p>
      <w:pPr>
        <w:spacing w:after="0" w:line="80" w:lineRule="exact"/>
        <w:rPr>
          <w:sz w:val="20"/>
          <w:szCs w:val="20"/>
          <w:color w:val="auto"/>
        </w:rPr>
      </w:pPr>
    </w:p>
    <w:p>
      <w:pPr>
        <w:ind w:left="420" w:hanging="187"/>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Underwriter, and the Underwriter, upon the basis of the representations</w:t>
      </w:r>
    </w:p>
    <w:p>
      <w:pPr>
        <w:spacing w:after="0" w:line="221"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480"/>
        <w:spacing w:after="0" w:line="277" w:lineRule="auto"/>
        <w:rPr>
          <w:sz w:val="20"/>
          <w:szCs w:val="20"/>
          <w:color w:val="auto"/>
        </w:rPr>
      </w:pPr>
      <w:r>
        <w:rPr>
          <w:rFonts w:ascii="Arial" w:cs="Arial" w:eastAsia="Arial" w:hAnsi="Arial"/>
          <w:sz w:val="18"/>
          <w:szCs w:val="18"/>
          <w:color w:val="auto"/>
        </w:rPr>
        <w:t>and warranties herein contained, but subject to the conditions hereinafter stated, agrees to purchase from the Company the number of Shares set forth in Schedule II hereto opposite its name at the purchase price set forth in Schedule I hereto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62" w:lineRule="exact"/>
        <w:rPr>
          <w:sz w:val="20"/>
          <w:szCs w:val="20"/>
          <w:color w:val="auto"/>
        </w:rPr>
      </w:pPr>
    </w:p>
    <w:p>
      <w:pPr>
        <w:ind w:right="280" w:firstLine="233"/>
        <w:spacing w:after="0" w:line="264" w:lineRule="auto"/>
        <w:tabs>
          <w:tab w:leader="none" w:pos="40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Public Offering</w:t>
      </w:r>
      <w:r>
        <w:rPr>
          <w:rFonts w:ascii="Arial" w:cs="Arial" w:eastAsia="Arial" w:hAnsi="Arial"/>
          <w:sz w:val="18"/>
          <w:szCs w:val="18"/>
          <w:color w:val="auto"/>
        </w:rPr>
        <w:t>. The Company is advised by you that the Underwriter proposes to make a public offering of the Shares as soon after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and this Agreement have become effective as in your judgment is advisable. The Company is further advised by you that the Shares are to be offered to the public upon the terms set forth in the Prospectus.</w:t>
      </w:r>
    </w:p>
    <w:p>
      <w:pPr>
        <w:spacing w:after="0" w:line="73" w:lineRule="exact"/>
        <w:rPr>
          <w:rFonts w:ascii="Arial" w:cs="Arial" w:eastAsia="Arial" w:hAnsi="Arial"/>
          <w:sz w:val="18"/>
          <w:szCs w:val="18"/>
          <w:color w:val="auto"/>
        </w:rPr>
      </w:pPr>
    </w:p>
    <w:p>
      <w:pPr>
        <w:ind w:firstLine="233"/>
        <w:spacing w:after="0" w:line="286" w:lineRule="auto"/>
        <w:tabs>
          <w:tab w:leader="none" w:pos="40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Payment and Delivery. </w:t>
      </w:r>
      <w:r>
        <w:rPr>
          <w:rFonts w:ascii="Arial" w:cs="Arial" w:eastAsia="Arial" w:hAnsi="Arial"/>
          <w:sz w:val="17"/>
          <w:szCs w:val="17"/>
          <w:color w:val="auto"/>
        </w:rPr>
        <w:t>Payment for the Shares shall be made to the Company in Federal or other funds immediately available in New York City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and time set forth in Schedule I hereto, or at such other time on the same or such other date, not later than the fifth business day thereafter, as may be designated in writing by you. The time and date of such payment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57"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The Shares shall be registered in such names and in such denominations as you shall request in writing not later than one full business day prior to the Closing Date for the account of the Underwriter, with any transfer taxes payable in connection with the transfer of the Shares to the Underwriter duly paid, against payment of the Purchase Price therefor.</w:t>
      </w:r>
    </w:p>
    <w:p>
      <w:pPr>
        <w:spacing w:after="0" w:line="73" w:lineRule="exact"/>
        <w:rPr>
          <w:sz w:val="20"/>
          <w:szCs w:val="20"/>
          <w:color w:val="auto"/>
        </w:rPr>
      </w:pPr>
    </w:p>
    <w:p>
      <w:pPr>
        <w:ind w:left="420" w:hanging="187"/>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Underwriter are subject to the following conditions:</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 Subsequent to the execution and delivery of this Agreement and prior to the Closing Date:</w:t>
      </w:r>
    </w:p>
    <w:p>
      <w:pPr>
        <w:spacing w:after="0" w:line="117" w:lineRule="exact"/>
        <w:rPr>
          <w:rFonts w:ascii="Arial" w:cs="Arial" w:eastAsia="Arial" w:hAnsi="Arial"/>
          <w:sz w:val="18"/>
          <w:szCs w:val="18"/>
          <w:color w:val="auto"/>
        </w:rPr>
      </w:pPr>
    </w:p>
    <w:p>
      <w:pPr>
        <w:jc w:val="both"/>
        <w:ind w:left="460" w:firstLine="229"/>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for purposes of Rule 436(g)(2) under the Securities Act; and</w:t>
      </w:r>
    </w:p>
    <w:p>
      <w:pPr>
        <w:spacing w:after="0" w:line="78" w:lineRule="exact"/>
        <w:rPr>
          <w:rFonts w:ascii="Arial" w:cs="Arial" w:eastAsia="Arial" w:hAnsi="Arial"/>
          <w:sz w:val="18"/>
          <w:szCs w:val="18"/>
          <w:color w:val="auto"/>
        </w:rPr>
      </w:pPr>
    </w:p>
    <w:p>
      <w:pPr>
        <w:ind w:left="460" w:right="140" w:firstLine="229"/>
        <w:spacing w:after="0" w:line="279" w:lineRule="auto"/>
        <w:tabs>
          <w:tab w:leader="none" w:pos="95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(excluding any amendments or supplements thereto) that, in your judgment, is material and adverse and that makes it, in your judgment, impracticable to market the Shares on the terms and in the manner contemplated in the Time of Sale Prospectus.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8" w:right="100" w:firstLine="233"/>
        <w:spacing w:after="0" w:line="259" w:lineRule="auto"/>
        <w:tabs>
          <w:tab w:leader="none" w:pos="4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Underwriter shall have received on the Closing Date a certificate, dated the Closing Date and signed by an executive officer of the Company, to the effect set forth in Section 5(a)(i)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79" w:lineRule="exact"/>
        <w:rPr>
          <w:sz w:val="20"/>
          <w:szCs w:val="20"/>
          <w:color w:val="auto"/>
        </w:rPr>
      </w:pPr>
    </w:p>
    <w:p>
      <w:pPr>
        <w:ind w:left="212"/>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8" w:right="100" w:firstLine="233"/>
        <w:spacing w:after="0" w:line="291" w:lineRule="auto"/>
        <w:tabs>
          <w:tab w:leader="none" w:pos="459"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Underwriter shall have received on the Closing Date (i) the favorable opinion of Skadden, Arps, Slate, Meagher &amp; Flom LLP, outside counsel for the Company, dated the Closing Date, (ii) the favorable opinion of Stuart A. Kolinski, Esq., General Counsel of the Company, dated the Closing Date, and</w:t>
      </w:r>
    </w:p>
    <w:p>
      <w:pPr>
        <w:ind w:left="-8" w:right="40" w:firstLine="8"/>
        <w:spacing w:after="0" w:line="255" w:lineRule="auto"/>
        <w:tabs>
          <w:tab w:leader="none" w:pos="3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favorable opinion of Valeta Gregg, in-house intellectual property counsel for the Company, dated the Closing Date, in each case, in form and substance satisfactory to the Underwriter. The opinions of counsel for the Company referred to in this Section 5(c) shall be rendered to the Underwriter at the request of the Company and shall so state therein.</w:t>
      </w:r>
    </w:p>
    <w:p>
      <w:pPr>
        <w:spacing w:after="0" w:line="82" w:lineRule="exact"/>
        <w:rPr>
          <w:rFonts w:ascii="Arial" w:cs="Arial" w:eastAsia="Arial" w:hAnsi="Arial"/>
          <w:sz w:val="18"/>
          <w:szCs w:val="18"/>
          <w:color w:val="auto"/>
        </w:rPr>
      </w:pPr>
    </w:p>
    <w:p>
      <w:pPr>
        <w:ind w:left="-8" w:right="320" w:firstLine="233"/>
        <w:spacing w:after="0" w:line="277" w:lineRule="auto"/>
        <w:tabs>
          <w:tab w:leader="none" w:pos="46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Underwriter shall have received on the Closing Date an opinion of Ropes &amp; Gray LLP, counsel for the Underwriter, dated the Closing Date, in form and substance satisfactory to the Underwriter.</w:t>
      </w:r>
    </w:p>
    <w:p>
      <w:pPr>
        <w:spacing w:after="0" w:line="62" w:lineRule="exact"/>
        <w:rPr>
          <w:rFonts w:ascii="Arial" w:cs="Arial" w:eastAsia="Arial" w:hAnsi="Arial"/>
          <w:sz w:val="18"/>
          <w:szCs w:val="18"/>
          <w:color w:val="auto"/>
        </w:rPr>
      </w:pPr>
    </w:p>
    <w:p>
      <w:pPr>
        <w:ind w:left="-8" w:firstLine="233"/>
        <w:spacing w:after="0" w:line="257" w:lineRule="auto"/>
        <w:tabs>
          <w:tab w:leader="none" w:pos="459"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on the Closing Date a letter dated the date of the Closing Date, in form and substance satisfactory to the Underwriter, from 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Closing Date shall use a “cut-off date” not earlier than the date hereof.</w:t>
      </w:r>
    </w:p>
    <w:p>
      <w:pPr>
        <w:spacing w:after="0" w:line="80" w:lineRule="exact"/>
        <w:rPr>
          <w:rFonts w:ascii="Arial" w:cs="Arial" w:eastAsia="Arial" w:hAnsi="Arial"/>
          <w:sz w:val="18"/>
          <w:szCs w:val="18"/>
          <w:color w:val="auto"/>
        </w:rPr>
      </w:pPr>
    </w:p>
    <w:p>
      <w:pPr>
        <w:jc w:val="both"/>
        <w:ind w:left="-8" w:right="20" w:firstLine="233"/>
        <w:spacing w:after="0" w:line="264" w:lineRule="auto"/>
        <w:tabs>
          <w:tab w:leader="none" w:pos="4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“lock-up” agreements, each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between you and certain executive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73"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the Underwriter as follows:</w:t>
      </w:r>
    </w:p>
    <w:p>
      <w:pPr>
        <w:spacing w:after="0" w:line="117" w:lineRule="exact"/>
        <w:rPr>
          <w:sz w:val="20"/>
          <w:szCs w:val="20"/>
          <w:color w:val="auto"/>
        </w:rPr>
      </w:pPr>
    </w:p>
    <w:p>
      <w:pPr>
        <w:ind w:left="5612" w:right="1020" w:hanging="5387"/>
        <w:spacing w:after="0" w:line="496" w:lineRule="auto"/>
        <w:tabs>
          <w:tab w:leader="none" w:pos="4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furnish to you, without charge, a signed copy of the Registration Statement (including exhibits thereto and documents incorporated by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5" w:name="page16"/>
    <w:bookmarkEnd w:id="15"/>
    <w:p>
      <w:pPr>
        <w:ind w:right="440"/>
        <w:spacing w:after="0" w:line="264" w:lineRule="auto"/>
        <w:rPr>
          <w:sz w:val="20"/>
          <w:szCs w:val="20"/>
          <w:color w:val="auto"/>
        </w:rPr>
      </w:pPr>
      <w:r>
        <w:rPr>
          <w:rFonts w:ascii="Arial" w:cs="Arial" w:eastAsia="Arial" w:hAnsi="Arial"/>
          <w:sz w:val="18"/>
          <w:szCs w:val="18"/>
          <w:color w:val="auto"/>
        </w:rPr>
        <w:t>reference therein) and to deliver to you during the period mentioned in Section 6(e) or 6(f) below, as many copies of the Time of Sale Prospectus, the Prospectus, any documents incorporated by reference therein and any supplements and amendments thereto or to the Registration Statement as you may reasonably request.</w:t>
      </w:r>
    </w:p>
    <w:p>
      <w:pPr>
        <w:spacing w:after="0" w:line="73" w:lineRule="exact"/>
        <w:rPr>
          <w:sz w:val="20"/>
          <w:szCs w:val="20"/>
          <w:color w:val="auto"/>
        </w:rPr>
      </w:pPr>
    </w:p>
    <w:p>
      <w:pPr>
        <w:ind w:right="280" w:firstLine="233"/>
        <w:spacing w:after="0" w:line="308"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w:t>
      </w:r>
    </w:p>
    <w:p>
      <w:pPr>
        <w:spacing w:after="0" w:line="38" w:lineRule="exact"/>
        <w:rPr>
          <w:rFonts w:ascii="Arial" w:cs="Arial" w:eastAsia="Arial" w:hAnsi="Arial"/>
          <w:sz w:val="17"/>
          <w:szCs w:val="17"/>
          <w:color w:val="auto"/>
        </w:rPr>
      </w:pPr>
    </w:p>
    <w:p>
      <w:pPr>
        <w:ind w:right="100" w:firstLine="233"/>
        <w:spacing w:after="0" w:line="277" w:lineRule="auto"/>
        <w:tabs>
          <w:tab w:leader="none" w:pos="4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62" w:lineRule="exact"/>
        <w:rPr>
          <w:rFonts w:ascii="Arial" w:cs="Arial" w:eastAsia="Arial" w:hAnsi="Arial"/>
          <w:sz w:val="18"/>
          <w:szCs w:val="18"/>
          <w:color w:val="auto"/>
        </w:rPr>
      </w:pPr>
    </w:p>
    <w:p>
      <w:pPr>
        <w:jc w:val="both"/>
        <w:ind w:right="120" w:firstLine="233"/>
        <w:spacing w:after="0" w:line="264"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to take any action that would result in the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firstLine="233"/>
        <w:spacing w:after="0" w:line="270" w:lineRule="auto"/>
        <w:tabs>
          <w:tab w:leader="none" w:pos="4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 it is necessary to amend or supplement the Time of Sale Prospectus to comply with applicable law, forthwith to prepare, file with the Commission and furnish, at its own expense, to the Underwriter and to any dealer upon request, either amendments or supplements to the Time of Sale Prospectus so that the statements in the Time of Sale Prospectus as so amended or supplemented will not, in the light of the circumstances when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73" w:lineRule="exact"/>
        <w:rPr>
          <w:rFonts w:ascii="Arial" w:cs="Arial" w:eastAsia="Arial" w:hAnsi="Arial"/>
          <w:sz w:val="17"/>
          <w:szCs w:val="17"/>
          <w:color w:val="auto"/>
        </w:rPr>
      </w:pPr>
    </w:p>
    <w:p>
      <w:pPr>
        <w:ind w:right="40" w:firstLine="233"/>
        <w:spacing w:after="0" w:line="312" w:lineRule="auto"/>
        <w:tabs>
          <w:tab w:leader="none" w:pos="45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 the Prospectus (or in lieu thereof the notice referred to in Rule 173(a) under the Securities Act) is required by law to be delivered in connection with sales by the Underwriter or dealer, any event shall occur or condition exist as a result of which it is necessary to amend or supplement the Prospectus in order to make the statements therein, 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spacing w:after="0" w:line="272" w:lineRule="auto"/>
        <w:rPr>
          <w:sz w:val="20"/>
          <w:szCs w:val="20"/>
          <w:color w:val="auto"/>
        </w:rPr>
      </w:pPr>
      <w:r>
        <w:rPr>
          <w:rFonts w:ascii="Arial" w:cs="Arial" w:eastAsia="Arial" w:hAnsi="Arial"/>
          <w:sz w:val="17"/>
          <w:szCs w:val="17"/>
          <w:color w:val="auto"/>
        </w:rPr>
        <w:t>the light of the circumstances when the Prospectus (or in lieu thereof the notice referred to in Rule 173(a) under the Securities Act) is delivered to a purchaser, not misleading, or if, in the opinion of counsel for the Underwriter, it is necessary to amend or supplement the Prospectus to comply with applicable law, forthwith to prepare, file with the Commission and furnish, at its own expense, to the Underwriter and to the dealers (whose names and addresses you will furnish to the Company) to which Shares may have been sold by you on behalf of the Underwriter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70" w:lineRule="exact"/>
        <w:rPr>
          <w:sz w:val="20"/>
          <w:szCs w:val="20"/>
          <w:color w:val="auto"/>
        </w:rPr>
      </w:pPr>
    </w:p>
    <w:p>
      <w:pPr>
        <w:ind w:left="480" w:hanging="247"/>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endeavor to qualify the Shares for offer and sale under the securities or Blue Sky laws of such jurisdictions as you shall reasonably request.</w:t>
      </w:r>
    </w:p>
    <w:p>
      <w:pPr>
        <w:spacing w:after="0" w:line="128" w:lineRule="exact"/>
        <w:rPr>
          <w:rFonts w:ascii="Arial" w:cs="Arial" w:eastAsia="Arial" w:hAnsi="Arial"/>
          <w:sz w:val="17"/>
          <w:szCs w:val="17"/>
          <w:color w:val="auto"/>
        </w:rPr>
      </w:pPr>
    </w:p>
    <w:p>
      <w:pPr>
        <w:ind w:right="120" w:firstLine="233"/>
        <w:spacing w:after="0" w:line="264" w:lineRule="auto"/>
        <w:tabs>
          <w:tab w:leader="none" w:pos="4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73" w:lineRule="exact"/>
        <w:rPr>
          <w:rFonts w:ascii="Arial" w:cs="Arial" w:eastAsia="Arial" w:hAnsi="Arial"/>
          <w:sz w:val="18"/>
          <w:szCs w:val="18"/>
          <w:color w:val="auto"/>
        </w:rPr>
      </w:pPr>
    </w:p>
    <w:p>
      <w:pPr>
        <w:ind w:right="120" w:firstLine="233"/>
        <w:spacing w:after="0" w:line="269" w:lineRule="auto"/>
        <w:tabs>
          <w:tab w:leader="none" w:pos="437"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the filing fees payable to the Commission relating to the Shares (within the time required by Rule 456(b)(1), if applicable), all printing costs associated therewith, and the mailing and delivering of copies thereof to the Underwriter and dealers, in the quantities hereinabove specified, (ii) all costs and expenses related to the transfer and delivery of the Shares to the Underwriter,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 in connection with such qualification and in connection with the Blue Sky or Legal Investment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20"/>
        <w:spacing w:after="0" w:line="269" w:lineRule="auto"/>
        <w:rPr>
          <w:sz w:val="20"/>
          <w:szCs w:val="20"/>
          <w:color w:val="auto"/>
        </w:rPr>
      </w:pPr>
      <w:r>
        <w:rPr>
          <w:rFonts w:ascii="Arial" w:cs="Arial" w:eastAsia="Arial" w:hAnsi="Arial"/>
          <w:sz w:val="17"/>
          <w:szCs w:val="17"/>
          <w:color w:val="auto"/>
        </w:rPr>
        <w:t>memorandum, (iv) all filing fees and the reasonable fees and disbursements of counsel to the Underwriter incurred in connection with the review and qualification of the offering of the Shares by the National Association of Securities Dealers, Inc., if required, (v) the cost of printing certificates representing the Shares, (vi) the costs and charges of any transfer agent, registrar or depositary, (vii)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(viii) the document production charges and expenses associated with printing this Agreement and (ix)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 will pay all of its costs and expenses, including fees and disbursements of its counsel, stock transfer taxes payable on resale of any of the Shares by them and any advertising expenses connected with any offers they may make.</w:t>
      </w:r>
    </w:p>
    <w:p>
      <w:pPr>
        <w:spacing w:after="0" w:line="72" w:lineRule="exact"/>
        <w:rPr>
          <w:sz w:val="20"/>
          <w:szCs w:val="20"/>
          <w:color w:val="auto"/>
        </w:rPr>
      </w:pPr>
    </w:p>
    <w:p>
      <w:pPr>
        <w:ind w:right="20" w:firstLine="233"/>
        <w:spacing w:after="0" w:line="312"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third anniversary of the initial effective date of the Registration Statement occurs before all the Shares have been sold by the Underwriter, prior to the third anniversary to file a new shelf registration statement and to take any other action necessary to permit the public offering of the Shares to continue without interruption; references herein to the Registration Statement shall include the new registration statement declared effective by the Commission;</w:t>
      </w:r>
    </w:p>
    <w:p>
      <w:pPr>
        <w:spacing w:after="0" w:line="39"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 also covenants with the Underwriter that, without the prior written consent of the Underwriter, it will not, during the restricted period set forth in Schedule I hereto,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spacing w:after="0" w:line="290" w:lineRule="auto"/>
        <w:rPr>
          <w:sz w:val="20"/>
          <w:szCs w:val="20"/>
          <w:color w:val="auto"/>
        </w:rPr>
      </w:pPr>
      <w:r>
        <w:rPr>
          <w:rFonts w:ascii="Arial" w:cs="Arial" w:eastAsia="Arial" w:hAnsi="Arial"/>
          <w:sz w:val="16"/>
          <w:szCs w:val="16"/>
          <w:color w:val="auto"/>
        </w:rPr>
        <w:t xml:space="preserve">exchangeable for Common Stock. The foregoing sentence shall not apply to (a) the Shares to be sold hereunder, (b) the issuance by the Company of shares of Common Stock upon the exercise of an option or warrant or the conversion of a security outstanding on the date hereof of which the Underwriter has been advised in writing or which is described in the Time of Sale Prospectus, (c) the issuance of any shares of Common Stock in connection with acquisition, licensing, collaboration or similar strategic arrangements, provided that the Company first causes any such recipient of shares under this clause (c) to execute and deliver to you a “lock-up”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 the issuance of shares of Common Stock as matching contributions under the Company’s 401(k) plan or (e) the grant of options or the issuance of shares of restricted Common Stock to employees, officers, directors, advisors or consultants pursuant to the Company's employee benefit plans. In addition, the Company will not permit the sale of any more than 250,000 shares of Common Stock pursuant to clause (f) of the “lock-up” agreements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delivered pursuant to Section 5(f).</w:t>
      </w:r>
    </w:p>
    <w:p>
      <w:pPr>
        <w:spacing w:after="0" w:line="58" w:lineRule="exact"/>
        <w:rPr>
          <w:sz w:val="20"/>
          <w:szCs w:val="20"/>
          <w:color w:val="auto"/>
        </w:rPr>
      </w:pPr>
    </w:p>
    <w:p>
      <w:pPr>
        <w:ind w:right="40" w:firstLine="233"/>
        <w:spacing w:after="0" w:line="264" w:lineRule="auto"/>
        <w:tabs>
          <w:tab w:leader="none" w:pos="40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Covenants of the Underwriter</w:t>
      </w:r>
      <w:r>
        <w:rPr>
          <w:rFonts w:ascii="Arial" w:cs="Arial" w:eastAsia="Arial" w:hAnsi="Arial"/>
          <w:sz w:val="18"/>
          <w:szCs w:val="18"/>
          <w:color w:val="auto"/>
        </w:rPr>
        <w:t>. The Underwriter covenants with the Company not to take any action that would result in the Company being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file with the Commission under Rule 433(d) a free writing prospectus prepared by or on behalf of such Underwriter that otherwise would not be required to be filed by the Company thereunder, but for the action of the Underwriter.</w:t>
      </w:r>
    </w:p>
    <w:p>
      <w:pPr>
        <w:spacing w:after="0" w:line="73" w:lineRule="exact"/>
        <w:rPr>
          <w:rFonts w:ascii="Arial" w:cs="Arial" w:eastAsia="Arial" w:hAnsi="Arial"/>
          <w:sz w:val="18"/>
          <w:szCs w:val="18"/>
          <w:color w:val="auto"/>
        </w:rPr>
      </w:pPr>
    </w:p>
    <w:p>
      <w:pPr>
        <w:ind w:right="40" w:firstLine="233"/>
        <w:spacing w:after="0" w:line="288" w:lineRule="auto"/>
        <w:tabs>
          <w:tab w:leader="none" w:pos="40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Indemnity and Contribution. </w:t>
      </w:r>
      <w:r>
        <w:rPr>
          <w:rFonts w:ascii="Arial" w:cs="Arial" w:eastAsia="Arial" w:hAnsi="Arial"/>
          <w:sz w:val="16"/>
          <w:szCs w:val="16"/>
          <w:color w:val="auto"/>
        </w:rPr>
        <w:t>(a) The Company agrees to indemnify and hold harmless the Underwriter, each person, if any, who controls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within the meaning of either Section 15 of the Securities Act or Section 20 of the Exchange Act and each affiliate of the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the Underwriter furnished to the Company in writing by the Underwriter expressly for use therein.</w:t>
      </w:r>
    </w:p>
    <w:p>
      <w:pPr>
        <w:spacing w:after="0" w:line="61" w:lineRule="exact"/>
        <w:rPr>
          <w:sz w:val="20"/>
          <w:szCs w:val="20"/>
          <w:color w:val="auto"/>
        </w:rPr>
      </w:pPr>
    </w:p>
    <w:p>
      <w:pPr>
        <w:ind w:firstLine="233"/>
        <w:spacing w:after="0" w:line="264" w:lineRule="auto"/>
        <w:tabs>
          <w:tab w:leader="none" w:pos="4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Underwriter agrees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the Underwriter, but only with</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9" w:name="page20"/>
    <w:bookmarkEnd w:id="19"/>
    <w:p>
      <w:pPr>
        <w:ind w:right="260"/>
        <w:spacing w:after="0" w:line="264" w:lineRule="auto"/>
        <w:rPr>
          <w:sz w:val="20"/>
          <w:szCs w:val="20"/>
          <w:color w:val="auto"/>
        </w:rPr>
      </w:pPr>
      <w:r>
        <w:rPr>
          <w:rFonts w:ascii="Arial" w:cs="Arial" w:eastAsia="Arial" w:hAnsi="Arial"/>
          <w:sz w:val="18"/>
          <w:szCs w:val="18"/>
          <w:color w:val="auto"/>
        </w:rPr>
        <w:t>reference to information relating to such Underwriter furnished to the Company in writing by such Underwriter expressly for use in the Registration Statement, any preliminary prospectus, the Time of Sale Prospectus, any issuer free writing prospectus or the Prospectus or any amendment or supplement thereto.</w:t>
      </w:r>
    </w:p>
    <w:p>
      <w:pPr>
        <w:spacing w:after="0" w:line="73" w:lineRule="exact"/>
        <w:rPr>
          <w:sz w:val="20"/>
          <w:szCs w:val="20"/>
          <w:color w:val="auto"/>
        </w:rPr>
      </w:pPr>
    </w:p>
    <w:p>
      <w:pPr>
        <w:ind w:firstLine="233"/>
        <w:spacing w:after="0" w:line="285" w:lineRule="auto"/>
        <w:tabs>
          <w:tab w:leader="none" w:pos="47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Underwriter,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such settlement includes an unconditional release of such indemnified party from all liability on claims that are the subject matter of such proceeding.</w:t>
      </w:r>
    </w:p>
    <w:p>
      <w:pPr>
        <w:spacing w:after="0" w:line="129" w:lineRule="exact"/>
        <w:rPr>
          <w:sz w:val="20"/>
          <w:szCs w:val="20"/>
          <w:color w:val="auto"/>
        </w:rPr>
      </w:pPr>
    </w:p>
    <w:p>
      <w:pPr>
        <w:ind w:firstLine="233"/>
        <w:spacing w:after="0" w:line="268" w:lineRule="auto"/>
        <w:tabs>
          <w:tab w:leader="none" w:pos="477"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 on the other hand in connection with the statements or omissions that resulted in such losses, claims, damages or liabilities, as well as any other relevant equitable considerations. The relative benefits received by the Company on the one hand and the Underwriter on the other hand in connection with the offering of the Shares shall be deemed to be in the same respective proportions as (i) the total net proceeds from the offering of the Shares (before deducting expenses) received by the Company and (ii) the total underwriting discounts and commissions received by the Underwriter bear to the aggregate public offering price of the Shares. The relative fault of the Company on the one hand and the Underwriter on the other hand shall be determined by reference to, among other things, whether the untrue or alleged untrue statement of a material fact or the omission or alleged omission to state a material fact relates to information supplied by the Company or by the Underwriter and the parties’ relative intent, knowledge, access to information and opportunity to correct or prevent such statement or omission.</w:t>
      </w:r>
    </w:p>
    <w:p>
      <w:pPr>
        <w:spacing w:after="0" w:line="77" w:lineRule="exact"/>
        <w:rPr>
          <w:rFonts w:ascii="Arial" w:cs="Arial" w:eastAsia="Arial" w:hAnsi="Arial"/>
          <w:sz w:val="17"/>
          <w:szCs w:val="17"/>
          <w:color w:val="auto"/>
        </w:rPr>
      </w:pPr>
    </w:p>
    <w:p>
      <w:pPr>
        <w:ind w:right="80" w:firstLine="233"/>
        <w:spacing w:after="0" w:line="271" w:lineRule="auto"/>
        <w:tabs>
          <w:tab w:leader="none" w:pos="467"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The Company and the Underwriter agree that it would not be just or equitable if contribution pursuant to this Section 8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the Underwriter shall not be required to provide indemnity for or contribute any amount in excess of the amount by which the total price at which the Shares underwritten by it are sold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460"/>
        <w:spacing w:after="0" w:line="308" w:lineRule="auto"/>
        <w:rPr>
          <w:sz w:val="20"/>
          <w:szCs w:val="20"/>
          <w:color w:val="auto"/>
        </w:rPr>
      </w:pPr>
      <w:r>
        <w:rPr>
          <w:rFonts w:ascii="Arial" w:cs="Arial" w:eastAsia="Arial" w:hAnsi="Arial"/>
          <w:sz w:val="17"/>
          <w:szCs w:val="17"/>
          <w:color w:val="auto"/>
        </w:rPr>
        <w:t>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38" w:lineRule="exact"/>
        <w:rPr>
          <w:sz w:val="20"/>
          <w:szCs w:val="20"/>
          <w:color w:val="auto"/>
        </w:rPr>
      </w:pPr>
    </w:p>
    <w:p>
      <w:pPr>
        <w:ind w:right="40" w:firstLine="233"/>
        <w:spacing w:after="0" w:line="279" w:lineRule="auto"/>
        <w:tabs>
          <w:tab w:leader="none" w:pos="44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the Underwriter, any person controlling the Underwriter or any affiliate of the Underwriter or by or on behalf of the Company, its officers or directors or any person controlling the Company and (iii) acceptance of and payment for any of the Shares.</w:t>
      </w:r>
    </w:p>
    <w:p>
      <w:pPr>
        <w:spacing w:after="0" w:line="63" w:lineRule="exact"/>
        <w:rPr>
          <w:sz w:val="20"/>
          <w:szCs w:val="20"/>
          <w:color w:val="auto"/>
        </w:rPr>
      </w:pPr>
    </w:p>
    <w:p>
      <w:pPr>
        <w:ind w:firstLine="233"/>
        <w:spacing w:after="0" w:line="270" w:lineRule="auto"/>
        <w:tabs>
          <w:tab w:leader="none" w:pos="405"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Underwriter may terminate this Agreement by notice given by you to the Company if, after the execution and delivery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73" w:lineRule="exact"/>
        <w:rPr>
          <w:rFonts w:ascii="Arial" w:cs="Arial" w:eastAsia="Arial" w:hAnsi="Arial"/>
          <w:sz w:val="17"/>
          <w:szCs w:val="17"/>
          <w:color w:val="auto"/>
        </w:rPr>
      </w:pPr>
    </w:p>
    <w:p>
      <w:pPr>
        <w:ind w:left="500" w:hanging="267"/>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Agreement shall become effective upon the execution and delivery hereof by the parties hereto.</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If this Agreement shall be terminated by the Underwriter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 for all out-of-pocket expenses (including the fees and disbursements of its counsel) reasonably incurred by the Underwriter in connection with this Agreement or the offering contemplated hereunder.</w:t>
      </w:r>
    </w:p>
    <w:p>
      <w:pPr>
        <w:spacing w:after="0" w:line="79" w:lineRule="exact"/>
        <w:rPr>
          <w:sz w:val="20"/>
          <w:szCs w:val="20"/>
          <w:color w:val="auto"/>
        </w:rPr>
      </w:pPr>
    </w:p>
    <w:p>
      <w:pPr>
        <w:ind w:left="5620" w:right="1140" w:hanging="5387"/>
        <w:spacing w:after="0" w:line="496" w:lineRule="auto"/>
        <w:tabs>
          <w:tab w:leader="none" w:pos="49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jc w:val="both"/>
        <w:ind w:right="60"/>
        <w:spacing w:after="0" w:line="264" w:lineRule="auto"/>
        <w:rPr>
          <w:sz w:val="20"/>
          <w:szCs w:val="20"/>
          <w:color w:val="auto"/>
        </w:rPr>
      </w:pPr>
      <w:r>
        <w:rPr>
          <w:rFonts w:ascii="Arial" w:cs="Arial" w:eastAsia="Arial" w:hAnsi="Arial"/>
          <w:sz w:val="18"/>
          <w:szCs w:val="18"/>
          <w:color w:val="auto"/>
        </w:rPr>
        <w:t>extent not superseded by this Agreement) that relate to the offering of the Shares, represents the entire agreement between the Company and the Underwriter with respect to the preparation of any preliminary prospectus, the Time of Sale Prospectus, the Prospectus, the conduct of the offering, and the purchase and sale of the Shares.</w:t>
      </w:r>
    </w:p>
    <w:p>
      <w:pPr>
        <w:spacing w:after="0" w:line="73" w:lineRule="exact"/>
        <w:rPr>
          <w:sz w:val="20"/>
          <w:szCs w:val="20"/>
          <w:color w:val="auto"/>
        </w:rPr>
      </w:pPr>
    </w:p>
    <w:p>
      <w:pPr>
        <w:ind w:firstLine="458"/>
        <w:spacing w:after="0" w:line="257" w:lineRule="auto"/>
        <w:tabs>
          <w:tab w:leader="none" w:pos="70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acknowledges that in connection with the offering of the Shares: (i) the Underwriter has acted at arms length, is not an agent of, and owes no fiduciary duties to, the Company or any other person, (ii) the Underwriter owes the Company only those duties and obligations set forth in this Agreement and prior written agreements (to the extent not superseded by this Agreement), if any, and (iii) the Underwriter may have interests that differ from those of the Company. The Company waives to the full extent permitted by applicable law any claims it may have against the Underwriter arising from an alleged breach of fiduciary duty in connection with the offering of the Shares.</w:t>
      </w:r>
    </w:p>
    <w:p>
      <w:pPr>
        <w:spacing w:after="0" w:line="80" w:lineRule="exact"/>
        <w:rPr>
          <w:rFonts w:ascii="Arial" w:cs="Arial" w:eastAsia="Arial" w:hAnsi="Arial"/>
          <w:sz w:val="18"/>
          <w:szCs w:val="18"/>
          <w:color w:val="auto"/>
        </w:rPr>
      </w:pPr>
    </w:p>
    <w:p>
      <w:pPr>
        <w:ind w:right="60" w:firstLine="233"/>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 signatures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and hereto were upon the same instrument.</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governed by and construed in accordance with the internal laws of the State of New York.</w:t>
      </w:r>
    </w:p>
    <w:p>
      <w:pPr>
        <w:spacing w:after="0" w:line="117" w:lineRule="exact"/>
        <w:rPr>
          <w:rFonts w:ascii="Arial" w:cs="Arial" w:eastAsia="Arial" w:hAnsi="Arial"/>
          <w:sz w:val="18"/>
          <w:szCs w:val="18"/>
          <w:color w:val="auto"/>
        </w:rPr>
      </w:pPr>
    </w:p>
    <w:p>
      <w:pPr>
        <w:ind w:right="100" w:firstLine="233"/>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3" w:name="page24"/>
    <w:bookmarkEnd w:id="23"/>
    <w:p>
      <w:pPr>
        <w:ind w:firstLine="233"/>
        <w:spacing w:after="0" w:line="342" w:lineRule="auto"/>
        <w:tabs>
          <w:tab w:leader="none" w:pos="49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and if to the Underwriter shall be delivered, mailed or sent</w:t>
      </w:r>
      <w:r>
        <w:rPr>
          <w:rFonts w:ascii="Arial" w:cs="Arial" w:eastAsia="Arial" w:hAnsi="Arial"/>
          <w:sz w:val="16"/>
          <w:szCs w:val="16"/>
          <w:i w:val="1"/>
          <w:iCs w:val="1"/>
          <w:color w:val="auto"/>
        </w:rPr>
        <w:t xml:space="preserve"> </w:t>
      </w:r>
      <w:r>
        <w:rPr>
          <w:rFonts w:ascii="Arial" w:cs="Arial" w:eastAsia="Arial" w:hAnsi="Arial"/>
          <w:sz w:val="16"/>
          <w:szCs w:val="16"/>
          <w:color w:val="auto"/>
        </w:rPr>
        <w:t>to you at the address set forth in Schedule I hereto; and if to the Company shall be delivered, mailed or sent to the address set forth in Schedule I hereto.</w:t>
      </w:r>
    </w:p>
    <w:p>
      <w:pPr>
        <w:spacing w:after="0" w:line="12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Murray A. Goldberg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Senior Vice President Finance &amp;</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Administration and Chief</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L. Blais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173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William L. Blais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4" w:name="page25"/>
    <w:bookmarkEnd w:id="24"/>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File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of Sale 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Lock-up Restricted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Shares to be purchased: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Date and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Address for Notices to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Address for Notices to the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333-121225</w:t>
      </w:r>
    </w:p>
    <w:p>
      <w:pPr>
        <w:spacing w:after="0" w:line="225" w:lineRule="exact"/>
        <w:rPr>
          <w:sz w:val="20"/>
          <w:szCs w:val="20"/>
          <w:color w:val="auto"/>
        </w:rPr>
      </w:pPr>
    </w:p>
    <w:p>
      <w:pPr>
        <w:ind w:left="500" w:hanging="179"/>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Basic Prospectus dated February 10, 2005</w:t>
      </w:r>
    </w:p>
    <w:p>
      <w:pPr>
        <w:spacing w:after="0" w:line="225" w:lineRule="exact"/>
        <w:rPr>
          <w:rFonts w:ascii="Arial" w:cs="Arial" w:eastAsia="Arial" w:hAnsi="Arial"/>
          <w:sz w:val="18"/>
          <w:szCs w:val="18"/>
          <w:color w:val="auto"/>
        </w:rPr>
      </w:pPr>
    </w:p>
    <w:p>
      <w:pPr>
        <w:ind w:left="500" w:hanging="179"/>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Term sheet attached as </w:t>
      </w:r>
      <w:r>
        <w:rPr>
          <w:rFonts w:ascii="Arial" w:cs="Arial" w:eastAsia="Arial" w:hAnsi="Arial"/>
          <w:sz w:val="18"/>
          <w:szCs w:val="18"/>
          <w:u w:val="single" w:color="auto"/>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90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$0.001 par value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7,600,000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$23.03 per share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price per share in each trade executed pursuant to the Registration Statement and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17, 2006, 10:00 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Equity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Syndicate Desk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Stuart A. Kolinski,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398145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220" w:space="720"/>
            <w:col w:w="5480"/>
          </w:cols>
          <w:pgMar w:left="240" w:top="93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9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gridSpan w:val="3"/>
          </w:tcPr>
          <w:p>
            <w:pPr>
              <w:ind w:left="38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42"/>
        </w:trPr>
        <w:tc>
          <w:tcPr>
            <w:tcW w:w="932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40" w:type="dxa"/>
            <w:vAlign w:val="bottom"/>
          </w:tcPr>
          <w:p>
            <w:pPr>
              <w:spacing w:after="0"/>
              <w:rPr>
                <w:sz w:val="24"/>
                <w:szCs w:val="24"/>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Number of Firm Shares</w:t>
            </w:r>
          </w:p>
        </w:tc>
        <w:tc>
          <w:tcPr>
            <w:tcW w:w="0" w:type="dxa"/>
            <w:vAlign w:val="bottom"/>
          </w:tcPr>
          <w:p>
            <w:pPr>
              <w:spacing w:after="0"/>
              <w:rPr>
                <w:sz w:val="1"/>
                <w:szCs w:val="1"/>
                <w:color w:val="auto"/>
              </w:rPr>
            </w:pPr>
          </w:p>
        </w:tc>
      </w:tr>
      <w:tr>
        <w:trPr>
          <w:trHeight w:val="171"/>
        </w:trPr>
        <w:tc>
          <w:tcPr>
            <w:tcW w:w="93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gridSpan w:val="3"/>
          </w:tcPr>
          <w:p>
            <w:pPr>
              <w:ind w:left="200"/>
              <w:spacing w:after="0"/>
              <w:rPr>
                <w:sz w:val="20"/>
                <w:szCs w:val="20"/>
                <w:color w:val="auto"/>
              </w:rPr>
            </w:pPr>
            <w:r>
              <w:rPr>
                <w:rFonts w:ascii="Arial" w:cs="Arial" w:eastAsia="Arial" w:hAnsi="Arial"/>
                <w:sz w:val="14"/>
                <w:szCs w:val="14"/>
                <w:b w:val="1"/>
                <w:bCs w:val="1"/>
                <w:color w:val="auto"/>
              </w:rPr>
              <w:t>To Be Purchased</w:t>
            </w:r>
          </w:p>
        </w:tc>
        <w:tc>
          <w:tcPr>
            <w:tcW w:w="0" w:type="dxa"/>
            <w:vAlign w:val="bottom"/>
          </w:tcPr>
          <w:p>
            <w:pPr>
              <w:spacing w:after="0"/>
              <w:rPr>
                <w:sz w:val="1"/>
                <w:szCs w:val="1"/>
                <w:color w:val="auto"/>
              </w:rPr>
            </w:pPr>
          </w:p>
        </w:tc>
      </w:tr>
      <w:tr>
        <w:trPr>
          <w:trHeight w:val="224"/>
        </w:trPr>
        <w:tc>
          <w:tcPr>
            <w:tcW w:w="9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Morgan Stanley &amp; Co. Incorporated</w:t>
            </w:r>
          </w:p>
        </w:tc>
        <w:tc>
          <w:tcPr>
            <w:tcW w:w="54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3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3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93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A</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13,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undersigned understands that Morgan Stanley &amp; Co. Incorporated (“</w:t>
      </w:r>
      <w:r>
        <w:rPr>
          <w:rFonts w:ascii="Arial" w:cs="Arial" w:eastAsia="Arial" w:hAnsi="Arial"/>
          <w:sz w:val="16"/>
          <w:szCs w:val="16"/>
          <w:b w:val="1"/>
          <w:bCs w:val="1"/>
          <w:color w:val="auto"/>
        </w:rPr>
        <w:t>Morgan Stanley</w:t>
      </w:r>
      <w:r>
        <w:rPr>
          <w:rFonts w:ascii="Arial" w:cs="Arial" w:eastAsia="Arial" w:hAnsi="Arial"/>
          <w:sz w:val="16"/>
          <w:szCs w:val="16"/>
          <w:color w:val="auto"/>
        </w:rPr>
        <w:t>”) proposes to enter into an Underwriting Agreement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Regeneron Pharmaceuticals, Inc., a New York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w:t>
      </w:r>
      <w:r>
        <w:rPr>
          <w:rFonts w:ascii="Arial" w:cs="Arial" w:eastAsia="Arial" w:hAnsi="Arial"/>
          <w:sz w:val="16"/>
          <w:szCs w:val="16"/>
          <w:color w:val="auto"/>
        </w:rPr>
        <w:t>”) by Morgan Stanley as underwriter (the “</w:t>
      </w:r>
      <w:r>
        <w:rPr>
          <w:rFonts w:ascii="Arial" w:cs="Arial" w:eastAsia="Arial" w:hAnsi="Arial"/>
          <w:sz w:val="16"/>
          <w:szCs w:val="16"/>
          <w:b w:val="1"/>
          <w:bCs w:val="1"/>
          <w:color w:val="auto"/>
        </w:rPr>
        <w:t>Underwriter</w:t>
      </w:r>
      <w:r>
        <w:rPr>
          <w:rFonts w:ascii="Arial" w:cs="Arial" w:eastAsia="Arial" w:hAnsi="Arial"/>
          <w:sz w:val="16"/>
          <w:szCs w:val="16"/>
          <w:color w:val="auto"/>
        </w:rPr>
        <w:t>”) of 7,600,000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common Stock ($0.001 par value per share)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19" w:lineRule="exact"/>
        <w:rPr>
          <w:sz w:val="20"/>
          <w:szCs w:val="20"/>
          <w:color w:val="auto"/>
        </w:rPr>
      </w:pPr>
    </w:p>
    <w:p>
      <w:pPr>
        <w:ind w:firstLine="216"/>
        <w:spacing w:after="0" w:line="285" w:lineRule="auto"/>
        <w:rPr>
          <w:sz w:val="20"/>
          <w:szCs w:val="20"/>
          <w:color w:val="auto"/>
        </w:rPr>
      </w:pPr>
      <w:r>
        <w:rPr>
          <w:rFonts w:ascii="Arial" w:cs="Arial" w:eastAsia="Arial" w:hAnsi="Arial"/>
          <w:sz w:val="16"/>
          <w:szCs w:val="16"/>
          <w:color w:val="auto"/>
        </w:rPr>
        <w:t xml:space="preserve">To induce the Underwriter to continue its efforts in connection with the Public Offering, the undersigned hereby agrees that, without the prior written consent of Morgan Stanley, it will not, during the period commencing on the date hereof and ending on the earlier to occur of (a) 90 days after the date of the final prospectus supplement relating to the Public Offering, and (b) 5 days after the date of such final prospectus supplement if the sale of the Shares to the Underwriter has not closed,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Public Offering; (b) transfers of shares of Common Stock or any security convertible into Common Stock as a bona fide gift; (c) distributions or transfers to family members, trusts, and/or controlled entities in connection with estate planning,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transferee shall sign and deliver a lock-up letter substantially in the form of this letter; (d) the sale of Common Stock in the public market pursuant to a written trading plan in existence prior to the date hereof designed to comply with Rule 10b5-1 under the Securities Exchange Act of 1934, as amended; (e) the exercise of a stock option for, or the conversion of any convertible security into, shares of common stock, including, without limitation, by transferring or submitting for cancellation aged shares or shares otherwise issued or issuable upon the exercise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spacing w:after="0" w:line="287" w:lineRule="auto"/>
        <w:rPr>
          <w:sz w:val="20"/>
          <w:szCs w:val="20"/>
          <w:color w:val="auto"/>
        </w:rPr>
      </w:pPr>
      <w:r>
        <w:rPr>
          <w:rFonts w:ascii="Arial" w:cs="Arial" w:eastAsia="Arial" w:hAnsi="Arial"/>
          <w:sz w:val="16"/>
          <w:szCs w:val="16"/>
          <w:color w:val="auto"/>
        </w:rPr>
        <w:t xml:space="preserve">of a stock option to the Company to satisfy the exercise price of a stock option under the Company’s long-term incentive plans (or to satisfy the minimum withholding tax required in connection with such option exercise); or (f) the sale of such number of shares of Common Stock as to which written authorization shall have been provided in advance by the Company using its standard internal form, </w:t>
      </w:r>
      <w:r>
        <w:rPr>
          <w:rFonts w:ascii="Arial" w:cs="Arial" w:eastAsia="Arial" w:hAnsi="Arial"/>
          <w:sz w:val="16"/>
          <w:szCs w:val="16"/>
          <w:i w:val="1"/>
          <w:iCs w:val="1"/>
          <w:color w:val="auto"/>
        </w:rPr>
        <w:t>with the understanding</w:t>
      </w:r>
      <w:r>
        <w:rPr>
          <w:rFonts w:ascii="Arial" w:cs="Arial" w:eastAsia="Arial" w:hAnsi="Arial"/>
          <w:sz w:val="16"/>
          <w:szCs w:val="16"/>
          <w:color w:val="auto"/>
        </w:rPr>
        <w:t xml:space="preserve"> that the aggregate number of shares of Common Stock sold pursuant to this clause (f), combined with the aggregate number shares of Common Stock sold pursuant to the parallel clause (f) contained in all other lock-up agreements executed by officers and directors of the Company in connection with this Public Offering, shall not exceed 250,000 shares. In addition, the undersigned agrees that, without the prior written consent of Morgan Stanley, it will not, during the period commencing on the date hereof and ending 90 days after the date of the final prospectus supplement, make any demand for or exercise any right with respect to, the registration of any shares of Common Stock or any security convertible into or exercisable or exchangeable for Common Stock. The undersigned agrees and consents to the entry of stop transfer instructions with the Company’s transfer agent and registrar against the transfer of the undersigned’s shares of Common Stock except in compliance with the foregoing restrictions.</w:t>
      </w:r>
    </w:p>
    <w:p>
      <w:pPr>
        <w:spacing w:after="0" w:line="177" w:lineRule="exact"/>
        <w:rPr>
          <w:sz w:val="20"/>
          <w:szCs w:val="20"/>
          <w:color w:val="auto"/>
        </w:rPr>
      </w:pPr>
    </w:p>
    <w:p>
      <w:pPr>
        <w:ind w:right="460" w:firstLine="216"/>
        <w:spacing w:after="0" w:line="259" w:lineRule="auto"/>
        <w:rPr>
          <w:sz w:val="20"/>
          <w:szCs w:val="20"/>
          <w:color w:val="auto"/>
        </w:rPr>
      </w:pPr>
      <w:r>
        <w:rPr>
          <w:rFonts w:ascii="Arial" w:cs="Arial" w:eastAsia="Arial" w:hAnsi="Arial"/>
          <w:sz w:val="18"/>
          <w:szCs w:val="18"/>
          <w:color w:val="auto"/>
        </w:rPr>
        <w:t>The undersigned understands that the Company and the Underwriter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28" w:name="page29"/>
    <w:bookmarkEnd w:id="28"/>
    <w:p>
      <w:pPr>
        <w:ind w:firstLine="216"/>
        <w:spacing w:after="0" w:line="332" w:lineRule="auto"/>
        <w:rPr>
          <w:sz w:val="20"/>
          <w:szCs w:val="20"/>
          <w:color w:val="auto"/>
        </w:rPr>
      </w:pPr>
      <w:r>
        <w:rPr>
          <w:rFonts w:ascii="Arial" w:cs="Arial" w:eastAsia="Arial" w:hAnsi="Arial"/>
          <w:sz w:val="16"/>
          <w:szCs w:val="16"/>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w:t>
      </w:r>
    </w:p>
    <w:p>
      <w:pPr>
        <w:spacing w:after="0" w:line="200" w:lineRule="exact"/>
        <w:rPr>
          <w:sz w:val="20"/>
          <w:szCs w:val="20"/>
          <w:color w:val="auto"/>
        </w:rPr>
      </w:pPr>
    </w:p>
    <w:p>
      <w:pPr>
        <w:spacing w:after="0" w:line="20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294005</wp:posOffset>
            </wp:positionV>
            <wp:extent cx="17837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294005</wp:posOffset>
            </wp:positionV>
            <wp:extent cx="17837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Printed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294005</wp:posOffset>
            </wp:positionV>
            <wp:extent cx="17837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602615</wp:posOffset>
            </wp:positionV>
            <wp:extent cx="17837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941" w:right="7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Regeneron Pharmaceuticals,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7,600,000 Shares of Common Stock</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Regeneron Pharmaceuticals, Inc.</w:t>
      </w:r>
    </w:p>
    <w:p>
      <w:pPr>
        <w:spacing w:after="0" w:line="200" w:lineRule="exact"/>
        <w:rPr>
          <w:sz w:val="20"/>
          <w:szCs w:val="20"/>
          <w:color w:val="auto"/>
        </w:rPr>
      </w:pPr>
    </w:p>
    <w:p>
      <w:pPr>
        <w:sectPr>
          <w:pgSz w:w="11900" w:h="16838" w:orient="portrait"/>
          <w:cols w:equalWidth="0" w:num="2">
            <w:col w:w="3040" w:space="720"/>
            <w:col w:w="7660"/>
          </w:cols>
          <w:pgMar w:left="240" w:top="931" w:right="239" w:bottom="1440" w:gutter="0" w:footer="0" w:header="0"/>
          <w:type w:val="continuous"/>
        </w:sectPr>
      </w:pPr>
    </w:p>
    <w:p>
      <w:pPr>
        <w:spacing w:after="0" w:line="27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Symbol:</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REGN (Nasdaq Global Market)</w:t>
      </w:r>
    </w:p>
    <w:p>
      <w:pPr>
        <w:spacing w:after="0" w:line="200" w:lineRule="exact"/>
        <w:rPr>
          <w:sz w:val="20"/>
          <w:szCs w:val="20"/>
          <w:color w:val="auto"/>
        </w:rPr>
      </w:pPr>
    </w:p>
    <w:p>
      <w:pPr>
        <w:sectPr>
          <w:pgSz w:w="11900" w:h="16838" w:orient="portrait"/>
          <w:cols w:equalWidth="0" w:num="2">
            <w:col w:w="3040" w:space="720"/>
            <w:col w:w="7660"/>
          </w:cols>
          <w:pgMar w:left="240" w:top="931" w:right="239" w:bottom="144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Shares offered: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7,600,000 shares of common stock offered by the Issuer</w:t>
      </w:r>
    </w:p>
    <w:p>
      <w:pPr>
        <w:spacing w:after="0" w:line="200" w:lineRule="exact"/>
        <w:rPr>
          <w:sz w:val="20"/>
          <w:szCs w:val="20"/>
          <w:color w:val="auto"/>
        </w:rPr>
      </w:pPr>
    </w:p>
    <w:p>
      <w:pPr>
        <w:sectPr>
          <w:pgSz w:w="11900" w:h="16838" w:orient="portrait"/>
          <w:cols w:equalWidth="0" w:num="2">
            <w:col w:w="3040" w:space="720"/>
            <w:col w:w="7660"/>
          </w:cols>
          <w:pgMar w:left="240" w:top="931" w:right="239" w:bottom="1440" w:gutter="0" w:footer="0" w:header="0"/>
          <w:type w:val="continuous"/>
        </w:sectPr>
      </w:pPr>
    </w:p>
    <w:p>
      <w:pPr>
        <w:spacing w:after="0" w:line="27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Common stock purchased by the Underwriter from the Issuer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 being offered for resale by the Underwriter in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at-the-market offering, in negotiated transactions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otherwise, at market prices prevailing on the Nasdaq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Market at the time of sale, at prices related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prevailing market price or otherwise.</w:t>
      </w:r>
    </w:p>
    <w:p>
      <w:pPr>
        <w:spacing w:after="0" w:line="200" w:lineRule="exact"/>
        <w:rPr>
          <w:sz w:val="20"/>
          <w:szCs w:val="20"/>
          <w:color w:val="auto"/>
        </w:rPr>
      </w:pPr>
    </w:p>
    <w:p>
      <w:pPr>
        <w:sectPr>
          <w:pgSz w:w="11900" w:h="16838" w:orient="portrait"/>
          <w:cols w:equalWidth="0" w:num="2">
            <w:col w:w="3040" w:space="720"/>
            <w:col w:w="7660"/>
          </w:cols>
          <w:pgMar w:left="240" w:top="931" w:right="239" w:bottom="1440" w:gutter="0" w:footer="0" w:header="0"/>
          <w:type w:val="continuous"/>
        </w:sectPr>
      </w:pPr>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November 14, 2006</w:t>
      </w:r>
    </w:p>
    <w:p>
      <w:pPr>
        <w:spacing w:after="0" w:line="200" w:lineRule="exact"/>
        <w:rPr>
          <w:sz w:val="20"/>
          <w:szCs w:val="20"/>
          <w:color w:val="auto"/>
        </w:rPr>
      </w:pPr>
    </w:p>
    <w:p>
      <w:pPr>
        <w:sectPr>
          <w:pgSz w:w="11900" w:h="16838" w:orient="portrait"/>
          <w:cols w:equalWidth="0" w:num="2">
            <w:col w:w="3040" w:space="720"/>
            <w:col w:w="7660"/>
          </w:cols>
          <w:pgMar w:left="240" w:top="931" w:right="239" w:bottom="1440" w:gutter="0" w:footer="0" w:header="0"/>
          <w:type w:val="continuous"/>
        </w:sectPr>
      </w:pPr>
    </w:p>
    <w:p>
      <w:pPr>
        <w:spacing w:after="0" w:line="60"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Closing date: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November 17, 2006</w:t>
      </w:r>
    </w:p>
    <w:p>
      <w:pPr>
        <w:spacing w:after="0" w:line="211" w:lineRule="exact"/>
        <w:rPr>
          <w:sz w:val="20"/>
          <w:szCs w:val="20"/>
          <w:color w:val="auto"/>
        </w:rPr>
      </w:pPr>
    </w:p>
    <w:p>
      <w:pPr>
        <w:sectPr>
          <w:pgSz w:w="11900" w:h="16838" w:orient="portrait"/>
          <w:cols w:equalWidth="0" w:num="2">
            <w:col w:w="3040" w:space="720"/>
            <w:col w:w="7660"/>
          </w:cols>
          <w:pgMar w:left="240" w:top="931" w:right="239" w:bottom="144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75886F107</w:t>
      </w:r>
    </w:p>
    <w:p>
      <w:pPr>
        <w:spacing w:after="0" w:line="211" w:lineRule="exact"/>
        <w:rPr>
          <w:sz w:val="20"/>
          <w:szCs w:val="20"/>
          <w:color w:val="auto"/>
        </w:rPr>
      </w:pPr>
    </w:p>
    <w:p>
      <w:pPr>
        <w:sectPr>
          <w:pgSz w:w="11900" w:h="16838" w:orient="portrait"/>
          <w:cols w:equalWidth="0" w:num="2">
            <w:col w:w="3040" w:space="720"/>
            <w:col w:w="7660"/>
          </w:cols>
          <w:pgMar w:left="240" w:top="931" w:right="239" w:bottom="1440" w:gutter="0" w:footer="0" w:header="0"/>
          <w:type w:val="continuous"/>
        </w:sectPr>
      </w:pPr>
    </w:p>
    <w:p>
      <w:pPr>
        <w:spacing w:after="0" w:line="48" w:lineRule="exact"/>
        <w:rPr>
          <w:sz w:val="20"/>
          <w:szCs w:val="20"/>
          <w:color w:val="auto"/>
        </w:rPr>
      </w:pPr>
    </w:p>
    <w:p>
      <w:pPr>
        <w:jc w:val="center"/>
        <w:ind w:left="740"/>
        <w:spacing w:after="0"/>
        <w:rPr>
          <w:sz w:val="20"/>
          <w:szCs w:val="20"/>
          <w:color w:val="auto"/>
        </w:rPr>
      </w:pPr>
      <w:r>
        <w:rPr>
          <w:rFonts w:ascii="Arial" w:cs="Arial" w:eastAsia="Arial" w:hAnsi="Arial"/>
          <w:sz w:val="16"/>
          <w:szCs w:val="16"/>
          <w:color w:val="auto"/>
        </w:rPr>
        <w:t>Underwriter: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Incorporated</w:t>
      </w:r>
    </w:p>
    <w:p>
      <w:pPr>
        <w:spacing w:after="0" w:line="200" w:lineRule="exact"/>
        <w:rPr>
          <w:sz w:val="20"/>
          <w:szCs w:val="20"/>
          <w:color w:val="auto"/>
        </w:rPr>
      </w:pPr>
    </w:p>
    <w:p>
      <w:pPr>
        <w:sectPr>
          <w:pgSz w:w="11900" w:h="16838" w:orient="portrait"/>
          <w:cols w:equalWidth="0" w:num="2">
            <w:col w:w="3040" w:space="720"/>
            <w:col w:w="7660"/>
          </w:cols>
          <w:pgMar w:left="240" w:top="931" w:right="239" w:bottom="1440" w:gutter="0" w:footer="0" w:header="0"/>
          <w:type w:val="continuous"/>
        </w:sectPr>
      </w:pPr>
    </w:p>
    <w:p>
      <w:pPr>
        <w:spacing w:after="0" w:line="48" w:lineRule="exact"/>
        <w:rPr>
          <w:sz w:val="20"/>
          <w:szCs w:val="20"/>
          <w:color w:val="auto"/>
        </w:rPr>
      </w:pPr>
    </w:p>
    <w:p>
      <w:pPr>
        <w:ind w:right="80" w:firstLine="210"/>
        <w:spacing w:after="0" w:line="268" w:lineRule="auto"/>
        <w:rPr>
          <w:sz w:val="20"/>
          <w:szCs w:val="20"/>
          <w:color w:val="auto"/>
        </w:rPr>
      </w:pPr>
      <w:r>
        <w:rPr>
          <w:rFonts w:ascii="Arial" w:cs="Arial" w:eastAsia="Arial" w:hAnsi="Arial"/>
          <w:sz w:val="18"/>
          <w:szCs w:val="18"/>
          <w:color w:val="auto"/>
        </w:rPr>
        <w:t>A copy of the prospectus relating to this offering may be obtained by contacting Morgan Stanley &amp; Co. Incorporated, 180 Varick Street, New York, New York 10014, Attention: Prospectus Department or by e-mail to prospectus@morganstanley.com.</w:t>
      </w:r>
    </w:p>
    <w:sectPr>
      <w:pgSz w:w="11900" w:h="16838" w:orient="portrait"/>
      <w:cols w:equalWidth="0" w:num="1">
        <w:col w:w="11420"/>
      </w:cols>
      <w:pgMar w:left="240" w:top="93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Letter"/>
      <w:start w:val="1"/>
    </w:lvl>
  </w:abstractNum>
  <w:abstractNum w:abstractNumId="1">
    <w:nsid w:val="41A7C4C9"/>
    <w:multiLevelType w:val="hybridMultilevel"/>
    <w:lvl w:ilvl="0">
      <w:lvlJc w:val="left"/>
      <w:lvlText w:val="(%1)"/>
      <w:numFmt w:val="lowerLetter"/>
      <w:start w:val="3"/>
    </w:lvl>
  </w:abstractNum>
  <w:abstractNum w:abstractNumId="2">
    <w:nsid w:val="6B68079A"/>
    <w:multiLevelType w:val="hybridMultilevel"/>
    <w:lvl w:ilvl="0">
      <w:lvlJc w:val="left"/>
      <w:lvlText w:val="(%1)"/>
      <w:numFmt w:val="lowerLetter"/>
      <w:start w:val="7"/>
    </w:lvl>
  </w:abstractNum>
  <w:abstractNum w:abstractNumId="3">
    <w:nsid w:val="4E6AFB66"/>
    <w:multiLevelType w:val="hybridMultilevel"/>
    <w:lvl w:ilvl="0">
      <w:lvlJc w:val="left"/>
      <w:lvlText w:val="(%1)"/>
      <w:numFmt w:val="lowerLetter"/>
      <w:start w:val="11"/>
    </w:lvl>
  </w:abstractNum>
  <w:abstractNum w:abstractNumId="4">
    <w:nsid w:val="25E45D32"/>
    <w:multiLevelType w:val="hybridMultilevel"/>
    <w:lvl w:ilvl="0">
      <w:lvlJc w:val="left"/>
      <w:lvlText w:val="(%1)"/>
      <w:numFmt w:val="lowerLetter"/>
      <w:start w:val="14"/>
    </w:lvl>
  </w:abstractNum>
  <w:abstractNum w:abstractNumId="5">
    <w:nsid w:val="519B500D"/>
    <w:multiLevelType w:val="hybridMultilevel"/>
    <w:lvl w:ilvl="0">
      <w:lvlJc w:val="left"/>
      <w:lvlText w:val="(%1)"/>
      <w:numFmt w:val="lowerLetter"/>
      <w:start w:val="18"/>
    </w:lvl>
  </w:abstractNum>
  <w:abstractNum w:abstractNumId="6">
    <w:nsid w:val="431BD7B7"/>
    <w:multiLevelType w:val="hybridMultilevel"/>
    <w:lvl w:ilvl="0">
      <w:lvlJc w:val="left"/>
      <w:lvlText w:val="(%1)"/>
      <w:numFmt w:val="lowerLetter"/>
      <w:start w:val="20"/>
    </w:lvl>
  </w:abstractNum>
  <w:abstractNum w:abstractNumId="7">
    <w:nsid w:val="3F2DBA31"/>
    <w:multiLevelType w:val="hybridMultilevel"/>
    <w:lvl w:ilvl="0">
      <w:lvlJc w:val="left"/>
      <w:lvlText w:val="(%1)"/>
      <w:numFmt w:val="lowerLetter"/>
      <w:start w:val="2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3"/>
    </w:lvl>
  </w:abstractNum>
  <w:abstractNum w:abstractNumId="10">
    <w:nsid w:val="62BBD95A"/>
    <w:multiLevelType w:val="hybridMultilevel"/>
    <w:lvl w:ilvl="0">
      <w:lvlJc w:val="left"/>
      <w:lvlText w:val="%1."/>
      <w:numFmt w:val="decimal"/>
      <w:start w:val="5"/>
    </w:lvl>
    <w:lvl w:ilvl="1">
      <w:lvlJc w:val="left"/>
      <w:lvlText w:val="(%2)"/>
      <w:numFmt w:val="lowerRoman"/>
      <w:start w:val="1"/>
    </w:lvl>
  </w:abstractNum>
  <w:abstractNum w:abstractNumId="11">
    <w:nsid w:val="436C6125"/>
    <w:multiLevelType w:val="hybridMultilevel"/>
    <w:lvl w:ilvl="0">
      <w:lvlJc w:val="left"/>
      <w:lvlText w:val="(%1)"/>
      <w:numFmt w:val="lowerLetter"/>
      <w:start w:val="2"/>
    </w:lvl>
  </w:abstractNum>
  <w:abstractNum w:abstractNumId="12">
    <w:nsid w:val="628C895D"/>
    <w:multiLevelType w:val="hybridMultilevel"/>
    <w:lvl w:ilvl="0">
      <w:lvlJc w:val="left"/>
      <w:lvlText w:val="%1"/>
      <w:numFmt w:val="lowerLetter"/>
      <w:start w:val="1"/>
    </w:lvl>
    <w:lvl w:ilvl="1">
      <w:lvlJc w:val="left"/>
      <w:lvlText w:val="(%2)"/>
      <w:numFmt w:val="lowerLetter"/>
      <w:start w:val="3"/>
    </w:lvl>
  </w:abstractNum>
  <w:abstractNum w:abstractNumId="13">
    <w:nsid w:val="333AB105"/>
    <w:multiLevelType w:val="hybridMultilevel"/>
    <w:lvl w:ilvl="0">
      <w:lvlJc w:val="left"/>
      <w:lvlText w:val="(%1)"/>
      <w:numFmt w:val="lowerLetter"/>
      <w:start w:val="61"/>
    </w:lvl>
    <w:lvl w:ilvl="1">
      <w:lvlJc w:val="left"/>
      <w:lvlText w:val="(%2)"/>
      <w:numFmt w:val="lowerLetter"/>
      <w:start w:val="4"/>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2"/>
    </w:lvl>
  </w:abstractNum>
  <w:abstractNum w:abstractNumId="16">
    <w:nsid w:val="2D1D5AE9"/>
    <w:multiLevelType w:val="hybridMultilevel"/>
    <w:lvl w:ilvl="0">
      <w:lvlJc w:val="left"/>
      <w:lvlText w:val="(%1)"/>
      <w:numFmt w:val="lowerLetter"/>
      <w:start w:val="7"/>
    </w:lvl>
  </w:abstractNum>
  <w:abstractNum w:abstractNumId="17">
    <w:nsid w:val="6763845E"/>
    <w:multiLevelType w:val="hybridMultilevel"/>
    <w:lvl w:ilvl="0">
      <w:lvlJc w:val="left"/>
      <w:lvlText w:val="(%1)"/>
      <w:numFmt w:val="lowerLetter"/>
      <w:start w:val="10"/>
    </w:lvl>
  </w:abstractNum>
  <w:abstractNum w:abstractNumId="18">
    <w:nsid w:val="75A2A8D4"/>
    <w:multiLevelType w:val="hybridMultilevel"/>
    <w:lvl w:ilvl="0">
      <w:lvlJc w:val="left"/>
      <w:lvlText w:val="%1."/>
      <w:numFmt w:val="decimal"/>
      <w:start w:val="7"/>
    </w:lvl>
  </w:abstractNum>
  <w:abstractNum w:abstractNumId="19">
    <w:nsid w:val="8EDBDAB"/>
    <w:multiLevelType w:val="hybridMultilevel"/>
    <w:lvl w:ilvl="0">
      <w:lvlJc w:val="left"/>
      <w:lvlText w:val="(%1)"/>
      <w:numFmt w:val="lowerLetter"/>
      <w:start w:val="2"/>
    </w:lvl>
  </w:abstractNum>
  <w:abstractNum w:abstractNumId="20">
    <w:nsid w:val="79838CB2"/>
    <w:multiLevelType w:val="hybridMultilevel"/>
    <w:lvl w:ilvl="0">
      <w:lvlJc w:val="left"/>
      <w:lvlText w:val="(%1)"/>
      <w:numFmt w:val="lowerLetter"/>
      <w:start w:val="3"/>
    </w:lvl>
  </w:abstractNum>
  <w:abstractNum w:abstractNumId="21">
    <w:nsid w:val="4353D0CD"/>
    <w:multiLevelType w:val="hybridMultilevel"/>
    <w:lvl w:ilvl="0">
      <w:lvlJc w:val="left"/>
      <w:lvlText w:val="(%1)"/>
      <w:numFmt w:val="lowerLetter"/>
      <w:start w:val="4"/>
    </w:lvl>
  </w:abstractNum>
  <w:abstractNum w:abstractNumId="22">
    <w:nsid w:val="B03E0C6"/>
    <w:multiLevelType w:val="hybridMultilevel"/>
    <w:lvl w:ilvl="0">
      <w:lvlJc w:val="left"/>
      <w:lvlText w:val="(%1)"/>
      <w:numFmt w:val="lowerLetter"/>
      <w:start w:val="6"/>
    </w:lvl>
  </w:abstractNum>
  <w:abstractNum w:abstractNumId="23">
    <w:nsid w:val="189A769B"/>
    <w:multiLevelType w:val="hybridMultilevel"/>
    <w:lvl w:ilvl="0">
      <w:lvlJc w:val="left"/>
      <w:lvlText w:val="%1."/>
      <w:numFmt w:val="decimal"/>
      <w:start w:val="9"/>
    </w:lvl>
  </w:abstractNum>
  <w:abstractNum w:abstractNumId="24">
    <w:nsid w:val="54E49EB4"/>
    <w:multiLevelType w:val="hybridMultilevel"/>
    <w:lvl w:ilvl="0">
      <w:lvlJc w:val="left"/>
      <w:lvlText w:val="%1."/>
      <w:numFmt w:val="decimal"/>
      <w:start w:val="11"/>
    </w:lvl>
  </w:abstractNum>
  <w:abstractNum w:abstractNumId="25">
    <w:nsid w:val="71F32454"/>
    <w:multiLevelType w:val="hybridMultilevel"/>
    <w:lvl w:ilvl="0">
      <w:lvlJc w:val="left"/>
      <w:lvlText w:val="%1"/>
      <w:numFmt w:val="decimal"/>
      <w:start w:val="1"/>
    </w:lvl>
    <w:lvl w:ilvl="1">
      <w:lvlJc w:val="left"/>
      <w:lvlText w:val="(%2)"/>
      <w:numFmt w:val="lowerLetter"/>
      <w:start w:val="2"/>
    </w:lvl>
  </w:abstractNum>
  <w:abstractNum w:abstractNumId="26">
    <w:nsid w:val="2CA88611"/>
    <w:multiLevelType w:val="hybridMultilevel"/>
    <w:lvl w:ilvl="0">
      <w:lvlJc w:val="left"/>
      <w:lvlText w:val="%1."/>
      <w:numFmt w:val="decimal"/>
      <w:start w:val="12"/>
    </w:lvl>
    <w:lvl w:ilvl="1">
      <w:lvlJc w:val="left"/>
      <w:lvlText w:val="%2"/>
      <w:numFmt w:val="lowerLetter"/>
      <w:start w:val="1"/>
    </w:lvl>
  </w:abstractNum>
  <w:abstractNum w:abstractNumId="27">
    <w:nsid w:val="836C40E"/>
    <w:multiLevelType w:val="hybridMultilevel"/>
    <w:lvl w:ilvl="0">
      <w:lvlJc w:val="left"/>
      <w:lvlText w:val="%1."/>
      <w:numFmt w:val="decimal"/>
      <w:start w:val="15"/>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2019-12-20T02:56:38Z</dcterms:created>
  <dcterms:modified xsi:type="dcterms:W3CDTF">2019-12-20T02:56:38Z</dcterms:modified>
</cp:coreProperties>
</file>