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9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5"/>
          </w:tcPr>
          <w:p>
            <w:pPr>
              <w:ind w:left="160"/>
              <w:spacing w:after="0"/>
              <w:rPr>
                <w:sz w:val="20"/>
                <w:szCs w:val="20"/>
                <w:color w:val="auto"/>
              </w:rPr>
            </w:pPr>
            <w:r>
              <w:rPr>
                <w:rFonts w:ascii="Arial" w:cs="Arial" w:eastAsia="Arial" w:hAnsi="Arial"/>
                <w:sz w:val="18"/>
                <w:szCs w:val="18"/>
                <w:color w:val="0000FF"/>
              </w:rPr>
              <w:t>03/14/2014</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tcPr>
          <w:p>
            <w:pPr>
              <w:spacing w:after="0"/>
              <w:rPr>
                <w:sz w:val="9"/>
                <w:szCs w:val="9"/>
                <w:color w:val="auto"/>
              </w:rPr>
            </w:pPr>
          </w:p>
        </w:tc>
        <w:tc>
          <w:tcPr>
            <w:tcW w:w="2380" w:type="dxa"/>
            <w:vAlign w:val="bottom"/>
            <w:tcBorders>
              <w:bottom w:val="single" w:sz="8" w:color="2C2C2C"/>
            </w:tcBorders>
            <w:gridSpan w:val="6"/>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1"/>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2380" w:type="dxa"/>
            <w:vAlign w:val="bottom"/>
            <w:tcBorders>
              <w:bottom w:val="single" w:sz="8" w:color="2C2C2C"/>
            </w:tcBorders>
            <w:gridSpan w:val="6"/>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254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4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gridSpan w:val="6"/>
          </w:tcPr>
          <w:p>
            <w:pPr>
              <w:ind w:left="30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03/14/2014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3,248</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326.7707</w:t>
            </w:r>
            <w:r>
              <w:rPr>
                <w:rFonts w:ascii="Arial" w:cs="Arial" w:eastAsia="Arial" w:hAnsi="Arial"/>
                <w:sz w:val="22"/>
                <w:szCs w:val="22"/>
                <w:color w:val="008000"/>
                <w:w w:val="84"/>
                <w:vertAlign w:val="superscript"/>
              </w:rPr>
              <w:t>(1)(3)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17,998,084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03/14/2014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81"/>
              </w:rPr>
              <w:t>11,096</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327.5149</w:t>
            </w:r>
            <w:r>
              <w:rPr>
                <w:rFonts w:ascii="Arial" w:cs="Arial" w:eastAsia="Arial" w:hAnsi="Arial"/>
                <w:sz w:val="22"/>
                <w:szCs w:val="22"/>
                <w:color w:val="008000"/>
                <w:w w:val="84"/>
                <w:vertAlign w:val="superscript"/>
              </w:rPr>
              <w:t>(1)(5)</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18,009,180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03/14/2014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81"/>
              </w:rPr>
              <w:t>33,081</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328.6411</w:t>
            </w:r>
            <w:r>
              <w:rPr>
                <w:rFonts w:ascii="Arial" w:cs="Arial" w:eastAsia="Arial" w:hAnsi="Arial"/>
                <w:sz w:val="22"/>
                <w:szCs w:val="22"/>
                <w:color w:val="008000"/>
                <w:w w:val="84"/>
                <w:vertAlign w:val="superscript"/>
              </w:rPr>
              <w:t>(1)(6)</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18,042,261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03/14/2014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8,158</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329</w:t>
            </w:r>
            <w:r>
              <w:rPr>
                <w:rFonts w:ascii="Arial" w:cs="Arial" w:eastAsia="Arial" w:hAnsi="Arial"/>
                <w:sz w:val="22"/>
                <w:szCs w:val="22"/>
                <w:color w:val="008000"/>
                <w:w w:val="86"/>
                <w:vertAlign w:val="superscript"/>
              </w:rPr>
              <w:t>(1)</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18,050,419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03/17/2014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81"/>
              </w:rPr>
              <w:t>34,499</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328.3223</w:t>
            </w:r>
            <w:r>
              <w:rPr>
                <w:rFonts w:ascii="Arial" w:cs="Arial" w:eastAsia="Arial" w:hAnsi="Arial"/>
                <w:sz w:val="22"/>
                <w:szCs w:val="22"/>
                <w:color w:val="008000"/>
                <w:w w:val="84"/>
                <w:vertAlign w:val="superscript"/>
              </w:rPr>
              <w:t>(1)(7)</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18,084,918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rPr>
              <w:t>03/17/2014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81"/>
              </w:rPr>
              <w:t>25,629</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328.8635</w:t>
            </w:r>
            <w:r>
              <w:rPr>
                <w:rFonts w:ascii="Arial" w:cs="Arial" w:eastAsia="Arial" w:hAnsi="Arial"/>
                <w:sz w:val="22"/>
                <w:szCs w:val="22"/>
                <w:color w:val="008000"/>
                <w:w w:val="84"/>
                <w:vertAlign w:val="superscript"/>
              </w:rPr>
              <w:t>(1)(8)</w:t>
            </w: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18,110,547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17"/>
          </w:tcPr>
          <w:p>
            <w:pPr>
              <w:jc w:val="center"/>
              <w:ind w:left="1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$326.00 to $326.99 per share, inclusive.</w:t>
      </w:r>
    </w:p>
    <w:p>
      <w:pPr>
        <w:spacing w:after="0" w:line="41" w:lineRule="exact"/>
        <w:rPr>
          <w:rFonts w:ascii="Arial" w:cs="Arial" w:eastAsia="Arial" w:hAnsi="Arial"/>
          <w:sz w:val="14"/>
          <w:szCs w:val="14"/>
          <w:color w:val="008000"/>
        </w:rPr>
      </w:pPr>
    </w:p>
    <w:p>
      <w:pPr>
        <w:jc w:val="both"/>
        <w:ind w:left="40" w:right="1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15,310,995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$327.00 to $327.99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$328.00 to $328.99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$327.67 to $328.66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$328.67 to $329.00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2019-12-17T06:06:28Z</dcterms:created>
  <dcterms:modified xsi:type="dcterms:W3CDTF">2019-12-17T06:06:28Z</dcterms:modified>
</cp:coreProperties>
</file>