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0-19034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9820" w:type="dxa"/>
            <w:vAlign w:val="bottom"/>
            <w:tcBorders>
              <w:top w:val="single" w:sz="8" w:color="auto"/>
            </w:tcBorders>
            <w:gridSpan w:val="3"/>
          </w:tcPr>
          <w:p>
            <w:pPr>
              <w:ind w:left="3060"/>
              <w:spacing w:after="0"/>
              <w:rPr>
                <w:sz w:val="20"/>
                <w:szCs w:val="20"/>
                <w:color w:val="auto"/>
              </w:rPr>
            </w:pPr>
            <w:r>
              <w:rPr>
                <w:rFonts w:ascii="Arial" w:cs="Arial" w:eastAsia="Arial" w:hAnsi="Arial"/>
                <w:sz w:val="18"/>
                <w:szCs w:val="18"/>
                <w:color w:val="auto"/>
              </w:rPr>
              <w:t>(Exact name of registrant as specified in its charter)</w:t>
            </w:r>
          </w:p>
        </w:tc>
        <w:tc>
          <w:tcPr>
            <w:tcW w:w="800" w:type="dxa"/>
            <w:vAlign w:val="bottom"/>
          </w:tcPr>
          <w:p>
            <w:pPr>
              <w:spacing w:after="0"/>
              <w:rPr>
                <w:sz w:val="20"/>
                <w:szCs w:val="20"/>
                <w:color w:val="auto"/>
              </w:rPr>
            </w:pPr>
          </w:p>
        </w:tc>
      </w:tr>
      <w:tr>
        <w:trPr>
          <w:trHeight w:val="411"/>
        </w:trPr>
        <w:tc>
          <w:tcPr>
            <w:tcW w:w="800" w:type="dxa"/>
            <w:vAlign w:val="bottom"/>
          </w:tcPr>
          <w:p>
            <w:pPr>
              <w:spacing w:after="0"/>
              <w:rPr>
                <w:sz w:val="24"/>
                <w:szCs w:val="24"/>
                <w:color w:val="auto"/>
              </w:rPr>
            </w:pPr>
          </w:p>
        </w:tc>
        <w:tc>
          <w:tcPr>
            <w:tcW w:w="4620" w:type="dxa"/>
            <w:vAlign w:val="bottom"/>
          </w:tcPr>
          <w:p>
            <w:pPr>
              <w:jc w:val="center"/>
              <w:ind w:right="710"/>
              <w:spacing w:after="0"/>
              <w:rPr>
                <w:sz w:val="20"/>
                <w:szCs w:val="20"/>
                <w:color w:val="auto"/>
              </w:rPr>
            </w:pPr>
            <w:r>
              <w:rPr>
                <w:rFonts w:ascii="Arial" w:cs="Arial" w:eastAsia="Arial" w:hAnsi="Arial"/>
                <w:sz w:val="18"/>
                <w:szCs w:val="18"/>
                <w:color w:val="auto"/>
                <w:w w:val="94"/>
              </w:rPr>
              <w:t>New York</w:t>
            </w:r>
          </w:p>
        </w:tc>
        <w:tc>
          <w:tcPr>
            <w:tcW w:w="5200" w:type="dxa"/>
            <w:vAlign w:val="bottom"/>
            <w:gridSpan w:val="2"/>
          </w:tcPr>
          <w:p>
            <w:pPr>
              <w:jc w:val="center"/>
              <w:ind w:left="1290"/>
              <w:spacing w:after="0"/>
              <w:rPr>
                <w:sz w:val="20"/>
                <w:szCs w:val="20"/>
                <w:color w:val="auto"/>
              </w:rPr>
            </w:pPr>
            <w:r>
              <w:rPr>
                <w:rFonts w:ascii="Arial" w:cs="Arial" w:eastAsia="Arial" w:hAnsi="Arial"/>
                <w:sz w:val="18"/>
                <w:szCs w:val="18"/>
                <w:color w:val="auto"/>
                <w:w w:val="89"/>
              </w:rPr>
              <w:t>13-3444607</w:t>
            </w:r>
          </w:p>
        </w:tc>
        <w:tc>
          <w:tcPr>
            <w:tcW w:w="800" w:type="dxa"/>
            <w:vAlign w:val="bottom"/>
          </w:tcPr>
          <w:p>
            <w:pPr>
              <w:spacing w:after="0"/>
              <w:rPr>
                <w:sz w:val="24"/>
                <w:szCs w:val="24"/>
                <w:color w:val="auto"/>
              </w:rPr>
            </w:pPr>
          </w:p>
        </w:tc>
      </w:tr>
      <w:tr>
        <w:trPr>
          <w:trHeight w:val="209"/>
        </w:trPr>
        <w:tc>
          <w:tcPr>
            <w:tcW w:w="80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462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color w:val="auto"/>
                <w:w w:val="94"/>
              </w:rPr>
              <w:t>(I.R.S. Employer Identification No.)</w:t>
            </w:r>
          </w:p>
        </w:tc>
        <w:tc>
          <w:tcPr>
            <w:tcW w:w="800" w:type="dxa"/>
            <w:vAlign w:val="bottom"/>
            <w:tcBorders>
              <w:top w:val="single" w:sz="8" w:color="auto"/>
            </w:tcBorders>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4620" w:type="dxa"/>
            <w:vAlign w:val="bottom"/>
          </w:tcPr>
          <w:p>
            <w:pPr>
              <w:jc w:val="center"/>
              <w:ind w:right="69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4620" w:type="dxa"/>
            <w:vAlign w:val="bottom"/>
          </w:tcPr>
          <w:p>
            <w:pPr>
              <w:jc w:val="center"/>
              <w:ind w:right="730"/>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4620" w:type="dxa"/>
            <w:vAlign w:val="bottom"/>
          </w:tcPr>
          <w:p>
            <w:pPr>
              <w:jc w:val="center"/>
              <w:ind w:right="710"/>
              <w:spacing w:after="0"/>
              <w:rPr>
                <w:sz w:val="20"/>
                <w:szCs w:val="20"/>
                <w:color w:val="auto"/>
              </w:rPr>
            </w:pPr>
            <w:r>
              <w:rPr>
                <w:rFonts w:ascii="Arial" w:cs="Arial" w:eastAsia="Arial" w:hAnsi="Arial"/>
                <w:sz w:val="18"/>
                <w:szCs w:val="18"/>
                <w:color w:val="auto"/>
                <w:w w:val="94"/>
              </w:rPr>
              <w:t>Tarrytown, New York</w:t>
            </w:r>
          </w:p>
        </w:tc>
        <w:tc>
          <w:tcPr>
            <w:tcW w:w="5200" w:type="dxa"/>
            <w:vAlign w:val="bottom"/>
            <w:gridSpan w:val="2"/>
          </w:tcPr>
          <w:p>
            <w:pPr>
              <w:jc w:val="center"/>
              <w:ind w:left="1290"/>
              <w:spacing w:after="0"/>
              <w:rPr>
                <w:sz w:val="20"/>
                <w:szCs w:val="20"/>
                <w:color w:val="auto"/>
              </w:rPr>
            </w:pPr>
            <w:r>
              <w:rPr>
                <w:rFonts w:ascii="Arial" w:cs="Arial" w:eastAsia="Arial" w:hAnsi="Arial"/>
                <w:sz w:val="18"/>
                <w:szCs w:val="18"/>
                <w:color w:val="auto"/>
                <w:w w:val="89"/>
              </w:rPr>
              <w:t>10591-6707</w:t>
            </w:r>
          </w:p>
        </w:tc>
        <w:tc>
          <w:tcPr>
            <w:tcW w:w="800" w:type="dxa"/>
            <w:vAlign w:val="bottom"/>
          </w:tcPr>
          <w:p>
            <w:pPr>
              <w:spacing w:after="0"/>
              <w:rPr>
                <w:sz w:val="20"/>
                <w:szCs w:val="20"/>
                <w:color w:val="auto"/>
              </w:rPr>
            </w:pPr>
          </w:p>
        </w:tc>
      </w:tr>
      <w:tr>
        <w:trPr>
          <w:trHeight w:val="224"/>
        </w:trPr>
        <w:tc>
          <w:tcPr>
            <w:tcW w:w="80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462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4"/>
              </w:rPr>
              <w:t>(Zip Code)</w:t>
            </w:r>
          </w:p>
        </w:tc>
        <w:tc>
          <w:tcPr>
            <w:tcW w:w="800" w:type="dxa"/>
            <w:vAlign w:val="bottom"/>
            <w:tcBorders>
              <w:top w:val="single" w:sz="8" w:color="auto"/>
            </w:tcBorders>
          </w:tcPr>
          <w:p>
            <w:pPr>
              <w:spacing w:after="0"/>
              <w:rPr>
                <w:sz w:val="19"/>
                <w:szCs w:val="19"/>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6" w:lineRule="exact"/>
        <w:rPr>
          <w:sz w:val="20"/>
          <w:szCs w:val="20"/>
          <w:color w:val="auto"/>
        </w:rPr>
      </w:pPr>
    </w:p>
    <w:p>
      <w:pPr>
        <w:sectPr>
          <w:pgSz w:w="11900" w:h="16838" w:orient="portrait"/>
          <w:cols w:equalWidth="0" w:num="4">
            <w:col w:w="1940" w:space="720"/>
            <w:col w:w="1360" w:space="720"/>
            <w:col w:w="3820" w:space="720"/>
            <w:col w:w="214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00" w:type="dxa"/>
            <w:vAlign w:val="bottom"/>
            <w:gridSpan w:val="2"/>
          </w:tcPr>
          <w:p>
            <w:pPr>
              <w:ind w:left="5080"/>
              <w:spacing w:after="0"/>
              <w:rPr>
                <w:sz w:val="20"/>
                <w:szCs w:val="20"/>
                <w:color w:val="auto"/>
              </w:rPr>
            </w:pPr>
            <w:r>
              <w:rPr>
                <w:rFonts w:ascii="Arial" w:cs="Arial" w:eastAsia="Arial" w:hAnsi="Arial"/>
                <w:sz w:val="18"/>
                <w:szCs w:val="18"/>
                <w:color w:val="auto"/>
              </w:rPr>
              <w:t>Yes o</w:t>
            </w:r>
          </w:p>
        </w:tc>
        <w:tc>
          <w:tcPr>
            <w:tcW w:w="572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4"/>
        </w:trPr>
        <w:tc>
          <w:tcPr>
            <w:tcW w:w="11420" w:type="dxa"/>
            <w:vAlign w:val="bottom"/>
            <w:gridSpan w:val="4"/>
          </w:tcPr>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15, 2008:</w:t>
            </w:r>
          </w:p>
        </w:tc>
      </w:tr>
      <w:tr>
        <w:trPr>
          <w:trHeight w:val="365"/>
        </w:trPr>
        <w:tc>
          <w:tcPr>
            <w:tcW w:w="57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of Common Stock</w:t>
            </w:r>
          </w:p>
        </w:tc>
        <w:tc>
          <w:tcPr>
            <w:tcW w:w="300" w:type="dxa"/>
            <w:vAlign w:val="bottom"/>
          </w:tcPr>
          <w:p>
            <w:pPr>
              <w:spacing w:after="0"/>
              <w:rPr>
                <w:sz w:val="24"/>
                <w:szCs w:val="24"/>
                <w:color w:val="auto"/>
              </w:rPr>
            </w:pPr>
          </w:p>
        </w:tc>
        <w:tc>
          <w:tcPr>
            <w:tcW w:w="5420" w:type="dxa"/>
            <w:vAlign w:val="bottom"/>
          </w:tcPr>
          <w:p>
            <w:pPr>
              <w:ind w:left="2180"/>
              <w:spacing w:after="0"/>
              <w:rPr>
                <w:sz w:val="20"/>
                <w:szCs w:val="20"/>
                <w:color w:val="auto"/>
              </w:rPr>
            </w:pPr>
            <w:r>
              <w:rPr>
                <w:rFonts w:ascii="Arial" w:cs="Arial" w:eastAsia="Arial" w:hAnsi="Arial"/>
                <w:sz w:val="14"/>
                <w:szCs w:val="14"/>
                <w:color w:val="auto"/>
              </w:rPr>
              <w:t>Number of Shares</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Stock, $0.001 par value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Borders>
              <w:top w:val="single" w:sz="8" w:color="auto"/>
            </w:tcBorders>
          </w:tcPr>
          <w:p>
            <w:pPr>
              <w:jc w:val="right"/>
              <w:ind w:right="2279"/>
              <w:spacing w:after="0"/>
              <w:rPr>
                <w:sz w:val="20"/>
                <w:szCs w:val="20"/>
                <w:color w:val="auto"/>
              </w:rPr>
            </w:pPr>
            <w:r>
              <w:rPr>
                <w:rFonts w:ascii="Arial" w:cs="Arial" w:eastAsia="Arial" w:hAnsi="Arial"/>
                <w:sz w:val="18"/>
                <w:szCs w:val="18"/>
                <w:color w:val="auto"/>
              </w:rPr>
              <w:t>2,254,698</w:t>
            </w:r>
          </w:p>
        </w:tc>
      </w:tr>
      <w:tr>
        <w:trPr>
          <w:trHeight w:val="230"/>
        </w:trPr>
        <w:tc>
          <w:tcPr>
            <w:tcW w:w="57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 Stock, $0.001 par value</w:t>
            </w:r>
          </w:p>
        </w:tc>
        <w:tc>
          <w:tcPr>
            <w:tcW w:w="5720" w:type="dxa"/>
            <w:vAlign w:val="bottom"/>
            <w:gridSpan w:val="2"/>
          </w:tcPr>
          <w:p>
            <w:pPr>
              <w:jc w:val="right"/>
              <w:ind w:right="2219"/>
              <w:spacing w:after="0"/>
              <w:rPr>
                <w:sz w:val="20"/>
                <w:szCs w:val="20"/>
                <w:color w:val="auto"/>
              </w:rPr>
            </w:pPr>
            <w:r>
              <w:rPr>
                <w:rFonts w:ascii="Arial" w:cs="Arial" w:eastAsia="Arial" w:hAnsi="Arial"/>
                <w:sz w:val="18"/>
                <w:szCs w:val="18"/>
                <w:color w:val="auto"/>
              </w:rPr>
              <w:t>77,392,971</w:t>
            </w:r>
          </w:p>
        </w:tc>
      </w:tr>
      <w:tr>
        <w:trPr>
          <w:trHeight w:val="237"/>
        </w:trPr>
        <w:tc>
          <w:tcPr>
            <w:tcW w:w="5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9"/>
              </w:rPr>
              <w:t>Page Numbers</w:t>
            </w:r>
          </w:p>
        </w:tc>
      </w:tr>
      <w:tr>
        <w:trPr>
          <w:trHeight w:val="385"/>
        </w:trPr>
        <w:tc>
          <w:tcPr>
            <w:tcW w:w="600" w:type="dxa"/>
            <w:vAlign w:val="bottom"/>
            <w:gridSpan w:val="3"/>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700" w:type="dxa"/>
            <w:vAlign w:val="bottom"/>
          </w:tcPr>
          <w:p>
            <w:pPr>
              <w:spacing w:after="0"/>
              <w:rPr>
                <w:sz w:val="24"/>
                <w:szCs w:val="24"/>
                <w:color w:val="auto"/>
              </w:rPr>
            </w:pPr>
          </w:p>
        </w:tc>
        <w:tc>
          <w:tcPr>
            <w:tcW w:w="902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10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10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balance sheets (unaudited) at September 30, 2008 and December 31, 2007</w:t>
              </w:r>
            </w:hyperlink>
          </w:p>
        </w:tc>
        <w:tc>
          <w:tcPr>
            <w:tcW w:w="2840" w:type="dxa"/>
            <w:vAlign w:val="bottom"/>
            <w:gridSpan w:val="6"/>
          </w:tcPr>
          <w:p>
            <w:pPr>
              <w:spacing w:after="0"/>
              <w:rPr>
                <w:sz w:val="17"/>
                <w:szCs w:val="17"/>
                <w:color w:val="auto"/>
              </w:rPr>
            </w:pPr>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3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operations (unaudited) for the three and nine months ended September 30, 2008 and 2007</w:t>
              </w:r>
            </w:hyperlink>
          </w:p>
        </w:tc>
        <w:tc>
          <w:tcPr>
            <w:tcW w:w="720" w:type="dxa"/>
            <w:vAlign w:val="bottom"/>
          </w:tcPr>
          <w:p>
            <w:pPr>
              <w:spacing w:after="0"/>
              <w:rPr>
                <w:sz w:val="17"/>
                <w:szCs w:val="17"/>
                <w:color w:val="auto"/>
              </w:rPr>
            </w:pPr>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4</w:t>
            </w: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 of stockholders’ equity (unaudited) for the nine months ended September 30, 2008</w:t>
              </w:r>
            </w:hyperlink>
          </w:p>
        </w:tc>
        <w:tc>
          <w:tcPr>
            <w:tcW w:w="1500" w:type="dxa"/>
            <w:vAlign w:val="bottom"/>
            <w:gridSpan w:val="3"/>
          </w:tcPr>
          <w:p>
            <w:pPr>
              <w:spacing w:after="0"/>
              <w:rPr>
                <w:sz w:val="17"/>
                <w:szCs w:val="17"/>
                <w:color w:val="auto"/>
              </w:rPr>
            </w:pPr>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5</w:t>
            </w: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statements of cash flows (unaudited) for the nine months ended September 30, 2008 and 2007</w:t>
              </w:r>
            </w:hyperlink>
          </w:p>
        </w:tc>
        <w:tc>
          <w:tcPr>
            <w:tcW w:w="1420" w:type="dxa"/>
            <w:vAlign w:val="bottom"/>
            <w:gridSpan w:val="2"/>
          </w:tcPr>
          <w:p>
            <w:pPr>
              <w:spacing w:after="0"/>
              <w:rPr>
                <w:sz w:val="17"/>
                <w:szCs w:val="17"/>
                <w:color w:val="auto"/>
              </w:rPr>
            </w:pPr>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6</w:t>
            </w:r>
          </w:p>
        </w:tc>
      </w:tr>
      <w:tr>
        <w:trPr>
          <w:trHeight w:val="196"/>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 (unaudited)</w:t>
              </w:r>
            </w:hyperlink>
          </w:p>
        </w:tc>
        <w:tc>
          <w:tcPr>
            <w:tcW w:w="5260" w:type="dxa"/>
            <w:vAlign w:val="bottom"/>
            <w:gridSpan w:val="8"/>
          </w:tcPr>
          <w:p>
            <w:pPr>
              <w:spacing w:after="0"/>
              <w:rPr>
                <w:sz w:val="17"/>
                <w:szCs w:val="17"/>
                <w:color w:val="auto"/>
              </w:rPr>
            </w:pPr>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7-17</w:t>
            </w: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2</w:t>
              </w:r>
            </w:hyperlink>
          </w:p>
        </w:tc>
        <w:tc>
          <w:tcPr>
            <w:tcW w:w="820" w:type="dxa"/>
            <w:vAlign w:val="bottom"/>
            <w:gridSpan w:val="2"/>
          </w:tcPr>
          <w:p>
            <w:pPr>
              <w:spacing w:after="0"/>
              <w:rPr>
                <w:sz w:val="17"/>
                <w:szCs w:val="17"/>
                <w:color w:val="auto"/>
              </w:rPr>
            </w:pPr>
          </w:p>
        </w:tc>
        <w:tc>
          <w:tcPr>
            <w:tcW w:w="902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18-49</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Item 3</w:t>
              </w:r>
            </w:hyperlink>
          </w:p>
        </w:tc>
        <w:tc>
          <w:tcPr>
            <w:tcW w:w="820" w:type="dxa"/>
            <w:vAlign w:val="bottom"/>
            <w:gridSpan w:val="2"/>
          </w:tcPr>
          <w:p>
            <w:pPr>
              <w:spacing w:after="0"/>
              <w:rPr>
                <w:sz w:val="17"/>
                <w:szCs w:val="17"/>
                <w:color w:val="auto"/>
              </w:rPr>
            </w:pPr>
          </w:p>
        </w:tc>
        <w:tc>
          <w:tcPr>
            <w:tcW w:w="902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49</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420" w:type="dxa"/>
            <w:vAlign w:val="bottom"/>
            <w:tcBorders>
              <w:left w:val="single" w:sz="8" w:color="0000EE"/>
            </w:tcBorders>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Item 4</w:t>
              </w:r>
            </w:hyperlink>
          </w:p>
        </w:tc>
        <w:tc>
          <w:tcPr>
            <w:tcW w:w="820" w:type="dxa"/>
            <w:vAlign w:val="bottom"/>
            <w:gridSpan w:val="2"/>
          </w:tcPr>
          <w:p>
            <w:pPr>
              <w:spacing w:after="0"/>
              <w:rPr>
                <w:sz w:val="17"/>
                <w:szCs w:val="17"/>
                <w:color w:val="auto"/>
              </w:rPr>
            </w:pPr>
          </w:p>
        </w:tc>
        <w:tc>
          <w:tcPr>
            <w:tcW w:w="902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49-50</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300" w:type="dxa"/>
            <w:vAlign w:val="bottom"/>
            <w:gridSpan w:val="4"/>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w:t>
              </w:r>
            </w:hyperlink>
          </w:p>
        </w:tc>
        <w:tc>
          <w:tcPr>
            <w:tcW w:w="9020" w:type="dxa"/>
            <w:vAlign w:val="bottom"/>
            <w:gridSpan w:val="20"/>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OTHER INFORMATION</w:t>
              </w:r>
            </w:hyperlink>
          </w:p>
        </w:tc>
        <w:tc>
          <w:tcPr>
            <w:tcW w:w="110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Item 1</w:t>
              </w:r>
            </w:hyperlink>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1100" w:type="dxa"/>
            <w:vAlign w:val="bottom"/>
          </w:tcPr>
          <w:p>
            <w:pPr>
              <w:jc w:val="right"/>
              <w:ind w:right="351"/>
              <w:spacing w:after="0"/>
              <w:rPr>
                <w:sz w:val="20"/>
                <w:szCs w:val="20"/>
                <w:color w:val="auto"/>
              </w:rPr>
            </w:pPr>
            <w:r>
              <w:rPr>
                <w:rFonts w:ascii="Arial" w:cs="Arial" w:eastAsia="Arial" w:hAnsi="Arial"/>
                <w:sz w:val="18"/>
                <w:szCs w:val="18"/>
                <w:color w:val="auto"/>
              </w:rPr>
              <w:t>50</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300" w:type="dxa"/>
            <w:vAlign w:val="bottom"/>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902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50-70</w:t>
            </w: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Item 2</w:t>
              </w:r>
            </w:hyperlink>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2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70</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Item 6</w:t>
              </w:r>
            </w:hyperlink>
          </w:p>
        </w:tc>
        <w:tc>
          <w:tcPr>
            <w:tcW w:w="820" w:type="dxa"/>
            <w:vAlign w:val="bottom"/>
            <w:gridSpan w:val="2"/>
          </w:tcPr>
          <w:p>
            <w:pPr>
              <w:spacing w:after="0"/>
              <w:rPr>
                <w:sz w:val="17"/>
                <w:szCs w:val="17"/>
                <w:color w:val="auto"/>
              </w:rPr>
            </w:pPr>
          </w:p>
        </w:tc>
        <w:tc>
          <w:tcPr>
            <w:tcW w:w="902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1100" w:type="dxa"/>
            <w:vAlign w:val="bottom"/>
          </w:tcPr>
          <w:p>
            <w:pPr>
              <w:jc w:val="right"/>
              <w:ind w:right="351"/>
              <w:spacing w:after="0" w:line="196" w:lineRule="exact"/>
              <w:rPr>
                <w:sz w:val="20"/>
                <w:szCs w:val="20"/>
                <w:color w:val="auto"/>
              </w:rPr>
            </w:pPr>
            <w:r>
              <w:rPr>
                <w:rFonts w:ascii="Arial" w:cs="Arial" w:eastAsia="Arial" w:hAnsi="Arial"/>
                <w:sz w:val="18"/>
                <w:szCs w:val="18"/>
                <w:color w:val="auto"/>
              </w:rPr>
              <w:t>71</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73">
              <w:r>
                <w:rPr>
                  <w:rFonts w:ascii="Arial" w:cs="Arial" w:eastAsia="Arial" w:hAnsi="Arial"/>
                  <w:sz w:val="18"/>
                  <w:szCs w:val="18"/>
                  <w:b w:val="1"/>
                  <w:bCs w:val="1"/>
                  <w:color w:val="0000EE"/>
                  <w:w w:val="97"/>
                </w:rPr>
                <w:t>SIGNATURE PAGE</w:t>
              </w:r>
            </w:hyperlink>
          </w:p>
        </w:tc>
        <w:tc>
          <w:tcPr>
            <w:tcW w:w="8720" w:type="dxa"/>
            <w:vAlign w:val="bottom"/>
            <w:gridSpan w:val="18"/>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8"/>
                <w:szCs w:val="18"/>
                <w:color w:val="auto"/>
              </w:rPr>
              <w:t>72</w:t>
            </w:r>
          </w:p>
        </w:tc>
      </w:tr>
      <w:tr>
        <w:trPr>
          <w:trHeight w:val="196"/>
        </w:trPr>
        <w:tc>
          <w:tcPr>
            <w:tcW w:w="6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3"/>
              </w:rPr>
              <w:t>EX-10.3: SECOND AMENDMENT TO LEASE</w:t>
            </w:r>
          </w:p>
        </w:tc>
        <w:tc>
          <w:tcPr>
            <w:tcW w:w="6820" w:type="dxa"/>
            <w:vAlign w:val="bottom"/>
            <w:gridSpan w:val="10"/>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260" w:type="dxa"/>
            <w:vAlign w:val="bottom"/>
            <w:gridSpan w:val="23"/>
          </w:tcPr>
          <w:p>
            <w:pPr>
              <w:spacing w:after="0" w:line="196" w:lineRule="exact"/>
              <w:rPr>
                <w:sz w:val="20"/>
                <w:szCs w:val="20"/>
                <w:color w:val="auto"/>
              </w:rPr>
            </w:pPr>
            <w:r>
              <w:rPr>
                <w:rFonts w:ascii="Arial" w:cs="Arial" w:eastAsia="Arial" w:hAnsi="Arial"/>
                <w:sz w:val="18"/>
                <w:szCs w:val="18"/>
                <w:color w:val="0000EE"/>
              </w:rPr>
              <w:t>EX-12.1: STATEMENT RE: COMPUTATION OF RATIO OF EARNINGS TO COMBINED FIXED CHARGES</w:t>
            </w:r>
          </w:p>
        </w:tc>
        <w:tc>
          <w:tcPr>
            <w:tcW w:w="11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00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EX-31.1: CERTIFICATION</w:t>
            </w:r>
          </w:p>
        </w:tc>
        <w:tc>
          <w:tcPr>
            <w:tcW w:w="226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2008 AND DECEMBER 31, 2007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314,684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348,924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from the sanofi-aventis Group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37,744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Accounts receivable —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715,540</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27,603</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72,825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825,891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41,887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from sanofi-aventis,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19,017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Deferred revenue — other,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39,364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117,503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217,771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from sanofi-aventis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112,290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56,012</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388,958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20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shares issued and outstanding — 2,254,698 in 2008 and 2,260,266 in 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77,367,679 in 2008 and 76,592,218 in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1,285,223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1,253,235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(844,409)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436,933</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825,891</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160" w:type="dxa"/>
            <w:vAlign w:val="bottom"/>
            <w:gridSpan w:val="8"/>
          </w:tcPr>
          <w:p>
            <w:pPr>
              <w:ind w:left="860"/>
              <w:spacing w:after="0"/>
              <w:rPr>
                <w:sz w:val="20"/>
                <w:szCs w:val="20"/>
                <w:color w:val="auto"/>
              </w:rPr>
            </w:pPr>
            <w:r>
              <w:rPr>
                <w:rFonts w:ascii="Arial" w:cs="Arial" w:eastAsia="Arial" w:hAnsi="Arial"/>
                <w:sz w:val="14"/>
                <w:szCs w:val="14"/>
                <w:b w:val="1"/>
                <w:bCs w:val="1"/>
                <w:color w:val="auto"/>
              </w:rPr>
              <w:t>Three months ended September 30,</w:t>
            </w:r>
          </w:p>
        </w:tc>
        <w:tc>
          <w:tcPr>
            <w:tcW w:w="2180" w:type="dxa"/>
            <w:vAlign w:val="bottom"/>
            <w:gridSpan w:val="6"/>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Contract research and development from sanofi-aventis</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42,006</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9,182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116,346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contract research and development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3,129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product sales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22,311</w:t>
            </w:r>
          </w:p>
        </w:tc>
        <w:tc>
          <w:tcPr>
            <w:tcW w:w="1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182,620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73,855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51,689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201,702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9,289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35,857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60,978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237,851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163,214</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1020"/>
              <w:spacing w:after="0"/>
              <w:rPr>
                <w:sz w:val="20"/>
                <w:szCs w:val="20"/>
                <w:color w:val="auto"/>
              </w:rPr>
            </w:pPr>
            <w:r>
              <w:rPr>
                <w:rFonts w:ascii="Arial" w:cs="Arial" w:eastAsia="Arial" w:hAnsi="Arial"/>
                <w:sz w:val="18"/>
                <w:szCs w:val="18"/>
                <w:color w:val="auto"/>
              </w:rPr>
              <w:t>(38,667)</w:t>
            </w:r>
          </w:p>
        </w:tc>
        <w:tc>
          <w:tcPr>
            <w:tcW w:w="1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(55,231)</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(102,920)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Investment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5,840</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15,513</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(3,011)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2,829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Net loss before income tax expense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(18,036)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1020"/>
              <w:spacing w:after="0"/>
              <w:rPr>
                <w:sz w:val="20"/>
                <w:szCs w:val="20"/>
                <w:color w:val="auto"/>
              </w:rPr>
            </w:pPr>
            <w:r>
              <w:rPr>
                <w:rFonts w:ascii="Arial" w:cs="Arial" w:eastAsia="Arial" w:hAnsi="Arial"/>
                <w:sz w:val="18"/>
                <w:szCs w:val="18"/>
                <w:color w:val="auto"/>
              </w:rPr>
              <w:t>(35,838)</w:t>
            </w:r>
          </w:p>
        </w:tc>
        <w:tc>
          <w:tcPr>
            <w:tcW w:w="1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(48,113)</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(35,838</w:t>
            </w:r>
          </w:p>
        </w:tc>
        <w:tc>
          <w:tcPr>
            <w:tcW w:w="1160" w:type="dxa"/>
            <w:vAlign w:val="bottom"/>
          </w:tcPr>
          <w:p>
            <w:pPr>
              <w:jc w:val="right"/>
              <w:ind w:right="10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(51,192</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78,937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66,069</w:t>
            </w:r>
          </w:p>
        </w:tc>
        <w:tc>
          <w:tcPr>
            <w:tcW w:w="1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78,706</w:t>
            </w: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65,861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Class A Stock</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vMerge w:val="restart"/>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0"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5"/>
              </w:rPr>
              <w:t>Accumulated</w:t>
            </w:r>
          </w:p>
        </w:tc>
        <w:tc>
          <w:tcPr>
            <w:tcW w:w="1380" w:type="dxa"/>
            <w:vAlign w:val="bottom"/>
            <w:gridSpan w:val="4"/>
          </w:tcPr>
          <w:p>
            <w:pPr>
              <w:jc w:val="center"/>
              <w:ind w:right="220"/>
              <w:spacing w:after="0" w:line="140" w:lineRule="exact"/>
              <w:rPr>
                <w:sz w:val="20"/>
                <w:szCs w:val="20"/>
                <w:color w:val="auto"/>
              </w:rPr>
            </w:pPr>
            <w:r>
              <w:rPr>
                <w:rFonts w:ascii="Arial" w:cs="Arial" w:eastAsia="Arial" w:hAnsi="Arial"/>
                <w:sz w:val="13"/>
                <w:szCs w:val="13"/>
                <w:b w:val="1"/>
                <w:bCs w:val="1"/>
                <w:color w:val="auto"/>
                <w:w w:val="86"/>
              </w:rPr>
              <w:t>Comprehensive</w:t>
            </w:r>
          </w:p>
        </w:tc>
        <w:tc>
          <w:tcPr>
            <w:tcW w:w="11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Stockholders’</w:t>
            </w:r>
          </w:p>
        </w:tc>
        <w:tc>
          <w:tcPr>
            <w:tcW w:w="9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4"/>
              </w:rPr>
              <w:t>Comprehensive</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520" w:type="dxa"/>
            <w:vAlign w:val="bottom"/>
            <w:tcBorders>
              <w:bottom w:val="single" w:sz="8" w:color="auto"/>
            </w:tcBorders>
          </w:tcPr>
          <w:p>
            <w:pPr>
              <w:jc w:val="right"/>
              <w:ind w:right="6"/>
              <w:spacing w:after="0" w:line="129" w:lineRule="exact"/>
              <w:rPr>
                <w:sz w:val="20"/>
                <w:szCs w:val="20"/>
                <w:color w:val="auto"/>
              </w:rPr>
            </w:pPr>
            <w:r>
              <w:rPr>
                <w:rFonts w:ascii="Arial" w:cs="Arial" w:eastAsia="Arial" w:hAnsi="Arial"/>
                <w:sz w:val="13"/>
                <w:szCs w:val="13"/>
                <w:b w:val="1"/>
                <w:bCs w:val="1"/>
                <w:color w:val="auto"/>
                <w:w w:val="96"/>
              </w:rPr>
              <w:t>Shares</w:t>
            </w:r>
          </w:p>
        </w:tc>
        <w:tc>
          <w:tcPr>
            <w:tcW w:w="340" w:type="dxa"/>
            <w:vAlign w:val="bottom"/>
          </w:tcPr>
          <w:p>
            <w:pPr>
              <w:spacing w:after="0"/>
              <w:rPr>
                <w:sz w:val="11"/>
                <w:szCs w:val="11"/>
                <w:color w:val="auto"/>
              </w:rPr>
            </w:pPr>
          </w:p>
        </w:tc>
        <w:tc>
          <w:tcPr>
            <w:tcW w:w="54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360" w:type="dxa"/>
            <w:vAlign w:val="bottom"/>
          </w:tcPr>
          <w:p>
            <w:pPr>
              <w:spacing w:after="0"/>
              <w:rPr>
                <w:sz w:val="11"/>
                <w:szCs w:val="11"/>
                <w:color w:val="auto"/>
              </w:rPr>
            </w:pPr>
          </w:p>
        </w:tc>
        <w:tc>
          <w:tcPr>
            <w:tcW w:w="54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Shares</w:t>
            </w:r>
          </w:p>
        </w:tc>
        <w:tc>
          <w:tcPr>
            <w:tcW w:w="360" w:type="dxa"/>
            <w:vAlign w:val="bottom"/>
          </w:tcPr>
          <w:p>
            <w:pPr>
              <w:spacing w:after="0"/>
              <w:rPr>
                <w:sz w:val="11"/>
                <w:szCs w:val="11"/>
                <w:color w:val="auto"/>
              </w:rPr>
            </w:pPr>
          </w:p>
        </w:tc>
        <w:tc>
          <w:tcPr>
            <w:tcW w:w="54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Capital</w:t>
            </w:r>
          </w:p>
        </w:tc>
        <w:tc>
          <w:tcPr>
            <w:tcW w:w="380" w:type="dxa"/>
            <w:vAlign w:val="bottom"/>
          </w:tcPr>
          <w:p>
            <w:pPr>
              <w:spacing w:after="0"/>
              <w:rPr>
                <w:sz w:val="11"/>
                <w:szCs w:val="11"/>
                <w:color w:val="auto"/>
              </w:rPr>
            </w:pPr>
          </w:p>
        </w:tc>
        <w:tc>
          <w:tcPr>
            <w:tcW w:w="7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5"/>
              </w:rPr>
              <w:t>Deficit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3"/>
              <w:spacing w:after="0" w:line="129" w:lineRule="exact"/>
              <w:rPr>
                <w:sz w:val="20"/>
                <w:szCs w:val="20"/>
                <w:color w:val="auto"/>
              </w:rPr>
            </w:pPr>
            <w:r>
              <w:rPr>
                <w:rFonts w:ascii="Arial" w:cs="Arial" w:eastAsia="Arial" w:hAnsi="Arial"/>
                <w:sz w:val="13"/>
                <w:szCs w:val="13"/>
                <w:b w:val="1"/>
                <w:bCs w:val="1"/>
                <w:color w:val="auto"/>
                <w:w w:val="95"/>
              </w:rPr>
              <w:t>Equity</w:t>
            </w: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2007</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76,592</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$ 1,253,235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 (793,217)</w:t>
            </w:r>
          </w:p>
        </w:tc>
        <w:tc>
          <w:tcPr>
            <w:tcW w:w="34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460,267</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Issuance of Common Stock in</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20"/>
              <w:spacing w:after="0"/>
              <w:rPr>
                <w:sz w:val="20"/>
                <w:szCs w:val="20"/>
                <w:color w:val="auto"/>
              </w:rPr>
            </w:pPr>
            <w:r>
              <w:rPr>
                <w:rFonts w:ascii="Arial" w:cs="Arial" w:eastAsia="Arial" w:hAnsi="Arial"/>
                <w:sz w:val="16"/>
                <w:szCs w:val="16"/>
                <w:color w:val="auto"/>
              </w:rPr>
              <w:t>connection with exercise of</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20"/>
              <w:spacing w:after="0"/>
              <w:rPr>
                <w:sz w:val="20"/>
                <w:szCs w:val="20"/>
                <w:color w:val="auto"/>
              </w:rPr>
            </w:pPr>
            <w:r>
              <w:rPr>
                <w:rFonts w:ascii="Arial" w:cs="Arial" w:eastAsia="Arial" w:hAnsi="Arial"/>
                <w:sz w:val="16"/>
                <w:szCs w:val="16"/>
                <w:color w:val="auto"/>
              </w:rPr>
              <w:t>stock options, net of shares</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20"/>
              <w:spacing w:after="0"/>
              <w:rPr>
                <w:sz w:val="20"/>
                <w:szCs w:val="20"/>
                <w:color w:val="auto"/>
              </w:rPr>
            </w:pPr>
            <w:r>
              <w:rPr>
                <w:rFonts w:ascii="Arial" w:cs="Arial" w:eastAsia="Arial" w:hAnsi="Arial"/>
                <w:sz w:val="16"/>
                <w:szCs w:val="16"/>
                <w:color w:val="auto"/>
              </w:rPr>
              <w:t>tendered</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711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6,165</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6,165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connection with Company</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401(k) Savings Plan</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1,107</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Conversion of Class A Stock to</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24,716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24,716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Net loss</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(51,192)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(51,192)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(51,192)</w:t>
            </w:r>
          </w:p>
        </w:tc>
        <w:tc>
          <w:tcPr>
            <w:tcW w:w="0" w:type="dxa"/>
            <w:vAlign w:val="bottom"/>
          </w:tcPr>
          <w:p>
            <w:pPr>
              <w:spacing w:after="0"/>
              <w:rPr>
                <w:sz w:val="1"/>
                <w:szCs w:val="1"/>
                <w:color w:val="auto"/>
              </w:rPr>
            </w:pPr>
          </w:p>
        </w:tc>
      </w:tr>
      <w:tr>
        <w:trPr>
          <w:trHeight w:val="193"/>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Change in net unrealized gain</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marketable</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(4,130)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(4,130)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(4,130)</w:t>
            </w: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rPr>
              <w:t>Balance, September 30, 2008</w:t>
            </w: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40" w:type="dxa"/>
            <w:vAlign w:val="bottom"/>
            <w:vMerge w:val="continue"/>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2,255</w:t>
            </w:r>
          </w:p>
        </w:tc>
        <w:tc>
          <w:tcPr>
            <w:tcW w:w="34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2</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77,367</w:t>
            </w: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$ 1,285,223</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 (844,409)</w:t>
            </w:r>
          </w:p>
        </w:tc>
        <w:tc>
          <w:tcPr>
            <w:tcW w:w="340" w:type="dxa"/>
            <w:vAlign w:val="bottom"/>
            <w:gridSpan w:val="2"/>
          </w:tcPr>
          <w:p>
            <w:pPr>
              <w:jc w:val="right"/>
              <w:ind w:right="37"/>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(3,960)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436,933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(55,322)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(51,192)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8,661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realized loss on marketable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accounts receivable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deferred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(53,246)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(478,276)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(478,209)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443,587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(19,117)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(53,856)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(122,186)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(83,304)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the issuance of Common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(77,139)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(184,241)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(140,460)</w:t>
            </w:r>
          </w:p>
        </w:tc>
        <w:tc>
          <w:tcPr>
            <w:tcW w:w="0" w:type="dxa"/>
            <w:vAlign w:val="bottom"/>
          </w:tcPr>
          <w:p>
            <w:pPr>
              <w:spacing w:after="0"/>
              <w:rPr>
                <w:sz w:val="1"/>
                <w:szCs w:val="1"/>
                <w:color w:val="auto"/>
              </w:rPr>
            </w:pP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498,925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237,876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314,684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2007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2007.</w:t>
      </w:r>
    </w:p>
    <w:p>
      <w:pPr>
        <w:spacing w:after="0" w:line="7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Included in research and development expenses is the Company’s share of VEGF Trap-Eye development expenses incurred by Bayer HealthCare LLC, including the Company’s share of Bayer HealthCare’s estimated VEGF Trap-Eye development expenses for the most recent interim fiscal quarter. Bayer HealthCare’s estimate is reconciled to its actual expenses for such quarter in the subsequent interim fiscal quarter and the Company’s share of VEGF Trap-Eye development expenses incurred by Bayer HealthCare is adjusted accordingly. During the three and nine months ended September 30, 2008, the Company recognized cost sharing of Bayer HealthCare VEGF Trap-Eye development expenses of $3.6 million and $19.0 million, respectively. For the three months ended September 30, 2008, cost sharing of Bayer HealthCare development expenses consists of $4.1 million of estimated third quarter expense less a $0.5 million adjustment to reconcile Bayer HealthCare’s actual second quarter 2008 VEGF Trap-Eye development expenses to its prior estimate.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15"/>
          <w:szCs w:val="15"/>
          <w:color w:val="auto"/>
        </w:rPr>
        <w:t>®</w:t>
      </w:r>
      <w:r>
        <w:rPr>
          <w:rFonts w:ascii="Arial" w:cs="Arial" w:eastAsia="Arial" w:hAnsi="Arial"/>
          <w:sz w:val="18"/>
          <w:szCs w:val="18"/>
          <w:b w:val="1"/>
          <w:bCs w:val="1"/>
          <w:color w:val="auto"/>
        </w:rPr>
        <w:t xml:space="preserve"> (rilonacept) Product Revenue and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In March 2008, ARCALYST</w:t>
      </w:r>
      <w:r>
        <w:rPr>
          <w:rFonts w:ascii="Arial" w:cs="Arial" w:eastAsia="Arial" w:hAnsi="Arial"/>
          <w:sz w:val="14"/>
          <w:szCs w:val="14"/>
          <w:color w:val="auto"/>
        </w:rPr>
        <w:t>®</w:t>
      </w:r>
      <w:r>
        <w:rPr>
          <w:rFonts w:ascii="Arial" w:cs="Arial" w:eastAsia="Arial" w:hAnsi="Arial"/>
          <w:sz w:val="17"/>
          <w:szCs w:val="17"/>
          <w:color w:val="auto"/>
        </w:rPr>
        <w:t xml:space="preserve"> (rilonacept) became available for prescription in the United States for the treatment of Cryopyrin-Associated Periodic Syndromes (CAPS). During the three and nine months ended September 30, 2008, the Company shipped $4.3 million and $6.7 million, respectively, of ARCALYST to its distributors. The Company recognizes revenue from product sales in accordance with Staff Accounting Bulletin No. 104,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(“SAB 104”). Revenue from product sales is recognized when persuasive evidence of an arrangement exists, title to product and associated risk</w:t>
      </w:r>
      <w:r>
        <w:rPr>
          <w:rFonts w:ascii="Arial" w:cs="Arial" w:eastAsia="Arial" w:hAnsi="Arial"/>
          <w:sz w:val="17"/>
          <w:szCs w:val="17"/>
          <w:i w:val="1"/>
          <w:iCs w:val="1"/>
          <w:color w:val="auto"/>
        </w:rPr>
        <w:t xml:space="preserve"> </w:t>
      </w:r>
      <w:r>
        <w:rPr>
          <w:rFonts w:ascii="Arial" w:cs="Arial" w:eastAsia="Arial" w:hAnsi="Arial"/>
          <w:sz w:val="17"/>
          <w:szCs w:val="17"/>
          <w:color w:val="auto"/>
        </w:rPr>
        <w:t>of loss has passed to the customer, the price is fixed or determinable, collection from the customer is reasonably assured and the Company has no further performance obligations. Revenues from product sales are recorded net of applicable provisions for prompt pay discounts, product returns, estimated rebates payable under governmental programs (including Medicaid), distribution fees, and other sales-related costs.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accounts for these reductions in accordance with Emerging Issues Task Force Issue No. 01-9, </w:t>
      </w:r>
      <w:r>
        <w:rPr>
          <w:rFonts w:ascii="Arial" w:cs="Arial" w:eastAsia="Arial" w:hAnsi="Arial"/>
          <w:sz w:val="18"/>
          <w:szCs w:val="18"/>
          <w:i w:val="1"/>
          <w:iCs w:val="1"/>
          <w:color w:val="auto"/>
        </w:rPr>
        <w:t>Accounting for Consideration Given by a Vendor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a Customer (Including a Reseller of the Vendor’s Products) </w:t>
      </w:r>
      <w:r>
        <w:rPr>
          <w:rFonts w:ascii="Arial" w:cs="Arial" w:eastAsia="Arial" w:hAnsi="Arial"/>
          <w:sz w:val="18"/>
          <w:szCs w:val="18"/>
          <w:color w:val="auto"/>
        </w:rPr>
        <w:t>(“EITF 01-9”), and Statement of Financial Accounting Standards No. (“SFAS”) 48,</w:t>
      </w:r>
      <w:r>
        <w:rPr>
          <w:rFonts w:ascii="Arial" w:cs="Arial" w:eastAsia="Arial" w:hAnsi="Arial"/>
          <w:sz w:val="18"/>
          <w:szCs w:val="18"/>
          <w:i w:val="1"/>
          <w:iCs w:val="1"/>
          <w:color w:val="auto"/>
        </w:rPr>
        <w:t xml:space="preserve"> Revenue Recognition When Right of Return Exists</w:t>
      </w:r>
      <w:r>
        <w:rPr>
          <w:rFonts w:ascii="Arial" w:cs="Arial" w:eastAsia="Arial" w:hAnsi="Arial"/>
          <w:sz w:val="18"/>
          <w:szCs w:val="18"/>
          <w:color w:val="auto"/>
        </w:rPr>
        <w:t>, as applicable. We review our estimates of rebates payable each period and record any necessary adjustments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period’s net product sales.</w:t>
      </w:r>
    </w:p>
    <w:p>
      <w:pPr>
        <w:spacing w:after="0" w:line="7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During the three and nine months ended September 30, 2008, the Company recognized as revenue $2.7 million of ARCALYST</w:t>
      </w:r>
      <w:r>
        <w:rPr>
          <w:rFonts w:ascii="Arial" w:cs="Arial" w:eastAsia="Arial" w:hAnsi="Arial"/>
          <w:sz w:val="15"/>
          <w:szCs w:val="15"/>
          <w:color w:val="auto"/>
        </w:rPr>
        <w:t>®</w:t>
      </w:r>
      <w:r>
        <w:rPr>
          <w:rFonts w:ascii="Arial" w:cs="Arial" w:eastAsia="Arial" w:hAnsi="Arial"/>
          <w:sz w:val="18"/>
          <w:szCs w:val="18"/>
          <w:color w:val="auto"/>
        </w:rPr>
        <w:t xml:space="preserve"> (rilonacept) net product sales for which both the right of return no longer exists and rebates can be reasonably estimated. At September 30, 2008, deferred revenue related to ARCALYST net product sales totaled $3.8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began capitalizing inventory costs associated with commercial supplies of ARCALYST subsequent to receipt of marketing approval from the U.S. Food and Drug Administration (“FDA”) in February 2008. Costs for manufacturing supplies of ARCALYST prior to receipt of FDA approval were recognized as research and development expenses in the period that the costs were incurred. Therefore, these costs are not being included in cost of goods sold when revenue is recognized from the sale of those supplies of ARCALYST. For the three and nine months ended September 30, 2008, ARCALYST cost of goods sold totaled $0.3 million. At September 30, 2008, inventoried costs related to ARCALYST were insignificant.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121"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nine months ended September 30, 2008 and 2007,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color w:val="auto"/>
                <w:w w:val="97"/>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(21,115)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(35,838)</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78,937</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66,069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80" w:type="dxa"/>
            <w:vAlign w:val="bottom"/>
          </w:tcPr>
          <w:p>
            <w:pPr>
              <w:jc w:val="right"/>
              <w:ind w:right="253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(51,192)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(92,529)</w:t>
            </w: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78,706</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65,861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September 30, 2008 and 2007 diluted per share amounts because their effect would have been antidilutive, include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jc w:val="right"/>
              <w:ind w:right="354"/>
              <w:spacing w:after="0"/>
              <w:rPr>
                <w:sz w:val="20"/>
                <w:szCs w:val="20"/>
                <w:color w:val="auto"/>
              </w:rPr>
            </w:pPr>
            <w:r>
              <w:rPr>
                <w:rFonts w:ascii="Arial" w:cs="Arial" w:eastAsia="Arial" w:hAnsi="Arial"/>
                <w:sz w:val="14"/>
                <w:szCs w:val="14"/>
                <w:color w:val="auto"/>
                <w:w w:val="94"/>
              </w:rPr>
              <w:t>Three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2008</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color w:val="auto"/>
                <w:w w:val="87"/>
              </w:rPr>
              <w:t>17,454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w w:val="87"/>
              </w:rPr>
              <w:t>15,153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exercise price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17.31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500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3,890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Conversion price</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4"/>
          </w:tcPr>
          <w:p>
            <w:pPr>
              <w:jc w:val="right"/>
              <w:ind w:right="374"/>
              <w:spacing w:after="0"/>
              <w:rPr>
                <w:sz w:val="20"/>
                <w:szCs w:val="20"/>
                <w:color w:val="auto"/>
              </w:rPr>
            </w:pPr>
            <w:r>
              <w:rPr>
                <w:rFonts w:ascii="Arial" w:cs="Arial" w:eastAsia="Arial" w:hAnsi="Arial"/>
                <w:sz w:val="14"/>
                <w:szCs w:val="14"/>
                <w:color w:val="auto"/>
                <w:w w:val="96"/>
              </w:rPr>
              <w:t>Nine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2008</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color w:val="auto"/>
                <w:w w:val="87"/>
              </w:rPr>
              <w:t>17,572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w w:val="87"/>
              </w:rPr>
              <w:t>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exercise price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17.24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500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5,450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Conversion price</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120" w:type="dxa"/>
            <w:vAlign w:val="bottom"/>
          </w:tcPr>
          <w:p>
            <w:pPr>
              <w:jc w:val="right"/>
              <w:ind w:right="265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Included in accounts payable and accrued expenses at September 30, 2008 and December 31, 2007 were $5.1 million and $1.7 million, respectively, of accrued capital expenditures. Also included in accounts payable and accrued expenses at September 30, 2008 was $1.5 million in connection with a forward contract to purchase a marketable security. Included in accounts payable and accrued expenses at September 30, 2007 and December 31, 2006 were $0.9 million and $0.8 million, respectively, of accrued capital expenditures.</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Included in accounts payable and accrued expenses at December 31, 2007 and 2006 were $1.1 million and $1.4 million, respectively, of accrued Company 401(k) Savings Plan contribution expense. In the first quarter of 2008 and 2007, the Company contributed 58,575 and 64,532 shares, respectively, of Common Stock to the 401(k) Savings Plan in satisfaction of these obligations.</w:t>
      </w:r>
    </w:p>
    <w:p>
      <w:pPr>
        <w:spacing w:after="0" w:line="73"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Included in marketable securities at both September 30, 2008 and December 31, 2007 was $2.2 million of accrued interest income. Included in marketable securities at September 30, 2007 and December 31, 2006 were $2.5 million and $1.5 million, respectively, of accrued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The Company considers its marketable securities, which consist primarily of U.S. government, corporate, and asset-backed securities, to be “available-for-sale,” as defined by SFAS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These assets are carried at fair value and the unrealized gains and losses are included in other accumulated comprehensive income (loss) as a separate component of stockholders’ equity. If the decline in the value of a marketable security in the Company’s investment portfolio is deemed to be other-than-temporary, the Company writes down the security to its current fair value and recognizes a loss that is charged against income.</w:t>
      </w:r>
    </w:p>
    <w:p>
      <w:pPr>
        <w:spacing w:after="0" w:line="80" w:lineRule="exact"/>
        <w:rPr>
          <w:sz w:val="20"/>
          <w:szCs w:val="20"/>
          <w:color w:val="auto"/>
        </w:rPr>
      </w:pPr>
    </w:p>
    <w:p>
      <w:pPr>
        <w:jc w:val="both"/>
        <w:ind w:right="80" w:firstLine="225"/>
        <w:spacing w:after="0" w:line="257" w:lineRule="auto"/>
        <w:rPr>
          <w:sz w:val="20"/>
          <w:szCs w:val="20"/>
          <w:color w:val="auto"/>
        </w:rPr>
      </w:pPr>
      <w:r>
        <w:rPr>
          <w:rFonts w:ascii="Arial" w:cs="Arial" w:eastAsia="Arial" w:hAnsi="Arial"/>
          <w:sz w:val="18"/>
          <w:szCs w:val="18"/>
          <w:color w:val="auto"/>
        </w:rPr>
        <w:t>On a quarterly basis, the Company reviews its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This review process also includes an evaluation of the Company’s ability and intent to hold individual securities until they mature or their full cost can be recovered. This review is subjective and requires a high degree of judgment.</w:t>
      </w:r>
    </w:p>
    <w:p>
      <w:pPr>
        <w:spacing w:after="0" w:line="80"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As a result of the Company’s quarterly reviews of its marketable securities portfolio, during the three and nine months ended September 30, 2008, the Company recorded charges for other-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than-temporary impairment of its marketable securities totaling $1.7 million and $2.3 million, respectively, as described below. However, the current economic environment, the deterioration in the credit quality of some of the issuers of securities that the Company holds, and the recent volatility of securities markets increase the risk that there may be further declines in the market value of marketable securities in the Company’s investment portfolio and that such declines may result in additional charges against income in future periods for other-than-temporary impairments, and such amounts may be material.</w:t>
      </w:r>
    </w:p>
    <w:p>
      <w:pPr>
        <w:spacing w:after="0" w:line="46"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 xml:space="preserve">In September 2006, the Financial Accounting Standards Board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defines fair value, establishes a framework for measuring fair value in accordance with accounting principles generally accepted in the United States, and expands disclosures about fair value measurements. The Company adopted the provisions of SFAS 157 as of January 1, 2008, for financial instruments. Although the adoption of SFAS 157 did not materially impact the Company’s financial condition, results of operations, or cash flows, the Company is now required to provide additional disclosures as part of its financial statements. In addition, in October 2008, the FASB issued FASB Staff Position (“FSP”) 157-3, </w:t>
      </w:r>
      <w:r>
        <w:rPr>
          <w:rFonts w:ascii="Arial" w:cs="Arial" w:eastAsia="Arial" w:hAnsi="Arial"/>
          <w:sz w:val="16"/>
          <w:szCs w:val="16"/>
          <w:i w:val="1"/>
          <w:iCs w:val="1"/>
          <w:color w:val="auto"/>
        </w:rPr>
        <w:t>Determining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of a Financial Asset When the Market for That Asset Is Not Active, </w:t>
      </w:r>
      <w:r>
        <w:rPr>
          <w:rFonts w:ascii="Arial" w:cs="Arial" w:eastAsia="Arial" w:hAnsi="Arial"/>
          <w:sz w:val="16"/>
          <w:szCs w:val="16"/>
          <w:color w:val="auto"/>
        </w:rPr>
        <w:t>which clarifies the application of SFAS 157 in a market that is not active. FSP</w:t>
      </w:r>
      <w:r>
        <w:rPr>
          <w:rFonts w:ascii="Arial" w:cs="Arial" w:eastAsia="Arial" w:hAnsi="Arial"/>
          <w:sz w:val="16"/>
          <w:szCs w:val="16"/>
          <w:i w:val="1"/>
          <w:iCs w:val="1"/>
          <w:color w:val="auto"/>
        </w:rPr>
        <w:t xml:space="preserve"> </w:t>
      </w:r>
      <w:r>
        <w:rPr>
          <w:rFonts w:ascii="Arial" w:cs="Arial" w:eastAsia="Arial" w:hAnsi="Arial"/>
          <w:sz w:val="16"/>
          <w:szCs w:val="16"/>
          <w:color w:val="auto"/>
        </w:rPr>
        <w:t>157-3 also reaffirms the notion of fair value as an exit price as of the measurement date. FSP 157-3 was effective upon issuance for financial statements that have not yet been issued and adopted by the Company for the quarter ended September 30, 2008.</w:t>
      </w:r>
    </w:p>
    <w:p>
      <w:pPr>
        <w:spacing w:after="0" w:line="58"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9"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Company’s assets that are measured at fair value on a recurring basis, and subject to the disclosure requirements of SFAS 157 at September 30, 2008,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8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color w:val="auto"/>
              </w:rPr>
              <w:t>Fair Value Measurements at Reporting Date Using</w:t>
            </w:r>
          </w:p>
        </w:tc>
      </w:tr>
      <w:tr>
        <w:trPr>
          <w:trHeight w:val="123"/>
        </w:trPr>
        <w:tc>
          <w:tcPr>
            <w:tcW w:w="4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40" w:type="dxa"/>
            <w:vAlign w:val="bottom"/>
          </w:tcPr>
          <w:p>
            <w:pPr>
              <w:jc w:val="center"/>
              <w:spacing w:after="0" w:line="123" w:lineRule="exact"/>
              <w:rPr>
                <w:sz w:val="20"/>
                <w:szCs w:val="20"/>
                <w:color w:val="auto"/>
              </w:rPr>
            </w:pPr>
            <w:r>
              <w:rPr>
                <w:rFonts w:ascii="Arial" w:cs="Arial" w:eastAsia="Arial" w:hAnsi="Arial"/>
                <w:sz w:val="14"/>
                <w:szCs w:val="14"/>
                <w:color w:val="auto"/>
                <w:w w:val="99"/>
              </w:rPr>
              <w:t>Significant</w:t>
            </w: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9"/>
        </w:trPr>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Quoted Prices in</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r>
      <w:tr>
        <w:trPr>
          <w:trHeight w:val="149"/>
        </w:trPr>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Fair Value at</w:t>
            </w: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6"/>
              </w:rPr>
              <w:t>Active Markets for</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9"/>
              </w:rPr>
              <w:t>Observable</w:t>
            </w:r>
          </w:p>
        </w:tc>
        <w:tc>
          <w:tcPr>
            <w:tcW w:w="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2"/>
              </w:rPr>
              <w:t>Unobservable</w:t>
            </w:r>
          </w:p>
        </w:tc>
      </w:tr>
      <w:tr>
        <w:trPr>
          <w:trHeight w:val="149"/>
        </w:trPr>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September 30,</w:t>
            </w: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Identical Assets</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Inputs</w:t>
            </w:r>
          </w:p>
        </w:tc>
        <w:tc>
          <w:tcPr>
            <w:tcW w:w="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Inputs</w:t>
            </w:r>
          </w:p>
        </w:tc>
      </w:tr>
      <w:tr>
        <w:trPr>
          <w:trHeight w:val="167"/>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2008</w:t>
            </w:r>
          </w:p>
        </w:tc>
        <w:tc>
          <w:tcPr>
            <w:tcW w:w="4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(Level 1)</w:t>
            </w:r>
          </w:p>
        </w:tc>
        <w:tc>
          <w:tcPr>
            <w:tcW w:w="5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(Level 2)</w:t>
            </w:r>
          </w:p>
        </w:tc>
        <w:tc>
          <w:tcPr>
            <w:tcW w:w="5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(Level 3)</w:t>
            </w:r>
          </w:p>
        </w:tc>
      </w:tr>
      <w:tr>
        <w:trPr>
          <w:trHeight w:val="426"/>
        </w:trPr>
        <w:tc>
          <w:tcPr>
            <w:tcW w:w="4820" w:type="dxa"/>
            <w:vAlign w:val="bottom"/>
          </w:tcPr>
          <w:p>
            <w:pPr>
              <w:spacing w:after="0"/>
              <w:rPr>
                <w:sz w:val="20"/>
                <w:szCs w:val="20"/>
                <w:color w:val="auto"/>
              </w:rPr>
            </w:pPr>
            <w:r>
              <w:rPr>
                <w:rFonts w:ascii="Arial" w:cs="Arial" w:eastAsia="Arial" w:hAnsi="Arial"/>
                <w:sz w:val="18"/>
                <w:szCs w:val="18"/>
                <w:color w:val="auto"/>
              </w:rPr>
              <w:t>Available-for-sale marketable securities</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$376,527</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jc w:val="right"/>
              <w:ind w:right="245"/>
              <w:spacing w:after="0"/>
              <w:rPr>
                <w:sz w:val="20"/>
                <w:szCs w:val="20"/>
                <w:color w:val="auto"/>
              </w:rPr>
            </w:pPr>
            <w:r>
              <w:rPr>
                <w:rFonts w:ascii="Arial" w:cs="Arial" w:eastAsia="Arial" w:hAnsi="Arial"/>
                <w:sz w:val="18"/>
                <w:szCs w:val="18"/>
                <w:color w:val="auto"/>
              </w:rPr>
              <w:t>$376,257</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$270</w:t>
            </w: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held no Level 1 marketable securities during the three or nine months ended September 30,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Marketable securities included in Level 2 above were valued using a market approach utilizing prices and other relevant information generated by market transactions involving identical or comparable assets. During the third quarter of 2008, deterioration in the credit quality of a marketable security from one issuer subjected the Company to the risk of not being able to recover the security’s $2.0 million carrying value. As a result, the Company recognized a $1.7 million charge related to this Level 2 marketable security, which the Company considered to be other than temporarily impaired.</w:t>
      </w:r>
    </w:p>
    <w:p>
      <w:pPr>
        <w:spacing w:after="0" w:line="46"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Marketable securities included in Level 3 above were valued using information provided by the Company’s investment advisors, including quoted bid prices which take into consideration the securities’ current lack of liquidity. During the nine months ended September 30, 2008, the Company recognized a $0.5 million charge related to a Level 3 marketable security which the Company considered to be other than temporarily impaired.</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marketable securities included in Level 3 above during the three months ended September 30, 2008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Balance July 1, 2008</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Settlements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Realized gain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Balance September 30, 2008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vMerge w:val="restart"/>
          </w:tcPr>
          <w:p>
            <w:pPr>
              <w:ind w:left="220"/>
              <w:spacing w:after="0"/>
              <w:rPr>
                <w:sz w:val="20"/>
                <w:szCs w:val="20"/>
                <w:color w:val="auto"/>
              </w:rPr>
            </w:pPr>
            <w:r>
              <w:rPr>
                <w:rFonts w:ascii="Arial" w:cs="Arial" w:eastAsia="Arial" w:hAnsi="Arial"/>
                <w:sz w:val="18"/>
                <w:szCs w:val="18"/>
                <w:color w:val="auto"/>
                <w:w w:val="95"/>
              </w:rPr>
              <w:t>Changes in marketable securities included in Level 3 above during the nine months ended September 30, 2008 were as follows:</w:t>
            </w: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Settlements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Realized gain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Impairments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There were no unrealized gains or losses related to the Company’s Level 3 marketable securities for the three and nine months ended September 30, 2008. In addition, there were no purchases of Level 3 marketable securities and no transfers of marketable securities between the Level 2 and Level 3 classifications during the three and nine months ended September 30,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September 30, 2008 and December 31, 2007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400" w:type="dxa"/>
            <w:vAlign w:val="bottom"/>
            <w:gridSpan w:val="4"/>
          </w:tcPr>
          <w:p>
            <w:pPr>
              <w:ind w:left="24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37,744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Receivable from Bayer HealthCare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1,619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7. Accounts Payable and Accrued Expenses</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80" w:type="dxa"/>
            <w:vAlign w:val="bottom"/>
          </w:tcPr>
          <w:p>
            <w:pPr>
              <w:ind w:left="220"/>
              <w:spacing w:after="0"/>
              <w:rPr>
                <w:sz w:val="20"/>
                <w:szCs w:val="20"/>
                <w:color w:val="auto"/>
              </w:rPr>
            </w:pPr>
            <w:r>
              <w:rPr>
                <w:rFonts w:ascii="Arial" w:cs="Arial" w:eastAsia="Arial" w:hAnsi="Arial"/>
                <w:sz w:val="18"/>
                <w:szCs w:val="18"/>
                <w:color w:val="auto"/>
                <w:w w:val="91"/>
              </w:rPr>
              <w:t>Accounts payable and accrued expenses as of September 30, 2008 and December 31, 2007 consist of the following: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780" w:type="dxa"/>
            <w:vAlign w:val="bottom"/>
          </w:tcPr>
          <w:p>
            <w:pPr>
              <w:spacing w:after="0"/>
              <w:rPr>
                <w:sz w:val="24"/>
                <w:szCs w:val="24"/>
                <w:color w:val="auto"/>
              </w:rPr>
            </w:pPr>
          </w:p>
        </w:tc>
        <w:tc>
          <w:tcPr>
            <w:tcW w:w="1400" w:type="dxa"/>
            <w:vAlign w:val="bottom"/>
            <w:gridSpan w:val="4"/>
          </w:tcPr>
          <w:p>
            <w:pPr>
              <w:ind w:left="24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13,188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Payable to Bayer HealthCare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costs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14,514</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6,288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other</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6,279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41,887</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Repurchases of Convertible Debt</w:t>
      </w:r>
    </w:p>
    <w:p>
      <w:pPr>
        <w:spacing w:after="0" w:line="121" w:lineRule="exact"/>
        <w:rPr>
          <w:sz w:val="20"/>
          <w:szCs w:val="20"/>
          <w:color w:val="auto"/>
        </w:rPr>
      </w:pPr>
    </w:p>
    <w:p>
      <w:pPr>
        <w:jc w:val="both"/>
        <w:ind w:right="100" w:firstLine="225"/>
        <w:spacing w:after="0" w:line="288" w:lineRule="auto"/>
        <w:rPr>
          <w:sz w:val="20"/>
          <w:szCs w:val="20"/>
          <w:color w:val="auto"/>
        </w:rPr>
      </w:pPr>
      <w:r>
        <w:rPr>
          <w:rFonts w:ascii="Arial" w:cs="Arial" w:eastAsia="Arial" w:hAnsi="Arial"/>
          <w:sz w:val="16"/>
          <w:szCs w:val="16"/>
          <w:color w:val="auto"/>
        </w:rPr>
        <w:t>During the first nine months of 2008, the Company repurchased a total of $82.5 million in principal amount of its 5.5% Convertible Senior Subordinated Notes due October 17, 2008 (the “Notes”) for $83.3 million. In connection with the repurchases of the Notes, the Company recognized a $0.9 million loss on early extinguishment of debt, representing the premium paid on the Notes plus related unamortized debt issuance costs. At September 30, 2008,</w:t>
      </w:r>
    </w:p>
    <w:p>
      <w:pPr>
        <w:spacing w:after="0"/>
        <w:rPr>
          <w:sz w:val="20"/>
          <w:szCs w:val="20"/>
          <w:color w:val="auto"/>
        </w:rPr>
      </w:pPr>
      <w:r>
        <w:rPr>
          <w:rFonts w:ascii="Arial" w:cs="Arial" w:eastAsia="Arial" w:hAnsi="Arial"/>
          <w:sz w:val="16"/>
          <w:szCs w:val="16"/>
          <w:color w:val="auto"/>
        </w:rPr>
        <w:t>$117.5 million of the Notes remained outstanding. Subsequently, such remaining outstanding Notes were repaid in full upon their maturity in October 2008.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Loss</w:t>
      </w:r>
    </w:p>
    <w:p>
      <w:pPr>
        <w:spacing w:after="0" w:line="121" w:lineRule="exact"/>
        <w:rPr>
          <w:sz w:val="20"/>
          <w:szCs w:val="20"/>
          <w:color w:val="auto"/>
        </w:rPr>
      </w:pPr>
    </w:p>
    <w:p>
      <w:pPr>
        <w:ind w:right="640" w:firstLine="222"/>
        <w:spacing w:after="0" w:line="308" w:lineRule="auto"/>
        <w:rPr>
          <w:sz w:val="20"/>
          <w:szCs w:val="20"/>
          <w:color w:val="auto"/>
        </w:rPr>
      </w:pPr>
      <w:r>
        <w:rPr>
          <w:rFonts w:ascii="Arial" w:cs="Arial" w:eastAsia="Arial" w:hAnsi="Arial"/>
          <w:sz w:val="17"/>
          <w:szCs w:val="17"/>
          <w:color w:val="auto"/>
        </w:rPr>
        <w:t xml:space="preserve">The Company presents comprehensive income (loss) in accordance with SFAS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Comprehensive loss of the Company includes net loss adjusted for the change in net unrealized gain (loss) on marketable securities. The net effect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taxes on comprehensive loss is immaterial. For the three and nine months ended September 30, 2008 and 2007, the components of comprehensive loss 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4580" w:type="dxa"/>
            <w:vAlign w:val="bottom"/>
            <w:gridSpan w:val="6"/>
          </w:tcPr>
          <w:p>
            <w:pPr>
              <w:jc w:val="right"/>
              <w:ind w:right="100"/>
              <w:spacing w:after="0"/>
              <w:rPr>
                <w:sz w:val="20"/>
                <w:szCs w:val="20"/>
                <w:color w:val="auto"/>
              </w:rPr>
            </w:pPr>
            <w:r>
              <w:rPr>
                <w:rFonts w:ascii="Arial" w:cs="Arial" w:eastAsia="Arial" w:hAnsi="Arial"/>
                <w:sz w:val="14"/>
                <w:szCs w:val="14"/>
                <w:color w:val="auto"/>
              </w:rPr>
              <w:t>Three months ended September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(21,115)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(35,838)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(3,645)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511</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(24,760)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(35,327)</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gridSpan w:val="5"/>
          </w:tcPr>
          <w:p>
            <w:pPr>
              <w:jc w:val="right"/>
              <w:ind w:right="140"/>
              <w:spacing w:after="0"/>
              <w:rPr>
                <w:sz w:val="20"/>
                <w:szCs w:val="20"/>
                <w:color w:val="auto"/>
              </w:rPr>
            </w:pPr>
            <w:r>
              <w:rPr>
                <w:rFonts w:ascii="Arial" w:cs="Arial" w:eastAsia="Arial" w:hAnsi="Arial"/>
                <w:sz w:val="14"/>
                <w:szCs w:val="14"/>
                <w:color w:val="auto"/>
                <w:w w:val="91"/>
              </w:rPr>
              <w:t>Nine months ended September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(51,192)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(92,529)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(4,130)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(55,322)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(92,303)</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 with Cellectis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In July 2008, the Company and Cellectis S.A. (“Cellectis”) entered into an Amended and Restated Non-Exclusive License Agreement (the “License Agreement”). The License Agreement resolves a dispute between the parties related to the interpretation of a license agreement entered into by the parties in December 2003 pursuant to which the Company licensed certain patents and patent applications from Cellectis. Pursuant to the License Agreement, in July 2008, the Company made a non-refundable $12.5 million payment to Cellectis (the “License Payment”) and agreed to pay Cellectis a low single-digit royalty based on revenue received by the Company from any future licenses or sales of the Company’s </w:t>
      </w:r>
      <w:r>
        <w:rPr>
          <w:rFonts w:ascii="Arial" w:cs="Arial" w:eastAsia="Arial" w:hAnsi="Arial"/>
          <w:sz w:val="17"/>
          <w:szCs w:val="17"/>
          <w:i w:val="1"/>
          <w:iCs w:val="1"/>
          <w:color w:val="auto"/>
        </w:rPr>
        <w:t>VelociGene</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VelocImmune</w:t>
      </w:r>
      <w:r>
        <w:rPr>
          <w:rFonts w:ascii="Arial" w:cs="Arial" w:eastAsia="Arial" w:hAnsi="Arial"/>
          <w:sz w:val="14"/>
          <w:szCs w:val="14"/>
          <w:color w:val="auto"/>
        </w:rPr>
        <w:t>®</w:t>
      </w:r>
      <w:r>
        <w:rPr>
          <w:rFonts w:ascii="Arial" w:cs="Arial" w:eastAsia="Arial" w:hAnsi="Arial"/>
          <w:sz w:val="17"/>
          <w:szCs w:val="17"/>
          <w:color w:val="auto"/>
        </w:rPr>
        <w:t xml:space="preserve"> products and services. No royalties are payable with respect to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agreements with AstraZeneca UK Limited (“AstraZeneca”) and Astellas Pharma Inc. (“Astellas”) or the Company’s November 2007 collaboration with sanofi-aventis. Moreover, no royalties are payable on any revenue from commercial sales of antibodies from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7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Company began amortizing the License Payment in the second quarter of 2008 in proportion to past and future anticipated revenues under the Company’s license agreements with AstraZeneca and Astellas and the Discovery and Preclinical Development Agreement under the Company’s November 2007 collaboration with sanofi-aventis. During the three and nine months ended September 30, 2008, the Company recognized $0.5 million and $2.2 million, respectively, of expense in connection with the License Payment.</w:t>
      </w:r>
    </w:p>
    <w:p>
      <w:pPr>
        <w:spacing w:after="0" w:line="79"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In July 2008, the Company and Cellectis also entered into a Subscription Agreement pursuant to which the Company has agreed to purchase 368,301 ordinary shares of Cellectis at a price of EUR 8.63 per share (which is equivalent to $12.15 at the September 30</w:t>
      </w:r>
      <w:r>
        <w:rPr>
          <w:rFonts w:ascii="Arial" w:cs="Arial" w:eastAsia="Arial" w:hAnsi="Arial"/>
          <w:sz w:val="15"/>
          <w:szCs w:val="15"/>
          <w:color w:val="auto"/>
        </w:rPr>
        <w:t>th</w:t>
      </w:r>
      <w:r>
        <w:rPr>
          <w:rFonts w:ascii="Arial" w:cs="Arial" w:eastAsia="Arial" w:hAnsi="Arial"/>
          <w:sz w:val="18"/>
          <w:szCs w:val="18"/>
          <w:color w:val="auto"/>
        </w:rPr>
        <w:t xml:space="preserve"> EUR exchange rate). The purchase was contingent upon approval by the board of directors of Cellectis and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shareholders of Cellectis. Such approval was obtained on October 30, 2008, and the Company’s purchase of the Cellectis shares will be completed in early November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VelogiGene</w:t>
      </w:r>
      <w:r>
        <w:rPr>
          <w:rFonts w:ascii="Arial" w:cs="Arial" w:eastAsia="Arial" w:hAnsi="Arial"/>
          <w:sz w:val="15"/>
          <w:szCs w:val="15"/>
          <w:color w:val="auto"/>
        </w:rPr>
        <w:t>®</w:t>
      </w:r>
      <w:r>
        <w:rPr>
          <w:rFonts w:ascii="Arial" w:cs="Arial" w:eastAsia="Arial" w:hAnsi="Arial"/>
          <w:sz w:val="18"/>
          <w:szCs w:val="18"/>
          <w:b w:val="1"/>
          <w:bCs w:val="1"/>
          <w:color w:val="auto"/>
        </w:rPr>
        <w:t xml:space="preserve"> Agreement with the sanofi-aventis Group</w:t>
      </w:r>
    </w:p>
    <w:p>
      <w:pPr>
        <w:spacing w:after="0" w:line="121"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 xml:space="preserve">In connection with the Company’s November 2007 global strategic collaboration with sanofi-aventis to discover, develop, and commercialize fully human monoclonal antibodies, in August 2008, the Company entered into a separate agreement with sanofi-aventis to use Regeneron’s proprietary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for which Regeneron expects to receive payments totaling a minimum of $21.5 million. This aggregate minimum amount is being recognized as contract research and development revenue in accordance with SAB 104 and Emerging Issues Task Force Issue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(“EITF 00-21”). For the three and nine months ended September 30, 2008, the Company recognized $0.5 million in revenue related to this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During the quarter ended September 30, 2008, the Company implemented a tax planning strategy to utilize net operating loss carry-forwards (which were otherwise due to expire in 2008 through 2012) on its 2007 U.S. Federal and New York State income tax returns that were filed in the third quarter of 2008. The tax planning strategy included electing, for tax purposes only, to capitalize $142.1 million of 2007 research and development (R&amp;D) costs and to amortize these costs over ten years for tax purposes. By capitalizing these R&amp;D costs, the Company was able to generate taxable income in 2007 and utilize the net operating loss carry-forwards to offset this taxable income. As a result, the Company incurred income tax expense of $3.1 million for the three and nine months ended September 30, 2008, which relates to U.S. Federal and New York State alternative minimum tax (“AMT”) and includes $0.2 million of interest and penalties.</w:t>
      </w:r>
    </w:p>
    <w:p>
      <w:pPr>
        <w:spacing w:after="0" w:line="81" w:lineRule="exact"/>
        <w:rPr>
          <w:sz w:val="20"/>
          <w:szCs w:val="20"/>
          <w:color w:val="auto"/>
        </w:rPr>
      </w:pPr>
    </w:p>
    <w:p>
      <w:pPr>
        <w:ind w:right="200" w:firstLine="222"/>
        <w:spacing w:after="0" w:line="312" w:lineRule="auto"/>
        <w:rPr>
          <w:sz w:val="20"/>
          <w:szCs w:val="20"/>
          <w:color w:val="auto"/>
        </w:rPr>
      </w:pPr>
      <w:r>
        <w:rPr>
          <w:rFonts w:ascii="Arial" w:cs="Arial" w:eastAsia="Arial" w:hAnsi="Arial"/>
          <w:sz w:val="16"/>
          <w:szCs w:val="16"/>
          <w:color w:val="auto"/>
        </w:rPr>
        <w:t>The Company is primarily subject to U.S. Federal and New York State income tax. The Company’s effective income tax rate is generally 0%. The difference between the Company’s effective income tax rate and the Federal statutory rate of 35% is attributable to the use of net operating loss carry-forwards as well as state tax benefits and tax credit carry-forwards offset by changes in the deferred tax valuation allowance and the AMT discussed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Amendment to Operating Lease — Tarrytown, New York facilities</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Company leases laboratory and office facilities in Tarrytown, New York. The Company entered into a new agreement in December 2006 (which was amended in October 2007) to lease laboratory and office space that is now under construction and expected to be completed in mid-2009 at the Company’s current Tarrytown location, plus retain a portion of the Company’s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existing space. In September 2008, the Company amended the operating lease agreement to increase the amount of existing space that the Company will retain under the lease. The term of the lease commenced effective June 2008 and will expire in June 2024. Other terms and conditions, as previously described in the Company’s Annual Report on Form 10-K for the year ended December 31, 2007, remain unchanged.</w:t>
      </w:r>
    </w:p>
    <w:p>
      <w:pPr>
        <w:spacing w:after="0" w:line="5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In connection with the September 2008 operating lease amendment, the Company’s total estimated future minimum noncancelable lease commitments under operating leases, previously disclosed in the Company’s Annual Report on Form 10-K for the year ended December 31, 2007 will increase to $10.2 million, $17.3 million, $17.4 million, and $17.7 million for the years ended December 31, 2009, 2010, 2011, and 2012, respectively, and increase to $230.3 million, in the aggregate, for years subsequent to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Matters</w:t>
      </w:r>
    </w:p>
    <w:p>
      <w:pPr>
        <w:spacing w:after="0" w:line="121"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Future Impact of Recently Issued Accounting Standards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November 2007, the Emerging Issues Task Force issued Statement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will be applied retrospectively as a change in accounting principle for collaborative arrangements existing at the effective date. The Company is required to adopt EITF 07-1 for the fiscal year beginning January 1, 2009. Management does not anticipate that the adoption of EITF 07-1 will have a material impact on the Company’s financial statements.</w:t>
      </w:r>
    </w:p>
    <w:p>
      <w:pPr>
        <w:spacing w:after="0" w:line="70"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In March 2008, the FASB issued SFAS 161, </w:t>
      </w:r>
      <w:r>
        <w:rPr>
          <w:rFonts w:ascii="Arial" w:cs="Arial" w:eastAsia="Arial" w:hAnsi="Arial"/>
          <w:sz w:val="18"/>
          <w:szCs w:val="18"/>
          <w:i w:val="1"/>
          <w:iCs w:val="1"/>
          <w:color w:val="auto"/>
        </w:rPr>
        <w:t>Disclosures about Derivative Instruments and Hedging Activities — an Amendment of FASB Statement 133</w:t>
      </w:r>
      <w:r>
        <w:rPr>
          <w:rFonts w:ascii="Arial" w:cs="Arial" w:eastAsia="Arial" w:hAnsi="Arial"/>
          <w:sz w:val="18"/>
          <w:szCs w:val="18"/>
          <w:color w:val="auto"/>
        </w:rPr>
        <w:t xml:space="preserve">. SFAS 161 enhances required disclosures regarding derivatives and hedging activities, including enhanced disclosures regarding how (a) an entity uses derivative instruments, (b) derivative instruments and related hedged items are accounted for under SFAS 133,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Activities, </w:t>
      </w:r>
      <w:r>
        <w:rPr>
          <w:rFonts w:ascii="Arial" w:cs="Arial" w:eastAsia="Arial" w:hAnsi="Arial"/>
          <w:sz w:val="18"/>
          <w:szCs w:val="18"/>
          <w:color w:val="auto"/>
        </w:rPr>
        <w:t>and (c) derivative instruments and related hedged items affect an entity’s financial position, financial performance, and cash flows. SFAS</w:t>
      </w:r>
      <w:r>
        <w:rPr>
          <w:rFonts w:ascii="Arial" w:cs="Arial" w:eastAsia="Arial" w:hAnsi="Arial"/>
          <w:sz w:val="18"/>
          <w:szCs w:val="18"/>
          <w:i w:val="1"/>
          <w:iCs w:val="1"/>
          <w:color w:val="auto"/>
        </w:rPr>
        <w:t xml:space="preserve"> </w:t>
      </w:r>
      <w:r>
        <w:rPr>
          <w:rFonts w:ascii="Arial" w:cs="Arial" w:eastAsia="Arial" w:hAnsi="Arial"/>
          <w:sz w:val="18"/>
          <w:szCs w:val="18"/>
          <w:color w:val="auto"/>
        </w:rPr>
        <w:t>161 is effective for fiscal years and interim periods beginning after November 15, 2008. The Company is required to adopt SFAS 161 for the fiscal year beginning January 1, 2009. Management does not anticipate that the adoption of SFAS 161 will have a material impact on the Company’s financial statements.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April 2008, the FASB issued FASB Staff Position (“FSP”)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This FSP amends the factors that should be considered in developing renewal or extension assumptions used to determine the useful life of a recognized intangible asset under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intent of this FSP is to improve the consistency between the useful life of a recognized intangible asset under SFAS 142 and the period of expected cash flows used to measure the fair value of the asset under SFAS 141R, and other generally accepted accounting principles (“GAAP”). This FSP is effective for fiscal years beginning after December 15, 2008. Early adoption is prohibited. The Company is required to adopt FSP FAS 142-3 for the fiscal year beginning January 1, 2009. Management does not anticipate that the adoption of this FSP will have a material impact on the Company’s financial statements.</w:t>
      </w:r>
    </w:p>
    <w:p>
      <w:pPr>
        <w:spacing w:after="0" w:line="8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In May 2008, the FASB issued SFAS 162, </w:t>
      </w:r>
      <w:r>
        <w:rPr>
          <w:rFonts w:ascii="Arial" w:cs="Arial" w:eastAsia="Arial" w:hAnsi="Arial"/>
          <w:sz w:val="17"/>
          <w:szCs w:val="17"/>
          <w:i w:val="1"/>
          <w:iCs w:val="1"/>
          <w:color w:val="auto"/>
        </w:rPr>
        <w:t>The Hierarchy of Generally Accepted Accounting Principles</w:t>
      </w:r>
      <w:r>
        <w:rPr>
          <w:rFonts w:ascii="Arial" w:cs="Arial" w:eastAsia="Arial" w:hAnsi="Arial"/>
          <w:sz w:val="17"/>
          <w:szCs w:val="17"/>
          <w:color w:val="auto"/>
        </w:rPr>
        <w:t xml:space="preserve">. SFAS 162 identifies the sources of accounting principles and the framework for selecting the principles used in the preparation of financial statements of nongovernmental entities that are presented in conformity with GAAP in the United States. Any effect of applying the provisions of SFAS 162 shall be reported as a change in accounting principle in accordance with SFAS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SFAS 162 is effective November 15, 2008</w:t>
      </w:r>
      <w:r>
        <w:rPr>
          <w:rFonts w:ascii="Arial" w:cs="Arial" w:eastAsia="Arial" w:hAnsi="Arial"/>
          <w:sz w:val="17"/>
          <w:szCs w:val="17"/>
          <w:i w:val="1"/>
          <w:iCs w:val="1"/>
          <w:color w:val="auto"/>
        </w:rPr>
        <w:t>.</w:t>
      </w:r>
      <w:r>
        <w:rPr>
          <w:rFonts w:ascii="Arial" w:cs="Arial" w:eastAsia="Arial" w:hAnsi="Arial"/>
          <w:sz w:val="17"/>
          <w:szCs w:val="17"/>
          <w:color w:val="auto"/>
        </w:rPr>
        <w:t xml:space="preserve"> Management does not anticipate that the adoption of SFAS 162 will have a material impact on the Company’s financial statements.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events or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3"/>
          <w:szCs w:val="13"/>
          <w:color w:val="auto"/>
        </w:rPr>
        <w:t>®</w:t>
      </w:r>
      <w:r>
        <w:rPr>
          <w:rFonts w:ascii="Arial" w:cs="Arial" w:eastAsia="Arial" w:hAnsi="Arial"/>
          <w:sz w:val="16"/>
          <w:szCs w:val="16"/>
          <w:color w:val="auto"/>
        </w:rPr>
        <w:t xml:space="preserve"> (rilonacept) Injection for Subcutaneous Use, which is now available for prescription in the United States for the treatment of Cryopyrin-Associated Periodic Syndromes (CAPS), including Familial Cold Auto-inflammatory Syndrome (FCAS) and Muckle-Wells Syndrome (MWS) in adults and children 12 and older. We also have four clinical development programs, including three late-stage clinical programs. The late stage programs are aflibercept (VEGF Trap), which is being developed in oncology in collaboration with the sanofi-aventis Group, VEGF Trap-Eye, which is being developed in eye diseases using intraocular delivery in collaboration with Bayer HealthCare LLC, and ARCALYST</w:t>
      </w:r>
      <w:r>
        <w:rPr>
          <w:rFonts w:ascii="Arial" w:cs="Arial" w:eastAsia="Arial" w:hAnsi="Arial"/>
          <w:sz w:val="13"/>
          <w:szCs w:val="13"/>
          <w:color w:val="auto"/>
        </w:rPr>
        <w:t>®</w:t>
      </w:r>
      <w:r>
        <w:rPr>
          <w:rFonts w:ascii="Arial" w:cs="Arial" w:eastAsia="Arial" w:hAnsi="Arial"/>
          <w:sz w:val="16"/>
          <w:szCs w:val="16"/>
          <w:color w:val="auto"/>
        </w:rPr>
        <w:t xml:space="preserve"> (rilonacept; also known as IL-1 Trap) which will enter Phase 3 studies in the first half of 2009 both for the prevention of gout flares induced by the initiation of urate-lowering drug therapy used to control gout and in acute gout. Our fourth clinical development program is REGN88, an antibody to the interleukin-6 receptor (IL-6R) that is being developed with sanofi-aventis. REGN88 is in a Phase 1 clinical trial in rheumatoid arthritis.</w:t>
      </w:r>
    </w:p>
    <w:p>
      <w:pPr>
        <w:spacing w:after="0" w:line="5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expect that our next generation of product candidates will be based on our proprietary technologies for developing human monoclonal antibodies. Our antibody program is being conducted primarily in collaboration with sanofi-aventis. Our preclinical research programs are in the areas of oncology and angiogenesis, ophthalmology, metabolic and related diseases, muscle diseases and disorders, inflammation and immune diseases, bone and cartilage, pain, and cardiovascular diseases.</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However, developing and commercializing new medicines entails significant risk and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5" w:lineRule="auto"/>
        <w:rPr>
          <w:sz w:val="20"/>
          <w:szCs w:val="20"/>
          <w:color w:val="auto"/>
        </w:rPr>
      </w:pPr>
      <w:r>
        <w:rPr>
          <w:rFonts w:ascii="Arial" w:cs="Arial" w:eastAsia="Arial" w:hAnsi="Arial"/>
          <w:sz w:val="17"/>
          <w:szCs w:val="17"/>
          <w:color w:val="auto"/>
        </w:rPr>
        <w:t>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technology (</w:t>
      </w:r>
      <w:r>
        <w:rPr>
          <w:rFonts w:ascii="Arial" w:cs="Arial" w:eastAsia="Arial" w:hAnsi="Arial"/>
          <w:sz w:val="17"/>
          <w:szCs w:val="17"/>
          <w:i w:val="1"/>
          <w:iCs w:val="1"/>
          <w:color w:val="auto"/>
        </w:rPr>
        <w:t>VelocImmune</w:t>
      </w:r>
      <w:r>
        <w:rPr>
          <w:rFonts w:ascii="Arial" w:cs="Arial" w:eastAsia="Arial" w:hAnsi="Arial"/>
          <w:sz w:val="25"/>
          <w:szCs w:val="25"/>
          <w:b w:val="1"/>
          <w:bCs w:val="1"/>
          <w:i w:val="1"/>
          <w:iCs w:val="1"/>
          <w:color w:val="auto"/>
          <w:vertAlign w:val="superscript"/>
        </w:rPr>
        <w:t>®</w:t>
      </w:r>
      <w:r>
        <w:rPr>
          <w:rFonts w:ascii="Arial" w:cs="Arial" w:eastAsia="Arial" w:hAnsi="Arial"/>
          <w:sz w:val="17"/>
          <w:szCs w:val="17"/>
          <w:color w:val="auto"/>
        </w:rPr>
        <w:t xml:space="preserve">) and cell line expression technologies may then be utilized to design and produce new product candidates directed against the disease target. Based on the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platform which we believe, in conjunction with our other proprietary technologies, can accelerate the development of fully human monoclonal antibodies, we moved our first antibody product candidate (REGN88) into clinical trials in the fourth quarter of 2007. We plan to file an Investigational New Drug Application (IND) for an antibody to Delta-like ligand-4 (Dll4) by the end of 2008. We plan to file an IND for a third antibody product candidate shortly thereafter, and to advance an average of two to three antibody product candidates into clinical development each year. We continue to invest in the development of enabling technologies to assist in our efforts to identify, develop, and commercialize new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(rilonacept) — Cryopyrin-Associated Periodic Syndromes (CAPS)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February 2008, we received marketing approval from the U.S. Food and Drug Administration (FDA) for ARCALYST</w:t>
      </w:r>
      <w:r>
        <w:rPr>
          <w:rFonts w:ascii="Arial" w:cs="Arial" w:eastAsia="Arial" w:hAnsi="Arial"/>
          <w:sz w:val="15"/>
          <w:szCs w:val="15"/>
          <w:color w:val="auto"/>
        </w:rPr>
        <w:t>Ò</w:t>
      </w:r>
      <w:r>
        <w:rPr>
          <w:rFonts w:ascii="Arial" w:cs="Arial" w:eastAsia="Arial" w:hAnsi="Arial"/>
          <w:sz w:val="18"/>
          <w:szCs w:val="18"/>
          <w:color w:val="auto"/>
        </w:rPr>
        <w:t xml:space="preserve"> (rilonacept) Injection for Subcutaneous Use for the treatment of Cryopyrin-Associated Periodic Syndromes (CAPS), including Familial Cold Auto-inflammatory Syndrome (FCAS) and Muckle-Wells Syndrome (MWS) in adults and children 12 and older. In March 2008, ARCALYST became available for prescription in the United States and we began making shipments to our distributors and transitioning the patients who participated in the CAPS pivotal study from clinical study drug to commercial supplies. This transition has been mostly completed and we currently project shipments of ARCALYST to our distributors to total approximately $10 million in 2008. During the third quarter and first nine months of 2008, we shipped $4.3 million and $6.7 million, respectively, of ARCALYST to our distributors. In July 2008, we submitted a Marketing Authorization Application (MAA) to the European Medicines Agency (EMEA) for ARCALYST for the treatment of CAPS in the European Union.</w:t>
      </w:r>
    </w:p>
    <w:p>
      <w:pPr>
        <w:spacing w:after="0" w:line="84"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 xml:space="preserve">ARCALYST is a protein-based product designed to bind the interleukin-1 (called IL-1) cytokine and prevent its interaction with cell surface receptors. ARCALYST is the only therapy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CAPS is caused by a range of mutations in the gene NLRP3 (formerly known as </w:t>
      </w:r>
      <w:r>
        <w:rPr>
          <w:rFonts w:ascii="Arial" w:cs="Arial" w:eastAsia="Arial" w:hAnsi="Arial"/>
          <w:sz w:val="17"/>
          <w:szCs w:val="17"/>
          <w:i w:val="1"/>
          <w:iCs w:val="1"/>
          <w:color w:val="auto"/>
        </w:rPr>
        <w:t>CIAS1</w:t>
      </w:r>
      <w:r>
        <w:rPr>
          <w:rFonts w:ascii="Arial" w:cs="Arial" w:eastAsia="Arial" w:hAnsi="Arial"/>
          <w:sz w:val="17"/>
          <w:szCs w:val="17"/>
          <w:color w:val="auto"/>
        </w:rPr>
        <w:t>) which encodes a protein named cryopyrin. In addition to FCAS and MWS, CAPS includes Neonatal Onset Multisystem Inflammatory Disease (NOMID). ARCALYST has not been studied for the treatment of NOMID.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Late-Stage Clinical Programs: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the status of our late-stage clinical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Aflibercept (VEGF Trap) — Oncology</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(a process known as angiogenesis) that are needed for tumors to grow and is a potent regulator of vascular permeability and leakage.</w:t>
      </w:r>
    </w:p>
    <w:p>
      <w:pPr>
        <w:spacing w:after="0" w:line="79" w:lineRule="exact"/>
        <w:rPr>
          <w:sz w:val="20"/>
          <w:szCs w:val="20"/>
          <w:color w:val="auto"/>
        </w:rPr>
      </w:pPr>
    </w:p>
    <w:p>
      <w:pPr>
        <w:ind w:right="40" w:firstLine="215"/>
        <w:spacing w:after="0" w:line="253" w:lineRule="auto"/>
        <w:rPr>
          <w:sz w:val="20"/>
          <w:szCs w:val="20"/>
          <w:color w:val="auto"/>
        </w:rPr>
      </w:pPr>
      <w:r>
        <w:rPr>
          <w:rFonts w:ascii="Arial" w:cs="Arial" w:eastAsia="Arial" w:hAnsi="Arial"/>
          <w:sz w:val="18"/>
          <w:szCs w:val="18"/>
          <w:color w:val="auto"/>
        </w:rPr>
        <w:t>Aflibercept is being developed in cancer indications in collaboration with sanofi-aventis. We and sanofi-aventis currently are enrolling patients in four Phase 3 trials that combine aflibercept with standard chemotherapy regimens. One trial is evaluating aflibercept as 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colorectal cancer (the VELOUR study) in combination with FOLFIRI (folinic acid (leucovorin), 5-fluorouracil, and irinotecan). A second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pancreatic cancer in combination with gemcitabine (the VANILLA study). A third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androgen independent prostate cancer in combination with docetaxel/prednisone (the VENICE study). The fourth trial is evaluating aflibercept as 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non-small cell lung cancer in combination with docetaxel (the VITAL study). All four trials are studying the current standard of chemotherapy care for the cancer being studied with and without aflibercept. In addition, a Phase 2 study of aflibercept in 1st-line metastatic colorectal cancer in combination with folinic acid (leucovirin), 5-fluorouracil, and oxaliplatin is expected to begin by the end of 2008.</w:t>
      </w:r>
    </w:p>
    <w:p>
      <w:pPr>
        <w:spacing w:after="0" w:line="89"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Aflibercept is also being studied in a Phase 2 single-agent study in advanced ovarian cancer (AOC) patients with symptomatic malignant ascites (SMA). This trial is more than 90% enrolled and patients continue to be enrolled in the study. A separate non-blinded single-agent aflibercept study in 16 AOC patients with SMA has been completed and the results are currently being evaluated. In 2004, the FDA granted Fast Track designation to aflibercept for the treatment of SMA.</w:t>
      </w:r>
    </w:p>
    <w:p>
      <w:pPr>
        <w:spacing w:after="0" w:line="79"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Sanofi-aventis has also expanded the aflibercept development program to Japan, where they are conducting Phase 1 safety and tolerability studies in combination with standard chemotherapies in patients with advanced solid malignancies.</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multiple exploratory studies are currently underway or scheduled to begin that are being or will be conducted in conjunction with the National Cancer Institute (NCI) Cancer Therapy Evaluation Program (CTEP) evaluating aflibercept as a single agent or in combination with chemotherapy regimens in a variety of cancer indications. At the 2008 annual meeting of the American Society of Clinical Oncology (ASCO), investigators reported preliminary results of an NCI-sponsored study of single-agent aflibercept in 48 patients with either relapsed or first recurrence temozolomide-resistant glioblastoma multiforme or anaplastic glioma. As assessed by the investigators, responses were achieved in 50% of patients with anaplastic glioma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and 30% of patients with glioblastoma. As assessed by an independent radiological reading center, preliminary data indicates that responses were achieved in approximately 30% of patients with anaplastic glioma and 22% of patients with glioblastoma. Grade 3 adverse events in this study included fatigue, hypertension, hand-foot syndrome, lymphopenia, thrombosis, and proteinuria.</w:t>
      </w:r>
    </w:p>
    <w:p>
      <w:pPr>
        <w:spacing w:after="0" w:line="73"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In September 2008, at the 2008 ASCO Breast Cancer Symposium, investigators reported the results of a small, exploratory NCI-sponsored study in 21 patients with poor prognostic characteristics (i.e., tumors resistant to anthracyclines and/or taxanes and a majority with metastatic visceral disease). In this trial, single-agent aflibercept had a confirmed partial response rate, as assessed by the investigators, of 5% (with a 95% Confidence Interval of 0-24%), a median progression free survival (PFS) of 2.7 months, and a median overall survival (OS) of 10.8 months. There were no unexpected safety concerns in this small study. The investigators reported that there were two cases of congestive heart failure in patients at high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12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In January 2005, we and sanofi-aventis amended the collaboration agreement to exclude, from the scope of the collaboration, the development and commercialization of aflibercept for intraocular delivery to the eye. In December 2005, we and sanofi-aventis amended our collaboration agreement to expand the territory in which the companies are collaborating on the development of aflibercept to include Japan.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$400.0 million in milestone payments upon receipt of specified marketing approvals. This total includes up to $360.0 million in milestone payments related to receipt of marketing approvals for up to eight aflibercept oncology and other indications in the United States or the European Union. Another $40.0 million of milestone payments relate to receipt of marketing approvals for up to five oncology indications in Japan.</w:t>
      </w:r>
    </w:p>
    <w:p>
      <w:pPr>
        <w:spacing w:after="0" w:line="6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 — Eye Diseases</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VEGF Trap-Eye is a form of the VEGF Trap that has been purified and formulated with excipients and at concentrations suitable for direct injection into the eye. We and Bayer HealthCare are currently testing VEGF Trap-Eye in a Phase 3 program in patients with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neovascular form of Age-related Macular Degeneration (wet AMD). We and Bayer HealthCare are also developing VEGF Trap-Eye in diabetic macular edema (DME) and plan to initiate a Phase 2 study in patients with DME in early 2009.</w:t>
      </w:r>
    </w:p>
    <w:p>
      <w:pPr>
        <w:spacing w:after="0" w:line="62"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Phase 3 trials in wet AMD, known as VIEW 1 and VIEW 2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fficacy and Safety in </w:t>
      </w:r>
      <w:r>
        <w:rPr>
          <w:rFonts w:ascii="Arial" w:cs="Arial" w:eastAsia="Arial" w:hAnsi="Arial"/>
          <w:sz w:val="16"/>
          <w:szCs w:val="16"/>
          <w:u w:val="single" w:color="auto"/>
          <w:color w:val="auto"/>
        </w:rPr>
        <w:t>W</w:t>
      </w:r>
      <w:r>
        <w:rPr>
          <w:rFonts w:ascii="Arial" w:cs="Arial" w:eastAsia="Arial" w:hAnsi="Arial"/>
          <w:sz w:val="16"/>
          <w:szCs w:val="16"/>
          <w:color w:val="auto"/>
        </w:rPr>
        <w:t>et age-related macular degeneration), are comparing VEGF Trap-Eye and ranibizumab (Lucentis</w:t>
      </w:r>
      <w:r>
        <w:rPr>
          <w:rFonts w:ascii="Arial" w:cs="Arial" w:eastAsia="Arial" w:hAnsi="Arial"/>
          <w:sz w:val="13"/>
          <w:szCs w:val="13"/>
          <w:color w:val="auto"/>
        </w:rPr>
        <w:t>®</w:t>
      </w:r>
      <w:r>
        <w:rPr>
          <w:rFonts w:ascii="Arial" w:cs="Arial" w:eastAsia="Arial" w:hAnsi="Arial"/>
          <w:sz w:val="16"/>
          <w:szCs w:val="16"/>
          <w:color w:val="auto"/>
        </w:rPr>
        <w:t>, a registered trademark of Genetech, Inc.), an anti-angiogenic agent approved for use in wet AMD. VIEW 1 is being conducted in North America and VIEW 2 is being conducted in Europe, Asia Pacific, Japan and Latin America. The VIEW 1 and VIEW 2 trials are both evaluating dosing intervals of four and eight weeks for VEGF Trap-Eye compared with ranibizumab dosed according to its U.S. label every four weeks over the first year. As needed dosing (PRN) with both agents will be evaluated in the second year of the studies.</w:t>
      </w:r>
    </w:p>
    <w:p>
      <w:pPr>
        <w:spacing w:after="0" w:line="5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August 2008, we and Bayer HealthCare AG announced the preliminary results of a Phase 2 study in wet AMD which demonstrated that patients treated with the VEGF Trap-Eye achieved durable improvements in visual acuity and retinal thickness for up to one year in wet AMD. In September 2008, the complete results of this study, including additional data on reductions in the active choroidal neovascularization lesion size, were reported at the 2008 annual meeting of the Retina Society in Scottsdale, Arizona.</w:t>
      </w:r>
    </w:p>
    <w:p>
      <w:pPr>
        <w:spacing w:after="0" w:line="7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this double-masked Phase 2 trial, patients were initially treated with either fixed monthly or quarterly dosing for 12 weeks and then continued to receive treatment for another 40 weeks on a PRN dosing schedule. Patients receiving monthly doses of VEGF Trap-Eye of either 2.0 or 0.5 milligrams (mg) for</w:t>
      </w:r>
    </w:p>
    <w:p>
      <w:pPr>
        <w:ind w:right="380"/>
        <w:spacing w:after="0" w:line="273" w:lineRule="auto"/>
        <w:rPr>
          <w:sz w:val="20"/>
          <w:szCs w:val="20"/>
          <w:color w:val="auto"/>
        </w:rPr>
      </w:pPr>
      <w:r>
        <w:rPr>
          <w:rFonts w:ascii="Arial" w:cs="Arial" w:eastAsia="Arial" w:hAnsi="Arial"/>
          <w:sz w:val="17"/>
          <w:szCs w:val="17"/>
          <w:color w:val="auto"/>
        </w:rPr>
        <w:t>12 weeks followed by PRN dosing achieved mean improvements in visual acuity versus baseline of 9.0 letters (p&lt;0.0001 versus baseline) and 5.4 letters (p&lt;0.085 versus baseline), respectively, at the end of one year. The proportion of patients with vision of 20/40 or better (part of the legal minimum requirement for an unrestricted driver’s license in the U.S.) increased from 23% at baseline to 45% at week 52 in patients initially treated with 2.0 mg monthly and from 16% at baseline to 47% at week 52 in patients initially treated with 0.5 mg monthly.</w:t>
      </w:r>
    </w:p>
    <w:p>
      <w:pPr>
        <w:spacing w:after="0" w:line="69"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Patients receiving monthly doses of VEGF Trap-Eye of either 2.0 or 0.5 mg for 12 weeks followed by PRN dosing also achieved mean decreases in retinal thickness versus baseline of 143 microns (p&lt;0.0001 versus baseline) and 125 microns (p&lt;0.0001 versus baseline) at week 52, respectively.</w:t>
      </w:r>
    </w:p>
    <w:p>
      <w:pPr>
        <w:spacing w:after="0" w:line="38"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During the week 12 to week 52 PRN dosing period, patients initially dosed on a 2.0 mg monthly schedule received, on average, only 1.6 additional injections and those initially dosed on a 0.5 mg monthly schedule received, on average, 2.5 additional injections.</w:t>
      </w:r>
    </w:p>
    <w:p>
      <w:pPr>
        <w:spacing w:after="0" w:line="62"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While PRN dosing following a fixed quarterly dosing regimen (with dosing at baseline and week 12) also yielded improvements in visual acuity and retinal thickness versus baseline at week 52, the results generally were not as robust as those obtained with initial fixed monthly dosing.</w:t>
      </w:r>
    </w:p>
    <w:p>
      <w:pPr>
        <w:spacing w:after="0" w:line="3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this Phase 2 study, treatment with VEGF Trap-Eye was also associated with a reduction in the size of the total active choroidal neovascular membrane (CNV), the active lesion that is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underlying cause of vision loss in patients with wet AMD. Patients initially receiving either a 2.0 mg or 0.5 mg monthly fixed dose of VEGF Trap-Eye for</w:t>
      </w:r>
    </w:p>
    <w:p>
      <w:pPr>
        <w:spacing w:after="0" w:line="3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12 weeks followed by PRN dosing experienced statistically significant 3.41 mm</w:t>
      </w:r>
      <w:r>
        <w:rPr>
          <w:rFonts w:ascii="Arial" w:cs="Arial" w:eastAsia="Arial" w:hAnsi="Arial"/>
          <w:sz w:val="13"/>
          <w:szCs w:val="13"/>
          <w:color w:val="auto"/>
        </w:rPr>
        <w:t>2</w:t>
      </w:r>
      <w:r>
        <w:rPr>
          <w:rFonts w:ascii="Arial" w:cs="Arial" w:eastAsia="Arial" w:hAnsi="Arial"/>
          <w:sz w:val="16"/>
          <w:szCs w:val="16"/>
          <w:color w:val="auto"/>
        </w:rPr>
        <w:t xml:space="preserve"> and 1.42 mm</w:t>
      </w:r>
      <w:r>
        <w:rPr>
          <w:rFonts w:ascii="Arial" w:cs="Arial" w:eastAsia="Arial" w:hAnsi="Arial"/>
          <w:sz w:val="13"/>
          <w:szCs w:val="13"/>
          <w:color w:val="auto"/>
        </w:rPr>
        <w:t>2</w:t>
      </w:r>
      <w:r>
        <w:rPr>
          <w:rFonts w:ascii="Arial" w:cs="Arial" w:eastAsia="Arial" w:hAnsi="Arial"/>
          <w:sz w:val="16"/>
          <w:szCs w:val="16"/>
          <w:color w:val="auto"/>
        </w:rPr>
        <w:t xml:space="preserve"> reductions in mean CNV size at 48 weeks (the final one-year analysis endpoint from the independent reading center) versus baseline, respectively. Patients in the 2.0 mg monthly cohort also achieved a statistically significant 1.75 mm</w:t>
      </w:r>
      <w:r>
        <w:rPr>
          <w:rFonts w:ascii="Arial" w:cs="Arial" w:eastAsia="Arial" w:hAnsi="Arial"/>
          <w:sz w:val="13"/>
          <w:szCs w:val="13"/>
          <w:color w:val="auto"/>
        </w:rPr>
        <w:t>2</w:t>
      </w:r>
      <w:r>
        <w:rPr>
          <w:rFonts w:ascii="Arial" w:cs="Arial" w:eastAsia="Arial" w:hAnsi="Arial"/>
          <w:sz w:val="16"/>
          <w:szCs w:val="16"/>
          <w:color w:val="auto"/>
        </w:rPr>
        <w:t xml:space="preserve"> reduction in total lesion size. A reduction in total lesion size was not seen in the cohort initially dosed with 0.5 mg monthly.</w:t>
      </w:r>
    </w:p>
    <w:p>
      <w:pPr>
        <w:spacing w:after="0" w:line="46"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VEGF Trap-Eye was generally well tolerated and there were no reported drug-related serious adverse events. There was one reported case of culture-negative endophthalmitis/uveitis in the study eye, which was deemed not to be drug-related. The most commonly reported adverse events were those typically associated with intravitreal injections.</w:t>
      </w:r>
    </w:p>
    <w:p>
      <w:pPr>
        <w:spacing w:after="0" w:line="7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Wet AMD and diabetic retinopathy (which includes DME) are two of the leading causes of adult blindness in the developed world. In both conditions, severe visual loss is caused by a combination of retinal edema and neovascular proliferation.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diabetic eye diseases, and other diseases and disorders.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received an up-front payment of $75.0 million from Bayer HealthCare. In 2007, we received a $20.0 million milestone payment from Bayer HealthCare following dosing of the first patient in the Phase 3 study of VEGF Trap-Eye in wet AMD, and can earn up to $90.0 million in additional development and regulatory milestones related to the development of VEGF Trap-Eye and marketing approvals in major market countries outside the United States. We can also earn up to $135.0 million in sales milestones if total annual sales of VEGF Trap-Eye outside the United States achieve certain specified levels starting at $200.0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(rilonacept) — Inflammatory Diseases</w:t>
      </w:r>
    </w:p>
    <w:p>
      <w:pPr>
        <w:spacing w:after="0" w:line="117"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We are evaluating ARCALYST in a number of diseases and disorders, in addition to CAPS, where IL-1 may play an important role. In September 2008, we announced the results of a Phase 2 study which evaluated the efficacy and safety of ARCALYST versus placebo in the prevention of gout flares induced by the initiation of urate-lowering drug therapy that is used to control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gout. In this 83-patient, double-blind, placebo-controlled study, the mean number of flares per patient over the first 12 weeks of urate-lowering therapy was 0.79 with placebo and 0.15 with rilonacept (p=0.0011), an 81% reduction. This was the primary endpoint of the study. All secondary endpoints also were met with statistical significance.</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6"/>
          <w:szCs w:val="16"/>
          <w:color w:val="auto"/>
        </w:rPr>
        <w:t>In the first 12 weeks of treatment, 45.2% of patients treated with placebo experienced a gout flare and, of those, 47.4% had more than one flare. Among patients treated with ARCALYST</w:t>
      </w:r>
      <w:r>
        <w:rPr>
          <w:rFonts w:ascii="Arial" w:cs="Arial" w:eastAsia="Arial" w:hAnsi="Arial"/>
          <w:sz w:val="23"/>
          <w:szCs w:val="23"/>
          <w:b w:val="1"/>
          <w:bCs w:val="1"/>
          <w:i w:val="1"/>
          <w:iCs w:val="1"/>
          <w:color w:val="auto"/>
          <w:vertAlign w:val="superscript"/>
        </w:rPr>
        <w:t>®</w:t>
      </w:r>
      <w:r>
        <w:rPr>
          <w:rFonts w:ascii="Arial" w:cs="Arial" w:eastAsia="Arial" w:hAnsi="Arial"/>
          <w:sz w:val="16"/>
          <w:szCs w:val="16"/>
          <w:color w:val="auto"/>
        </w:rPr>
        <w:t xml:space="preserve"> (rilonacept), only 14.6% experienced a gout flare (p=0.0037 versus placebo) and none had more than one flare. Injection-site reaction was the most commonly reported adverse event with ARCALYST treatment and no serious drug-related adverse events were reported.</w:t>
      </w:r>
    </w:p>
    <w:p>
      <w:pPr>
        <w:spacing w:after="0" w:line="7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IL-1, resulting in acute flares of joint pain and inflammation. These painful flares generally persist for at least five days.</w:t>
      </w:r>
    </w:p>
    <w:p>
      <w:pPr>
        <w:spacing w:after="0" w:line="80" w:lineRule="exact"/>
        <w:rPr>
          <w:sz w:val="20"/>
          <w:szCs w:val="20"/>
          <w:color w:val="auto"/>
        </w:rPr>
      </w:pPr>
    </w:p>
    <w:p>
      <w:pPr>
        <w:jc w:val="both"/>
        <w:ind w:right="260" w:firstLine="222"/>
        <w:spacing w:after="0" w:line="342" w:lineRule="auto"/>
        <w:rPr>
          <w:sz w:val="20"/>
          <w:szCs w:val="20"/>
          <w:color w:val="auto"/>
        </w:rPr>
      </w:pPr>
      <w:r>
        <w:rPr>
          <w:rFonts w:ascii="Arial" w:cs="Arial" w:eastAsia="Arial" w:hAnsi="Arial"/>
          <w:sz w:val="16"/>
          <w:szCs w:val="16"/>
          <w:color w:val="auto"/>
        </w:rPr>
        <w:t>We plan to initiate a Phase 3 clinical development program with ARCALYST in the first half of 2009 both for the prevention of gout flares in patients initiating urate-lowering drug therapy and in acute gout. We are also planning to evaluate ARCALYST in other indications in which IL-1 may play a role.</w:t>
      </w:r>
    </w:p>
    <w:p>
      <w:pPr>
        <w:spacing w:after="0" w:line="16"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ARCALYST.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Antibody Research Technologies and Development Program:</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39" w:lineRule="exact"/>
        <w:rPr>
          <w:sz w:val="20"/>
          <w:szCs w:val="20"/>
          <w:color w:val="auto"/>
        </w:rPr>
      </w:pPr>
    </w:p>
    <w:p>
      <w:pPr>
        <w:ind w:firstLine="225"/>
        <w:spacing w:after="0" w:line="263" w:lineRule="auto"/>
        <w:rPr>
          <w:sz w:val="20"/>
          <w:szCs w:val="20"/>
          <w:color w:val="auto"/>
        </w:rPr>
      </w:pPr>
      <w:r>
        <w:rPr>
          <w:rFonts w:ascii="Arial" w:cs="Arial" w:eastAsia="Arial" w:hAnsi="Arial"/>
          <w:sz w:val="16"/>
          <w:szCs w:val="16"/>
          <w:color w:val="auto"/>
        </w:rPr>
        <w:t>Regeneron scientists have developed two different technologies to design protein therapeutics to block the action of specific secreted proteins. The first technology, termed the “Trap” technology, was used to generate our first approved product, ARCALYST</w:t>
      </w:r>
      <w:r>
        <w:rPr>
          <w:rFonts w:ascii="Arial" w:cs="Arial" w:eastAsia="Arial" w:hAnsi="Arial"/>
          <w:sz w:val="23"/>
          <w:szCs w:val="23"/>
          <w:b w:val="1"/>
          <w:bCs w:val="1"/>
          <w:i w:val="1"/>
          <w:iCs w:val="1"/>
          <w:color w:val="auto"/>
          <w:vertAlign w:val="superscript"/>
        </w:rPr>
        <w:t>®</w:t>
      </w:r>
      <w:r>
        <w:rPr>
          <w:rFonts w:ascii="Arial" w:cs="Arial" w:eastAsia="Arial" w:hAnsi="Arial"/>
          <w:sz w:val="16"/>
          <w:szCs w:val="16"/>
          <w:color w:val="auto"/>
        </w:rPr>
        <w:t xml:space="preserve"> (rilonacept) for the treatment of CAPS, and our current clinical pipeline, including aflibercept, VEGF Trap-Eye, and ARCALYST in other indications. These novel “Traps” are composed of fusions between two distinct receptor components and the constant region of an antibody molecule called the “Fc region”, resulting in high affinity product candidates.</w:t>
      </w:r>
    </w:p>
    <w:p>
      <w:pPr>
        <w:spacing w:after="0" w:line="7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Regeneron scientists also have discovered and developed a new technology for designing protein therapeutics that facilitates the discovery and production of fully human monoclonal antibodies. We call our technology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as described below, we believe that it is an improved way of generating a wide variety of high affinity, therapeutic, fully human monoclonal antibodies.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VelocImmune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(Human Monoclonal Antibodies)</w:t>
      </w:r>
    </w:p>
    <w:p>
      <w:pPr>
        <w:spacing w:after="0" w:line="117"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 xml:space="preserve">We have developed a novel mouse technology platform, called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for producing fully human monoclonal antibodies.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mouse platform was generated by exploiting our </w:t>
      </w:r>
      <w:r>
        <w:rPr>
          <w:rFonts w:ascii="Arial" w:cs="Arial" w:eastAsia="Arial" w:hAnsi="Arial"/>
          <w:sz w:val="16"/>
          <w:szCs w:val="16"/>
          <w:i w:val="1"/>
          <w:iCs w:val="1"/>
          <w:color w:val="auto"/>
        </w:rPr>
        <w:t>VelociGene</w:t>
      </w:r>
      <w:r>
        <w:rPr>
          <w:rFonts w:ascii="Arial" w:cs="Arial" w:eastAsia="Arial" w:hAnsi="Arial"/>
          <w:sz w:val="13"/>
          <w:szCs w:val="13"/>
          <w:i w:val="1"/>
          <w:iCs w:val="1"/>
          <w:color w:val="auto"/>
        </w:rPr>
        <w:t>®</w:t>
      </w:r>
      <w:r>
        <w:rPr>
          <w:rFonts w:ascii="Arial" w:cs="Arial" w:eastAsia="Arial" w:hAnsi="Arial"/>
          <w:sz w:val="16"/>
          <w:szCs w:val="16"/>
          <w:color w:val="auto"/>
        </w:rPr>
        <w:t xml:space="preserve"> technology platform (see below), in a process in which six megabases of mouse immune gene loci were replaced, or “humanized,” with corresponding human immune gene loci.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can be used to generate efficiently fully human monoclonal antibodies to targets of therapeutic interest.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our related technologies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to produce our next generation of drug candidates for preclinical development, and are exploring possible additional licensing arrangements with third parties related to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related technologies.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with sanofi-aventis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November 2007, we and sanofi-aventis entered into a global, strategic collaboration to discover, develop, and commercialize fully human monoclonal antibodies. The first therapeutic antibody to enter clinical development under the collaboration is REGN88, an antibody to the interleukin-6 receptor (IL-6R), that is being evaluated in rheumatoid arthritis. The second is expected to be an antibody to Delta-like ligand-4 (Dll4), for which we plan to file an IND by the end of 2008. We plan to file an IND for a third therapeutic antibody shortly thereafter and to advance an average of two to three antibody candidates into clinical development each year.</w:t>
      </w:r>
    </w:p>
    <w:p>
      <w:pPr>
        <w:spacing w:after="0" w:line="80"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collaboration is governed by a Discovery and Preclinical Development Agreement and a License and Collaboration Agreement. We received a non-refundable, up-front payment of $85.0</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million from sanofi-aventis under the discovery agreement. In addition, sanofi-aventis is funding up to $475.0 million of our research for identifying and validating potential drug discovery targets and developing fully human monoclonal antibodies against these targets through December 31, 2012. Sanofi-aventis also has an option to extend the discovery program for up to an additional three years for further antibody development and preclinical activities.</w:t>
      </w:r>
    </w:p>
    <w:p>
      <w:pPr>
        <w:spacing w:after="0" w:line="39" w:lineRule="exact"/>
        <w:rPr>
          <w:sz w:val="20"/>
          <w:szCs w:val="20"/>
          <w:color w:val="auto"/>
        </w:rPr>
      </w:pPr>
    </w:p>
    <w:p>
      <w:pPr>
        <w:ind w:right="120" w:firstLine="225"/>
        <w:spacing w:after="0" w:line="253" w:lineRule="auto"/>
        <w:rPr>
          <w:sz w:val="20"/>
          <w:szCs w:val="20"/>
          <w:color w:val="auto"/>
        </w:rPr>
      </w:pPr>
      <w:r>
        <w:rPr>
          <w:rFonts w:ascii="Arial" w:cs="Arial" w:eastAsia="Arial" w:hAnsi="Arial"/>
          <w:sz w:val="18"/>
          <w:szCs w:val="18"/>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funding drug candidate development costs up front. We are generally responsible for reimbursing sanofi-aventis for half of the total development costs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AstraZeneca</w:t>
      </w:r>
    </w:p>
    <w:p>
      <w:pPr>
        <w:spacing w:after="0" w:line="12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In February 2007, we entered into a non-exclusive license agreement with AstraZeneca UK Limited that allows AstraZeneca to utilize our </w:t>
      </w:r>
      <w:r>
        <w:rPr>
          <w:rFonts w:ascii="Arial" w:cs="Arial" w:eastAsia="Arial" w:hAnsi="Arial"/>
          <w:sz w:val="16"/>
          <w:szCs w:val="16"/>
          <w:i w:val="1"/>
          <w:iCs w:val="1"/>
          <w:color w:val="auto"/>
        </w:rPr>
        <w:t>VelocImmune</w:t>
      </w:r>
      <w:r>
        <w:rPr>
          <w:rFonts w:ascii="Arial" w:cs="Arial" w:eastAsia="Arial" w:hAnsi="Arial"/>
          <w:sz w:val="13"/>
          <w:szCs w:val="13"/>
          <w:color w:val="auto"/>
        </w:rPr>
        <w:t>Ò</w:t>
      </w:r>
      <w:r>
        <w:rPr>
          <w:rFonts w:ascii="Arial" w:cs="Arial" w:eastAsia="Arial" w:hAnsi="Arial"/>
          <w:sz w:val="16"/>
          <w:szCs w:val="16"/>
          <w:color w:val="auto"/>
        </w:rPr>
        <w:t xml:space="preserve"> technology in its internal research programs to discover human monoclonal antibodies. Under the terms of the agreement, AstraZeneca made two</w:t>
      </w:r>
    </w:p>
    <w:p>
      <w:pPr>
        <w:jc w:val="both"/>
        <w:ind w:right="440"/>
        <w:spacing w:after="0" w:line="254" w:lineRule="auto"/>
        <w:rPr>
          <w:sz w:val="20"/>
          <w:szCs w:val="20"/>
          <w:color w:val="auto"/>
        </w:rPr>
      </w:pPr>
      <w:r>
        <w:rPr>
          <w:rFonts w:ascii="Arial" w:cs="Arial" w:eastAsia="Arial" w:hAnsi="Arial"/>
          <w:sz w:val="18"/>
          <w:szCs w:val="18"/>
          <w:color w:val="auto"/>
        </w:rPr>
        <w:t xml:space="preserve">$20.0 million annual, non-refundable payments to us, one in February 2007 and the other in February 2008. AstraZeneca is required to make up to four additional annual payments of $20.0 million, subject to its ability to terminate the agreement after making two such additional payments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Astellas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In March 2007, we entered into a non-exclusive license agreement with Astellas Pharma Inc. that allows Astellas to utilize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to discover human monoclonal antibodies. Under the terms of the agreement, Astellas made two $20.0 million non-refundable payments to us, one in April 2007 and the other in June 2008. Astellas is required to make up to four additional annual payments of $20.0 million, subject to its ability to terminate the agreement after making two such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Academic </w:t>
      </w:r>
      <w:r>
        <w:rPr>
          <w:rFonts w:ascii="Arial" w:cs="Arial" w:eastAsia="Arial" w:hAnsi="Arial"/>
          <w:sz w:val="18"/>
          <w:szCs w:val="18"/>
          <w:b w:val="1"/>
          <w:bCs w:val="1"/>
          <w:i w:val="1"/>
          <w:iCs w:val="1"/>
          <w:color w:val="auto"/>
        </w:rPr>
        <w:t>VelocImmune</w:t>
      </w:r>
      <w:r>
        <w:rPr>
          <w:rFonts w:ascii="Arial" w:cs="Arial" w:eastAsia="Arial" w:hAnsi="Arial"/>
          <w:sz w:val="15"/>
          <w:szCs w:val="15"/>
          <w:b w:val="1"/>
          <w:bCs w:val="1"/>
          <w:color w:val="auto"/>
        </w:rPr>
        <w:t>Ò</w:t>
      </w:r>
      <w:r>
        <w:rPr>
          <w:rFonts w:ascii="Arial" w:cs="Arial" w:eastAsia="Arial" w:hAnsi="Arial"/>
          <w:sz w:val="18"/>
          <w:szCs w:val="18"/>
          <w:b w:val="1"/>
          <w:bCs w:val="1"/>
          <w:color w:val="auto"/>
        </w:rPr>
        <w:t xml:space="preserve"> Investigators Program</w:t>
      </w:r>
    </w:p>
    <w:p>
      <w:pPr>
        <w:spacing w:after="0" w:line="12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 xml:space="preserve">In September 2008, we entered into an agreement that will provide researchers at Columbia University Medical Center with access to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platform. Under the agreement, scientists at Columbia will use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to generate antibodies against their research targets and will conduct research to discover potential human therapeutics based on the antibodies. We have an exclusive option to license the antibodies for development and commercialization as therapeutic or diagnostic products and will pay Columbia a low single-digit royalty on ensuing product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VelociGene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and VelociMouse™ </w:t>
      </w:r>
      <w:r>
        <w:rPr>
          <w:rFonts w:ascii="Arial" w:cs="Arial" w:eastAsia="Arial" w:hAnsi="Arial"/>
          <w:sz w:val="18"/>
          <w:szCs w:val="18"/>
          <w:color w:val="auto"/>
        </w:rPr>
        <w:t>(Target Validation)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allows custom and precise manipulation of very large sequences of DNA to produce highly customized alterations of a specified target gene and accelerates the production of knock-out and transgenic expression models without using either positive/negative selection or isogenic DNA. In producing knock-out models, a color or fluorescent marker is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offers the opportunity to humanize targets by replacing the mouse gene with the human homolog. Thus, </w:t>
      </w:r>
      <w:r>
        <w:rPr>
          <w:rFonts w:ascii="Arial" w:cs="Arial" w:eastAsia="Arial" w:hAnsi="Arial"/>
          <w:sz w:val="18"/>
          <w:szCs w:val="18"/>
          <w:i w:val="1"/>
          <w:iCs w:val="1"/>
          <w:color w:val="auto"/>
        </w:rPr>
        <w:t xml:space="preserve">VelociGene </w:t>
      </w:r>
      <w:r>
        <w:rPr>
          <w:rFonts w:ascii="Arial" w:cs="Arial" w:eastAsia="Arial" w:hAnsi="Arial"/>
          <w:sz w:val="18"/>
          <w:szCs w:val="18"/>
          <w:color w:val="auto"/>
        </w:rPr>
        <w:t>allows scientists to rapidly identify the physical and biological effects of deleting or over-expressing the target gene, as well as to characterize and</w:t>
      </w:r>
      <w:r>
        <w:rPr>
          <w:rFonts w:ascii="Arial" w:cs="Arial" w:eastAsia="Arial" w:hAnsi="Arial"/>
          <w:sz w:val="18"/>
          <w:szCs w:val="18"/>
          <w:i w:val="1"/>
          <w:iCs w:val="1"/>
          <w:color w:val="auto"/>
        </w:rPr>
        <w:t xml:space="preserve"> </w:t>
      </w:r>
      <w:r>
        <w:rPr>
          <w:rFonts w:ascii="Arial" w:cs="Arial" w:eastAsia="Arial" w:hAnsi="Arial"/>
          <w:sz w:val="18"/>
          <w:szCs w:val="18"/>
          <w:color w:val="auto"/>
        </w:rPr>
        <w:t>test potential therapeutic molecules.</w:t>
      </w:r>
    </w:p>
    <w:p>
      <w:pPr>
        <w:spacing w:after="0" w:line="81"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 xml:space="preserve">In August 2008, we entered into a separate agreement with sanofi-aventis to use 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outside of the scope of the antibody collaboration between us and sanofi-aventis.</w:t>
      </w:r>
    </w:p>
    <w:p>
      <w:pPr>
        <w:spacing w:after="0" w:line="63"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VelociMouse</w:t>
      </w:r>
      <w:r>
        <w:rPr>
          <w:rFonts w:ascii="Arial" w:cs="Arial" w:eastAsia="Arial" w:hAnsi="Arial"/>
          <w:sz w:val="16"/>
          <w:szCs w:val="16"/>
          <w:color w:val="auto"/>
        </w:rPr>
        <w:t xml:space="preserve"> technology also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Regeneron’s </w:t>
      </w:r>
      <w:r>
        <w:rPr>
          <w:rFonts w:ascii="Arial" w:cs="Arial" w:eastAsia="Arial" w:hAnsi="Arial"/>
          <w:sz w:val="16"/>
          <w:szCs w:val="16"/>
          <w:i w:val="1"/>
          <w:iCs w:val="1"/>
          <w:color w:val="auto"/>
        </w:rPr>
        <w:t>VelociMice</w:t>
      </w:r>
      <w:r>
        <w:rPr>
          <w:rFonts w:ascii="Arial" w:cs="Arial" w:eastAsia="Arial" w:hAnsi="Arial"/>
          <w:sz w:val="16"/>
          <w:szCs w:val="16"/>
          <w:color w:val="auto"/>
        </w:rPr>
        <w:t xml:space="preserve"> are suitable for direct phenotyping or other studies.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121" w:lineRule="exact"/>
        <w:rPr>
          <w:sz w:val="20"/>
          <w:szCs w:val="20"/>
          <w:color w:val="auto"/>
        </w:rPr>
      </w:pPr>
    </w:p>
    <w:p>
      <w:pPr>
        <w:ind w:right="300" w:firstLine="225"/>
        <w:spacing w:after="0" w:line="257" w:lineRule="auto"/>
        <w:rPr>
          <w:sz w:val="20"/>
          <w:szCs w:val="20"/>
          <w:color w:val="auto"/>
        </w:rPr>
      </w:pPr>
      <w:r>
        <w:rPr>
          <w:rFonts w:ascii="Arial" w:cs="Arial" w:eastAsia="Arial" w:hAnsi="Arial"/>
          <w:sz w:val="18"/>
          <w:szCs w:val="18"/>
          <w:color w:val="auto"/>
        </w:rPr>
        <w:t xml:space="preserve">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use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components of our </w:t>
      </w:r>
      <w:r>
        <w:rPr>
          <w:rFonts w:ascii="Arial" w:cs="Arial" w:eastAsia="Arial" w:hAnsi="Arial"/>
          <w:sz w:val="17"/>
          <w:szCs w:val="17"/>
          <w:i w:val="1"/>
          <w:iCs w:val="1"/>
          <w:color w:val="auto"/>
        </w:rPr>
        <w:t>VelociGene</w:t>
      </w:r>
      <w:r>
        <w:rPr>
          <w:rFonts w:ascii="Arial" w:cs="Arial" w:eastAsia="Arial" w:hAnsi="Arial"/>
          <w:sz w:val="14"/>
          <w:szCs w:val="14"/>
          <w:color w:val="auto"/>
        </w:rPr>
        <w:t>Ò</w:t>
      </w:r>
      <w:r>
        <w:rPr>
          <w:rFonts w:ascii="Arial" w:cs="Arial" w:eastAsia="Arial" w:hAnsi="Arial"/>
          <w:sz w:val="17"/>
          <w:szCs w:val="17"/>
          <w:color w:val="auto"/>
        </w:rPr>
        <w:t xml:space="preserve"> technology in the Knockout Mouse Project. We are generating a collection of targeting vectors and targeted mouse ES cells which can be used to produce knockout mice. These materials will be made widely available to academic researchers without charge. We will receive a fee for each targeted ES cell line or targeting construct made by us or the research consortium and transferred to commercial entities.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Under the NIH grant, as amended in September 2008, we are entitled to receive a minimum of $24.5 million over a five-year period, including</w:t>
      </w:r>
    </w:p>
    <w:p>
      <w:pPr>
        <w:spacing w:after="0" w:line="35"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$1.5 million to optimize our existing C57BL/6 ES cell line and its proprietary growth medium, both of which are being supplied to the research consortium for its use in the Knockout Mouse Project. We have the right to use, for any purpose, all materials generated by us and the research consortium.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 Line Expression Technologies</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Many proteins that are of potential pharmaceutical value are proteins which are “secreted” from the cells into the bloodstream. Examples of secreted proteins include growth factors (such as insulin and growth hormone) and antibodies. Current technologies for the isolation of cells engineered to produce high levels of secreted proteins are both laborious and time consuming. We have developed enabling platforms for the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5"/>
          <w:szCs w:val="15"/>
          <w:color w:val="auto"/>
        </w:rPr>
        <w:t>Ò</w:t>
      </w:r>
      <w:r>
        <w:rPr>
          <w:rFonts w:ascii="Arial" w:cs="Arial" w:eastAsia="Arial" w:hAnsi="Arial"/>
          <w:sz w:val="18"/>
          <w:szCs w:val="18"/>
          <w:color w:val="auto"/>
        </w:rPr>
        <w:t xml:space="preserve"> human monoclonal antibodies.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Developing and commercializing new medicines entails significant risk and expense. Before revenues from the commercialization of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46"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From inception on January 8, 1988 through September 30, 2008, we had a cumulative loss of $844.4 million. As described above, in February 2008, we received FDA approval for ARCALYST</w:t>
      </w:r>
      <w:r>
        <w:rPr>
          <w:rFonts w:ascii="Arial" w:cs="Arial" w:eastAsia="Arial" w:hAnsi="Arial"/>
          <w:sz w:val="14"/>
          <w:szCs w:val="14"/>
          <w:color w:val="auto"/>
        </w:rPr>
        <w:t>®</w:t>
      </w:r>
      <w:r>
        <w:rPr>
          <w:rFonts w:ascii="Arial" w:cs="Arial" w:eastAsia="Arial" w:hAnsi="Arial"/>
          <w:sz w:val="17"/>
          <w:szCs w:val="17"/>
          <w:color w:val="auto"/>
        </w:rPr>
        <w:t xml:space="preserve"> (rilonacept) for the treatment of CAPS. These rare diseases affect a very small group of people. As a result, we can not predict whether the commercialization of ARCALYST in CAPS will result in a significant net cash benefit to us. In the absence of significant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 in other indications; advance new product candidates into clinical development from our existing research programs utilizing our technology for designing fully human monoclonal antibodies;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2008 and plans over the next 12 months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Clinical Program</w:t>
            </w:r>
          </w:p>
        </w:tc>
        <w:tc>
          <w:tcPr>
            <w:tcW w:w="220" w:type="dxa"/>
            <w:vAlign w:val="bottom"/>
          </w:tcPr>
          <w:p>
            <w:pPr>
              <w:spacing w:after="0"/>
              <w:rPr>
                <w:sz w:val="14"/>
                <w:szCs w:val="14"/>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2008 Events to Date</w:t>
            </w:r>
          </w:p>
        </w:tc>
        <w:tc>
          <w:tcPr>
            <w:tcW w:w="220" w:type="dxa"/>
            <w:vAlign w:val="bottom"/>
          </w:tcPr>
          <w:p>
            <w:pPr>
              <w:spacing w:after="0"/>
              <w:rPr>
                <w:sz w:val="14"/>
                <w:szCs w:val="1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2008-9 Plans (next 12 months)</w:t>
            </w:r>
          </w:p>
        </w:tc>
      </w:tr>
      <w:tr>
        <w:trPr>
          <w:trHeight w:val="195"/>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  Received FDA approval for CAPS</w:t>
            </w:r>
          </w:p>
        </w:tc>
        <w:tc>
          <w:tcPr>
            <w:tcW w:w="22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w w:val="92"/>
              </w:rPr>
              <w:t>•  Initiate Phase 3 development program of ARCALYST in the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  Launched ARCALYST commercially in CAPS</w:t>
            </w:r>
          </w:p>
        </w:tc>
        <w:tc>
          <w:tcPr>
            <w:tcW w:w="2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prevention of gout flares in patients initiating urate-</w:t>
            </w:r>
          </w:p>
        </w:tc>
      </w:tr>
      <w:tr>
        <w:trPr>
          <w:trHeight w:val="216"/>
        </w:trPr>
        <w:tc>
          <w:tcPr>
            <w:tcW w:w="2080" w:type="dxa"/>
            <w:vAlign w:val="bottom"/>
          </w:tcPr>
          <w:p>
            <w:pPr>
              <w:spacing w:after="0" w:line="216" w:lineRule="exact"/>
              <w:rPr>
                <w:sz w:val="20"/>
                <w:szCs w:val="20"/>
                <w:color w:val="auto"/>
              </w:rPr>
            </w:pPr>
            <w:r>
              <w:rPr>
                <w:rFonts w:ascii="Arial" w:cs="Arial" w:eastAsia="Arial" w:hAnsi="Arial"/>
                <w:sz w:val="17"/>
                <w:szCs w:val="17"/>
                <w:color w:val="auto"/>
              </w:rPr>
              <w:t>ARCALYST</w:t>
            </w:r>
            <w:r>
              <w:rPr>
                <w:rFonts w:ascii="Arial" w:cs="Arial" w:eastAsia="Arial" w:hAnsi="Arial"/>
                <w:sz w:val="25"/>
                <w:szCs w:val="25"/>
                <w:color w:val="auto"/>
                <w:vertAlign w:val="superscript"/>
              </w:rPr>
              <w:t>®</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3"/>
              </w:rPr>
              <w:t>•  Reported data from a Phase 2 study in the prevention of</w:t>
            </w:r>
          </w:p>
        </w:tc>
        <w:tc>
          <w:tcPr>
            <w:tcW w:w="2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lowering drug therapy and in acute gout</w:t>
            </w:r>
          </w:p>
        </w:tc>
      </w:tr>
      <w:tr>
        <w:trPr>
          <w:trHeight w:val="216"/>
        </w:trPr>
        <w:tc>
          <w:tcPr>
            <w:tcW w:w="2080" w:type="dxa"/>
            <w:vAlign w:val="bottom"/>
          </w:tcPr>
          <w:p>
            <w:pPr>
              <w:ind w:left="220"/>
              <w:spacing w:after="0"/>
              <w:rPr>
                <w:sz w:val="20"/>
                <w:szCs w:val="20"/>
                <w:color w:val="auto"/>
              </w:rPr>
            </w:pPr>
            <w:r>
              <w:rPr>
                <w:rFonts w:ascii="Arial" w:cs="Arial" w:eastAsia="Arial" w:hAnsi="Arial"/>
                <w:sz w:val="18"/>
                <w:szCs w:val="18"/>
                <w:color w:val="auto"/>
                <w:w w:val="99"/>
              </w:rPr>
              <w:t>(rilonacept; also known</w:t>
            </w:r>
          </w:p>
        </w:tc>
        <w:tc>
          <w:tcPr>
            <w:tcW w:w="2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gout flares in patients initiating urate-lowering drug</w:t>
            </w: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  Evaluate ARCALYST in other disease indications in which</w:t>
            </w:r>
          </w:p>
        </w:tc>
      </w:tr>
      <w:tr>
        <w:trPr>
          <w:trHeight w:val="230"/>
        </w:trPr>
        <w:tc>
          <w:tcPr>
            <w:tcW w:w="2080" w:type="dxa"/>
            <w:vAlign w:val="bottom"/>
          </w:tcPr>
          <w:p>
            <w:pPr>
              <w:ind w:left="220"/>
              <w:spacing w:after="0"/>
              <w:rPr>
                <w:sz w:val="20"/>
                <w:szCs w:val="20"/>
                <w:color w:val="auto"/>
              </w:rPr>
            </w:pPr>
            <w:r>
              <w:rPr>
                <w:rFonts w:ascii="Arial" w:cs="Arial" w:eastAsia="Arial" w:hAnsi="Arial"/>
                <w:sz w:val="18"/>
                <w:szCs w:val="18"/>
                <w:color w:val="auto"/>
              </w:rPr>
              <w:t>as IL-1 Trap)</w:t>
            </w:r>
          </w:p>
        </w:tc>
        <w:tc>
          <w:tcPr>
            <w:tcW w:w="2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therapy</w:t>
            </w:r>
          </w:p>
        </w:tc>
        <w:tc>
          <w:tcPr>
            <w:tcW w:w="2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IL-1 may play a role</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9"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color w:val="auto"/>
        </w:rPr>
        <w:t>Aflibercept</w:t>
      </w:r>
      <w:r>
        <w:rPr>
          <w:sz w:val="20"/>
          <w:szCs w:val="20"/>
          <w:color w:val="auto"/>
        </w:rPr>
        <w:tab/>
      </w:r>
      <w:r>
        <w:rPr>
          <w:rFonts w:ascii="Arial" w:cs="Arial" w:eastAsia="Arial" w:hAnsi="Arial"/>
          <w:sz w:val="16"/>
          <w:szCs w:val="16"/>
          <w:color w:val="auto"/>
        </w:rPr>
        <w:t>•  Reported final data from Phase 2 single-agent trial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
        <w:spacing w:after="0"/>
        <w:tabs>
          <w:tab w:leader="none" w:pos="2480" w:val="left"/>
        </w:tabs>
        <w:rPr>
          <w:sz w:val="20"/>
          <w:szCs w:val="20"/>
          <w:color w:val="auto"/>
        </w:rPr>
      </w:pPr>
      <w:r>
        <w:rPr>
          <w:rFonts w:ascii="Arial" w:cs="Arial" w:eastAsia="Arial" w:hAnsi="Arial"/>
          <w:sz w:val="18"/>
          <w:szCs w:val="18"/>
          <w:color w:val="auto"/>
        </w:rPr>
        <w:t>(VEGF Trap – Oncology)</w:t>
      </w:r>
      <w:r>
        <w:rPr>
          <w:sz w:val="20"/>
          <w:szCs w:val="20"/>
          <w:color w:val="auto"/>
        </w:rPr>
        <w:tab/>
      </w:r>
      <w:r>
        <w:rPr>
          <w:rFonts w:ascii="Arial" w:cs="Arial" w:eastAsia="Arial" w:hAnsi="Arial"/>
          <w:sz w:val="15"/>
          <w:szCs w:val="15"/>
          <w:color w:val="auto"/>
        </w:rPr>
        <w:t>advanced ovarian cancer</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  Reported results from four Phase 1 dose-escalation</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studies in combination with chemotherapy in solid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tumors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05" w:right="20" w:hanging="205"/>
        <w:spacing w:after="0" w:line="256"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Sanofi-aventis to initiate Phase 2 1st-line study in metastatic colorectal cancer in combination with a standard chemotherapy regimen</w:t>
      </w:r>
    </w:p>
    <w:p>
      <w:pPr>
        <w:ind w:left="205" w:right="300" w:hanging="205"/>
        <w:spacing w:after="0" w:line="281"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 enrollment of Phase 2 single-agent study in symptomatic malignant ascites (SMA) and report results</w:t>
      </w:r>
    </w:p>
    <w:p>
      <w:pPr>
        <w:spacing w:after="0" w:line="1" w:lineRule="exact"/>
        <w:rPr>
          <w:rFonts w:ascii="Arial" w:cs="Arial" w:eastAsia="Arial" w:hAnsi="Arial"/>
          <w:sz w:val="16"/>
          <w:szCs w:val="16"/>
          <w:color w:val="auto"/>
        </w:rPr>
      </w:pPr>
    </w:p>
    <w:p>
      <w:pPr>
        <w:ind w:left="205" w:right="520" w:hanging="205"/>
        <w:spacing w:after="0" w:line="261"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Sanofi-aventis to continue enrollment of four Phase 3 studies</w:t>
      </w:r>
    </w:p>
    <w:p>
      <w:pPr>
        <w:spacing w:after="0" w:line="192" w:lineRule="exact"/>
        <w:rPr>
          <w:sz w:val="20"/>
          <w:szCs w:val="20"/>
          <w:color w:val="auto"/>
        </w:rPr>
      </w:pPr>
    </w:p>
    <w:p>
      <w:pPr>
        <w:sectPr>
          <w:pgSz w:w="11900" w:h="16838" w:orient="portrait"/>
          <w:cols w:equalWidth="0" w:num="2">
            <w:col w:w="6320" w:space="535"/>
            <w:col w:w="4565"/>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VEGF Trap-Eye</w:t>
            </w:r>
          </w:p>
        </w:tc>
        <w:tc>
          <w:tcPr>
            <w:tcW w:w="46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4"/>
              </w:rPr>
              <w:t>•  Presented positive final data through 52 weeks from the</w:t>
            </w:r>
          </w:p>
        </w:tc>
        <w:tc>
          <w:tcPr>
            <w:tcW w:w="47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  Initiate a Phase 2 clinical study in DME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(intravitreal injection)</w:t>
            </w:r>
          </w:p>
        </w:tc>
        <w:tc>
          <w:tcPr>
            <w:tcW w:w="4640" w:type="dxa"/>
            <w:vAlign w:val="bottom"/>
          </w:tcPr>
          <w:p>
            <w:pPr>
              <w:ind w:left="460"/>
              <w:spacing w:after="0"/>
              <w:rPr>
                <w:sz w:val="20"/>
                <w:szCs w:val="20"/>
                <w:color w:val="auto"/>
              </w:rPr>
            </w:pPr>
            <w:r>
              <w:rPr>
                <w:rFonts w:ascii="Arial" w:cs="Arial" w:eastAsia="Arial" w:hAnsi="Arial"/>
                <w:sz w:val="18"/>
                <w:szCs w:val="18"/>
                <w:color w:val="auto"/>
              </w:rPr>
              <w:t>Phase 2 trial in wet AMD</w:t>
            </w:r>
          </w:p>
        </w:tc>
        <w:tc>
          <w:tcPr>
            <w:tcW w:w="4740" w:type="dxa"/>
            <w:vAlign w:val="bottom"/>
          </w:tcPr>
          <w:p>
            <w:pPr>
              <w:ind w:left="180"/>
              <w:spacing w:after="0"/>
              <w:rPr>
                <w:sz w:val="20"/>
                <w:szCs w:val="20"/>
                <w:color w:val="auto"/>
              </w:rPr>
            </w:pPr>
            <w:r>
              <w:rPr>
                <w:rFonts w:ascii="Arial" w:cs="Arial" w:eastAsia="Arial" w:hAnsi="Arial"/>
                <w:sz w:val="18"/>
                <w:szCs w:val="18"/>
                <w:color w:val="auto"/>
                <w:w w:val="99"/>
              </w:rPr>
              <w:t>•  Continue enrolling patients in VIEW 1 and VIEW 2 trials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8"/>
                <w:szCs w:val="18"/>
                <w:color w:val="auto"/>
                <w:w w:val="96"/>
              </w:rPr>
              <w:t>•  Bayer HealthCare initiated second Phase 3 trial (VIEW</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40" w:type="dxa"/>
            <w:vAlign w:val="bottom"/>
          </w:tcPr>
          <w:p>
            <w:pPr>
              <w:ind w:left="460"/>
              <w:spacing w:after="0"/>
              <w:rPr>
                <w:sz w:val="20"/>
                <w:szCs w:val="20"/>
                <w:color w:val="auto"/>
              </w:rPr>
            </w:pPr>
            <w:r>
              <w:rPr>
                <w:rFonts w:ascii="Arial" w:cs="Arial" w:eastAsia="Arial" w:hAnsi="Arial"/>
                <w:sz w:val="18"/>
                <w:szCs w:val="18"/>
                <w:color w:val="auto"/>
              </w:rPr>
              <w:t>2) in wet AMD outside the United States</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rPr>
              <w:t>Antibodies</w:t>
            </w:r>
          </w:p>
        </w:tc>
        <w:tc>
          <w:tcPr>
            <w:tcW w:w="4640" w:type="dxa"/>
            <w:vAlign w:val="bottom"/>
          </w:tcPr>
          <w:p>
            <w:pPr>
              <w:ind w:left="260"/>
              <w:spacing w:after="0" w:line="195" w:lineRule="exact"/>
              <w:rPr>
                <w:sz w:val="20"/>
                <w:szCs w:val="20"/>
                <w:color w:val="auto"/>
              </w:rPr>
            </w:pPr>
            <w:r>
              <w:rPr>
                <w:rFonts w:ascii="Arial" w:cs="Arial" w:eastAsia="Arial" w:hAnsi="Arial"/>
                <w:sz w:val="18"/>
                <w:szCs w:val="18"/>
                <w:color w:val="auto"/>
                <w:w w:val="98"/>
              </w:rPr>
              <w:t>•  Finalized preparations for initiation of clinical program</w:t>
            </w:r>
          </w:p>
        </w:tc>
        <w:tc>
          <w:tcPr>
            <w:tcW w:w="4740" w:type="dxa"/>
            <w:vAlign w:val="bottom"/>
          </w:tcPr>
          <w:p>
            <w:pPr>
              <w:ind w:left="180"/>
              <w:spacing w:after="0" w:line="195" w:lineRule="exact"/>
              <w:rPr>
                <w:sz w:val="20"/>
                <w:szCs w:val="20"/>
                <w:color w:val="auto"/>
              </w:rPr>
            </w:pPr>
            <w:r>
              <w:rPr>
                <w:rFonts w:ascii="Arial" w:cs="Arial" w:eastAsia="Arial" w:hAnsi="Arial"/>
                <w:sz w:val="18"/>
                <w:szCs w:val="18"/>
                <w:color w:val="auto"/>
              </w:rPr>
              <w:t>•  Initiate Phase 1 trial for the Dll4 antibody in oncology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40" w:type="dxa"/>
            <w:vAlign w:val="bottom"/>
          </w:tcPr>
          <w:p>
            <w:pPr>
              <w:ind w:left="460"/>
              <w:spacing w:after="0"/>
              <w:rPr>
                <w:sz w:val="20"/>
                <w:szCs w:val="20"/>
                <w:color w:val="auto"/>
              </w:rPr>
            </w:pPr>
            <w:r>
              <w:rPr>
                <w:rFonts w:ascii="Arial" w:cs="Arial" w:eastAsia="Arial" w:hAnsi="Arial"/>
                <w:sz w:val="18"/>
                <w:szCs w:val="18"/>
                <w:color w:val="auto"/>
              </w:rPr>
              <w:t>for the Dll4 antibody</w:t>
            </w:r>
          </w:p>
        </w:tc>
        <w:tc>
          <w:tcPr>
            <w:tcW w:w="4740" w:type="dxa"/>
            <w:vAlign w:val="bottom"/>
          </w:tcPr>
          <w:p>
            <w:pPr>
              <w:ind w:left="180"/>
              <w:spacing w:after="0"/>
              <w:rPr>
                <w:sz w:val="20"/>
                <w:szCs w:val="20"/>
                <w:color w:val="auto"/>
              </w:rPr>
            </w:pPr>
            <w:r>
              <w:rPr>
                <w:rFonts w:ascii="Arial" w:cs="Arial" w:eastAsia="Arial" w:hAnsi="Arial"/>
                <w:sz w:val="18"/>
                <w:szCs w:val="18"/>
                <w:color w:val="auto"/>
                <w:w w:val="97"/>
              </w:rPr>
              <w:t>•  Report data from Phase 1 trial of REGN88 in rheumatoid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rPr>
              <w:t>arthritis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  Advance additional antibody candidate(s) into clinical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(rilonacept) Product Revenue and Inventory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1"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In March 2008, ARCALYST became available for prescription in the United States for the treatment of CAPS. We currently expect shipments of ARCALYST to our distributors to total approximately $10 million in 2008.</w:t>
      </w:r>
    </w:p>
    <w:p>
      <w:pPr>
        <w:spacing w:after="0" w:line="62"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 xml:space="preserve">We recognize revenue from product sales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Revenue from product sales is recognized when persuasive evidence of an arrangement exists, title to product and associated risk of loss has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passed to the customer, the price is fixed or determinable, collection from the customer is reasonably assured and we have no further performance obligations. Revenues from product sales are recorded net of applicable provisions for prompt pay discounts, product returns, and estimated rebates payable under governmental programs (including Medicaid), distributor fees, and other sales-related costs. We will account for these reductions in accordance with Emerging Issues Task Force Issue No. 01-9, </w:t>
      </w:r>
      <w:r>
        <w:rPr>
          <w:rFonts w:ascii="Arial" w:cs="Arial" w:eastAsia="Arial" w:hAnsi="Arial"/>
          <w:sz w:val="16"/>
          <w:szCs w:val="16"/>
          <w:i w:val="1"/>
          <w:iCs w:val="1"/>
          <w:color w:val="auto"/>
        </w:rPr>
        <w:t>Accounting for Consideration Given by a Vendor to a Customer (Including a Reseller of the Vendor’s Products)</w:t>
      </w:r>
      <w:r>
        <w:rPr>
          <w:rFonts w:ascii="Arial" w:cs="Arial" w:eastAsia="Arial" w:hAnsi="Arial"/>
          <w:sz w:val="16"/>
          <w:szCs w:val="16"/>
          <w:color w:val="auto"/>
        </w:rPr>
        <w:t xml:space="preserve"> (EITF 01-9), and Statement of Financial Accounting Standards No. (SFAS) 48, </w:t>
      </w:r>
      <w:r>
        <w:rPr>
          <w:rFonts w:ascii="Arial" w:cs="Arial" w:eastAsia="Arial" w:hAnsi="Arial"/>
          <w:sz w:val="16"/>
          <w:szCs w:val="16"/>
          <w:i w:val="1"/>
          <w:iCs w:val="1"/>
          <w:color w:val="auto"/>
        </w:rPr>
        <w:t>Revenue Recognition When Right of Return Exists</w:t>
      </w:r>
      <w:r>
        <w:rPr>
          <w:rFonts w:ascii="Arial" w:cs="Arial" w:eastAsia="Arial" w:hAnsi="Arial"/>
          <w:sz w:val="16"/>
          <w:szCs w:val="16"/>
          <w:color w:val="auto"/>
        </w:rPr>
        <w:t>, as applicable. We review our estimates of rebates payable each period and record any necessary adjustments in the current period’s net product sales.</w:t>
      </w:r>
    </w:p>
    <w:p>
      <w:pPr>
        <w:spacing w:after="0" w:line="5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During the three and nine months ended September 30, 2008, we recognized as revenue $2.7 million of ARCALYST</w:t>
      </w:r>
      <w:r>
        <w:rPr>
          <w:rFonts w:ascii="Arial" w:cs="Arial" w:eastAsia="Arial" w:hAnsi="Arial"/>
          <w:sz w:val="15"/>
          <w:szCs w:val="15"/>
          <w:color w:val="auto"/>
        </w:rPr>
        <w:t>Ò</w:t>
      </w:r>
      <w:r>
        <w:rPr>
          <w:rFonts w:ascii="Arial" w:cs="Arial" w:eastAsia="Arial" w:hAnsi="Arial"/>
          <w:sz w:val="18"/>
          <w:szCs w:val="18"/>
          <w:color w:val="auto"/>
        </w:rPr>
        <w:t xml:space="preserve"> (rilonacept) net product sales for which both the right of return no longer exists and rebates can be reasonably estimated. At September 30, 2008, deferred revenue related to ARCALYST net product sales totaled $3.8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being included in cost of goods sold when revenue is recognized from the sale of those supplies of ARCALYST. For the three and nine months ended September 30, 2008, ARCALYST cost of goods sold totaled $0.3 million. At September 30, 2008, inventoried costs related to ARCALYST were insignificant.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Velocigene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Agreement with the sanofi-aventis Group</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connection with our November 2007 global strategic collaboration with sanofi-aventis to discover, develop, and commercialize fully human monoclonal antibodies, in August 2008, we entered into a separate agreement with sanofi-aventis to use our proprietary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for which we expect to receive payments totaling a minimum of $21.5 million. This aggregate minimum amount is being recognized as contract research and development revenue in accordance with SAB 104 and Emerging Issues Task Force Issue No.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xml:space="preserve"> (“EITF 00-21”). For the three and nine months ended September 30, 2008, we recognized $0.5 million in revenue related to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Cellectis</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July 2008, we and Cellectis S.A. entered into an Amended and Restated Non-Exclusive License Agreement. The amended license agreement resolves a dispute between the parties related to the interpretation of a license agreement entered into by the parties in December 2003 pursuant to which we licensed certain patents and patent applications relating to a process for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specific replacement of a copy of a gene in the receiver genome by homologous recombination.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8"/>
          <w:szCs w:val="18"/>
          <w:i w:val="1"/>
          <w:iCs w:val="1"/>
          <w:color w:val="auto"/>
        </w:rPr>
        <w:t>VelociGene</w:t>
      </w:r>
      <w:r>
        <w:rPr>
          <w:rFonts w:ascii="Arial" w:cs="Arial" w:eastAsia="Arial" w:hAnsi="Arial"/>
          <w:sz w:val="15"/>
          <w:szCs w:val="15"/>
          <w:color w:val="auto"/>
        </w:rPr>
        <w:t>Ò</w:t>
      </w:r>
      <w:r>
        <w:rPr>
          <w:rFonts w:ascii="Arial" w:cs="Arial" w:eastAsia="Arial" w:hAnsi="Arial"/>
          <w:sz w:val="18"/>
          <w:szCs w:val="18"/>
          <w:color w:val="auto"/>
        </w:rPr>
        <w:t xml:space="preserve"> or </w:t>
      </w:r>
      <w:r>
        <w:rPr>
          <w:rFonts w:ascii="Arial" w:cs="Arial" w:eastAsia="Arial" w:hAnsi="Arial"/>
          <w:sz w:val="18"/>
          <w:szCs w:val="18"/>
          <w:i w:val="1"/>
          <w:iCs w:val="1"/>
          <w:color w:val="auto"/>
        </w:rPr>
        <w:t>VelocImmune</w:t>
      </w:r>
      <w:r>
        <w:rPr>
          <w:rFonts w:ascii="Arial" w:cs="Arial" w:eastAsia="Arial" w:hAnsi="Arial"/>
          <w:sz w:val="15"/>
          <w:szCs w:val="15"/>
          <w:color w:val="auto"/>
        </w:rPr>
        <w:t>Ò</w:t>
      </w:r>
      <w:r>
        <w:rPr>
          <w:rFonts w:ascii="Arial" w:cs="Arial" w:eastAsia="Arial" w:hAnsi="Arial"/>
          <w:sz w:val="18"/>
          <w:szCs w:val="18"/>
          <w:color w:val="auto"/>
        </w:rPr>
        <w:t xml:space="preserve"> products and services. No royalties are payable with respect to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agreements with AstraZeneca and Astellas or our November 2007 collaboration with sanofi-aventis. Moreover, no royalties are payable on any revenue from commercial sales of antibodies from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80"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We began amortizing our $12.5 million payment to Cellectis in the second quarter of 2008 in proportion to past and anticipated future revenues under our license agreements with AstraZeneca and Astellas and our antibody discovery agreement with sanofi-aventis. During the three and nine months ended September 30, 2008, the Company recognized $0.5 million and $2.2 million of expense related to this agreement.</w:t>
      </w:r>
    </w:p>
    <w:p>
      <w:pPr>
        <w:spacing w:after="0" w:line="5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In July 2008, we and Cellectis also entered into a Subscription Agreement pursuant to which we agreed to purchase 368,301 ordinary shares of Cellectis at a price of EUR 8.63 per share. The purchase was contingent upon approval by the board of directors of Cellectis and by the shareholders of Cellectis. Such approval was obtained on October 30, 2008, and our purchase of the Cellectis shares will be completed in early November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Regeneron reported a net loss of $21.1 million, or $0.27 per share (basic and diluted), for the third quarter of 2008 compared to a net loss of $35.8 million, or $0.54 per share (basic and diluted), for the third quarter of 2007. The decrease in net loss was principally due to revenues earned in the third quarter of 2008 in connection with our antibody collaboration with sanofi-aventis and our VEGF Trap-Eye collaboration with Bayer HealthCare, partly offset by higher research and development expenses.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September 30, 2008 and 2007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Sanofi-aventis</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Bayer HealthCare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contract research &amp; development 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product sales of ARCALYST</w:t>
            </w:r>
            <w:r>
              <w:rPr>
                <w:rFonts w:ascii="Arial" w:cs="Arial" w:eastAsia="Arial" w:hAnsi="Arial"/>
                <w:sz w:val="15"/>
                <w:szCs w:val="15"/>
                <w:color w:val="auto"/>
              </w:rPr>
              <w:t>®</w:t>
            </w:r>
            <w:r>
              <w:rPr>
                <w:rFonts w:ascii="Arial" w:cs="Arial" w:eastAsia="Arial" w:hAnsi="Arial"/>
                <w:sz w:val="18"/>
                <w:szCs w:val="18"/>
                <w:color w:val="auto"/>
              </w:rPr>
              <w:t xml:space="preserve"> (rilonacept)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We recognize revenue from sanofi-aventis, in connection with our aflibercept and antibody collaborations in accordance with SAB 104 and EITF 00-21. Contract research and development revenue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 Non-refundable, up-front payments are recorded as deferred revenue and recognized over the period over which we are obligated to perform services. We estimate our performance periods based on the specific terms of the collaboration agreements, and adjust the performance periods, if appropriate, based on the applicable facts and circumstances.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Aflibercept: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aflibercept</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Antibody:</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5"/>
                <w:szCs w:val="15"/>
                <w:color w:val="auto"/>
              </w:rPr>
              <w:t>®</w:t>
            </w:r>
            <w:r>
              <w:rPr>
                <w:rFonts w:ascii="Arial" w:cs="Arial" w:eastAsia="Arial" w:hAnsi="Arial"/>
                <w:sz w:val="18"/>
                <w:szCs w:val="18"/>
                <w:color w:val="auto"/>
              </w:rPr>
              <w:t xml:space="preserve"> agreement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antibody</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0</w:t>
            </w:r>
          </w:p>
        </w:tc>
        <w:tc>
          <w:tcPr>
            <w:tcW w:w="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Sanofi-aventis’ reimbursement of Regeneron’s aflibercept expenses increased in the third quarter of 2008 compared to the same period in 2007, primarily due to higher clinical development costs and higher costs related to manufacturing aflibercept clinical supplies. Recognition of deferred revenue related to sanofi-aventis’ up-front aflibercept payments decreased in the third quarter of 2008 compared to the same period in 2007 due to an extension of the estimated performance period over which this deferred revenue is being recognized. As of September 30, 2008, $54.9 million of the original $105.0 million of up-front payments related to aflibercept was deferred and will be recognized as revenue in future periods.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In the third quarter of 2008, sanofi-aventis’ reimbursement of Regeneron’s antibody expenses consisted of $24.1 million under the discovery agreement and $5.4 million of development costs related to REGN88 under the license agreement. Recognition of deferred revenue under the antibody collaboration related to sanofi-aventis’ $85.0 million up-front payment. As of September 30, 2008, $76.2 million of this up-front payment was deferred and will be recognized as revenue in future periods.</w:t>
      </w:r>
    </w:p>
    <w:p>
      <w:pPr>
        <w:spacing w:after="0" w:line="79"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connection with our VEGF Trap-Eye collaboration with Bayer HealthCare, through September 30, 2007, all payments received from Bayer HealthCare, including a $75.0 million non-refundable, up-front payment, a $20.0 million milestone payment (which was received in August 2007 and not considered substantive), and cost sharing reimbursements were fully deferred and included in deferred revenue. Effective in the fourth quarter of 2007, we determined the appropriate accounting policy for payments from Bayer HealthCare and commenced recognizing previously deferred payments and cost-sharing of our and Bayer HealthCare’s 2007 VEGF Trap-Eye development expenses in our Statement of Operations through a cumulative catch-up. The $75.0 million non-refundable, up-front license payment and the $20.0 million milestone payment are being recognized as contract research and development revenue over the related estimated performance period in accordance with SAB 104 and EITF 00-21. In periods when we recognize VEGF Trap-Eye development expenses that we incur under the collaboration, we also recognize, as contract research and development revenue, the portion of those VEGF Trap-Eye development expenses that is reimbursable from Bayer HealthCare. In periods when Bayer HealthCare incurs agreed upon VEGF Trap-Eye development expenses that benefit the collaboration and Regeneron, we also recognize, as additional research and development expense, the portion of Bayer HealthCare’s VEGF Trap-Eye development expenses that we are obligated to reimburse. In the third quarter of 2008, we recognized contract research and development revenue of $9.0 million from Bayer HealthCare, consisting of (i) $3.3 million related to the $75.0 million up-front payment and the $20.0 million milestone payment, and (ii) $5.7 million related to the portion of our third quarter 2008 VEGF Trap-Eye development expenses that is reimbursable from Bayer HealthCare. As of September 30, 2008, $69.2 million of the up-front and milestone payments was deferred and will be recognized as revenue in future periods.</w:t>
      </w:r>
    </w:p>
    <w:p>
      <w:pPr>
        <w:spacing w:after="0" w:line="64"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Other contract research and development revenue includes $1.2 million and $2.2 million, respectively, recognized in the third quarters of 2008 and 2007 in connection with our five-year grant from the NIH, which we were awarded in September 2006 as part of the NIH’s Knockout Mouse Project.</w:t>
      </w:r>
    </w:p>
    <w:p>
      <w:pPr>
        <w:spacing w:after="0" w:line="38"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15"/>
          <w:szCs w:val="15"/>
          <w:color w:val="auto"/>
        </w:rPr>
        <w:t>Ò</w:t>
      </w:r>
      <w:r>
        <w:rPr>
          <w:rFonts w:ascii="Arial" w:cs="Arial" w:eastAsia="Arial" w:hAnsi="Arial"/>
          <w:sz w:val="18"/>
          <w:szCs w:val="18"/>
          <w:color w:val="auto"/>
        </w:rPr>
        <w:t xml:space="preserve"> license agreements with AstraZeneca and Astellas, each of the $20.0 million annual non-refundable payments is deferred upon receipt and recognized as revenue ratably over approximately the ensuing year of each agreement. In both the third quarter of 2008 and 2007 we recognized $10.0 million of technology licensing revenue related to these agreements.</w:t>
      </w:r>
    </w:p>
    <w:p>
      <w:pPr>
        <w:spacing w:after="0" w:line="73"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described above, during the three months ended September 30, 2008, we recognized as revenue $2.7 million of ARCALYST</w:t>
      </w:r>
      <w:r>
        <w:rPr>
          <w:rFonts w:ascii="Arial" w:cs="Arial" w:eastAsia="Arial" w:hAnsi="Arial"/>
          <w:sz w:val="15"/>
          <w:szCs w:val="15"/>
          <w:color w:val="auto"/>
        </w:rPr>
        <w:t>Ò</w:t>
      </w:r>
      <w:r>
        <w:rPr>
          <w:rFonts w:ascii="Arial" w:cs="Arial" w:eastAsia="Arial" w:hAnsi="Arial"/>
          <w:sz w:val="18"/>
          <w:szCs w:val="18"/>
          <w:color w:val="auto"/>
        </w:rPr>
        <w:t xml:space="preserve"> (rilonacept) net product sales.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Total operating expenses increased to $85.5 million in the third quarter of 2008 from $61.0 million in the same period of 2007. Our average headcount increased to 851 in the third quarter of 2008 from 639 in the same period of 2007 primarily as a result of the Company’s expanding research and development activities which are primarily attributable to the Company’s antibody collaboration with sanofi-aventis.</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Operating expenses in the third quarter of 2008 and 2007 include a total of $8.2 million and $7.0 million, respectively, of non-cash compensation expense related to employee stock option and restricted stock awards (Non-cash Compensation Expense), as detailed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w w:val="94"/>
              </w:rPr>
              <w:t>For the three months ended September 30, 2008</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Expenses before</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inclusion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Non-cash</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Non-cash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54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Expense</w:t>
            </w:r>
          </w:p>
        </w:tc>
        <w:tc>
          <w:tcPr>
            <w:tcW w:w="3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68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8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8.2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w w:val="94"/>
              </w:rPr>
              <w:t>For the three months ended September 30, 2007</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inclusion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Non-cash</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Non-cash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54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Expense</w:t>
            </w:r>
          </w:p>
        </w:tc>
        <w:tc>
          <w:tcPr>
            <w:tcW w:w="3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68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7.0</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Research and development expenses increased to $73.8 million in the third quarter of 2008 from $51.7 million in the same period of 2007. The following table summarizes the major categories of our research and development expenses for the three months ended September 30, 2008 and 2007: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center"/>
              <w:ind w:left="134"/>
              <w:spacing w:after="0"/>
              <w:rPr>
                <w:sz w:val="20"/>
                <w:szCs w:val="20"/>
                <w:color w:val="auto"/>
              </w:rPr>
            </w:pPr>
            <w:r>
              <w:rPr>
                <w:rFonts w:ascii="Arial" w:cs="Arial" w:eastAsia="Arial" w:hAnsi="Arial"/>
                <w:sz w:val="14"/>
                <w:szCs w:val="14"/>
                <w:b w:val="1"/>
                <w:bCs w:val="1"/>
                <w:color w:val="auto"/>
                <w:w w:val="92"/>
              </w:rPr>
              <w:t>For the three months ended September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Cost-sharing of Bayer HealthCare VEGF Trap-Eye development expenses (3)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w:t>
            </w:r>
            <w:r>
              <w:rPr>
                <w:rFonts w:ascii="Arial" w:cs="Arial" w:eastAsia="Arial" w:hAnsi="Arial"/>
                <w:sz w:val="18"/>
                <w:szCs w:val="18"/>
                <w:u w:val="single" w:color="auto"/>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7</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22.</w:t>
            </w:r>
            <w:r>
              <w:rPr>
                <w:rFonts w:ascii="Arial" w:cs="Arial" w:eastAsia="Arial" w:hAnsi="Arial"/>
                <w:sz w:val="18"/>
                <w:szCs w:val="18"/>
                <w:u w:val="single" w:color="auto"/>
                <w:color w:val="auto"/>
                <w:w w:val="96"/>
              </w:rPr>
              <w:t>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$4.3 million and $3.4 million of Non-cash Compensation Expense for the three months ended September 30, 2008 and 2007, respectively.</w:t>
      </w:r>
    </w:p>
    <w:p>
      <w:pPr>
        <w:spacing w:after="0" w:line="20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20" w:hanging="452"/>
        <w:spacing w:after="0" w:line="31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September 30, 2008 and 2007.</w:t>
      </w:r>
    </w:p>
    <w:p>
      <w:pPr>
        <w:ind w:left="4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its VEGF Trap-Eye development expenses that we are obligated to reimburse. Bayer HealthCare provides us with estimated VEGF Trap-Eye development expenses for the most recent interim fiscal quarter. Bayer HealthCare’s estimate is reconciled to its actual expenses for such quarter in the subsequent interim quarter and our portion of its VEGF Trap-Eye development expenses that we are obligated to reimburse is adjusted accordingly. In the fourth quarter of 2007, we commenced recognizing cost-sharing of our and Bayer Healthcare’s VEGF Trap-Eye development expenses.</w:t>
      </w:r>
    </w:p>
    <w:p>
      <w:pPr>
        <w:spacing w:after="0" w:line="85"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Payroll and benefits increased principally due to the increase in employee headcount, as described above. Clinical trial expenses increased due primarily to higher costs related to our clinical development programs for (i) ARCALYST, which includes our Phase 2 gout flare prevention clinical study, (ii) monoclonal antibodies, which includes REGN88 as well as clinical-related preparatory activities for the Dll4 antibody, and (iii) VEGF Trap-Eye, which includes our VIEW 1 trial in wet AMD. Clinical manufacturing costs increased due primarily to higher expenses related to VEGF Trap-Eye and monoclonal antibodies, including REGN88. These increases were partially offset by a reduction in manufacturing costs associated with ARCALYST. Research and preclinical development costs increased primarily due to higher costs associated with our antibody programs. Occupancy and other operating costs increased principally as a result of our higher headcount and our expanded research and development activities.</w:t>
      </w:r>
    </w:p>
    <w:p>
      <w:pPr>
        <w:spacing w:after="0" w:line="7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For the 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5"/>
                <w:szCs w:val="15"/>
                <w:color w:val="auto"/>
              </w:rPr>
              <w:t>®</w:t>
            </w:r>
            <w:r>
              <w:rPr>
                <w:rFonts w:ascii="Arial" w:cs="Arial" w:eastAsia="Arial" w:hAnsi="Arial"/>
                <w:sz w:val="18"/>
                <w:szCs w:val="18"/>
                <w:color w:val="auto"/>
              </w:rPr>
              <w:t xml:space="preserve"> (rilonacept)</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Aflibercept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VEGF Trap-Eye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REGN88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r>
              <w:rPr>
                <w:rFonts w:ascii="Arial" w:cs="Arial" w:eastAsia="Arial" w:hAnsi="Arial"/>
                <w:sz w:val="18"/>
                <w:szCs w:val="18"/>
                <w:u w:val="single" w:color="auto"/>
                <w:color w:val="auto"/>
              </w:rPr>
              <w:t>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w:t>
      </w:r>
      <w:r>
        <w:rPr>
          <w:rFonts w:ascii="Arial" w:cs="Arial" w:eastAsia="Arial" w:hAnsi="Arial"/>
          <w:sz w:val="14"/>
          <w:szCs w:val="14"/>
          <w:color w:val="auto"/>
        </w:rPr>
        <w:t>Ò</w:t>
      </w:r>
      <w:r>
        <w:rPr>
          <w:rFonts w:ascii="Arial" w:cs="Arial" w:eastAsia="Arial" w:hAnsi="Arial"/>
          <w:sz w:val="17"/>
          <w:szCs w:val="17"/>
          <w:color w:val="auto"/>
        </w:rPr>
        <w:t xml:space="preserve"> (rilonacept), aflibercept, and VEGF Trap-Eye in different disease indications.</w:t>
      </w:r>
    </w:p>
    <w:p>
      <w:pPr>
        <w:spacing w:after="0" w:line="70" w:lineRule="exact"/>
        <w:rPr>
          <w:sz w:val="20"/>
          <w:szCs w:val="20"/>
          <w:color w:val="auto"/>
        </w:rPr>
      </w:pPr>
    </w:p>
    <w:p>
      <w:pPr>
        <w:ind w:right="300" w:firstLine="222"/>
        <w:spacing w:after="0" w:line="293"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w:t>
      </w:r>
      <w:r>
        <w:rPr>
          <w:rFonts w:ascii="Arial" w:cs="Arial" w:eastAsia="Arial" w:hAnsi="Arial"/>
          <w:sz w:val="13"/>
          <w:szCs w:val="13"/>
          <w:color w:val="auto"/>
        </w:rPr>
        <w:t>®</w:t>
      </w:r>
      <w:r>
        <w:rPr>
          <w:rFonts w:ascii="Arial" w:cs="Arial" w:eastAsia="Arial" w:hAnsi="Arial"/>
          <w:sz w:val="16"/>
          <w:szCs w:val="16"/>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5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Selling, general, and administrative expenses increased to $11.4 million in the third quarter of 2008 from $9.3 million in the same period of 2007. In the third quarter of 2008, we incurred selling expenses of $0.7 million related to ARCALYST for the treatment of CAPS. General and administrative expenses increased in the third quarter of 2008 due to (i) higher compensation expense due primarily to increases in administrative headcount to support our expanded research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and development activities, (ii) higher recruitment and related costs associated with expanding our headcount, and (iii) higher administrative facility-related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right="560" w:firstLine="215"/>
        <w:spacing w:after="0" w:line="277" w:lineRule="auto"/>
        <w:rPr>
          <w:sz w:val="20"/>
          <w:szCs w:val="20"/>
          <w:color w:val="auto"/>
        </w:rPr>
      </w:pPr>
      <w:r>
        <w:rPr>
          <w:rFonts w:ascii="Arial" w:cs="Arial" w:eastAsia="Arial" w:hAnsi="Arial"/>
          <w:sz w:val="18"/>
          <w:szCs w:val="18"/>
          <w:color w:val="auto"/>
        </w:rPr>
        <w:t>As described above, during the third quarter of 2008, we began recognizing revenue and cost of goods sold from net product sales of ARCALYST</w:t>
      </w:r>
      <w:r>
        <w:rPr>
          <w:rFonts w:ascii="Arial" w:cs="Arial" w:eastAsia="Arial" w:hAnsi="Arial"/>
          <w:sz w:val="15"/>
          <w:szCs w:val="15"/>
          <w:color w:val="auto"/>
        </w:rPr>
        <w:t>Ò</w:t>
      </w:r>
      <w:r>
        <w:rPr>
          <w:rFonts w:ascii="Arial" w:cs="Arial" w:eastAsia="Arial" w:hAnsi="Arial"/>
          <w:sz w:val="18"/>
          <w:szCs w:val="18"/>
          <w:color w:val="auto"/>
        </w:rPr>
        <w:t xml:space="preserve"> (rilonacept). Cost of goods sold was $0.3 million for the third quarter of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Investment income decreased to $3.7 million in the third quarter of 2008 from $5.8 million in the comparable quarter of 2007, due primarily to lower yields on our cash and marketable securities. In addition, during the third quarter of 2008, deterioration in the credit quality of a marketable security from one issuer subjected us to the risk of not being able to recover the security’s $2.0 million carrying value. As a result, we recognized a $1.7 million charge related to this security, which we considered to be other than temporarily impaired, partially offset by realized gains of $1.0 million on sales of marketable securities during the third quarter of 2008.</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Interest expense of $1.8 million and $3.0 million in the third quarter of 2008 and 2007, respectively, is attributable to our 5.5% Convertible Senior Subordinated Notes due October 17, 2008. During the second and third quarters of 2008, we repurchased a total of $82.5 million in principal amount of these convertible notes for $83.3 million. At September 30, 2008, $117.5 million of the convertible notes remained outstanding and were subsequently repaid in full upon their maturity in October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In the third quarter of 2008, we implemented a tax planning strategy which resulted in the utilization of certain net operating loss carry-forwards for tax purposes that would otherwise have expired over the next several years. As a result, we incurred income tax expense of $3.1 million, which relates to U.S. Federal and New York State alternative minimum tax and includes $0.2 million of interest and penalties.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reported a net loss of $51.2 million, or $0.65 per share (basic and diluted), for the first nine months of 2008 compared to a net loss of $92.5 million, or $1.40 per share (basic and diluted), for the same period of 2007. The decrease in net loss was principally due to revenues earned in the first nine months of 2008 in connection with our antibody collaboration with sanofi-aventis and our VEGF Trap-Eye collaboration with Bayer HealthCare, partially offset by higher research and development expenses.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nine months ended September 30, 2008 and 2007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Sanofi-aventis</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116.3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Bayer HealthCare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contract research &amp; development 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product sales of ARCALYST</w:t>
            </w:r>
            <w:r>
              <w:rPr>
                <w:rFonts w:ascii="Arial" w:cs="Arial" w:eastAsia="Arial" w:hAnsi="Arial"/>
                <w:sz w:val="15"/>
                <w:szCs w:val="15"/>
                <w:color w:val="auto"/>
              </w:rPr>
              <w:t>Ò</w:t>
            </w:r>
            <w:r>
              <w:rPr>
                <w:rFonts w:ascii="Arial" w:cs="Arial" w:eastAsia="Arial" w:hAnsi="Arial"/>
                <w:sz w:val="18"/>
                <w:szCs w:val="18"/>
                <w:color w:val="auto"/>
              </w:rPr>
              <w:t xml:space="preserve"> (rilonacept)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2"/>
        <w:spacing w:after="0" w:line="277" w:lineRule="auto"/>
        <w:rPr>
          <w:sz w:val="20"/>
          <w:szCs w:val="20"/>
          <w:color w:val="auto"/>
        </w:rPr>
      </w:pPr>
      <w:r>
        <w:rPr>
          <w:rFonts w:ascii="Arial" w:cs="Arial" w:eastAsia="Arial" w:hAnsi="Arial"/>
          <w:sz w:val="18"/>
          <w:szCs w:val="18"/>
          <w:color w:val="auto"/>
        </w:rPr>
        <w:t>We recognize revenue from sanofi-aventis, in connection with our aflibercept and antibody collaborations in accordance with SAB 104 and EITF 00-21, as described above under “Revenues”, for the three months ended September 30, 2008 and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Aflibercept: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aflibercept</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Antibody:</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5"/>
                <w:szCs w:val="15"/>
                <w:color w:val="auto"/>
              </w:rPr>
              <w:t>®</w:t>
            </w:r>
            <w:r>
              <w:rPr>
                <w:rFonts w:ascii="Arial" w:cs="Arial" w:eastAsia="Arial" w:hAnsi="Arial"/>
                <w:sz w:val="18"/>
                <w:szCs w:val="18"/>
                <w:color w:val="auto"/>
              </w:rPr>
              <w:t xml:space="preserve"> agreement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antibody</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Sanofi-aventis’ reimbursement of our aflibercept expenses increased in the first nine months of 2008 compared to the same period in 2007, primarily due to higher clinical development costs and higher costs related to manufacturing aflibercept clinical supplies, partially offset by lower aflibercept preclinical development costs. Recognition of deferred revenue related to sanofi-aventis’ up-front aflibercept payments decreased in the first nine months of 2008 compared to the same period in 2007 due to an extension of the estimated performance period over which this deferred revenue is being recognized.</w:t>
      </w:r>
    </w:p>
    <w:p>
      <w:pPr>
        <w:spacing w:after="0" w:line="46"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 the first nine months of 2008, sanofi-aventis’ reimbursement of Regeneron’s antibody expenses consisted of $56.5 million under the discovery agreement and $15.9 million of development costs related to REGN88, under the license agreement. Recognition of deferred revenue under the antibody collaboration related to sanofi-aventis’ $85.0 million up-front payment.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first nine months of 2008, we recognized contract research and development revenue of $28.2 million from Bayer HealthCare, consisting of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 million related to the $75.0 million up-front payment and the $20.0 million milestone payment, and (ii) $18.3 million related to the portion of our VEGF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Trap-Eye development expenses incurred in the first nine months of 2008 that is reimbursable from Bayer HealthCare.</w:t>
      </w:r>
    </w:p>
    <w:p>
      <w:pPr>
        <w:spacing w:after="0" w:line="103"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Other contract research and development revenue includes $3.6 million and $4.5 million recognized in the first nine months of 2008 and 2007, respectively, in connection with our five-year grant from the NIH, which we were awarded in September 2006 as part of the NIH’s Knockout Mouse Project.</w:t>
      </w:r>
    </w:p>
    <w:p>
      <w:pPr>
        <w:spacing w:after="0" w:line="16" w:lineRule="exact"/>
        <w:rPr>
          <w:sz w:val="20"/>
          <w:szCs w:val="20"/>
          <w:color w:val="auto"/>
        </w:rPr>
      </w:pPr>
    </w:p>
    <w:p>
      <w:pPr>
        <w:jc w:val="both"/>
        <w:ind w:right="180" w:firstLine="225"/>
        <w:spacing w:after="0" w:line="286" w:lineRule="auto"/>
        <w:rPr>
          <w:sz w:val="20"/>
          <w:szCs w:val="20"/>
          <w:color w:val="auto"/>
        </w:rPr>
      </w:pPr>
      <w:r>
        <w:rPr>
          <w:rFonts w:ascii="Arial" w:cs="Arial" w:eastAsia="Arial" w:hAnsi="Arial"/>
          <w:sz w:val="17"/>
          <w:szCs w:val="17"/>
          <w:color w:val="auto"/>
        </w:rPr>
        <w:t xml:space="preserve">In connection with our </w:t>
      </w:r>
      <w:r>
        <w:rPr>
          <w:rFonts w:ascii="Arial" w:cs="Arial" w:eastAsia="Arial" w:hAnsi="Arial"/>
          <w:sz w:val="17"/>
          <w:szCs w:val="17"/>
          <w:i w:val="1"/>
          <w:iCs w:val="1"/>
          <w:color w:val="auto"/>
        </w:rPr>
        <w:t>VelocImmune</w:t>
      </w:r>
      <w:r>
        <w:rPr>
          <w:rFonts w:ascii="Arial" w:cs="Arial" w:eastAsia="Arial" w:hAnsi="Arial"/>
          <w:sz w:val="14"/>
          <w:szCs w:val="14"/>
          <w:color w:val="auto"/>
        </w:rPr>
        <w:t>Ò</w:t>
      </w:r>
      <w:r>
        <w:rPr>
          <w:rFonts w:ascii="Arial" w:cs="Arial" w:eastAsia="Arial" w:hAnsi="Arial"/>
          <w:sz w:val="17"/>
          <w:szCs w:val="17"/>
          <w:color w:val="auto"/>
        </w:rPr>
        <w:t xml:space="preserve"> license agreements with AstraZeneca and Astellas, each of the $20.0 million annual, non-refundable payments are deferred upon receipt and recognized as revenue ratably over approximately the ensuing year of each agreement. In the first nine months of 2008 and 2007, we recognized $30.0 million and $18.4 million, respectively, of technology licensing revenue related to these agreements.</w:t>
      </w:r>
    </w:p>
    <w:p>
      <w:pPr>
        <w:spacing w:after="0" w:line="57" w:lineRule="exact"/>
        <w:rPr>
          <w:sz w:val="20"/>
          <w:szCs w:val="20"/>
          <w:color w:val="auto"/>
        </w:rPr>
      </w:pPr>
    </w:p>
    <w:p>
      <w:pPr>
        <w:jc w:val="both"/>
        <w:ind w:right="180" w:firstLine="215"/>
        <w:spacing w:after="0" w:line="277" w:lineRule="auto"/>
        <w:rPr>
          <w:sz w:val="20"/>
          <w:szCs w:val="20"/>
          <w:color w:val="auto"/>
        </w:rPr>
      </w:pPr>
      <w:r>
        <w:rPr>
          <w:rFonts w:ascii="Arial" w:cs="Arial" w:eastAsia="Arial" w:hAnsi="Arial"/>
          <w:sz w:val="18"/>
          <w:szCs w:val="18"/>
          <w:color w:val="auto"/>
        </w:rPr>
        <w:t>As described above, during the nine months ended September 30, 2008, we recognized as revenue $2.7 million of ARCALYST</w:t>
      </w:r>
      <w:r>
        <w:rPr>
          <w:rFonts w:ascii="Arial" w:cs="Arial" w:eastAsia="Arial" w:hAnsi="Arial"/>
          <w:sz w:val="15"/>
          <w:szCs w:val="15"/>
          <w:color w:val="auto"/>
        </w:rPr>
        <w:t>Ò</w:t>
      </w:r>
      <w:r>
        <w:rPr>
          <w:rFonts w:ascii="Arial" w:cs="Arial" w:eastAsia="Arial" w:hAnsi="Arial"/>
          <w:sz w:val="18"/>
          <w:szCs w:val="18"/>
          <w:color w:val="auto"/>
        </w:rPr>
        <w:t xml:space="preserve"> (rilonacept) net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200" w:firstLine="222"/>
        <w:spacing w:after="0" w:line="286" w:lineRule="auto"/>
        <w:rPr>
          <w:sz w:val="20"/>
          <w:szCs w:val="20"/>
          <w:color w:val="auto"/>
        </w:rPr>
      </w:pPr>
      <w:r>
        <w:rPr>
          <w:rFonts w:ascii="Arial" w:cs="Arial" w:eastAsia="Arial" w:hAnsi="Arial"/>
          <w:sz w:val="17"/>
          <w:szCs w:val="17"/>
          <w:color w:val="auto"/>
        </w:rPr>
        <w:t>Total operating expenses increased to $237.9 million in the first nine months of 2008 from $163.2 million in the same period of 2007. Our average headcount increased to 778 in the first nine months of 2008 from 614 in the same period of 2007 primarily as a result of the Company’s expanding research and development activities which are primarily attributable to the Company’s antibody collaboration with sanofi-aventis.</w:t>
      </w:r>
    </w:p>
    <w:p>
      <w:pPr>
        <w:spacing w:after="0" w:line="5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Operating expenses for the first nine months of 2008 and 2007 include a total of $24.7 million and $20.5 million, respectively, of Non-cash Compensation Expense, as detailed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6"/>
              </w:rPr>
              <w:t>For the nine months ended September 30, 2008</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Non-cash</w:t>
            </w:r>
          </w:p>
        </w:tc>
        <w:tc>
          <w:tcPr>
            <w:tcW w:w="11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2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inclusion of Non-cash</w:t>
            </w:r>
          </w:p>
        </w:tc>
        <w:tc>
          <w:tcPr>
            <w:tcW w:w="32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gridSpan w:val="4"/>
          </w:tcPr>
          <w:p>
            <w:pPr>
              <w:ind w:left="520"/>
              <w:spacing w:after="0"/>
              <w:rPr>
                <w:sz w:val="20"/>
                <w:szCs w:val="20"/>
                <w:color w:val="auto"/>
              </w:rPr>
            </w:pPr>
            <w:r>
              <w:rPr>
                <w:rFonts w:ascii="Arial" w:cs="Arial" w:eastAsia="Arial" w:hAnsi="Arial"/>
                <w:sz w:val="14"/>
                <w:szCs w:val="14"/>
                <w:b w:val="1"/>
                <w:bCs w:val="1"/>
                <w:color w:val="auto"/>
              </w:rPr>
              <w:t>Compensation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Expense</w:t>
            </w:r>
          </w:p>
        </w:tc>
        <w:tc>
          <w:tcPr>
            <w:tcW w:w="3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4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6"/>
              </w:rPr>
              <w:t>For the nine months ended September 30, 2007</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Non-cash</w:t>
            </w:r>
          </w:p>
        </w:tc>
        <w:tc>
          <w:tcPr>
            <w:tcW w:w="11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2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inclusion of Non-cash</w:t>
            </w:r>
          </w:p>
        </w:tc>
        <w:tc>
          <w:tcPr>
            <w:tcW w:w="32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gridSpan w:val="4"/>
          </w:tcPr>
          <w:p>
            <w:pPr>
              <w:ind w:left="520"/>
              <w:spacing w:after="0"/>
              <w:rPr>
                <w:sz w:val="20"/>
                <w:szCs w:val="20"/>
                <w:color w:val="auto"/>
              </w:rPr>
            </w:pPr>
            <w:r>
              <w:rPr>
                <w:rFonts w:ascii="Arial" w:cs="Arial" w:eastAsia="Arial" w:hAnsi="Arial"/>
                <w:sz w:val="14"/>
                <w:szCs w:val="14"/>
                <w:b w:val="1"/>
                <w:bCs w:val="1"/>
                <w:color w:val="auto"/>
              </w:rPr>
              <w:t>Compensation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Expense</w:t>
            </w:r>
          </w:p>
        </w:tc>
        <w:tc>
          <w:tcPr>
            <w:tcW w:w="3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4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8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0" w:type="dxa"/>
            <w:vAlign w:val="bottom"/>
            <w:vMerge w:val="restart"/>
          </w:tcPr>
          <w:p>
            <w:pPr>
              <w:jc w:val="right"/>
              <w:ind w:right="61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Research and development expenses increased to $201.7 million in the first nine months of 2008 from $136.8 million in the same period of 2007. The following table summarizes the major categories of our research and development expenses for the nine months ended September 30, 2008 and 2007: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center"/>
              <w:ind w:left="134"/>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43.3</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Cost-sharing of Bayer HealthCare VEGF Trap-Eye development expenses (3)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136.8</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$12.6 million and $9.8 million of Non-cash Compensation Expense for the nine months ended September 30, 2008 and 2007, respectively.</w:t>
      </w:r>
    </w:p>
    <w:p>
      <w:pPr>
        <w:spacing w:after="0" w:line="99" w:lineRule="exact"/>
        <w:rPr>
          <w:rFonts w:ascii="Arial" w:cs="Arial" w:eastAsia="Arial" w:hAnsi="Arial"/>
          <w:sz w:val="16"/>
          <w:szCs w:val="16"/>
          <w:color w:val="auto"/>
        </w:rPr>
      </w:pPr>
    </w:p>
    <w:p>
      <w:pPr>
        <w:jc w:val="both"/>
        <w:ind w:left="460" w:right="220" w:hanging="452"/>
        <w:spacing w:after="0" w:line="31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$2.2 million of Non-cash Compensation Expense for both the nine months ended September 30, 2008 and 2007.</w:t>
      </w:r>
    </w:p>
    <w:p>
      <w:pPr>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its VEGF Trap-Eye development expenses that we are obligated to reimburse. Bayer HealthCare provides us with estimated VEGF Trap-Eye development expenses for the most recent interim fiscal quarter. Bayer HealthCare’s estimate is reconciled to its actual expenses for such quarter in the subsequent interim quarter and our portion of its VEGF Trap-Eye development expenses that we are obligated to reimburse is adjusted accordingly. In the fourth quarter of 2007, we commenced recognizing cost-sharing of our and Bayer Healthcare’s VEGF Trap-Eye development expenses.</w:t>
      </w:r>
    </w:p>
    <w:p>
      <w:pPr>
        <w:spacing w:after="0" w:line="85"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ARCALYST</w:t>
      </w:r>
      <w:r>
        <w:rPr>
          <w:rFonts w:ascii="Arial" w:cs="Arial" w:eastAsia="Arial" w:hAnsi="Arial"/>
          <w:sz w:val="13"/>
          <w:szCs w:val="13"/>
          <w:color w:val="auto"/>
        </w:rPr>
        <w:t>Ò</w:t>
      </w:r>
      <w:r>
        <w:rPr>
          <w:rFonts w:ascii="Arial" w:cs="Arial" w:eastAsia="Arial" w:hAnsi="Arial"/>
          <w:sz w:val="16"/>
          <w:szCs w:val="16"/>
          <w:color w:val="auto"/>
        </w:rPr>
        <w:t xml:space="preserve"> (rilonacept), which includes our Phase 2 gout flare prevention clinical study,</w:t>
      </w:r>
    </w:p>
    <w:p>
      <w:pPr>
        <w:ind w:right="140" w:firstLine="8"/>
        <w:spacing w:after="0" w:line="292"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monoclonal antibodies, which includes REGN88 as well as clinical-related preparatory activities for the Dll4 antibody, and (iii) VEGF Trap-Eye, which includes our VIEW 1 trial in wet AMD. Clinical manufacturing costs increased due primarily to higher expenses related to VEGF Trap-Eye and monoclonal antibodies, including REGN88 and the Dll4 antibody. These increases were partially offset by a reduction in manufacturing costs associated with ARCALYST. Research and preclinical development costs increased primarily due to higher costs associated with our antibody programs. Occupancy and other operating costs increased principally as a result of our higher headcount and our expanded research and development activities.</w:t>
      </w:r>
    </w:p>
    <w:p>
      <w:pPr>
        <w:spacing w:after="0" w:line="55"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Compensation Expense, and manufacturing and other costs related to activities that benefit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multiple projects. Our estimates of research and development costs for clinical development programs are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5"/>
                <w:szCs w:val="15"/>
                <w:color w:val="auto"/>
              </w:rPr>
              <w:t>®</w:t>
            </w:r>
            <w:r>
              <w:rPr>
                <w:rFonts w:ascii="Arial" w:cs="Arial" w:eastAsia="Arial" w:hAnsi="Arial"/>
                <w:sz w:val="18"/>
                <w:szCs w:val="18"/>
                <w:color w:val="auto"/>
              </w:rPr>
              <w:t xml:space="preserve"> (rilonacept)</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Aflibercept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VEGF Trap-Eye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REGN88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For the reasons described above under “Research and Development Expenses” for the three months ended September 30, 2008 and 2007,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Selling, general, and administrative expenses increased to $35.9 million in the first nine months of 2008 from $26.4 million in the same period of 2007. In the first nine months of 2008, we incurred $3.6 million of selling expenses related to ARCALYST for the treatment of CAPS. General and administrative expenses increased in the first nine months of 2008 due to (i) higher compensation expense due primarily to increases in administrative headcount to support our expanded research and development activities, (ii) higher recruitment and related costs associated with expanding our headcount, (iii) higher fees for professional services related to various general corporate matters, and (iv) higher administrative facility-related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As described above, during the third quarter of 2008, we began recognizing revenue and cost of goods sold from net product sales of ARCALYST. Cost of goods sold was $0.3 million for the first nine months of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Investment income decreased to $15.5 million in the first nine months of 2008 from $19.4 million in the same period of 2007, due primarily to lower yields on our cash and marketable securities. In addition, during the nine months ended September 30, 2008, deterioration in the credit quality of marketable securities from two issuers subjected us to the risk of not being able to recover the securities’ $2.8 million carrying value. As a result, we recognized charges of $2.3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million related to these securities, which we considered to be other than temporarily impaired, partially offset by realized gains of $1.1 million on sales of marketable securities during the first nine months of 2008.</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Interest expense of $7.5 million and $9.0 million for the first nine months of 2008 and 2007, respectively, is attributable to our 5.5% Convertible Senior Subordinated Notes due October 17, 2008. In the first nine months of 2008, we repurchased a total of $82.5 million in principal amount of these convertible notes for $83.3 million. In connection with the repurchases, we recognized a $0.9 million loss on early extinguishment of debt, representing the premium paid on the notes plus related unamortized debt issuance costs. At September 30, 2008, $117.5 million of the convertible notes remained outstanding and were subsequently repaid in full upon their maturity in October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In the third quarter of 2008, we implemented a tax planning strategy which resulted in the utilization of certain net operating loss carry-forwards for tax purposes that would otherwise have expired over the next several years. As a result, we incurred income tax expense of $3.1 million, which relates to U.S. Federal and New York State alternative minimum tax and includes $0.2 million of interest and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Fair Value of Financial Assets</w:t>
      </w:r>
    </w:p>
    <w:p>
      <w:pPr>
        <w:spacing w:after="0" w:line="12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 xml:space="preserve">We consider our marketable securities, which consist primarily of U.S. government, corporate, and asset-backed securities, to be “available-for-sale,” as defined by SFAS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These assets are carried at fair value and the unrealized gains and losses are included in other accumulated comprehensive income (loss) as a separate component of stockholders’ equity. If the decline in the value of a marketable security in our investment portfolio is deemed to be other-than-temporary, we write down the security to its current fair value and recognize a loss that is charged against income.</w:t>
      </w:r>
    </w:p>
    <w:p>
      <w:pPr>
        <w:spacing w:after="0" w:line="8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a quarterly basis, we review our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This review process also includes an evaluation of our ability and intent to hold individual securities until they mature or their full cost can be recovered. This review is subjective and requires a high degree of judgment.</w:t>
      </w:r>
    </w:p>
    <w:p>
      <w:pPr>
        <w:spacing w:after="0" w:line="80" w:lineRule="exact"/>
        <w:rPr>
          <w:sz w:val="20"/>
          <w:szCs w:val="20"/>
          <w:color w:val="auto"/>
        </w:rPr>
      </w:pPr>
    </w:p>
    <w:p>
      <w:pPr>
        <w:ind w:right="40" w:firstLine="215"/>
        <w:spacing w:after="0" w:line="279" w:lineRule="auto"/>
        <w:rPr>
          <w:sz w:val="20"/>
          <w:szCs w:val="20"/>
          <w:color w:val="auto"/>
        </w:rPr>
      </w:pPr>
      <w:r>
        <w:rPr>
          <w:rFonts w:ascii="Arial" w:cs="Arial" w:eastAsia="Arial" w:hAnsi="Arial"/>
          <w:sz w:val="17"/>
          <w:szCs w:val="17"/>
          <w:color w:val="auto"/>
        </w:rPr>
        <w:t>As a result of our quarterly reviews of our marketable securities portfolio, during the three and nine months ended September 30, 2008, we recorded charges for other-than-temporary impairment of our marketable securities totaling $1.7 million and $2.3 million, respectively. However, the current economic environment, the deterioration in the credit quality of some of the issuers of securities that we hold, and the recent volatility of securities markets increase the risk that there may be further declines in the market value of marketable securities in our investment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portfolio and that such declines may result in additional charges against income in future periods for other-than-temporary impairments, and such amounts may be material.</w:t>
      </w:r>
    </w:p>
    <w:p>
      <w:pPr>
        <w:spacing w:after="0" w:line="62"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 xml:space="preserve">In September 2006, the Financial Accounting Standards Board (FASB) issued SFAS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defines fair value, establishes a framework for measuring fair value in accordance with accounting principles generally accepted in the United States, and expands disclosures about fair value measurements. We adopted the provisions of SFAS 157 as of January 1, 2008, for financial instruments. Although the adoption of SFAS 157 did not materially impact our financial condition, results of operations, or cash flows, we are now required to provide additional disclosures as part of our financial statements. In addition, in October 2008, the FASB issued FASB Staff Position (FSP) 157-3, </w:t>
      </w:r>
      <w:r>
        <w:rPr>
          <w:rFonts w:ascii="Arial" w:cs="Arial" w:eastAsia="Arial" w:hAnsi="Arial"/>
          <w:sz w:val="17"/>
          <w:szCs w:val="17"/>
          <w:i w:val="1"/>
          <w:iCs w:val="1"/>
          <w:color w:val="auto"/>
        </w:rPr>
        <w:t>Determining the Fair Value of a Financial Asset When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Market for That Asset Is Not Active, </w:t>
      </w:r>
      <w:r>
        <w:rPr>
          <w:rFonts w:ascii="Arial" w:cs="Arial" w:eastAsia="Arial" w:hAnsi="Arial"/>
          <w:sz w:val="17"/>
          <w:szCs w:val="17"/>
          <w:color w:val="auto"/>
        </w:rPr>
        <w:t>which clarifies the application of SFAS 157 in a market that is not active. FSP 157-3 also reaffirms the notion of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as an exit price as of the measurement date. FSP 157-3 was effective upon issuance for financial statements that have not yet been issued. We adopted FSP 157-3 for the quarter ended September 30, 2008.</w:t>
      </w:r>
    </w:p>
    <w:p>
      <w:pPr>
        <w:spacing w:after="0" w:line="71" w:lineRule="exact"/>
        <w:rPr>
          <w:sz w:val="20"/>
          <w:szCs w:val="20"/>
          <w:color w:val="auto"/>
        </w:rPr>
      </w:pPr>
    </w:p>
    <w:p>
      <w:pPr>
        <w:ind w:right="340" w:firstLine="225"/>
        <w:spacing w:after="0" w:line="276" w:lineRule="auto"/>
        <w:rPr>
          <w:sz w:val="20"/>
          <w:szCs w:val="20"/>
          <w:color w:val="auto"/>
        </w:rPr>
      </w:pPr>
      <w:r>
        <w:rPr>
          <w:rFonts w:ascii="Arial" w:cs="Arial" w:eastAsia="Arial" w:hAnsi="Arial"/>
          <w:sz w:val="17"/>
          <w:szCs w:val="17"/>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have determined that the provisions of SFAS 157 are applicable to our marketable securities, which totaled $376.5 million as of September 30, 2008. At September 30, 2008, less than 1% of our marketable securities represented Level 3 assets.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Level 3 marketable securities during the nine months ended September 30,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Level 3</w:t>
            </w: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80" w:type="dxa"/>
            <w:vAlign w:val="bottom"/>
            <w:gridSpan w:val="4"/>
          </w:tcPr>
          <w:p>
            <w:pPr>
              <w:ind w:left="4260"/>
              <w:spacing w:after="0" w:line="149" w:lineRule="exact"/>
              <w:rPr>
                <w:sz w:val="20"/>
                <w:szCs w:val="20"/>
                <w:color w:val="auto"/>
              </w:rPr>
            </w:pPr>
            <w:r>
              <w:rPr>
                <w:rFonts w:ascii="Arial" w:cs="Arial" w:eastAsia="Arial" w:hAnsi="Arial"/>
                <w:sz w:val="14"/>
                <w:szCs w:val="14"/>
                <w:b w:val="1"/>
                <w:bCs w:val="1"/>
                <w:color w:val="auto"/>
              </w:rPr>
              <w:t>marketable</w:t>
            </w:r>
          </w:p>
        </w:tc>
      </w:tr>
      <w:tr>
        <w:trPr>
          <w:trHeight w:val="171"/>
        </w:trPr>
        <w:tc>
          <w:tcPr>
            <w:tcW w:w="6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securities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438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Settlements</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Realized gain</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Impairments</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4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During the nine months ended September 30, 2008, there were no transfers of marketable securities between Level 2 and Level 3 classifications. We had no Level 1 marketable securities during the first nine months of 2008.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methods for valuing our marketable securities are described in Note 5 to our condensed financial statements included in this Quarterly Report on Form</w:t>
      </w:r>
    </w:p>
    <w:p>
      <w:pPr>
        <w:spacing w:after="0" w:line="4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10-Q. With respect to valuations received from our investment advisors for pricing our Level 2 marketable securities, we review our investment advisors’ policies and procedures for valuation and we independently test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sample of the valuations received using an alternative third-party vendor. For valuations that we determine for our Level 3 marketable securities, we regularly monitor these securities and adjust their valuations as deemed appropriate based on the facts and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purchases of our equity securities by our collaborators, including sanofi-aventis, revenue earned under our past and present research and development and contract manufacturing agreements, including our agreements with sanofi-aventis and Bayer HealthCare, technology licensing agreements, ARCALYST</w:t>
      </w:r>
      <w:r>
        <w:rPr>
          <w:rFonts w:ascii="Arial" w:cs="Arial" w:eastAsia="Arial" w:hAnsi="Arial"/>
          <w:sz w:val="15"/>
          <w:szCs w:val="15"/>
          <w:color w:val="auto"/>
        </w:rPr>
        <w:t>Ò</w:t>
      </w:r>
      <w:r>
        <w:rPr>
          <w:rFonts w:ascii="Arial" w:cs="Arial" w:eastAsia="Arial" w:hAnsi="Arial"/>
          <w:sz w:val="18"/>
          <w:szCs w:val="18"/>
          <w:color w:val="auto"/>
        </w:rPr>
        <w:t xml:space="preserve"> (rilonacept) product revenue, and investment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2008 and 2007</w:t>
      </w:r>
    </w:p>
    <w:p>
      <w:pPr>
        <w:spacing w:after="0" w:line="117" w:lineRule="exact"/>
        <w:rPr>
          <w:sz w:val="20"/>
          <w:szCs w:val="20"/>
          <w:color w:val="auto"/>
        </w:rPr>
      </w:pPr>
    </w:p>
    <w:p>
      <w:pPr>
        <w:ind w:right="280" w:firstLine="215"/>
        <w:spacing w:after="0" w:line="264" w:lineRule="auto"/>
        <w:rPr>
          <w:sz w:val="20"/>
          <w:szCs w:val="20"/>
          <w:color w:val="auto"/>
        </w:rPr>
      </w:pPr>
      <w:r>
        <w:rPr>
          <w:rFonts w:ascii="Arial" w:cs="Arial" w:eastAsia="Arial" w:hAnsi="Arial"/>
          <w:sz w:val="18"/>
          <w:szCs w:val="18"/>
          <w:color w:val="auto"/>
        </w:rPr>
        <w:t>At September 30, 2008, we had $692.9 million in cash, cash equivalents, restricted cash, and marketable securities compared with $846.3 million at December 31, 2007. In February and June 2008, we received $20.0 million annual, non-refundable payments in connection with our non-exclusive license agreements with AstraZeneca and Astellas,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Net cash used in operations was $53.2 million in the first nine months of 2008 compared to $23.4 million in the first nine months of 2007. Our net losses of $51.2 million in the first nine months of 2008 and $92.5 million in the first nine months of 2007 included $24.7 million and $20.5 million, respectively, of Non-cash Compensation Expense.</w:t>
      </w:r>
    </w:p>
    <w:p>
      <w:pPr>
        <w:spacing w:after="0" w:line="73"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At September 30, 2008, accounts receivable increased by $23.9 million, compared to end-of-year 2007, primarily due to a higher receivable balance related to our antibody collaboration with sanofi-aventis. Also, our deferred revenue balances at September 30, 2008 decreased by $10.1 million, compared to end-of-year 2007, primarily due to the amortization of previously received deferred payments under our collaborations with sanofi-aventis and Bayer HealthCare. This decrease was partly offset by (i) the receipt of the $20.0 million payments from AstraZeneca and Astella, as described above, which were deferred and are being recognized ratably over the ensuing year, and (ii) deferral of $3.8 million of ARCALYST net product sales at September 30, 2008, as described above.</w:t>
      </w:r>
    </w:p>
    <w:p>
      <w:pPr>
        <w:spacing w:after="0" w:line="85"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At September 30, 2007, our deferred revenue balances increased by $46.8 million, compared to end-of-year 2006, due, in part, to the initial $20.0 million up-front payments received from each of AstraZeneca and Astellas. These up-front payments have been recognized as revenue ratably over approximately the ensuing year of each non-exclusive license agreement. In addition, for the first nine months of 2007, the $20.0 million development milestone payment received from Bayer HealthCare in August 2007 and reimbursements from Bayer HealthCare of our 2007 VEGF Trap-Eye development expenses, totaling $12.9 million, were fully deferred and included in deferred revenue for financial statement purposes, as described above.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Net cash used in investing activities was $53.9 million in the first nine months of 2008, compared to $122.2 million in the same period of 2007, due primarily to a decrease in purchases of marketable securities net of sales or maturities. In the first nine months of 2008, purchases of marketable securities exceeded sales or maturities by $34.7 million, whereas in the first nine months of 2007, purchases of marketable securities exceeded sales or maturities by $114.5 million. In addition, cash used for capital expenditures totaled $19.1 million in the first nine months of 2008, partly in connection with expanding our manufacturing capacity at our Rensselaer, New York facilities and tenant improvements and related costs in connection with our new Tarrytown operating 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Cash used in financing activities was $77.1 million in the first nine months of 2008 compared to cash provided by financing activities of $5.2 million in the same period of 2007. In the first nine months of 2008, the Company repurchased $82.5 million in principal amount of our convertible senior subordinated notes for $83.3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Velocigene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Agreement with the sanofi-aventis Group</w:t>
      </w:r>
    </w:p>
    <w:p>
      <w:pPr>
        <w:spacing w:after="0" w:line="117" w:lineRule="exact"/>
        <w:rPr>
          <w:sz w:val="20"/>
          <w:szCs w:val="20"/>
          <w:color w:val="auto"/>
        </w:rPr>
      </w:pPr>
    </w:p>
    <w:p>
      <w:pPr>
        <w:ind w:right="220" w:firstLine="215"/>
        <w:spacing w:after="0" w:line="259" w:lineRule="auto"/>
        <w:rPr>
          <w:sz w:val="20"/>
          <w:szCs w:val="20"/>
          <w:color w:val="auto"/>
        </w:rPr>
      </w:pPr>
      <w:r>
        <w:rPr>
          <w:rFonts w:ascii="Arial" w:cs="Arial" w:eastAsia="Arial" w:hAnsi="Arial"/>
          <w:sz w:val="18"/>
          <w:szCs w:val="18"/>
          <w:color w:val="auto"/>
        </w:rPr>
        <w:t xml:space="preserve">As described above, in August 2008, we entered into an agreement with sanofi-aventis to use our proprietary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platform to supply sanofi-aventis with genetically modified mammalian models of gene function and disease. The agreement provides provisions for minimum annual order quantities for the term of the agreement, which extends through December 2012, for which we expect to receive payments totaling a minimum of $21.5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additions to property, plant, and equipment totaled $22.5 million and $7.9 million for the first nine months of 2008 and 2007, respectively. During the remainder of 2008, we expect to incur approximately $20 to $30 million in capital expenditures primarily in connection with expanding our manufacturing capacity at our Rensselaer facilities and tenant improvements and related costs in connection with our new Tarrytown operating lease. We expect that approximately $15 million of projected 2008 Tarrytown tenant improvement costs will be reimbursed by our landlord in connection with our new operating lease. We currently anticipate that other 2008 capital expenditures will be funded from our existing capital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In 2001, we issued $200.0 million aggregate principal amount of convertible senior subordinated notes, which bear interest at 5.5% per annum, payable semi-annually, and mature in October 2008. During the first nine months of 2008, we repurchased $82.5 million in principal amount of our notes for $83.3 million. The remaining $117.5 million of outstanding convertible notes were repaid in full upon their maturity in October 2008.</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Cellectis:</w:t>
      </w:r>
    </w:p>
    <w:p>
      <w:pPr>
        <w:spacing w:after="0" w:line="117" w:lineRule="exact"/>
        <w:rPr>
          <w:sz w:val="20"/>
          <w:szCs w:val="20"/>
          <w:color w:val="auto"/>
        </w:rPr>
      </w:pPr>
    </w:p>
    <w:p>
      <w:pPr>
        <w:ind w:right="60" w:firstLine="215"/>
        <w:spacing w:after="0" w:line="276" w:lineRule="auto"/>
        <w:rPr>
          <w:sz w:val="20"/>
          <w:szCs w:val="20"/>
          <w:color w:val="auto"/>
        </w:rPr>
      </w:pPr>
      <w:r>
        <w:rPr>
          <w:rFonts w:ascii="Arial" w:cs="Arial" w:eastAsia="Arial" w:hAnsi="Arial"/>
          <w:sz w:val="17"/>
          <w:szCs w:val="17"/>
          <w:color w:val="auto"/>
        </w:rPr>
        <w:t xml:space="preserve">As described above, in July 2008, we and Cellectis entered into an Amended and Restated Non-Exclusive License Agreement.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7"/>
          <w:szCs w:val="17"/>
          <w:i w:val="1"/>
          <w:iCs w:val="1"/>
          <w:color w:val="auto"/>
        </w:rPr>
        <w:t>VelociGene</w:t>
      </w:r>
      <w:r>
        <w:rPr>
          <w:rFonts w:ascii="Arial" w:cs="Arial" w:eastAsia="Arial" w:hAnsi="Arial"/>
          <w:sz w:val="14"/>
          <w:szCs w:val="14"/>
          <w:color w:val="auto"/>
        </w:rPr>
        <w:t>Ò</w:t>
      </w:r>
      <w:r>
        <w:rPr>
          <w:rFonts w:ascii="Arial" w:cs="Arial" w:eastAsia="Arial" w:hAnsi="Arial"/>
          <w:sz w:val="17"/>
          <w:szCs w:val="17"/>
          <w:color w:val="auto"/>
        </w:rPr>
        <w:t xml:space="preserve"> or </w:t>
      </w:r>
      <w:r>
        <w:rPr>
          <w:rFonts w:ascii="Arial" w:cs="Arial" w:eastAsia="Arial" w:hAnsi="Arial"/>
          <w:sz w:val="17"/>
          <w:szCs w:val="17"/>
          <w:i w:val="1"/>
          <w:iCs w:val="1"/>
          <w:color w:val="auto"/>
        </w:rPr>
        <w:t>VelocImmune</w:t>
      </w:r>
      <w:r>
        <w:rPr>
          <w:rFonts w:ascii="Arial" w:cs="Arial" w:eastAsia="Arial" w:hAnsi="Arial"/>
          <w:sz w:val="14"/>
          <w:szCs w:val="14"/>
          <w:color w:val="auto"/>
        </w:rPr>
        <w:t>Ò</w:t>
      </w:r>
      <w:r>
        <w:rPr>
          <w:rFonts w:ascii="Arial" w:cs="Arial" w:eastAsia="Arial" w:hAnsi="Arial"/>
          <w:sz w:val="17"/>
          <w:szCs w:val="17"/>
          <w:color w:val="auto"/>
        </w:rPr>
        <w:t xml:space="preserve"> products and services. No royalties are payable with respect to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agreements with AstraZeneca and Astellas or our November 2007 collaboration with sanofi-aventis. Moreover, no royalties are payable on any revenue from commercial sales of antibodies from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6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July 2008, we and Cellectis also entered into a Subscription Agreement pursuant to which we would purchase 368,301 ordinary shares of Cellectis at a price of EUR 8.63 per share (which is equivalent to $12.15 at the September 30</w:t>
      </w:r>
      <w:r>
        <w:rPr>
          <w:rFonts w:ascii="Arial" w:cs="Arial" w:eastAsia="Arial" w:hAnsi="Arial"/>
          <w:sz w:val="15"/>
          <w:szCs w:val="15"/>
          <w:color w:val="auto"/>
        </w:rPr>
        <w:t>th</w:t>
      </w:r>
      <w:r>
        <w:rPr>
          <w:rFonts w:ascii="Arial" w:cs="Arial" w:eastAsia="Arial" w:hAnsi="Arial"/>
          <w:sz w:val="18"/>
          <w:szCs w:val="18"/>
          <w:color w:val="auto"/>
        </w:rPr>
        <w:t xml:space="preserve"> EUR exchange rate). The purchase was contingent upon approval by the board of directors of Cellectis and by the shareholders of Cellectis. Such approval was obtained on October 30, 2008, and our purchase of the Cellectis shares will be completed in early November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Operating Lease — Tarrytown, New York Facilities:</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currently lease approximately 248,000 square feet of laboratory and office facilities in Tarrytown, New York. In December 2006, we entered into a new operating lease agreement (as amended in October 2007) to lease approximately 257,000 square feet of laboratory and office space at our current Tarrytown location, which includes approximately 27,000 square feet that would be retained from our current space and approximately 230,000 square feet in new facilities that are currently under construction and expected to be completed in mid-2009. In September 2008, we amended the operating lease agreement to increase the amount of retained space we will lease from approximately 27,000 square feet to approximately 118,000 square feet, for an amended total under the new lease of approximately 348,000 square feet. The term of the lease commenced effective June 2008 and will expire in June 2024. Other terms and conditions, as previously described in our Annual Report on Form 10-K for the year ended December 31, 2007, remain unchanged.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60" w:firstLine="222"/>
        <w:spacing w:after="0" w:line="291"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and repayment of our remaining outstanding convertible debt in October 2008, as described above, and exclusive of product revenues and costs in connection with ARCALYST</w:t>
      </w:r>
      <w:r>
        <w:rPr>
          <w:rFonts w:ascii="Arial" w:cs="Arial" w:eastAsia="Arial" w:hAnsi="Arial"/>
          <w:sz w:val="13"/>
          <w:szCs w:val="13"/>
          <w:color w:val="auto"/>
        </w:rPr>
        <w:t>®</w:t>
      </w:r>
      <w:r>
        <w:rPr>
          <w:rFonts w:ascii="Arial" w:cs="Arial" w:eastAsia="Arial" w:hAnsi="Arial"/>
          <w:sz w:val="16"/>
          <w:szCs w:val="16"/>
          <w:color w:val="auto"/>
        </w:rPr>
        <w:t xml:space="preserve"> (rilonacept) for the treatment of CAPS, we currently anticipate that approximately 55-65% of our expenditures for 2008 will be directed toward the preclinical and clinical development of product candidates, including ARCALYST in other indications, aflibercept, VEGF Trap-Eye, and monoclonal antibodies (including REGN88 and the Dll4 antibody); approximately 15-20% of our expenditures for 2008 will be applied to our basic research and early preclinical activities, and the remainder of our expenditures for 2008 will be used for the continued development of our novel technology platforms, capital expenditures, and general corporate purposes.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We currently anticipate that in 2008 the commercialization of ARCALYST</w:t>
      </w:r>
      <w:r>
        <w:rPr>
          <w:rFonts w:ascii="Arial" w:cs="Arial" w:eastAsia="Arial" w:hAnsi="Arial"/>
          <w:sz w:val="15"/>
          <w:szCs w:val="15"/>
          <w:color w:val="auto"/>
        </w:rPr>
        <w:t>Ò</w:t>
      </w:r>
      <w:r>
        <w:rPr>
          <w:rFonts w:ascii="Arial" w:cs="Arial" w:eastAsia="Arial" w:hAnsi="Arial"/>
          <w:sz w:val="18"/>
          <w:szCs w:val="18"/>
          <w:color w:val="auto"/>
        </w:rPr>
        <w:t xml:space="preserve"> (rilonacept) for the treatment of CAPS will not materially enhance or otherwise materially impact our cash flows.</w:t>
      </w:r>
    </w:p>
    <w:p>
      <w:pPr>
        <w:spacing w:after="0" w:line="62"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In connection with the amendment to our new operating lease agreement on our Tarrytown facilities, as described above, our funding requirements for operating leases, previously disclosed in our Annual Report on Form 10-K for the year ended December 31, 2007, will increase for (1) the two-year period beginning January 1, 2009, from $24.6 million to $27.5 million, (2) for the two-year period beginning January 1, 2011, from $29.7 million to $35.2 million, and (3) for fiscal years beginning January 1, 2013 and thereafter, from $193.6 million to $230.3 million.</w:t>
      </w:r>
    </w:p>
    <w:p>
      <w:pPr>
        <w:spacing w:after="0" w:line="63"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The amount we need to fund our operations will depend on various factors, including the status of competitive products, sales of ARCALYST,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Currently we are required to remit royalties on product sales of ARCALYST for the treatment of CAPS. In the future, if we are able to successfully develop, market, and sell ARCALYST for other indications or certain of our product candidates, we may be required to pay royalties or otherwise share the profits generated on such sales in connection with our collaboration and licensing agreements.</w:t>
      </w:r>
    </w:p>
    <w:p>
      <w:pPr>
        <w:spacing w:after="0" w:line="75"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believe that our existing capital resources, including funding we are entitled to receive under our collaboration and licensing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the continued commercialization of ARCALYST and the cost of selected preclinical and clinical development of our product candidates.</w:t>
      </w:r>
    </w:p>
    <w:p>
      <w:pPr>
        <w:spacing w:after="0" w:line="80"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Other than letters of credit totaling $1.7 million, including a $1.6 million letter of credit issued to our landlord in connection with our new operating lease for facilities in Tarrytown, New York, we have no off-balance sheet arrangements. In addition, we do not guarantee the obligations of any other entity. As of September 30, 2008, we had no established banking arrangements through which we could obtain short-term financing or a line of credit. In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21"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 xml:space="preserve">In November 2007, the Emerging Issues Task Force issued Statement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will be applied retrospectively as a change in accounting principle for collaborative arrangements existing at the effective date. We are required to adopt EITF 07-1 for the fiscal year beginning January 1, 2009. Our management does not anticipate that the adoption of EITF 07-1 will have a material impact on our financial statements.</w:t>
      </w:r>
    </w:p>
    <w:p>
      <w:pPr>
        <w:spacing w:after="0" w:line="70"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In March 2008, the FASB issued SFAS 161, </w:t>
      </w:r>
      <w:r>
        <w:rPr>
          <w:rFonts w:ascii="Arial" w:cs="Arial" w:eastAsia="Arial" w:hAnsi="Arial"/>
          <w:sz w:val="16"/>
          <w:szCs w:val="16"/>
          <w:i w:val="1"/>
          <w:iCs w:val="1"/>
          <w:color w:val="auto"/>
        </w:rPr>
        <w:t>Disclosures about Derivative Instruments and Hedging Activities — an Amendment of FASB Statement 133</w:t>
      </w:r>
      <w:r>
        <w:rPr>
          <w:rFonts w:ascii="Arial" w:cs="Arial" w:eastAsia="Arial" w:hAnsi="Arial"/>
          <w:sz w:val="16"/>
          <w:szCs w:val="16"/>
          <w:color w:val="auto"/>
        </w:rPr>
        <w:t xml:space="preserve">. SFAS 161 enhances required disclosures regarding derivatives and hedging activities, including enhanced disclosures regarding how (a) an entity uses derivative instruments, (b) derivative instruments and related hedged items are accounted for under SFAS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and (c) derivative instruments and related hedged items affect an entity’s financial position, financial performance, and cash flows. SFAS</w:t>
      </w:r>
      <w:r>
        <w:rPr>
          <w:rFonts w:ascii="Arial" w:cs="Arial" w:eastAsia="Arial" w:hAnsi="Arial"/>
          <w:sz w:val="16"/>
          <w:szCs w:val="16"/>
          <w:i w:val="1"/>
          <w:iCs w:val="1"/>
          <w:color w:val="auto"/>
        </w:rPr>
        <w:t xml:space="preserve"> </w:t>
      </w:r>
      <w:r>
        <w:rPr>
          <w:rFonts w:ascii="Arial" w:cs="Arial" w:eastAsia="Arial" w:hAnsi="Arial"/>
          <w:sz w:val="16"/>
          <w:szCs w:val="16"/>
          <w:color w:val="auto"/>
        </w:rPr>
        <w:t>161 is effective for fiscal years and interim periods beginning after November 15, 2008. We are required to adopt SFAS 161 for the fiscal year beginning January 1, 2009. Our management does not anticipate that the adoption of SFAS 161 will have a material impact on our financial statements.</w:t>
      </w:r>
    </w:p>
    <w:p>
      <w:pPr>
        <w:spacing w:after="0" w:line="5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In April 2008, the FASB issued FASB Staff Position (FSP)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This FSP amends the factors that should be considered in developing renewal or extension assumptions used to determine the useful life of a recognized intangible asset under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intent of this FSP is to improve the consistency between the useful life of a recognized intangible asset under</w:t>
      </w:r>
      <w:r>
        <w:rPr>
          <w:rFonts w:ascii="Arial" w:cs="Arial" w:eastAsia="Arial" w:hAnsi="Arial"/>
          <w:sz w:val="18"/>
          <w:szCs w:val="18"/>
          <w:i w:val="1"/>
          <w:iCs w:val="1"/>
          <w:color w:val="auto"/>
        </w:rPr>
        <w:t xml:space="preserve"> </w:t>
      </w:r>
      <w:r>
        <w:rPr>
          <w:rFonts w:ascii="Arial" w:cs="Arial" w:eastAsia="Arial" w:hAnsi="Arial"/>
          <w:sz w:val="18"/>
          <w:szCs w:val="18"/>
          <w:color w:val="auto"/>
        </w:rPr>
        <w:t>SFAS 142 and the period of expected cash flows used to measure the fair value of the asset under SFAS 141R, and other generally accepted accounting principles (GAAP). This FSP is effective for fiscal years beginning after December 15, 2008. Early adoption is prohibited. We are required to adopt FSP FAS 142-3 for the fiscal year beginning January 1, 2009. Our management does not anticipate that the adoption of this FSP will have a material impact on our 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In May 2008, the FASB issued SFAS 162,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162 identifies the sources of accounting principles and the framework for selecting the principles used in the preparation of financial statements of nongovernmental entities that are presented in conformity with GAAP in the United States. Any effect of applying the provisions of SFAS 162 shall be reported as a change in accounting principle in accordance with SFAS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SFAS 162 is effective November 15, 2008</w:t>
      </w:r>
      <w:r>
        <w:rPr>
          <w:rFonts w:ascii="Arial" w:cs="Arial" w:eastAsia="Arial" w:hAnsi="Arial"/>
          <w:sz w:val="18"/>
          <w:szCs w:val="18"/>
          <w:i w:val="1"/>
          <w:iCs w:val="1"/>
          <w:color w:val="auto"/>
        </w:rPr>
        <w:t>.</w:t>
      </w:r>
      <w:r>
        <w:rPr>
          <w:rFonts w:ascii="Arial" w:cs="Arial" w:eastAsia="Arial" w:hAnsi="Arial"/>
          <w:sz w:val="18"/>
          <w:szCs w:val="18"/>
          <w:color w:val="auto"/>
        </w:rPr>
        <w:t xml:space="preserve"> Our management does not anticipate that the adoption of SFAS 162 will have a material impact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Our earnings and cash flows are subject to fluctuations due to changes in interest rates primarily from our investment of available cash balances in U.S. government securities, corporate, and asset-backed securities. We do not believe we are materially exposed to changes in interest rates. Under our current policies, we do not use interest rate derivative instruments to manage exposure to interest rate changes. We estimated that a one percent unfavorable change in interest rates would result in approximately a $1.7 million and $2.2 million decrease in the fair value of our investment portfolio at September 30, 2008 and 2007, respectively. The decrease in the potential impact of an interest rate change at September 30, 2008 compared to September 30, 2007 is due primarily to decreases in our investment portfolio’s duration at the end of September 30, 2008 versus September 30,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the second half of 2007, we recognized a $5.9 million charge related to marketable securities from two issuers which we considered to be other than temporarily impaired in value. In the first nine months of 2008, an additional $0.5 million impairment charge was recognized related to one of these securities and a $1.7 million charge was recognized related to another marketable security which we considered to be other than temporarily impaired in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is accumulated and communicated to our management, including our chief executive officer and chief financial officer, as appropriate to allow timely decisions regarding required disclosure.</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2008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From inception on January 8, 1988 through September 30, 2008, we had a cumulative loss of $844.4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value of our marketable securities is influenced by varying economic and market conditions, and a decrease in their value may result in recognition of a loss charged against income.</w:t>
      </w:r>
    </w:p>
    <w:p>
      <w:pPr>
        <w:spacing w:after="0" w:line="62"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 xml:space="preserve">We have invested available cash balances primarily in U.S. government, corporate, and asset-backed securities, which we consider to be “available-for-sale,” as defined by SFAS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Marketable securities totaled $376.5 million, and represented 46% of our total assets at September 30, 2008. These assets are carried at fair value and the unrealized gains and losses are included in other accumulated comprehensive income (loss) as a separate component of stockholders’ equity. If the decline in the value of a marketable security in our investment portfolio is deemed to be other-than-temporary, we write down the security to its current fair value and recognize a loss that is charged against income.</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a quarterly basis, we review our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This review process also includes an evaluation of our ability and intent to hold individual securities until they mature or their full cost can be recovered. This review is subjective and requires a high degree of judgment.</w:t>
      </w:r>
    </w:p>
    <w:p>
      <w:pPr>
        <w:spacing w:after="0" w:line="80" w:lineRule="exact"/>
        <w:rPr>
          <w:sz w:val="20"/>
          <w:szCs w:val="20"/>
          <w:color w:val="auto"/>
        </w:rPr>
      </w:pPr>
    </w:p>
    <w:p>
      <w:pPr>
        <w:ind w:right="300" w:firstLine="215"/>
        <w:spacing w:after="0" w:line="276" w:lineRule="auto"/>
        <w:rPr>
          <w:sz w:val="20"/>
          <w:szCs w:val="20"/>
          <w:color w:val="auto"/>
        </w:rPr>
      </w:pPr>
      <w:r>
        <w:rPr>
          <w:rFonts w:ascii="Arial" w:cs="Arial" w:eastAsia="Arial" w:hAnsi="Arial"/>
          <w:sz w:val="17"/>
          <w:szCs w:val="17"/>
          <w:color w:val="auto"/>
        </w:rPr>
        <w:t>As a result of our quarterly reviews of our marketable securities portfolio, during the nine months ended September 30, 2008, we recorded charges for other-than-temporary impairment of our marketable securities totaling $2.3 million. However, the current economic environment, the deterioration in the credit quality of some of the issuers of securities that we hold, and the recent volatility of securities markets increase the risk that there may be further declines in the market value of marketable securities in our investment portfolio and that such declines may result in additional charges against income in future periods for other-than-temporary impairments, and such amounts may be material.</w:t>
      </w:r>
    </w:p>
    <w:p>
      <w:pPr>
        <w:spacing w:after="0" w:line="169" w:lineRule="exact"/>
        <w:rPr>
          <w:sz w:val="20"/>
          <w:szCs w:val="20"/>
          <w:color w:val="auto"/>
        </w:rPr>
      </w:pPr>
    </w:p>
    <w:p>
      <w:pPr>
        <w:ind w:right="4220"/>
        <w:spacing w:after="0" w:line="425" w:lineRule="auto"/>
        <w:rPr>
          <w:sz w:val="20"/>
          <w:szCs w:val="20"/>
          <w:color w:val="auto"/>
        </w:rPr>
      </w:pPr>
      <w:r>
        <w:rPr>
          <w:rFonts w:ascii="Arial" w:cs="Arial" w:eastAsia="Arial" w:hAnsi="Arial"/>
          <w:sz w:val="16"/>
          <w:szCs w:val="16"/>
          <w:b w:val="1"/>
          <w:bCs w:val="1"/>
          <w:color w:val="auto"/>
        </w:rPr>
        <w:t>Risks Related to ARCALYST</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(rilonacept) and the Development of Our Product Candidates </w:t>
      </w:r>
      <w:r>
        <w:rPr>
          <w:rFonts w:ascii="Arial" w:cs="Arial" w:eastAsia="Arial" w:hAnsi="Arial"/>
          <w:sz w:val="16"/>
          <w:szCs w:val="16"/>
          <w:b w:val="1"/>
          <w:bCs w:val="1"/>
          <w:i w:val="1"/>
          <w:iCs w:val="1"/>
          <w:color w:val="auto"/>
        </w:rPr>
        <w:t>Successful development of any of our product candidates is highly uncertain.</w:t>
      </w:r>
    </w:p>
    <w:p>
      <w:pPr>
        <w:spacing w:after="0" w:line="1"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Even if clinical trials demonstrate safety and effectiveness of 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5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are studying aflibercept, VEGF Trap-Eye, ARCALYST</w:t>
      </w:r>
      <w:r>
        <w:rPr>
          <w:rFonts w:ascii="Arial" w:cs="Arial" w:eastAsia="Arial" w:hAnsi="Arial"/>
          <w:sz w:val="14"/>
          <w:szCs w:val="14"/>
          <w:color w:val="auto"/>
        </w:rPr>
        <w:t>®</w:t>
      </w:r>
      <w:r>
        <w:rPr>
          <w:rFonts w:ascii="Arial" w:cs="Arial" w:eastAsia="Arial" w:hAnsi="Arial"/>
          <w:sz w:val="17"/>
          <w:szCs w:val="17"/>
          <w:color w:val="auto"/>
        </w:rPr>
        <w:t xml:space="preserve"> (rilonacept), and REGN88 in a wide variety of indications. We are studying aflibercept in a variety of cancer settings, VEGF Trap-Eye in different eye diseases and ophthalmologic indications, ARCALYST in a variety of systemic inflammatory disorders, and REGN88 in a phase 1 rheumatoid arthritis trial.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being, or are planned to be, studied. In fact, our product candidates may not demonstrate the requisite efficacy and safety profile to support the continued development for any of the indications or uses.</w:t>
      </w:r>
    </w:p>
    <w:p>
      <w:pPr>
        <w:spacing w:after="0" w:line="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58"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indication(s) could harm the development of our product candidate(s), and our business, financial condition, and results of operations may be materially harmed.</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5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84"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Our 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serious and potentially life-threatening risks, based on the clinical and preclinical experience of systemically delivered VEGF inhibitors, including the systemic delivery of the VEGF Trap, include bleeding, intestinal perforation,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include side effects that we have not yet seen in our trials such as heart attack and stroke. These and other complications or side effects could harm the development of aflibercept for the treatment of cancer or VEGF Trap-Eye for the treatment of diseases of the eye.</w:t>
      </w:r>
    </w:p>
    <w:p>
      <w:pPr>
        <w:spacing w:after="0" w:line="59"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We have tested ARCALYST</w:t>
      </w:r>
      <w:r>
        <w:rPr>
          <w:rFonts w:ascii="Arial" w:cs="Arial" w:eastAsia="Arial" w:hAnsi="Arial"/>
          <w:sz w:val="14"/>
          <w:szCs w:val="14"/>
          <w:color w:val="auto"/>
        </w:rPr>
        <w:t>®</w:t>
      </w:r>
      <w:r>
        <w:rPr>
          <w:rFonts w:ascii="Arial" w:cs="Arial" w:eastAsia="Arial" w:hAnsi="Arial"/>
          <w:sz w:val="17"/>
          <w:szCs w:val="17"/>
          <w:color w:val="auto"/>
        </w:rPr>
        <w:t xml:space="preserve"> (rilonacept) in only a small number of patients with CAPS. As more patients begin to use our product and as we test it in new disease settings, new risks and side effects associated with ARCALYST may be discovered, and risks previously viewed as inconsequential could be determined to be significant. Like cytokine antagonists such as Kineret</w:t>
      </w:r>
      <w:r>
        <w:rPr>
          <w:rFonts w:ascii="Arial" w:cs="Arial" w:eastAsia="Arial" w:hAnsi="Arial"/>
          <w:sz w:val="14"/>
          <w:szCs w:val="14"/>
          <w:color w:val="auto"/>
        </w:rPr>
        <w:t>®</w:t>
      </w:r>
      <w:r>
        <w:rPr>
          <w:rFonts w:ascii="Arial" w:cs="Arial" w:eastAsia="Arial" w:hAnsi="Arial"/>
          <w:sz w:val="17"/>
          <w:szCs w:val="17"/>
          <w:color w:val="auto"/>
        </w:rPr>
        <w:t xml:space="preserve"> (Amgen, Inc.), Enbrel</w:t>
      </w:r>
      <w:r>
        <w:rPr>
          <w:rFonts w:ascii="Arial" w:cs="Arial" w:eastAsia="Arial" w:hAnsi="Arial"/>
          <w:sz w:val="14"/>
          <w:szCs w:val="14"/>
          <w:color w:val="auto"/>
        </w:rPr>
        <w:t>Ò</w:t>
      </w:r>
      <w:r>
        <w:rPr>
          <w:rFonts w:ascii="Arial" w:cs="Arial" w:eastAsia="Arial" w:hAnsi="Arial"/>
          <w:sz w:val="17"/>
          <w:szCs w:val="17"/>
          <w:color w:val="auto"/>
        </w:rPr>
        <w:t xml:space="preserve"> (Immunex Corporation), and Remicade</w:t>
      </w:r>
      <w:r>
        <w:rPr>
          <w:rFonts w:ascii="Arial" w:cs="Arial" w:eastAsia="Arial" w:hAnsi="Arial"/>
          <w:sz w:val="14"/>
          <w:szCs w:val="14"/>
          <w:color w:val="auto"/>
        </w:rPr>
        <w:t>Ò</w:t>
      </w:r>
      <w:r>
        <w:rPr>
          <w:rFonts w:ascii="Arial" w:cs="Arial" w:eastAsia="Arial" w:hAnsi="Arial"/>
          <w:sz w:val="17"/>
          <w:szCs w:val="17"/>
          <w:color w:val="auto"/>
        </w:rPr>
        <w:t xml:space="preserve"> (Centocor, Inc.), ARCALYST affects the immune defense system of the body by blocking some of its functions. Therefore, ARCALYST may interfere with the body’s ability to fight infections. Treatment with Kineret</w:t>
      </w:r>
      <w:r>
        <w:rPr>
          <w:rFonts w:ascii="Arial" w:cs="Arial" w:eastAsia="Arial" w:hAnsi="Arial"/>
          <w:sz w:val="14"/>
          <w:szCs w:val="14"/>
          <w:color w:val="auto"/>
        </w:rPr>
        <w:t>®</w:t>
      </w:r>
      <w:r>
        <w:rPr>
          <w:rFonts w:ascii="Arial" w:cs="Arial" w:eastAsia="Arial" w:hAnsi="Arial"/>
          <w:sz w:val="17"/>
          <w:szCs w:val="17"/>
          <w:color w:val="auto"/>
        </w:rPr>
        <w:t xml:space="preserve"> (Amgen), a medication that works through the inhibition of IL-1, has been associated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 Nineteen of 55 subjects (35%) who 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REGN88,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15"/>
          <w:szCs w:val="15"/>
          <w:color w:val="auto"/>
        </w:rPr>
        <w:t>Ò</w:t>
      </w:r>
      <w:r>
        <w:rPr>
          <w:rFonts w:ascii="Arial" w:cs="Arial" w:eastAsia="Arial" w:hAnsi="Arial"/>
          <w:sz w:val="18"/>
          <w:szCs w:val="18"/>
          <w:color w:val="auto"/>
        </w:rPr>
        <w:t xml:space="preserve"> technology, either because of the way the antibodies are discovered or produced or because of a proprietary position covering an antibody or the antibody’s target.</w:t>
      </w:r>
    </w:p>
    <w:p>
      <w:pPr>
        <w:spacing w:after="0" w:line="80"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 compositions. Although we do not believe that aflibercept or VEGF Trap-Eye infringes any valid claim in these patents or patent applications, Genentech could initiate a lawsuit for patent infringement and assert that its patents are valid and cover aflibercept or VEGF Trap-Eye. Genentech may be motivated to initiate such a lawsuit at some point in an effort to impair our ability to develop and sell aflibercept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8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patents or patent applications, Roche could initiate a lawsuit for patent infringement and assert its patents are valid and cover REGN88.</w:t>
      </w:r>
    </w:p>
    <w:p>
      <w:pPr>
        <w:spacing w:after="0" w:line="117"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6"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cannot sell or market products without regulatory approval. Although we obtained regulatory approval for ARCALYST</w:t>
      </w:r>
      <w:r>
        <w:rPr>
          <w:rFonts w:ascii="Arial" w:cs="Arial" w:eastAsia="Arial" w:hAnsi="Arial"/>
          <w:sz w:val="15"/>
          <w:szCs w:val="15"/>
          <w:color w:val="auto"/>
        </w:rPr>
        <w:t>®</w:t>
      </w:r>
      <w:r>
        <w:rPr>
          <w:rFonts w:ascii="Arial" w:cs="Arial" w:eastAsia="Arial" w:hAnsi="Arial"/>
          <w:sz w:val="18"/>
          <w:szCs w:val="18"/>
          <w:color w:val="auto"/>
        </w:rPr>
        <w:t xml:space="preserve"> (rilonacept) for the treatment of CAPS in the United States, we may be unable to obtain regulatory approval of ARCALYST in any other country or in any other indication. Regulatory agencies outside the United States may require additional information or data with respect to any future submission for ARCALYST for the treatment of CAPS.</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If we do not obtain and maintain regulatory approval for our product candidates, including ARCALYST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recent FDA approval of ARCALYST for the treatment of CAPS, none of our product candidates has ever received regulatory approval to be marketed and sold in the United States or any other country. We may never receive regulatory approval for any of our product candidates.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 for the treatment of CAPS or any of our product candidates in those countries.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 that they have been injured by a side effect associated with the drug.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80" w:lineRule="exact"/>
        <w:rPr>
          <w:sz w:val="20"/>
          <w:szCs w:val="20"/>
          <w:color w:val="auto"/>
        </w:rPr>
      </w:pPr>
    </w:p>
    <w:p>
      <w:pPr>
        <w:ind w:right="640"/>
        <w:spacing w:after="0" w:line="211" w:lineRule="auto"/>
        <w:rPr>
          <w:sz w:val="20"/>
          <w:szCs w:val="20"/>
          <w:color w:val="auto"/>
        </w:rPr>
      </w:pPr>
      <w:r>
        <w:rPr>
          <w:rFonts w:ascii="Arial" w:cs="Arial" w:eastAsia="Arial" w:hAnsi="Arial"/>
          <w:sz w:val="18"/>
          <w:szCs w:val="18"/>
          <w:b w:val="1"/>
          <w:bCs w:val="1"/>
          <w:i w:val="1"/>
          <w:iCs w:val="1"/>
          <w:color w:val="auto"/>
        </w:rPr>
        <w:t>If we market and sell 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i w:val="1"/>
          <w:iCs w:val="1"/>
          <w:color w:val="auto"/>
        </w:rPr>
        <w:t xml:space="preserve"> (rilonacept) in a way that violates federal or state fraud and abuse laws, we may be subject to civil or criminal penalties.</w:t>
      </w:r>
    </w:p>
    <w:p>
      <w:pPr>
        <w:spacing w:after="0" w:line="9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80"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79"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39"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5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In recent years, several states and localities, including California, the District of Columbia, Massachussets,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right="260" w:firstLine="222"/>
        <w:spacing w:after="0" w:line="308" w:lineRule="auto"/>
        <w:rPr>
          <w:sz w:val="20"/>
          <w:szCs w:val="20"/>
          <w:color w:val="auto"/>
        </w:rPr>
      </w:pPr>
      <w:r>
        <w:rPr>
          <w:rFonts w:ascii="Arial" w:cs="Arial" w:eastAsia="Arial" w:hAnsi="Arial"/>
          <w:sz w:val="17"/>
          <w:szCs w:val="17"/>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2007, which report is included in our Annual Report on Form 10-K for the fiscal year ended December 31, 2007 which was filed with the Securities and Exchange Commission on February 27, 2008.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38"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rely heavily on the funding from sanofi-aventis to support our target discovery and antibody research and development programs. Sanofi-aventis has committed to pay up to $475.0 million between 2008 and 2012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trials, any regulatory responsibilities, and the ensuing commercialization efforts to support our antibody products. Sanofi-aventis may terminate the collaboration for our material breach or, in the case of the discovery agreement, if certain minimal criteria for the discovery program are not achieved by December 31, 2010.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73"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73" w:lineRule="exact"/>
        <w:rPr>
          <w:sz w:val="20"/>
          <w:szCs w:val="20"/>
          <w:color w:val="auto"/>
        </w:rPr>
      </w:pPr>
    </w:p>
    <w:p>
      <w:pPr>
        <w:jc w:val="both"/>
        <w:ind w:right="20" w:firstLine="222"/>
        <w:spacing w:after="0" w:line="312"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i w:val="1"/>
          <w:iCs w:val="1"/>
          <w:color w:val="auto"/>
        </w:rPr>
        <w:t xml:space="preserve"> (rilonacept) and our drug candidates.</w:t>
      </w:r>
    </w:p>
    <w:p>
      <w:pPr>
        <w:spacing w:after="0" w:line="2" w:lineRule="exact"/>
        <w:rPr>
          <w:sz w:val="20"/>
          <w:szCs w:val="20"/>
          <w:color w:val="auto"/>
        </w:rPr>
      </w:pPr>
    </w:p>
    <w:p>
      <w:pPr>
        <w:ind w:right="220" w:firstLine="222"/>
        <w:spacing w:after="0" w:line="271" w:lineRule="auto"/>
        <w:rPr>
          <w:sz w:val="20"/>
          <w:szCs w:val="20"/>
          <w:color w:val="auto"/>
        </w:rPr>
      </w:pPr>
      <w:r>
        <w:rPr>
          <w:rFonts w:ascii="Arial" w:cs="Arial" w:eastAsia="Arial" w:hAnsi="Arial"/>
          <w:sz w:val="17"/>
          <w:szCs w:val="17"/>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manufacture, development or ultimate commercialization of our product candidates.</w:t>
      </w:r>
    </w:p>
    <w:p>
      <w:pPr>
        <w:spacing w:after="0" w:line="69"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73"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70"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13"/>
          <w:szCs w:val="13"/>
          <w:color w:val="auto"/>
        </w:rPr>
        <w:t>®</w:t>
      </w:r>
      <w:r>
        <w:rPr>
          <w:rFonts w:ascii="Arial" w:cs="Arial" w:eastAsia="Arial" w:hAnsi="Arial"/>
          <w:sz w:val="16"/>
          <w:szCs w:val="16"/>
          <w:color w:val="auto"/>
        </w:rPr>
        <w:t xml:space="preserve"> (rilonacept)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Third-party supply failures or a business interruption at our manufacturing facility in Rensselaer, New York could adversely affect our ability to supply our products.</w:t>
      </w:r>
    </w:p>
    <w:p>
      <w:pPr>
        <w:spacing w:after="0" w:line="62" w:lineRule="exact"/>
        <w:rPr>
          <w:sz w:val="20"/>
          <w:szCs w:val="20"/>
          <w:color w:val="auto"/>
        </w:rPr>
      </w:pPr>
    </w:p>
    <w:p>
      <w:pPr>
        <w:jc w:val="both"/>
        <w:ind w:right="300" w:firstLine="222"/>
        <w:spacing w:after="0" w:line="264" w:lineRule="auto"/>
        <w:rPr>
          <w:sz w:val="20"/>
          <w:szCs w:val="20"/>
          <w:color w:val="auto"/>
        </w:rPr>
      </w:pPr>
      <w:r>
        <w:rPr>
          <w:rFonts w:ascii="Arial" w:cs="Arial" w:eastAsia="Arial" w:hAnsi="Arial"/>
          <w:sz w:val="18"/>
          <w:szCs w:val="18"/>
          <w:color w:val="auto"/>
        </w:rPr>
        <w:t>We manufacture all of our bulk drug materials for ARCALYST and our product candidates at our manufacturing facility in Rensselaer, New York. We would be unable to supply our product requirements if we were to cease production due to regulatory requirements or action, business interruptions, labor shortages or disputes, contaminations, or other problems at the facility.</w:t>
      </w:r>
    </w:p>
    <w:p>
      <w:pPr>
        <w:spacing w:after="0" w:line="7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business interruptions, or labor shortages or disputes. This, in turn, could materially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and adversely affect our ability to manufacture or supply ARCALYST or our product candidates for use in clinical trials, which could materially and adversely affect our business and future prospects.</w:t>
      </w:r>
    </w:p>
    <w:p>
      <w:pPr>
        <w:spacing w:after="0" w:line="62"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marketing and selling ARCALYST for the treatment of CAPS ourselves in the United States, primarily through third party service providers. We have no sales or distribution personnel in the United States and have only a small staff with commercial capabilities. We have no sales, marketing, commercial, or distribution capabilities outside the United States. If we are unable to obtain those capabilities, either by developing our own organizations or entering into agreements with service providers, we will not be able to successfully sell our products.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i w:val="1"/>
          <w:iCs w:val="1"/>
          <w:color w:val="auto"/>
        </w:rPr>
        <w:t xml:space="preserve"> (rilonacept) in this indication.</w:t>
      </w:r>
    </w:p>
    <w:p>
      <w:pPr>
        <w:spacing w:after="0" w:line="4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As a result, there may be too few patients with CAPS to profitably commercialize ARCALYST in this indication.</w:t>
      </w:r>
    </w:p>
    <w:p>
      <w:pPr>
        <w:spacing w:after="0" w:line="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with better or lower cost drugs.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Genentech has an approved VEGF antagonist, Avastin</w:t>
      </w:r>
      <w:r>
        <w:rPr>
          <w:rFonts w:ascii="Arial" w:cs="Arial" w:eastAsia="Arial" w:hAnsi="Arial"/>
          <w:sz w:val="14"/>
          <w:szCs w:val="14"/>
          <w:color w:val="auto"/>
        </w:rPr>
        <w:t>®</w:t>
      </w:r>
      <w:r>
        <w:rPr>
          <w:rFonts w:ascii="Arial" w:cs="Arial" w:eastAsia="Arial" w:hAnsi="Arial"/>
          <w:sz w:val="17"/>
          <w:szCs w:val="17"/>
          <w:color w:val="auto"/>
        </w:rPr>
        <w:t xml:space="preserve"> (beracizumab) (Genentech), on the market for treating certain cancers and many different pharmaceutical and biotechnology companies are working to develop competing VEGF antagonists, including Novartis, OSI Pharmaceuticals, Inc., and Pfizer, Inc. Many of these molecules are farther along in development than aflibercept and may offer competitive advantages over our molecule. Novartis has an ongoing Phase 3 clinical development program evaluating an orally delivered VEGF tyrosine kinase inhibitor in different cancer settings. Each of Pfizer and Onyx Pharmaceuticals, Inc., (together with its partner Bayer HealthCare) has received approval from the FDA to market and sell an oral medication that targets tumor cell growth and new vasculature formation that fuels the growth of tumors. The marketing approvals for Genentech’s VEGF antagonist, Avastin</w:t>
      </w:r>
      <w:r>
        <w:rPr>
          <w:rFonts w:ascii="Arial" w:cs="Arial" w:eastAsia="Arial" w:hAnsi="Arial"/>
          <w:sz w:val="14"/>
          <w:szCs w:val="14"/>
          <w:color w:val="auto"/>
        </w:rPr>
        <w:t>®</w:t>
      </w:r>
      <w:r>
        <w:rPr>
          <w:rFonts w:ascii="Arial" w:cs="Arial" w:eastAsia="Arial" w:hAnsi="Arial"/>
          <w:sz w:val="17"/>
          <w:szCs w:val="17"/>
          <w:color w:val="auto"/>
        </w:rPr>
        <w:t xml:space="preserve"> (Genentech), and their extensive, ongoing clinical development plan for Avastin</w:t>
      </w:r>
      <w:r>
        <w:rPr>
          <w:rFonts w:ascii="Arial" w:cs="Arial" w:eastAsia="Arial" w:hAnsi="Arial"/>
          <w:sz w:val="14"/>
          <w:szCs w:val="14"/>
          <w:color w:val="auto"/>
        </w:rPr>
        <w:t>®</w:t>
      </w:r>
      <w:r>
        <w:rPr>
          <w:rFonts w:ascii="Arial" w:cs="Arial" w:eastAsia="Arial" w:hAnsi="Arial"/>
          <w:sz w:val="17"/>
          <w:szCs w:val="17"/>
          <w:color w:val="auto"/>
        </w:rPr>
        <w:t xml:space="preserve"> (Genentech)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w:t>
      </w:r>
      <w:r>
        <w:rPr>
          <w:rFonts w:ascii="Arial" w:cs="Arial" w:eastAsia="Arial" w:hAnsi="Arial"/>
          <w:sz w:val="14"/>
          <w:szCs w:val="14"/>
          <w:color w:val="auto"/>
        </w:rPr>
        <w:t>®</w:t>
      </w:r>
      <w:r>
        <w:rPr>
          <w:rFonts w:ascii="Arial" w:cs="Arial" w:eastAsia="Arial" w:hAnsi="Arial"/>
          <w:sz w:val="17"/>
          <w:szCs w:val="17"/>
          <w:color w:val="auto"/>
        </w:rPr>
        <w:t xml:space="preserve">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72"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ranibizumab (Lucentis</w:t>
      </w:r>
      <w:r>
        <w:rPr>
          <w:rFonts w:ascii="Arial" w:cs="Arial" w:eastAsia="Arial" w:hAnsi="Arial"/>
          <w:sz w:val="13"/>
          <w:szCs w:val="13"/>
          <w:color w:val="auto"/>
        </w:rPr>
        <w:t>®</w:t>
      </w:r>
      <w:r>
        <w:rPr>
          <w:rFonts w:ascii="Arial" w:cs="Arial" w:eastAsia="Arial" w:hAnsi="Arial"/>
          <w:sz w:val="16"/>
          <w:szCs w:val="16"/>
          <w:color w:val="auto"/>
        </w:rPr>
        <w:t>), for the treatment of age-related macular degeneration (wet AMD) and other eye indications that was approved by the FDA in June 2006.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reformatted version of Genentech’s approved VEGF antagonist, Avastin</w:t>
      </w:r>
      <w:r>
        <w:rPr>
          <w:rFonts w:ascii="Arial" w:cs="Arial" w:eastAsia="Arial" w:hAnsi="Arial"/>
          <w:sz w:val="13"/>
          <w:szCs w:val="13"/>
          <w:color w:val="auto"/>
        </w:rPr>
        <w:t>®</w:t>
      </w:r>
      <w:r>
        <w:rPr>
          <w:rFonts w:ascii="Arial" w:cs="Arial" w:eastAsia="Arial" w:hAnsi="Arial"/>
          <w:sz w:val="16"/>
          <w:szCs w:val="16"/>
          <w:color w:val="auto"/>
        </w:rPr>
        <w:t>, with success for the treatment of wet AMD. The National Eye Institute has initiated a Phase 3 trial comparing Lucentis</w:t>
      </w:r>
      <w:r>
        <w:rPr>
          <w:rFonts w:ascii="Arial" w:cs="Arial" w:eastAsia="Arial" w:hAnsi="Arial"/>
          <w:sz w:val="13"/>
          <w:szCs w:val="13"/>
          <w:color w:val="auto"/>
        </w:rPr>
        <w:t>®</w:t>
      </w:r>
      <w:r>
        <w:rPr>
          <w:rFonts w:ascii="Arial" w:cs="Arial" w:eastAsia="Arial" w:hAnsi="Arial"/>
          <w:sz w:val="16"/>
          <w:szCs w:val="16"/>
          <w:color w:val="auto"/>
        </w:rPr>
        <w:t xml:space="preserve"> (Genentech) to Avastin</w:t>
      </w:r>
      <w:r>
        <w:rPr>
          <w:rFonts w:ascii="Arial" w:cs="Arial" w:eastAsia="Arial" w:hAnsi="Arial"/>
          <w:sz w:val="13"/>
          <w:szCs w:val="13"/>
          <w:color w:val="auto"/>
        </w:rPr>
        <w:t>®</w:t>
      </w:r>
      <w:r>
        <w:rPr>
          <w:rFonts w:ascii="Arial" w:cs="Arial" w:eastAsia="Arial" w:hAnsi="Arial"/>
          <w:sz w:val="16"/>
          <w:szCs w:val="16"/>
          <w:color w:val="auto"/>
        </w:rPr>
        <w:t xml:space="preserve"> (Genentech) in the treatment of wet AMD. The marketing approval of Lucentis</w:t>
      </w:r>
      <w:r>
        <w:rPr>
          <w:rFonts w:ascii="Arial" w:cs="Arial" w:eastAsia="Arial" w:hAnsi="Arial"/>
          <w:sz w:val="13"/>
          <w:szCs w:val="13"/>
          <w:color w:val="auto"/>
        </w:rPr>
        <w:t>®</w:t>
      </w:r>
      <w:r>
        <w:rPr>
          <w:rFonts w:ascii="Arial" w:cs="Arial" w:eastAsia="Arial" w:hAnsi="Arial"/>
          <w:sz w:val="16"/>
          <w:szCs w:val="16"/>
          <w:color w:val="auto"/>
        </w:rPr>
        <w:t xml:space="preserve"> (Genentech) and the potential off-label use of Avastin</w:t>
      </w:r>
      <w:r>
        <w:rPr>
          <w:rFonts w:ascii="Arial" w:cs="Arial" w:eastAsia="Arial" w:hAnsi="Arial"/>
          <w:sz w:val="13"/>
          <w:szCs w:val="13"/>
          <w:color w:val="auto"/>
        </w:rPr>
        <w:t>®</w:t>
      </w:r>
      <w:r>
        <w:rPr>
          <w:rFonts w:ascii="Arial" w:cs="Arial" w:eastAsia="Arial" w:hAnsi="Arial"/>
          <w:sz w:val="16"/>
          <w:szCs w:val="16"/>
          <w:color w:val="auto"/>
        </w:rPr>
        <w:t xml:space="preserve"> (Genentech) make it more difficult for us to enroll patients in our clinical trials and successfully develop VEGF Trap-Eye. Even if VEGF Trap-Eye is ever approved for sale for the treatment of eye diseases, it may be difficult for our drug to compete against Lucentis</w:t>
      </w:r>
      <w:r>
        <w:rPr>
          <w:rFonts w:ascii="Arial" w:cs="Arial" w:eastAsia="Arial" w:hAnsi="Arial"/>
          <w:sz w:val="13"/>
          <w:szCs w:val="13"/>
          <w:color w:val="auto"/>
        </w:rPr>
        <w:t>®</w:t>
      </w:r>
      <w:r>
        <w:rPr>
          <w:rFonts w:ascii="Arial" w:cs="Arial" w:eastAsia="Arial" w:hAnsi="Arial"/>
          <w:sz w:val="16"/>
          <w:szCs w:val="16"/>
          <w:color w:val="auto"/>
        </w:rPr>
        <w:t xml:space="preserve"> (Genentech), because doctors and patients will have significant experience using this medicine. Moreover, the relatively low cost of therapy with Avastin</w:t>
      </w:r>
      <w:r>
        <w:rPr>
          <w:rFonts w:ascii="Arial" w:cs="Arial" w:eastAsia="Arial" w:hAnsi="Arial"/>
          <w:sz w:val="13"/>
          <w:szCs w:val="13"/>
          <w:color w:val="auto"/>
        </w:rPr>
        <w:t>®</w:t>
      </w:r>
      <w:r>
        <w:rPr>
          <w:rFonts w:ascii="Arial" w:cs="Arial" w:eastAsia="Arial" w:hAnsi="Arial"/>
          <w:sz w:val="16"/>
          <w:szCs w:val="16"/>
          <w:color w:val="auto"/>
        </w:rPr>
        <w:t xml:space="preserve"> (Genentech) in patients with wet AMD presents a further competitive challenge in this indication.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(Immunex),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 Laboratories), and the IL-1 receptor antagonist Kineret</w:t>
      </w:r>
      <w:r>
        <w:rPr>
          <w:rFonts w:ascii="Arial" w:cs="Arial" w:eastAsia="Arial" w:hAnsi="Arial"/>
          <w:sz w:val="14"/>
          <w:szCs w:val="14"/>
          <w:color w:val="auto"/>
        </w:rPr>
        <w:t>®</w:t>
      </w:r>
      <w:r>
        <w:rPr>
          <w:rFonts w:ascii="Arial" w:cs="Arial" w:eastAsia="Arial" w:hAnsi="Arial"/>
          <w:sz w:val="17"/>
          <w:szCs w:val="17"/>
          <w:color w:val="auto"/>
        </w:rPr>
        <w:t xml:space="preserve"> (Amgen), and other marketed therapies makes it more difficult to successfully develop and commercialize ARCALYST.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 such as requiring fewer injections.</w:t>
      </w:r>
    </w:p>
    <w:p>
      <w:pPr>
        <w:spacing w:after="0" w:line="70" w:lineRule="exact"/>
        <w:rPr>
          <w:sz w:val="20"/>
          <w:szCs w:val="20"/>
          <w:color w:val="auto"/>
        </w:rPr>
      </w:pPr>
    </w:p>
    <w:p>
      <w:pPr>
        <w:ind w:right="180" w:firstLine="222"/>
        <w:spacing w:after="0" w:line="272"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interleukin-1 or inhibit the signaling of interleukin-1. For example, Eli Lilly and Company, Xoma Ltd., and Novartis are each developing antibodies to interleukin-1 and Amgen is developing an antibody to the interleukin-1 receptor. Novartis has commenced advanced clinical testing of its IL-1 antibody in Muckle-Wells Syndrome, which is part of the group of rare genetic diseases called CAPS. Novartis recently announced that its IL-1 antibody demonstrated long-lasting clinical remission in patients with CAPS and that its clinical candidate could develop into a major therapeutic advance in the treatment of CAPS. Novartis’ IL-1 antibody and these other drug candidates could offer competitive advantages over ARCALYST. The successful development of these competing molecules could impair our ability to successfully commercialize ARCALYST.</w:t>
      </w:r>
    </w:p>
    <w:p>
      <w:pPr>
        <w:spacing w:after="0" w:line="7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are developing REGN88 for the treatment of rheumatoid arthritis. 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(Immunex),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 and other marketed therapies makes it more difficult to successfully develop and commercialize REGN88. REGN88 is a human monoclonal antibody targeting the interleukin-6 receptor. Roche is developing an antibody against the interleukin-6 (IL-6) receptor. Roche’s antibody has completed Phase 3 clinical trials and is the subject of a filed Biologics License Application with the FDA. Roche’s IL-6 receptor antibody, other clinical candidates in development, and drugs now or in the future on the market to treat rheumatoid arthritis could offer competitive advantages over REGN88. This could delay or impair our ability to successfully develop and commercialize REGN88.</w:t>
      </w:r>
    </w:p>
    <w:p>
      <w:pPr>
        <w:spacing w:after="0" w:line="70"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3"/>
          <w:szCs w:val="23"/>
          <w:b w:val="1"/>
          <w:b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95"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Our product candidates, if commercialized, may be significantly more expensive than traditional drug treatments. For example, we have announced plans to initiate a Phase 3 program studying the use of ARCALYST for the treatment of gout flares in patients initiating urate-lowering drug therapy. Patients suffering from this disease are currently treated with inexpensive therapies, including non-steroidal 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64"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We market and sell ARCALYST</w:t>
      </w:r>
      <w:r>
        <w:rPr>
          <w:rFonts w:ascii="Arial" w:cs="Arial" w:eastAsia="Arial" w:hAnsi="Arial"/>
          <w:sz w:val="15"/>
          <w:szCs w:val="15"/>
          <w:color w:val="auto"/>
        </w:rPr>
        <w:t>®</w:t>
      </w:r>
      <w:r>
        <w:rPr>
          <w:rFonts w:ascii="Arial" w:cs="Arial" w:eastAsia="Arial" w:hAnsi="Arial"/>
          <w:sz w:val="18"/>
          <w:szCs w:val="18"/>
          <w:color w:val="auto"/>
        </w:rPr>
        <w:t xml:space="preserve"> (rilonacept) in the United States for the treatment of a group of rare genetic disorders called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79"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Since ARCALYST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79"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unsuccessful commercialization of ARCALYST</w:t>
      </w:r>
      <w:r>
        <w:rPr>
          <w:rFonts w:ascii="Arial" w:cs="Arial" w:eastAsia="Arial" w:hAnsi="Arial"/>
          <w:sz w:val="15"/>
          <w:szCs w:val="15"/>
          <w:color w:val="auto"/>
        </w:rPr>
        <w:t>®</w:t>
      </w:r>
      <w:r>
        <w:rPr>
          <w:rFonts w:ascii="Arial" w:cs="Arial" w:eastAsia="Arial" w:hAnsi="Arial"/>
          <w:sz w:val="18"/>
          <w:szCs w:val="18"/>
          <w:color w:val="auto"/>
        </w:rPr>
        <w:t xml:space="preserve"> (rilonacept) for the treatment of CAPS;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ARCALYST or any of our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 small number of our shareholders beneficially own a substantial amount of our common stock. As of September 30, 2008, our five largest shareholders plus Leonard S. Schleifer, M.D.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Ph.D., our Chief Executive Officer, beneficially owned 54.7% of our outstanding shares of Common Stock, assuming, in the case of our Chief Executive Officer, the conversion of his Class A Stock into Common Stock and the exercise of all options held by him which are exercisable within 60 days of September 30, 2008. As of September 30, 2008, sanofi-aventis beneficially owned 14,799,552 shares of Common Stock, representing approximately 19.1% of the shares of Common Stock then outstanding. Under our investor agreement with sanofi-aventis, sanofi-aventis may not sell these shares until December 20, 2012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2008, holders of Class A Stock held 22.6%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us taking corporate actions that you may not consider to be in your best interest and may affect the price of our Common Stock. As of September 30, 2008:</w:t>
      </w:r>
    </w:p>
    <w:p>
      <w:pPr>
        <w:spacing w:after="0" w:line="70" w:lineRule="exact"/>
        <w:rPr>
          <w:sz w:val="20"/>
          <w:szCs w:val="20"/>
          <w:color w:val="auto"/>
        </w:rPr>
      </w:pPr>
    </w:p>
    <w:p>
      <w:pPr>
        <w:ind w:left="660" w:right="60" w:hanging="436"/>
        <w:spacing w:after="0" w:line="279"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our current executive officers and directors beneficially owned 12.3% of our outstanding shares of Common Stock, assuming conversion of their Class A Stock into Common Stock and the exercise of all options held by such persons which are exercisable within 60 days of September 30, 2008, and 27.3% of the combined voting power of our outstanding shares of Common Stock and Class A Stock, assuming the exercise of all options held by such persons which are exercisable within 60 days of September 30, 2008; and</w:t>
      </w:r>
    </w:p>
    <w:p>
      <w:pPr>
        <w:spacing w:after="0" w:line="76" w:lineRule="exact"/>
        <w:rPr>
          <w:rFonts w:ascii="Arial" w:cs="Arial" w:eastAsia="Arial" w:hAnsi="Arial"/>
          <w:sz w:val="17"/>
          <w:szCs w:val="17"/>
          <w:b w:val="1"/>
          <w:bCs w:val="1"/>
          <w:color w:val="auto"/>
        </w:rPr>
      </w:pPr>
    </w:p>
    <w:p>
      <w:pPr>
        <w:ind w:left="660" w:right="220" w:hanging="436"/>
        <w:spacing w:after="0" w:line="276"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our five largest shareholders plus Leonard S. Schleifer, M.D., Ph.D., our Chief Executive Officer, beneficially owned 54.7% of our outstanding shares of Common Stock, assuming, in the case of our Chief Executive Officer, the conversion of his Class A Stock into Common Stock and the exercise of all options held by him which are exercisable within 60 days of September 30, 2008. In addition, these six shareholders held 58.6% of the combined voting power of our outstanding shares of Common Stock and Class A Stock, assuming the exercise of all options held by our Chief Executive Officer which are exercisable within 60 days of September 30, 2008.</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6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0" w:lineRule="exact"/>
        <w:rPr>
          <w:sz w:val="20"/>
          <w:szCs w:val="20"/>
          <w:color w:val="auto"/>
        </w:rPr>
      </w:pPr>
    </w:p>
    <w:p>
      <w:pPr>
        <w:ind w:left="660" w:right="1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4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160" w:hanging="436"/>
        <w:spacing w:after="0" w:line="308"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660" w:right="8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75" w:lineRule="exact"/>
        <w:rPr>
          <w:rFonts w:ascii="Arial" w:cs="Arial" w:eastAsia="Arial" w:hAnsi="Arial"/>
          <w:sz w:val="18"/>
          <w:szCs w:val="18"/>
          <w:b w:val="1"/>
          <w:bCs w:val="1"/>
          <w:color w:val="auto"/>
        </w:rPr>
      </w:pPr>
    </w:p>
    <w:p>
      <w:pPr>
        <w:ind w:left="660" w:right="380" w:hanging="436"/>
        <w:spacing w:after="0" w:line="259"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Class A Stock and Common Stock (taken together) or otherwise seeking to obtain control of the Company.</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5.5% Convertible Senior Subordinated Notes due October 17,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Total principal</w:t>
            </w:r>
          </w:p>
        </w:tc>
        <w:tc>
          <w:tcPr>
            <w:tcW w:w="3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principal</w:t>
            </w:r>
          </w:p>
        </w:tc>
        <w:tc>
          <w:tcPr>
            <w:tcW w:w="32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3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amount purchased as</w:t>
            </w:r>
          </w:p>
        </w:tc>
        <w:tc>
          <w:tcPr>
            <w:tcW w:w="3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3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per $1,000</w:t>
            </w:r>
          </w:p>
        </w:tc>
        <w:tc>
          <w:tcPr>
            <w:tcW w:w="3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 plans or</w:t>
            </w:r>
          </w:p>
        </w:tc>
        <w:tc>
          <w:tcPr>
            <w:tcW w:w="3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 (1)</w:t>
            </w:r>
          </w:p>
        </w:tc>
        <w:tc>
          <w:tcPr>
            <w:tcW w:w="32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principal amount</w:t>
            </w:r>
          </w:p>
        </w:tc>
        <w:tc>
          <w:tcPr>
            <w:tcW w:w="32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3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July 1, 2008 to July 31, 2008</w:t>
            </w:r>
          </w:p>
        </w:tc>
        <w:tc>
          <w:tcPr>
            <w:tcW w:w="18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$1,150,000</w:t>
            </w:r>
          </w:p>
        </w:tc>
        <w:tc>
          <w:tcPr>
            <w:tcW w:w="18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$1,005.00</w:t>
            </w:r>
          </w:p>
        </w:tc>
        <w:tc>
          <w:tcPr>
            <w:tcW w:w="2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$1,150,000</w:t>
            </w:r>
          </w:p>
        </w:tc>
        <w:tc>
          <w:tcPr>
            <w:tcW w:w="21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$117,503,000</w:t>
            </w:r>
          </w:p>
        </w:tc>
        <w:tc>
          <w:tcPr>
            <w:tcW w:w="0" w:type="dxa"/>
            <w:vAlign w:val="bottom"/>
          </w:tcPr>
          <w:p>
            <w:pPr>
              <w:spacing w:after="0"/>
              <w:rPr>
                <w:sz w:val="1"/>
                <w:szCs w:val="1"/>
                <w:color w:val="auto"/>
              </w:rPr>
            </w:pP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color w:val="auto"/>
              </w:rPr>
              <w:t>August 1, 2008 to August 31, 2008</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2008 to September 30, 2008</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2008, through privately negotiated transactions, we repurchased $1,150,000 aggregate principal amount of our 5.5% Convertible Senior Subordinated Notes due October 17, 2008 (the “Notes”). The redemption price was $1,005 per $1,000 principal amount outstanding, plus $13.29 of accrued but unpaid interest per $1,000 principal amount outstanding. As previously disclosed in our Current Report on Form 8-K filed with the Securities and Exchange Commission on June 4, 2008, our board of directors previously authorized the repurchase of up to the then remaining $150.0 million in outstanding Notes. The remaining $117.5 million of outstanding Notes disclosed in the table above were repaid in full upon their maturity in October 2008.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98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9480" w:type="dxa"/>
            <w:vAlign w:val="bottom"/>
          </w:tcPr>
          <w:p>
            <w:pPr>
              <w:ind w:left="140"/>
              <w:spacing w:after="0"/>
              <w:rPr>
                <w:sz w:val="20"/>
                <w:szCs w:val="20"/>
                <w:color w:val="auto"/>
              </w:rPr>
            </w:pPr>
            <w:r>
              <w:rPr>
                <w:rFonts w:ascii="Arial" w:cs="Arial" w:eastAsia="Arial" w:hAnsi="Arial"/>
                <w:sz w:val="18"/>
                <w:szCs w:val="18"/>
                <w:color w:val="auto"/>
                <w:w w:val="94"/>
              </w:rPr>
              <w:t>—   Amended and Restated Non-Exclusive License Agreement, dated as of July 1, 2008 by and between Cellectis, S.A.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tcPr>
          <w:p>
            <w:pPr>
              <w:ind w:left="580"/>
              <w:spacing w:after="0"/>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9480" w:type="dxa"/>
            <w:vAlign w:val="bottom"/>
          </w:tcPr>
          <w:p>
            <w:pPr>
              <w:ind w:left="140"/>
              <w:spacing w:after="0"/>
              <w:rPr>
                <w:sz w:val="20"/>
                <w:szCs w:val="20"/>
                <w:color w:val="auto"/>
              </w:rPr>
            </w:pPr>
            <w:r>
              <w:rPr>
                <w:rFonts w:ascii="Arial" w:cs="Arial" w:eastAsia="Arial" w:hAnsi="Arial"/>
                <w:sz w:val="18"/>
                <w:szCs w:val="18"/>
                <w:color w:val="auto"/>
                <w:w w:val="94"/>
              </w:rPr>
              <w:t>—   Subscription Agreement, dated as of July 1, 2008 by and between Cellectis, S.A. and Regeneron Pharmaceuticals,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w w:val="94"/>
              </w:rPr>
              <w:t>—   Second Amendment to Lease, by and between BMR-Landmark at Eastview LLC and Regeneron Pharmaceuticals,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tcPr>
          <w:p>
            <w:pPr>
              <w:ind w:left="580"/>
              <w:spacing w:after="0"/>
              <w:rPr>
                <w:sz w:val="20"/>
                <w:szCs w:val="20"/>
                <w:color w:val="auto"/>
              </w:rPr>
            </w:pPr>
            <w:r>
              <w:rPr>
                <w:rFonts w:ascii="Arial" w:cs="Arial" w:eastAsia="Arial" w:hAnsi="Arial"/>
                <w:sz w:val="18"/>
                <w:szCs w:val="18"/>
                <w:color w:val="auto"/>
              </w:rPr>
              <w:t>effective as of September 30, 2008.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   Statement re: computation of ratio of earnings to combined fixed charges.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c>
          <w:tcPr>
            <w:tcW w:w="0" w:type="dxa"/>
            <w:vAlign w:val="bottom"/>
          </w:tcPr>
          <w:p>
            <w:pPr>
              <w:spacing w:after="0"/>
              <w:rPr>
                <w:sz w:val="1"/>
                <w:szCs w:val="1"/>
                <w:color w:val="auto"/>
              </w:rPr>
            </w:pPr>
          </w:p>
        </w:tc>
      </w:tr>
      <w:tr>
        <w:trPr>
          <w:trHeight w:val="212"/>
        </w:trPr>
        <w:tc>
          <w:tcPr>
            <w:tcW w:w="13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   Certification of CEO and CFO pursuant to 18 U.S.C. Section 1350.</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436"/>
        <w:spacing w:after="0"/>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Incorporated by reference from the Form 10-Q for Regeneron Pharmaceuticals, Inc., for the quarter ended June 30, 2008, filed August 1, 2008.</w:t>
      </w:r>
    </w:p>
    <w:p>
      <w:pPr>
        <w:spacing w:after="0" w:line="398" w:lineRule="exact"/>
        <w:rPr>
          <w:rFonts w:ascii="Arial" w:cs="Arial" w:eastAsia="Arial" w:hAnsi="Arial"/>
          <w:sz w:val="17"/>
          <w:szCs w:val="17"/>
          <w:color w:val="auto"/>
        </w:rPr>
      </w:pPr>
    </w:p>
    <w:p>
      <w:pPr>
        <w:ind w:left="460" w:right="480" w:hanging="446"/>
        <w:spacing w:after="0" w:line="277" w:lineRule="auto"/>
        <w:rPr>
          <w:rFonts w:ascii="Arial" w:cs="Arial" w:eastAsia="Arial" w:hAnsi="Arial"/>
          <w:sz w:val="17"/>
          <w:szCs w:val="17"/>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303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November 5, 2008</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Murray A. Goldberg</w:t>
            </w: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 Finance &amp; Administration,</w:t>
            </w: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 Treasurer, and</w:t>
            </w: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621"/>
        </w:trPr>
        <w:tc>
          <w:tcPr>
            <w:tcW w:w="3580" w:type="dxa"/>
            <w:vAlign w:val="bottom"/>
          </w:tcPr>
          <w:p>
            <w:pPr>
              <w:spacing w:after="0"/>
              <w:rPr>
                <w:sz w:val="24"/>
                <w:szCs w:val="24"/>
                <w:color w:val="auto"/>
              </w:rPr>
            </w:pPr>
          </w:p>
        </w:tc>
        <w:tc>
          <w:tcPr>
            <w:tcW w:w="6160" w:type="dxa"/>
            <w:vAlign w:val="bottom"/>
            <w:gridSpan w:val="2"/>
          </w:tcPr>
          <w:p>
            <w:pPr>
              <w:jc w:val="right"/>
              <w:ind w:right="385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280"/>
          </w:cols>
          <w:pgMar w:left="240" w:top="419" w:right="3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121"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THIS SECOND AMENDMENT TO LEASE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this 30th day of September, 2008, by and between BMR-LANDMARK AT EASTVIEW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REGENERON PHARMACEUTICALS, INC., a New York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 WHEREAS, Landlord and Tenant entered into that certain Lease dated as of December 21, 2006, as amended by that certain First Amendment to Lease dated as of October 24, 2007 (collectively, the “</w:t>
      </w:r>
      <w:r>
        <w:rPr>
          <w:rFonts w:ascii="Arial" w:cs="Arial" w:eastAsia="Arial" w:hAnsi="Arial"/>
          <w:sz w:val="18"/>
          <w:szCs w:val="18"/>
          <w:u w:val="single" w:color="auto"/>
          <w:color w:val="auto"/>
        </w:rPr>
        <w:t>Lease</w:t>
      </w:r>
      <w:r>
        <w:rPr>
          <w:rFonts w:ascii="Arial" w:cs="Arial" w:eastAsia="Arial" w:hAnsi="Arial"/>
          <w:sz w:val="18"/>
          <w:szCs w:val="18"/>
          <w:color w:val="auto"/>
        </w:rPr>
        <w:t>”), whereby Tenant leases certain premises (the “</w:t>
      </w:r>
      <w:r>
        <w:rPr>
          <w:rFonts w:ascii="Arial" w:cs="Arial" w:eastAsia="Arial" w:hAnsi="Arial"/>
          <w:sz w:val="18"/>
          <w:szCs w:val="18"/>
          <w:u w:val="single" w:color="auto"/>
          <w:color w:val="auto"/>
        </w:rPr>
        <w:t>Premises</w:t>
      </w:r>
      <w:r>
        <w:rPr>
          <w:rFonts w:ascii="Arial" w:cs="Arial" w:eastAsia="Arial" w:hAnsi="Arial"/>
          <w:sz w:val="18"/>
          <w:szCs w:val="18"/>
          <w:color w:val="auto"/>
        </w:rPr>
        <w:t>”) from Landlord at 735, 745 and 765 Old Saw Mill River Road in Tarrytown,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WHEREAS, Landlord and Tenant have also entered into the Old Lease (as such term is defined in the Lease);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WHEREAS, Tenant desires to lease additional premises from Landlord; and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 WHEREAS, Landlord and Tenant desire to modify and amend the Lease and the Old Lease only in the respects and on the conditions hereinafter stated.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62" w:lineRule="exact"/>
        <w:rPr>
          <w:sz w:val="20"/>
          <w:szCs w:val="20"/>
          <w:color w:val="auto"/>
        </w:rPr>
      </w:pPr>
    </w:p>
    <w:p>
      <w:pPr>
        <w:ind w:right="140" w:firstLine="233"/>
        <w:spacing w:after="0" w:line="277" w:lineRule="auto"/>
        <w:tabs>
          <w:tab w:leader="none" w:pos="40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Amendment, capitalized terms shall have the meanings ascribed to them in the Lease unless otherwise defined herein. The Lease, as amended by this Amendment, is referred to herein as the “</w:t>
      </w:r>
      <w:r>
        <w:rPr>
          <w:rFonts w:ascii="Arial" w:cs="Arial" w:eastAsia="Arial" w:hAnsi="Arial"/>
          <w:sz w:val="18"/>
          <w:szCs w:val="18"/>
          <w:u w:val="single" w:color="auto"/>
          <w:color w:val="auto"/>
        </w:rPr>
        <w:t>Amended Lease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233"/>
        <w:spacing w:after="0" w:line="279" w:lineRule="auto"/>
        <w:tabs>
          <w:tab w:leader="none" w:pos="40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Additional Premises</w:t>
      </w:r>
      <w:r>
        <w:rPr>
          <w:rFonts w:ascii="Arial" w:cs="Arial" w:eastAsia="Arial" w:hAnsi="Arial"/>
          <w:sz w:val="17"/>
          <w:szCs w:val="17"/>
          <w:color w:val="auto"/>
        </w:rPr>
        <w:t xml:space="preserve">. Landlord hereby leases to Tenant, and Tenant hereby leases from Landlord, as of the Additional Premises Commencement Date (as defined below), approximately ninety-one thousand three hundred sixty-eight (91,368) rentable square feet of space located on the S-Level, C-Level and G-Level of Building 777, as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Additional Premises</w:t>
      </w:r>
      <w:r>
        <w:rPr>
          <w:rFonts w:ascii="Arial" w:cs="Arial" w:eastAsia="Arial" w:hAnsi="Arial"/>
          <w:sz w:val="17"/>
          <w:szCs w:val="17"/>
          <w:color w:val="auto"/>
        </w:rPr>
        <w:t>”). From and after the Additional Premises Commencement Date, the term “</w:t>
      </w:r>
      <w:r>
        <w:rPr>
          <w:rFonts w:ascii="Arial" w:cs="Arial" w:eastAsia="Arial" w:hAnsi="Arial"/>
          <w:sz w:val="17"/>
          <w:szCs w:val="17"/>
          <w:u w:val="single" w:color="auto"/>
          <w:color w:val="auto"/>
        </w:rPr>
        <w:t>Premises</w:t>
      </w:r>
      <w:r>
        <w:rPr>
          <w:rFonts w:ascii="Arial" w:cs="Arial" w:eastAsia="Arial" w:hAnsi="Arial"/>
          <w:sz w:val="17"/>
          <w:szCs w:val="17"/>
          <w:color w:val="auto"/>
        </w:rPr>
        <w:t>,” as used in the Lease, shall mean the Premises plus the Additional Premises.</w:t>
      </w:r>
    </w:p>
    <w:p>
      <w:pPr>
        <w:spacing w:after="0" w:line="63" w:lineRule="exact"/>
        <w:rPr>
          <w:rFonts w:ascii="Arial" w:cs="Arial" w:eastAsia="Arial" w:hAnsi="Arial"/>
          <w:sz w:val="17"/>
          <w:szCs w:val="17"/>
          <w:color w:val="auto"/>
        </w:rPr>
      </w:pPr>
    </w:p>
    <w:p>
      <w:pPr>
        <w:ind w:right="380" w:firstLine="233"/>
        <w:spacing w:after="0" w:line="277" w:lineRule="auto"/>
        <w:tabs>
          <w:tab w:leader="none" w:pos="40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Tenant’s Pro Rata Shares</w:t>
      </w:r>
      <w:r>
        <w:rPr>
          <w:rFonts w:ascii="Arial" w:cs="Arial" w:eastAsia="Arial" w:hAnsi="Arial"/>
          <w:sz w:val="18"/>
          <w:szCs w:val="18"/>
          <w:color w:val="auto"/>
        </w:rPr>
        <w:t xml:space="preserve">. From and after the Additional Premises Commencement Date (as such term is defined below),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Lease is hereby replaced in its entirety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left="240" w:right="440"/>
        <w:spacing w:after="0" w:line="308" w:lineRule="auto"/>
        <w:rPr>
          <w:sz w:val="20"/>
          <w:szCs w:val="20"/>
          <w:color w:val="auto"/>
        </w:rPr>
      </w:pPr>
      <w:r>
        <w:rPr>
          <w:rFonts w:ascii="Arial" w:cs="Arial" w:eastAsia="Arial" w:hAnsi="Arial"/>
          <w:sz w:val="17"/>
          <w:szCs w:val="17"/>
          <w:color w:val="auto"/>
        </w:rPr>
        <w:t xml:space="preserve">The Premises, the Buildings, and certain related terms are defined as follows. In these definitions, each Rentable Area is expressed in rentable square footage. Rentable Area and Tenant’s Pro Rata Shares are all subject to adjustment under this Lease, including under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040" w:type="dxa"/>
            <w:vAlign w:val="bottom"/>
            <w:gridSpan w:val="2"/>
          </w:tcPr>
          <w:p>
            <w:pPr>
              <w:ind w:left="360"/>
              <w:spacing w:after="0"/>
              <w:rPr>
                <w:sz w:val="20"/>
                <w:szCs w:val="20"/>
                <w:color w:val="auto"/>
              </w:rPr>
            </w:pPr>
            <w:r>
              <w:rPr>
                <w:rFonts w:ascii="Arial" w:cs="Arial" w:eastAsia="Arial" w:hAnsi="Arial"/>
                <w:sz w:val="14"/>
                <w:szCs w:val="14"/>
                <w:b w:val="1"/>
                <w:bCs w:val="1"/>
                <w:color w:val="auto"/>
              </w:rPr>
              <w:t>Means the Following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0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of the Additional</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Definition or Provision</w:t>
            </w:r>
          </w:p>
        </w:tc>
        <w:tc>
          <w:tcPr>
            <w:tcW w:w="60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Premises Commencement</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6040" w:type="dxa"/>
            <w:vAlign w:val="bottom"/>
            <w:gridSpan w:val="2"/>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“Premises”</w:t>
            </w: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Premises, New Premises and Additional Premises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“Buildings”</w:t>
            </w: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735 Building, 745 Building, 765 Building and 777 Building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Rentable Area of Premises</w:t>
            </w: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348,032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Rentable Area of Buildings</w:t>
            </w:r>
          </w:p>
        </w:tc>
        <w:tc>
          <w:tcPr>
            <w:tcW w:w="60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117,935 for 735 Building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111,708 for 745 Building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177,203 for 765 Building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311,104 for 777 Building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Rentable Area of Existing Project</w:t>
            </w: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751,648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Rentable Area of New Project</w:t>
            </w: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360,520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Rentable Area of Entire Project</w:t>
            </w: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1,112,168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Tenant’s Pro Rata Share of Buildings</w:t>
            </w:r>
          </w:p>
        </w:tc>
        <w:tc>
          <w:tcPr>
            <w:tcW w:w="60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100% of Building 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100% of Building 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15.25% of 765 Building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23.37% of 777 Building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Tenant’s Pro Rata Share of the Existing Project (Based on Retained</w:t>
            </w:r>
          </w:p>
        </w:tc>
        <w:tc>
          <w:tcPr>
            <w:tcW w:w="360" w:type="dxa"/>
            <w:vAlign w:val="bottom"/>
            <w:shd w:val="clear" w:color="auto" w:fill="CCEEFF"/>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Additional Premises only)</w:t>
            </w: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w w:val="95"/>
              </w:rPr>
              <w:t>Tenant’s Pro Rata Share of the New Project (Based on New Premises</w:t>
            </w:r>
          </w:p>
        </w:tc>
        <w:tc>
          <w:tcPr>
            <w:tcW w:w="3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only)</w:t>
            </w: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Tenant’s Pro Rata Share of the Entire Project</w:t>
            </w: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33"/>
        <w:spacing w:after="0" w:line="277" w:lineRule="auto"/>
        <w:tabs>
          <w:tab w:leader="none" w:pos="4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Basic Annual Rent</w:t>
      </w:r>
      <w:r>
        <w:rPr>
          <w:rFonts w:ascii="Arial" w:cs="Arial" w:eastAsia="Arial" w:hAnsi="Arial"/>
          <w:sz w:val="18"/>
          <w:szCs w:val="18"/>
          <w:color w:val="auto"/>
        </w:rPr>
        <w:t>. Initial Annual (and Monthly Rental Installments) of Basic Annual Rent for the Additional Premises (“</w:t>
      </w:r>
      <w:r>
        <w:rPr>
          <w:rFonts w:ascii="Arial" w:cs="Arial" w:eastAsia="Arial" w:hAnsi="Arial"/>
          <w:sz w:val="18"/>
          <w:szCs w:val="18"/>
          <w:u w:val="single" w:color="auto"/>
          <w:color w:val="auto"/>
        </w:rPr>
        <w:t>Additional Premises Basic</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Rent</w:t>
      </w:r>
      <w:r>
        <w:rPr>
          <w:rFonts w:ascii="Arial" w:cs="Arial" w:eastAsia="Arial" w:hAnsi="Arial"/>
          <w:sz w:val="18"/>
          <w:szCs w:val="18"/>
          <w:color w:val="auto"/>
        </w:rPr>
        <w:t>”) only (starting as of the Additional Premises Commencement Date (as defined below)) shall be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Per Rentable s.f.</w:t>
            </w: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Rentable s.f.</w:t>
            </w:r>
          </w:p>
        </w:tc>
        <w:tc>
          <w:tcPr>
            <w:tcW w:w="30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Annually</w:t>
            </w:r>
          </w:p>
        </w:tc>
        <w:tc>
          <w:tcPr>
            <w:tcW w:w="500" w:type="dxa"/>
            <w:vAlign w:val="bottom"/>
          </w:tcPr>
          <w:p>
            <w:pPr>
              <w:spacing w:after="0"/>
              <w:rPr>
                <w:sz w:val="14"/>
                <w:szCs w:val="14"/>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Total Annual</w:t>
            </w:r>
          </w:p>
        </w:tc>
        <w:tc>
          <w:tcPr>
            <w:tcW w:w="500" w:type="dxa"/>
            <w:vAlign w:val="bottom"/>
          </w:tcPr>
          <w:p>
            <w:pPr>
              <w:spacing w:after="0"/>
              <w:rPr>
                <w:sz w:val="14"/>
                <w:szCs w:val="14"/>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Total Monthly</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91,368</w:t>
            </w:r>
          </w:p>
        </w:tc>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322"/>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1340" w:type="dxa"/>
            <w:vAlign w:val="bottom"/>
          </w:tcPr>
          <w:p>
            <w:pPr>
              <w:jc w:val="right"/>
              <w:ind w:right="219"/>
              <w:spacing w:after="0"/>
              <w:rPr>
                <w:sz w:val="20"/>
                <w:szCs w:val="20"/>
                <w:color w:val="auto"/>
              </w:rPr>
            </w:pPr>
            <w:r>
              <w:rPr>
                <w:rFonts w:ascii="Arial" w:cs="Arial" w:eastAsia="Arial" w:hAnsi="Arial"/>
                <w:sz w:val="18"/>
                <w:szCs w:val="18"/>
                <w:color w:val="auto"/>
              </w:rPr>
              <w:t>$2,558,304</w:t>
            </w:r>
          </w:p>
        </w:tc>
        <w:tc>
          <w:tcPr>
            <w:tcW w:w="500" w:type="dxa"/>
            <w:vAlign w:val="bottom"/>
          </w:tcPr>
          <w:p>
            <w:pPr>
              <w:spacing w:after="0"/>
              <w:rPr>
                <w:sz w:val="19"/>
                <w:szCs w:val="19"/>
                <w:color w:val="auto"/>
              </w:rPr>
            </w:pPr>
          </w:p>
        </w:tc>
        <w:tc>
          <w:tcPr>
            <w:tcW w:w="1300" w:type="dxa"/>
            <w:vAlign w:val="bottom"/>
          </w:tcPr>
          <w:p>
            <w:pPr>
              <w:jc w:val="right"/>
              <w:ind w:right="279"/>
              <w:spacing w:after="0"/>
              <w:rPr>
                <w:sz w:val="20"/>
                <w:szCs w:val="20"/>
                <w:color w:val="auto"/>
              </w:rPr>
            </w:pPr>
            <w:r>
              <w:rPr>
                <w:rFonts w:ascii="Arial" w:cs="Arial" w:eastAsia="Arial" w:hAnsi="Arial"/>
                <w:sz w:val="18"/>
                <w:szCs w:val="18"/>
                <w:color w:val="auto"/>
              </w:rPr>
              <w:t>$213,192</w:t>
            </w:r>
          </w:p>
        </w:tc>
      </w:tr>
      <w:tr>
        <w:trPr>
          <w:trHeight w:val="391"/>
        </w:trPr>
        <w:tc>
          <w:tcPr>
            <w:tcW w:w="3200" w:type="dxa"/>
            <w:vAlign w:val="bottom"/>
          </w:tcPr>
          <w:p>
            <w:pPr>
              <w:spacing w:after="0"/>
              <w:rPr>
                <w:sz w:val="24"/>
                <w:szCs w:val="24"/>
                <w:color w:val="auto"/>
              </w:rPr>
            </w:pPr>
          </w:p>
        </w:tc>
        <w:tc>
          <w:tcPr>
            <w:tcW w:w="30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6"/>
        </w:trPr>
        <w:tc>
          <w:tcPr>
            <w:tcW w:w="320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right="20"/>
        <w:spacing w:after="0" w:line="269" w:lineRule="auto"/>
        <w:rPr>
          <w:sz w:val="20"/>
          <w:szCs w:val="20"/>
          <w:color w:val="auto"/>
        </w:rPr>
      </w:pPr>
      <w:r>
        <w:rPr>
          <w:rFonts w:ascii="Arial" w:cs="Arial" w:eastAsia="Arial" w:hAnsi="Arial"/>
          <w:sz w:val="17"/>
          <w:szCs w:val="17"/>
          <w:color w:val="auto"/>
        </w:rPr>
        <w:t xml:space="preserve">Starting on the Additional Premises Commencement Date (as defined below) and continuing throughout the Term, Tenant shall pay to Landlord the Additional Premises Basic Annual Rent as set forth in this Section. The Additional Premises Basic Annual Rent shall be paid in equal monthly installments, each in advance on the first day of each and every calendar month during the Term. The Basic Annual Rent for the Additional Premises shall be subject to an annual upward adjustment of two and one-half percent (2.5%) of the then-current Basic Annual Rent (as adjusted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The first such adjustment shall become effective commencing on the first (1</w:t>
      </w:r>
      <w:r>
        <w:rPr>
          <w:rFonts w:ascii="Arial" w:cs="Arial" w:eastAsia="Arial" w:hAnsi="Arial"/>
          <w:sz w:val="14"/>
          <w:szCs w:val="14"/>
          <w:color w:val="auto"/>
        </w:rPr>
        <w:t>st</w:t>
      </w:r>
      <w:r>
        <w:rPr>
          <w:rFonts w:ascii="Arial" w:cs="Arial" w:eastAsia="Arial" w:hAnsi="Arial"/>
          <w:sz w:val="17"/>
          <w:szCs w:val="17"/>
          <w:color w:val="auto"/>
        </w:rPr>
        <w:t xml:space="preserve">) annual anniversary of the Additional Premises Commencement Date. Subsequent adjustments shall become effective on every successive annual anniversary of the Additional Premises Commencement Date (except the first day of any Term extension pursuant to an Option) for so long as the Amended Lease continues in effect. In addition to Additional Premises Basic Annual Rent, Tenant shall pay to Landlord as Additional Rent at times specified in the Amended Lease: (a) Tenant’s Pro Rata Share of Operating Expenses as provided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the Amended Lease with respect to the Additional Premises and (b) any other amounts that Tenant assumes or agrees to pay under the provisions of the Amended Lease that are owed to Landlord, including, without limitation, any and all other sums that may become due by reason of any default of Tenant or failure on Tenant’s part to comply with the agreements, terms, covenants and conditions of the Amended Lease to be performed by Tenant, after notice and the lapse of any applicable cure periods.</w:t>
      </w:r>
    </w:p>
    <w:p>
      <w:pPr>
        <w:spacing w:after="0" w:line="72" w:lineRule="exact"/>
        <w:rPr>
          <w:sz w:val="20"/>
          <w:szCs w:val="20"/>
          <w:color w:val="auto"/>
        </w:rPr>
      </w:pPr>
    </w:p>
    <w:p>
      <w:pPr>
        <w:ind w:left="420" w:hanging="187"/>
        <w:spacing w:after="0"/>
        <w:tabs>
          <w:tab w:leader="none" w:pos="420"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Premises Term Commencement Date</w:t>
      </w:r>
      <w:r>
        <w:rPr>
          <w:rFonts w:ascii="Arial" w:cs="Arial" w:eastAsia="Arial" w:hAnsi="Arial"/>
          <w:sz w:val="17"/>
          <w:szCs w:val="17"/>
          <w:color w:val="auto"/>
        </w:rPr>
        <w:t>. Notwithstanding anything in the Amended Lease to the contrary, the parties agree and confirm that:</w:t>
      </w:r>
    </w:p>
    <w:p>
      <w:pPr>
        <w:spacing w:after="0" w:line="34" w:lineRule="exact"/>
        <w:rPr>
          <w:rFonts w:ascii="Arial" w:cs="Arial" w:eastAsia="Arial" w:hAnsi="Arial"/>
          <w:sz w:val="17"/>
          <w:szCs w:val="17"/>
          <w:color w:val="auto"/>
        </w:rPr>
      </w:pPr>
    </w:p>
    <w:p>
      <w:pPr>
        <w:ind w:right="220" w:firstLine="8"/>
        <w:spacing w:after="0" w:line="261"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Landlord’s Work shall be deemed Substantially Complete as of June 30, 2008, and (b) the Term Commencement Date with respect to the New Premises and the Retained Premises is July 1, 2008.</w:t>
      </w:r>
    </w:p>
    <w:p>
      <w:pPr>
        <w:spacing w:after="0" w:line="75" w:lineRule="exact"/>
        <w:rPr>
          <w:rFonts w:ascii="Arial" w:cs="Arial" w:eastAsia="Arial" w:hAnsi="Arial"/>
          <w:sz w:val="18"/>
          <w:szCs w:val="18"/>
          <w:color w:val="auto"/>
        </w:rPr>
      </w:pPr>
    </w:p>
    <w:p>
      <w:pPr>
        <w:ind w:right="100" w:firstLine="233"/>
        <w:spacing w:after="0" w:line="264" w:lineRule="auto"/>
        <w:tabs>
          <w:tab w:leader="none" w:pos="40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Premises Rent Commencement Dates</w:t>
      </w:r>
      <w:r>
        <w:rPr>
          <w:rFonts w:ascii="Arial" w:cs="Arial" w:eastAsia="Arial" w:hAnsi="Arial"/>
          <w:sz w:val="18"/>
          <w:szCs w:val="18"/>
          <w:color w:val="auto"/>
        </w:rPr>
        <w:t xml:space="preserve">. Notwithstanding anything in the Amended Lease to the contrary, the Rent Commencement Date with respect to the New Premises is July 1, 2009;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Tenant shall not be liable for Basic Annual Rent or TI Rent with respect to the New Premises until August 1, 2009; and the Rent Commencement Date with respect to the Retained Premises is July 1, 2008.</w:t>
      </w:r>
    </w:p>
    <w:p>
      <w:pPr>
        <w:spacing w:after="0" w:line="73" w:lineRule="exact"/>
        <w:rPr>
          <w:rFonts w:ascii="Arial" w:cs="Arial" w:eastAsia="Arial" w:hAnsi="Arial"/>
          <w:sz w:val="18"/>
          <w:szCs w:val="18"/>
          <w:color w:val="auto"/>
        </w:rPr>
      </w:pPr>
    </w:p>
    <w:p>
      <w:pPr>
        <w:ind w:firstLine="233"/>
        <w:spacing w:after="0" w:line="271" w:lineRule="auto"/>
        <w:tabs>
          <w:tab w:leader="none" w:pos="405"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Amendments to Old Lease</w:t>
      </w:r>
      <w:r>
        <w:rPr>
          <w:rFonts w:ascii="Arial" w:cs="Arial" w:eastAsia="Arial" w:hAnsi="Arial"/>
          <w:sz w:val="17"/>
          <w:szCs w:val="17"/>
          <w:color w:val="auto"/>
        </w:rPr>
        <w:t xml:space="preserve">. Notwithstanding anything in the Old Lease or the Lease to the contrary, the parties agree that, as of the date hereof, (a) the expiration date for the Premises under the Old Lease shall be July 31, 2009, and (b) Tenant shall not be obligated to pay Fixed Rent under the Old Lease, to the extent it may otherwise be required to do so, for the period commencing on July 1, 2009, and ending on July 31, 2009. The parties further agree that Tenant shall pay Fixed Rent and any other charges owed to Landlord pursuant to the terms of the Old Lease, notwithstanding expiration of the Old Lease, should Tenant occupy the Premises or any portion thereof on or after August 1, 2009. Tenant shall pay Fixed Rent and any other changes on a pro rata basis of the amount of the Premises actually occupied by Tenant on or after August 1, 2009, until such time as Tenant has vacated the entire Premises in accordance with the terms of the Old Lease. Nothing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construed as Landlord granting Tenant the right to retain possession of any Premises under the Old Lease after July 31, 2009, and shall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120"/>
        <w:spacing w:after="0" w:line="342" w:lineRule="auto"/>
        <w:rPr>
          <w:sz w:val="20"/>
          <w:szCs w:val="20"/>
          <w:color w:val="auto"/>
        </w:rPr>
      </w:pPr>
      <w:r>
        <w:rPr>
          <w:rFonts w:ascii="Arial" w:cs="Arial" w:eastAsia="Arial" w:hAnsi="Arial"/>
          <w:sz w:val="16"/>
          <w:szCs w:val="16"/>
          <w:color w:val="auto"/>
        </w:rPr>
        <w:t xml:space="preserve">not limit Landlord’s rights under the Old Lease, at law or in equity, except with regards to the limiting of Tenant’s obligation to pay rent on such Premises as stated in this Section. As used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the terms “Premises” and “Fixed Rent” shall have the meanings given to such terms in the Old Lease.</w:t>
      </w:r>
    </w:p>
    <w:p>
      <w:pPr>
        <w:spacing w:after="0" w:line="16" w:lineRule="exact"/>
        <w:rPr>
          <w:sz w:val="20"/>
          <w:szCs w:val="20"/>
          <w:color w:val="auto"/>
        </w:rPr>
      </w:pPr>
    </w:p>
    <w:p>
      <w:pPr>
        <w:ind w:right="520" w:firstLine="233"/>
        <w:spacing w:after="0" w:line="277" w:lineRule="auto"/>
        <w:tabs>
          <w:tab w:leader="none" w:pos="405"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Additional Premises Term Commencement Date</w:t>
      </w:r>
      <w:r>
        <w:rPr>
          <w:rFonts w:ascii="Arial" w:cs="Arial" w:eastAsia="Arial" w:hAnsi="Arial"/>
          <w:sz w:val="18"/>
          <w:szCs w:val="18"/>
          <w:color w:val="auto"/>
        </w:rPr>
        <w:t>. The Term Commencement Date and Rent Commencement Date are the same for the Additional Premises and shall be July 1, 2009 (the “</w:t>
      </w:r>
      <w:r>
        <w:rPr>
          <w:rFonts w:ascii="Arial" w:cs="Arial" w:eastAsia="Arial" w:hAnsi="Arial"/>
          <w:sz w:val="18"/>
          <w:szCs w:val="18"/>
          <w:u w:val="single" w:color="auto"/>
          <w:color w:val="auto"/>
        </w:rPr>
        <w:t>Additional Premises Commencement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right="40" w:firstLine="233"/>
        <w:spacing w:after="0" w:line="288" w:lineRule="auto"/>
        <w:tabs>
          <w:tab w:leader="none" w:pos="40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Additional Premises Term Expiration Date</w:t>
      </w:r>
      <w:r>
        <w:rPr>
          <w:rFonts w:ascii="Arial" w:cs="Arial" w:eastAsia="Arial" w:hAnsi="Arial"/>
          <w:sz w:val="16"/>
          <w:szCs w:val="16"/>
          <w:color w:val="auto"/>
        </w:rPr>
        <w:t xml:space="preserve">. The Term Expiration Date for the Additional Premises shall be the same as the Term Expiration Date for the New Premises, subject to Tenant’s option to extend the Term of the Lease as provided in </w:t>
      </w:r>
      <w:r>
        <w:rPr>
          <w:rFonts w:ascii="Arial" w:cs="Arial" w:eastAsia="Arial" w:hAnsi="Arial"/>
          <w:sz w:val="16"/>
          <w:szCs w:val="16"/>
          <w:u w:val="single" w:color="auto"/>
          <w:color w:val="auto"/>
        </w:rPr>
        <w:t>Article 44</w:t>
      </w:r>
      <w:r>
        <w:rPr>
          <w:rFonts w:ascii="Arial" w:cs="Arial" w:eastAsia="Arial" w:hAnsi="Arial"/>
          <w:sz w:val="16"/>
          <w:szCs w:val="16"/>
          <w:color w:val="auto"/>
        </w:rPr>
        <w:t xml:space="preserve"> of the Lease. Notwithstanding the foregoing, Tenant shall have the right, upon eighteen (18) months’ prior written notice to Landlord, to terminate the Lease with respect to either (a) all of the Additional Premises or</w:t>
      </w: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any one (or a combination) of the following three (3) components of the Additional Premises, as each is depicted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Component One</w:t>
      </w:r>
      <w:r>
        <w:rPr>
          <w:rFonts w:ascii="Arial" w:cs="Arial" w:eastAsia="Arial" w:hAnsi="Arial"/>
          <w:sz w:val="16"/>
          <w:szCs w:val="16"/>
          <w:color w:val="auto"/>
        </w:rPr>
        <w:t>,” consisting of 35,681 rentable square feet, (ii) “</w:t>
      </w:r>
      <w:r>
        <w:rPr>
          <w:rFonts w:ascii="Arial" w:cs="Arial" w:eastAsia="Arial" w:hAnsi="Arial"/>
          <w:sz w:val="16"/>
          <w:szCs w:val="16"/>
          <w:u w:val="single" w:color="auto"/>
          <w:color w:val="auto"/>
        </w:rPr>
        <w:t>Termination Component Two</w:t>
      </w:r>
      <w:r>
        <w:rPr>
          <w:rFonts w:ascii="Arial" w:cs="Arial" w:eastAsia="Arial" w:hAnsi="Arial"/>
          <w:sz w:val="16"/>
          <w:szCs w:val="16"/>
          <w:color w:val="auto"/>
        </w:rPr>
        <w:t>,” consisting of 46,706 rentable square feet, and</w:t>
      </w:r>
    </w:p>
    <w:p>
      <w:pPr>
        <w:spacing w:after="0" w:line="32" w:lineRule="exact"/>
        <w:rPr>
          <w:sz w:val="20"/>
          <w:szCs w:val="20"/>
          <w:color w:val="auto"/>
        </w:rPr>
      </w:pPr>
    </w:p>
    <w:p>
      <w:pPr>
        <w:ind w:firstLine="8"/>
        <w:spacing w:after="0" w:line="252"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Component Three</w:t>
      </w:r>
      <w:r>
        <w:rPr>
          <w:rFonts w:ascii="Arial" w:cs="Arial" w:eastAsia="Arial" w:hAnsi="Arial"/>
          <w:sz w:val="18"/>
          <w:szCs w:val="18"/>
          <w:color w:val="auto"/>
        </w:rPr>
        <w:t>,” consisting of 8,981 rentable square feet (each such portion of terminated Premises, a “</w:t>
      </w:r>
      <w:r>
        <w:rPr>
          <w:rFonts w:ascii="Arial" w:cs="Arial" w:eastAsia="Arial" w:hAnsi="Arial"/>
          <w:sz w:val="18"/>
          <w:szCs w:val="18"/>
          <w:u w:val="single" w:color="auto"/>
          <w:color w:val="auto"/>
        </w:rPr>
        <w:t>Terminated Component</w:t>
      </w:r>
      <w:r>
        <w:rPr>
          <w:rFonts w:ascii="Arial" w:cs="Arial" w:eastAsia="Arial" w:hAnsi="Arial"/>
          <w:sz w:val="18"/>
          <w:szCs w:val="18"/>
          <w:color w:val="auto"/>
        </w:rPr>
        <w:t>”). Tenant may terminate any or all of the Terminated Components (to the extent not previously terminated) on each of following dates (each such date, a “</w:t>
      </w:r>
      <w:r>
        <w:rPr>
          <w:rFonts w:ascii="Arial" w:cs="Arial" w:eastAsia="Arial" w:hAnsi="Arial"/>
          <w:sz w:val="18"/>
          <w:szCs w:val="18"/>
          <w:u w:val="single" w:color="auto"/>
          <w:color w:val="auto"/>
        </w:rPr>
        <w:t>Termination Date</w:t>
      </w:r>
      <w:r>
        <w:rPr>
          <w:rFonts w:ascii="Arial" w:cs="Arial" w:eastAsia="Arial" w:hAnsi="Arial"/>
          <w:sz w:val="18"/>
          <w:szCs w:val="18"/>
          <w:color w:val="auto"/>
        </w:rPr>
        <w:t>”): (x) June 30, 2014, upon payment to Landlord no later than the Termination Date of a penalty of $29.45 per rentable square foot of the applicable Terminated Component(s), (y) December 31, 2015, upon payment to Landlord no later than the Termination Date of a penalty of $20.02 per rentable square foot of the applicable Terminated Component(s), or (z) December 31, 2016, upon payment to Landlord no later than the Termination Date of a penalty of $10.50 per rentable square foot of the applicable Terminated Component(s). Time is of the essence with respect to this Section. In the event that Tenant does not timely exercise its termination right or timely make payments in accordance with this Section, this Section shall be void and of no further force or effect.</w:t>
      </w:r>
    </w:p>
    <w:p>
      <w:pPr>
        <w:spacing w:after="0" w:line="83" w:lineRule="exact"/>
        <w:rPr>
          <w:rFonts w:ascii="Arial" w:cs="Arial" w:eastAsia="Arial" w:hAnsi="Arial"/>
          <w:sz w:val="18"/>
          <w:szCs w:val="18"/>
          <w:color w:val="auto"/>
        </w:rPr>
      </w:pPr>
    </w:p>
    <w:p>
      <w:pPr>
        <w:ind w:right="80" w:firstLine="233"/>
        <w:spacing w:after="0" w:line="272" w:lineRule="auto"/>
        <w:tabs>
          <w:tab w:leader="none" w:pos="495"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Tenant Improvements</w:t>
      </w:r>
      <w:r>
        <w:rPr>
          <w:rFonts w:ascii="Arial" w:cs="Arial" w:eastAsia="Arial" w:hAnsi="Arial"/>
          <w:sz w:val="17"/>
          <w:szCs w:val="17"/>
          <w:color w:val="auto"/>
        </w:rPr>
        <w:t>: Landlord shall make available to Tenant a Tenant Improvement allowance of Ten Dollars ($10) per rentable square foot of Additional Premises (the “</w:t>
      </w:r>
      <w:r>
        <w:rPr>
          <w:rFonts w:ascii="Arial" w:cs="Arial" w:eastAsia="Arial" w:hAnsi="Arial"/>
          <w:sz w:val="17"/>
          <w:szCs w:val="17"/>
          <w:u w:val="single" w:color="auto"/>
          <w:color w:val="auto"/>
        </w:rPr>
        <w:t>Additional Premises TI Allowance</w:t>
      </w:r>
      <w:r>
        <w:rPr>
          <w:rFonts w:ascii="Arial" w:cs="Arial" w:eastAsia="Arial" w:hAnsi="Arial"/>
          <w:sz w:val="17"/>
          <w:szCs w:val="17"/>
          <w:color w:val="auto"/>
        </w:rPr>
        <w:t>”) in order to finance appropriate improvements (“</w:t>
      </w:r>
      <w:r>
        <w:rPr>
          <w:rFonts w:ascii="Arial" w:cs="Arial" w:eastAsia="Arial" w:hAnsi="Arial"/>
          <w:sz w:val="17"/>
          <w:szCs w:val="17"/>
          <w:u w:val="single" w:color="auto"/>
          <w:color w:val="auto"/>
        </w:rPr>
        <w:t>Additional Premises Tenant Improvements</w:t>
      </w:r>
      <w:r>
        <w:rPr>
          <w:rFonts w:ascii="Arial" w:cs="Arial" w:eastAsia="Arial" w:hAnsi="Arial"/>
          <w:sz w:val="17"/>
          <w:szCs w:val="17"/>
          <w:color w:val="auto"/>
        </w:rPr>
        <w:t>”) to the Additional Premises consistent with the Permitted Use and subject to Landlord’s reasonable prior written approval. Tenant shall be responsible for performing and completing the Additional Premises Tenant Improvements in accordance with the applicable terms of the Lease and the Work Letter with respect to the Tenant Improvements for the New Premises, and Tenant shall pay Landlord a construction management fee of two and one-half percent (2.5%) for Landlord’s oversight role related to the Additional Premises Tenant Improvements. Landlord shall disburse the Additional Premises TI Allowance in accordance with the applicable terms of the Lease and the Work Letter.</w:t>
      </w:r>
    </w:p>
    <w:p>
      <w:pPr>
        <w:spacing w:after="0" w:line="69" w:lineRule="exact"/>
        <w:rPr>
          <w:rFonts w:ascii="Arial" w:cs="Arial" w:eastAsia="Arial" w:hAnsi="Arial"/>
          <w:sz w:val="17"/>
          <w:szCs w:val="17"/>
          <w:color w:val="auto"/>
        </w:rPr>
      </w:pPr>
    </w:p>
    <w:p>
      <w:pPr>
        <w:ind w:left="500" w:hanging="267"/>
        <w:spacing w:after="0"/>
        <w:tabs>
          <w:tab w:leader="none" w:pos="50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Tenant acknowledges that (a) it is possession of and is fully familiar with the condition of the Additional Premises,</w:t>
      </w:r>
    </w:p>
    <w:p>
      <w:pPr>
        <w:spacing w:after="0" w:line="23" w:lineRule="exact"/>
        <w:rPr>
          <w:sz w:val="20"/>
          <w:szCs w:val="20"/>
          <w:color w:val="auto"/>
        </w:rPr>
      </w:pPr>
    </w:p>
    <w:p>
      <w:pPr>
        <w:ind w:left="5660" w:right="2820" w:hanging="5652"/>
        <w:spacing w:after="0" w:line="480" w:lineRule="auto"/>
        <w:tabs>
          <w:tab w:leader="none" w:pos="2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anything contained in the Lease or this Amendment to the contrary, it agrees to take the Additional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jc w:val="both"/>
        <w:ind w:right="340"/>
        <w:spacing w:after="0" w:line="302" w:lineRule="auto"/>
        <w:rPr>
          <w:sz w:val="20"/>
          <w:szCs w:val="20"/>
          <w:color w:val="auto"/>
        </w:rPr>
      </w:pPr>
      <w:r>
        <w:rPr>
          <w:rFonts w:ascii="Arial" w:cs="Arial" w:eastAsia="Arial" w:hAnsi="Arial"/>
          <w:sz w:val="16"/>
          <w:szCs w:val="16"/>
          <w:color w:val="auto"/>
        </w:rPr>
        <w:t>Premises in its condition “as is” as of the first day of the Term with respect to the Additional Premises, and (c) Landlord shall have no obligation to alter, repair or otherwise prepare the Additional Premises for Tenant’s occupancy or to pay for any improvements to the Additional Premises, except as may be expressly provided in the Lease or in the Section entitled “Tenant Improvements” above. For purposes of determining Landlord’s and Tenant’s repair and maintenance obligations with respect to the Additional Premises, the Additional Premises shall be considered Retained Premises under the Lease.</w:t>
      </w:r>
    </w:p>
    <w:p>
      <w:pPr>
        <w:spacing w:after="0" w:line="46" w:lineRule="exact"/>
        <w:rPr>
          <w:sz w:val="20"/>
          <w:szCs w:val="20"/>
          <w:color w:val="auto"/>
        </w:rPr>
      </w:pPr>
    </w:p>
    <w:p>
      <w:pPr>
        <w:ind w:right="140" w:firstLine="233"/>
        <w:spacing w:after="0" w:line="308"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Security Deposit</w:t>
      </w:r>
      <w:r>
        <w:rPr>
          <w:rFonts w:ascii="Arial" w:cs="Arial" w:eastAsia="Arial" w:hAnsi="Arial"/>
          <w:sz w:val="17"/>
          <w:szCs w:val="17"/>
          <w:color w:val="auto"/>
        </w:rPr>
        <w:t>. No later than the Additional Premises Commencement Date, Tenant shall deliver to Landlord an increase in the Security Deposit in the amount of Six Hundred Thirty-Nine Thousand Five Hundred Seventy-Six Dollars ($639,576) for the Additional Premises.</w:t>
      </w:r>
    </w:p>
    <w:p>
      <w:pPr>
        <w:spacing w:after="0" w:line="38" w:lineRule="exact"/>
        <w:rPr>
          <w:rFonts w:ascii="Arial" w:cs="Arial" w:eastAsia="Arial" w:hAnsi="Arial"/>
          <w:sz w:val="17"/>
          <w:szCs w:val="17"/>
          <w:color w:val="auto"/>
        </w:rPr>
      </w:pPr>
    </w:p>
    <w:p>
      <w:pPr>
        <w:ind w:firstLine="233"/>
        <w:spacing w:after="0" w:line="276"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Each of Landlord and Tenant represents and warrants that it has not dealt with any broker or agent in the negotiation for or the obtaining of this Amendment, other than Studley (“</w:t>
      </w:r>
      <w:r>
        <w:rPr>
          <w:rFonts w:ascii="Arial" w:cs="Arial" w:eastAsia="Arial" w:hAnsi="Arial"/>
          <w:sz w:val="17"/>
          <w:szCs w:val="17"/>
          <w:u w:val="single" w:color="auto"/>
          <w:color w:val="auto"/>
        </w:rPr>
        <w:t>Broker</w:t>
      </w:r>
      <w:r>
        <w:rPr>
          <w:rFonts w:ascii="Arial" w:cs="Arial" w:eastAsia="Arial" w:hAnsi="Arial"/>
          <w:sz w:val="17"/>
          <w:szCs w:val="17"/>
          <w:color w:val="auto"/>
        </w:rPr>
        <w:t>”), and agrees to indemnify, defend and hold the other harmless from any and all costs or liabilities for compensation claimed by any such broker or agent, other than Broker, employed or engaged by it or claiming to have been employed or engaged by it. Broker is entitled to a leasing commission in connection with the making of this Amendment, and Landlord shall pay such commission to Broker pursuant to a separate agreement between Landlord and Broker, a copy of which has been provided to Tenant.</w:t>
      </w:r>
    </w:p>
    <w:p>
      <w:pPr>
        <w:spacing w:after="0" w:line="64" w:lineRule="exact"/>
        <w:rPr>
          <w:rFonts w:ascii="Arial" w:cs="Arial" w:eastAsia="Arial" w:hAnsi="Arial"/>
          <w:sz w:val="17"/>
          <w:szCs w:val="17"/>
          <w:color w:val="auto"/>
        </w:rPr>
      </w:pPr>
    </w:p>
    <w:p>
      <w:pPr>
        <w:ind w:firstLine="233"/>
        <w:spacing w:after="0" w:line="290" w:lineRule="auto"/>
        <w:tabs>
          <w:tab w:leader="none" w:pos="49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The parties confirm that, as of the Additional Premises Commencement Date, Tenant’s parking rights shall automatically adjust so that Tenant shall have a non-exclusive, revocable license to use, in common and on an unreserved basis with the other tenants of the buildings comprising the Additional Premises: (i) four (4) parking spaces per one thousand (1,000) rentable square feet of Additional Premises (“</w:t>
      </w:r>
      <w:r>
        <w:rPr>
          <w:rFonts w:ascii="Arial" w:cs="Arial" w:eastAsia="Arial" w:hAnsi="Arial"/>
          <w:sz w:val="16"/>
          <w:szCs w:val="16"/>
          <w:u w:val="single" w:color="auto"/>
          <w:color w:val="auto"/>
        </w:rPr>
        <w:t>777 North Parking</w:t>
      </w:r>
      <w:r>
        <w:rPr>
          <w:rFonts w:ascii="Arial" w:cs="Arial" w:eastAsia="Arial" w:hAnsi="Arial"/>
          <w:sz w:val="16"/>
          <w:szCs w:val="16"/>
          <w:color w:val="auto"/>
        </w:rPr>
        <w:t>”) leased to Tenant in Building 777 (“</w:t>
      </w:r>
      <w:r>
        <w:rPr>
          <w:rFonts w:ascii="Arial" w:cs="Arial" w:eastAsia="Arial" w:hAnsi="Arial"/>
          <w:sz w:val="16"/>
          <w:szCs w:val="16"/>
          <w:u w:val="single" w:color="auto"/>
          <w:color w:val="auto"/>
        </w:rPr>
        <w:t>777 North</w:t>
      </w:r>
      <w:r>
        <w:rPr>
          <w:rFonts w:ascii="Arial" w:cs="Arial" w:eastAsia="Arial" w:hAnsi="Arial"/>
          <w:sz w:val="16"/>
          <w:szCs w:val="16"/>
          <w:color w:val="auto"/>
        </w:rPr>
        <w:t>”), and (ii) with respect to the remainder of the Additional Premises not located in 777 North, Tenant’s pro rata share of the parking facilities serving the buildings comprising such Additional Premises. The parties agree that Tenant is leasing thirty-five thousand two hundred fifty-six (35,256) rentable square feet in 777 North pursuant to this Amendment. The 777 North Parking shall include the five (5) reserved parking spaces currently used by Tenant. The 777 North Parking shall be at locations reasonably satisfactory to Landlord and reasonably near 777 North and the remainder of the parking that Tenant is permitted to use hereunder shall be at locations reasonably satisfactory to Landlord and reasonably near the remainder of the Additional Premises.</w:t>
      </w:r>
    </w:p>
    <w:p>
      <w:pPr>
        <w:spacing w:after="0" w:line="58" w:lineRule="exact"/>
        <w:rPr>
          <w:rFonts w:ascii="Arial" w:cs="Arial" w:eastAsia="Arial" w:hAnsi="Arial"/>
          <w:sz w:val="16"/>
          <w:szCs w:val="16"/>
          <w:color w:val="auto"/>
        </w:rPr>
      </w:pPr>
    </w:p>
    <w:p>
      <w:pPr>
        <w:ind w:right="80" w:firstLine="233"/>
        <w:spacing w:after="0" w:line="264"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Each of Landlord and Tenant represents, warrants and covenants that, to the best of its respective knowledge, neither Landlord nor Tenant is in default of any of its respective obligations under the Lease and no event has occurred that, with the passage of time or the giving of notice (or both) would constitute a default by either Landlord or Tenant thereunder.</w:t>
      </w:r>
    </w:p>
    <w:p>
      <w:pPr>
        <w:spacing w:after="0" w:line="73" w:lineRule="exact"/>
        <w:rPr>
          <w:rFonts w:ascii="Arial" w:cs="Arial" w:eastAsia="Arial" w:hAnsi="Arial"/>
          <w:sz w:val="18"/>
          <w:szCs w:val="18"/>
          <w:color w:val="auto"/>
        </w:rPr>
      </w:pPr>
    </w:p>
    <w:p>
      <w:pPr>
        <w:ind w:right="160" w:firstLine="233"/>
        <w:spacing w:after="0" w:line="308"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modified by this Amendment, the Lease and all the covenants, agreements, terms, provisions and conditions thereof shall remain in full force and effect and are hereby ratified and affirmed. The covenants, agreements, terms, provisions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8" w:name="page79"/>
    <w:bookmarkEnd w:id="78"/>
    <w:p>
      <w:pPr>
        <w:spacing w:after="0" w:line="259" w:lineRule="auto"/>
        <w:rPr>
          <w:sz w:val="20"/>
          <w:szCs w:val="20"/>
          <w:color w:val="auto"/>
        </w:rPr>
      </w:pPr>
      <w:r>
        <w:rPr>
          <w:rFonts w:ascii="Arial" w:cs="Arial" w:eastAsia="Arial" w:hAnsi="Arial"/>
          <w:sz w:val="18"/>
          <w:szCs w:val="18"/>
          <w:color w:val="auto"/>
        </w:rPr>
        <w:t>conditions contained in this Amendment shall bind and inure to the benefit of the parties hereto and their respective successors and, except as otherwise provided in the Lease, their respective assigns. In the event of any conflict between the terms contained in this Amendment and the Lease, the terms herein contained shall supersede and control the obligations and liabilities of the parties. From and after the date hereof, the term “Lease” as used in the Lease shall mean the Lease, as modified by this Amendment.</w:t>
      </w:r>
    </w:p>
    <w:p>
      <w:pPr>
        <w:spacing w:after="0" w:line="79" w:lineRule="exact"/>
        <w:rPr>
          <w:sz w:val="20"/>
          <w:szCs w:val="20"/>
          <w:color w:val="auto"/>
        </w:rPr>
      </w:pPr>
    </w:p>
    <w:p>
      <w:pPr>
        <w:ind w:right="20" w:firstLine="233"/>
        <w:spacing w:after="0" w:line="264"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one or more counterparts that, when taken together, shall constitute one original.</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THIS PAGE INTENTIONALLY LEFT BLANK]</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79" w:name="page80"/>
    <w:bookmarkEnd w:id="79"/>
    <w:p>
      <w:pPr>
        <w:ind w:firstLine="225"/>
        <w:spacing w:after="0" w:line="277" w:lineRule="auto"/>
        <w:rPr>
          <w:sz w:val="20"/>
          <w:szCs w:val="20"/>
          <w:color w:val="auto"/>
        </w:rPr>
      </w:pPr>
      <w:r>
        <w:rPr>
          <w:rFonts w:ascii="Arial" w:cs="Arial" w:eastAsia="Arial" w:hAnsi="Arial"/>
          <w:sz w:val="18"/>
          <w:szCs w:val="18"/>
          <w:color w:val="auto"/>
        </w:rPr>
        <w:t>IN WITNESS WHEREOF, Landlord and Tenant have hereunto set their hands as of the date and year first above written, and acknowledge that they possess the requisite authority to enter into this transaction and to execute this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BMR-LANDMARK AT EASTVIEW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Alan Gold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Alan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87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87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936" w:right="739" w:bottom="1440" w:gutter="0" w:footer="0" w:header="0"/>
        </w:sectPr>
      </w:pPr>
    </w:p>
    <w:bookmarkStart w:id="80" w:name="page81"/>
    <w:bookmarkEnd w:id="80"/>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PREMISES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PREMISES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[IMAGE]</w:t>
      </w:r>
    </w:p>
    <w:p>
      <w:pPr>
        <w:sectPr>
          <w:pgSz w:w="11900" w:h="16838" w:orient="portrait"/>
          <w:cols w:equalWidth="0" w:num="1">
            <w:col w:w="9019"/>
          </w:cols>
          <w:pgMar w:left="1440" w:top="958"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gridSpan w:val="3"/>
            <w:vMerge w:val="restart"/>
          </w:tcPr>
          <w:p>
            <w:pPr>
              <w:ind w:left="240"/>
              <w:spacing w:after="0"/>
              <w:rPr>
                <w:sz w:val="20"/>
                <w:szCs w:val="20"/>
                <w:color w:val="auto"/>
              </w:rPr>
            </w:pPr>
            <w:r>
              <w:rPr>
                <w:rFonts w:ascii="Arial" w:cs="Arial" w:eastAsia="Arial" w:hAnsi="Arial"/>
                <w:sz w:val="14"/>
                <w:szCs w:val="14"/>
                <w:color w:val="auto"/>
                <w:w w:val="91"/>
              </w:rPr>
              <w:t>Years ended December 31,</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2003</w:t>
            </w:r>
          </w:p>
        </w:tc>
        <w:tc>
          <w:tcPr>
            <w:tcW w:w="1320" w:type="dxa"/>
            <w:vAlign w:val="bottom"/>
            <w:gridSpan w:val="2"/>
          </w:tcPr>
          <w:p>
            <w:pPr>
              <w:jc w:val="right"/>
              <w:ind w:right="250"/>
              <w:spacing w:after="0" w:line="142" w:lineRule="exact"/>
              <w:rPr>
                <w:sz w:val="20"/>
                <w:szCs w:val="20"/>
                <w:color w:val="auto"/>
              </w:rPr>
            </w:pPr>
            <w:r>
              <w:rPr>
                <w:rFonts w:ascii="Arial" w:cs="Arial" w:eastAsia="Arial" w:hAnsi="Arial"/>
                <w:sz w:val="14"/>
                <w:szCs w:val="14"/>
                <w:color w:val="auto"/>
              </w:rPr>
              <w:t>2004</w:t>
            </w:r>
          </w:p>
        </w:tc>
        <w:tc>
          <w:tcPr>
            <w:tcW w:w="1440" w:type="dxa"/>
            <w:vAlign w:val="bottom"/>
            <w:gridSpan w:val="2"/>
          </w:tcPr>
          <w:p>
            <w:pPr>
              <w:jc w:val="right"/>
              <w:ind w:right="290"/>
              <w:spacing w:after="0" w:line="142"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2006</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2007</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273"/>
              <w:spacing w:after="0" w:line="142" w:lineRule="exact"/>
              <w:rPr>
                <w:sz w:val="20"/>
                <w:szCs w:val="20"/>
                <w:color w:val="auto"/>
              </w:rPr>
            </w:pPr>
            <w:r>
              <w:rPr>
                <w:rFonts w:ascii="Arial" w:cs="Arial" w:eastAsia="Arial" w:hAnsi="Arial"/>
                <w:sz w:val="14"/>
                <w:szCs w:val="14"/>
                <w:color w:val="auto"/>
                <w:w w:val="96"/>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continuing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operations before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(107,395)</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$41,565</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$(95,456)</w:t>
            </w: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88"/>
              </w:rPr>
              <w:t>(103,150)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w w:val="90"/>
              </w:rPr>
              <w:t>(105,600)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w w:val="89"/>
              </w:rPr>
              <w:t>(48,113)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14,108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14,060</w:t>
            </w: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13,687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13,643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13,708</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capitalized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78</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(276)</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84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(93,530)</w:t>
            </w:r>
          </w:p>
        </w:tc>
        <w:tc>
          <w:tcPr>
            <w:tcW w:w="1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$55,703</w:t>
            </w: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$(81,691)</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(89,434)</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(91,869)</w:t>
            </w:r>
          </w:p>
        </w:tc>
        <w:tc>
          <w:tcPr>
            <w:tcW w:w="7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89"/>
              </w:rPr>
              <w:t>(38,347)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11,932</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$12,175</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$ 12,046</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12,043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3"/>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400"/>
              <w:spacing w:after="0"/>
              <w:rPr>
                <w:sz w:val="20"/>
                <w:szCs w:val="20"/>
                <w:color w:val="auto"/>
              </w:rPr>
            </w:pPr>
            <w:r>
              <w:rPr>
                <w:rFonts w:ascii="Arial" w:cs="Arial" w:eastAsia="Arial" w:hAnsi="Arial"/>
                <w:sz w:val="18"/>
                <w:szCs w:val="18"/>
                <w:color w:val="auto"/>
              </w:rPr>
              <w:t>of rental charges</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1,900</w:t>
            </w:r>
          </w:p>
        </w:tc>
        <w:tc>
          <w:tcPr>
            <w:tcW w:w="1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1,885</w:t>
            </w:r>
          </w:p>
        </w:tc>
        <w:tc>
          <w:tcPr>
            <w:tcW w:w="14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1,641</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1,600</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1,665</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14,108</w:t>
            </w:r>
          </w:p>
        </w:tc>
        <w:tc>
          <w:tcPr>
            <w:tcW w:w="1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$14,060</w:t>
            </w:r>
          </w:p>
        </w:tc>
        <w:tc>
          <w:tcPr>
            <w:tcW w:w="14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$ 13,687</w:t>
            </w:r>
          </w:p>
        </w:tc>
        <w:tc>
          <w:tcPr>
            <w:tcW w:w="3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13,643</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13,708</w:t>
            </w:r>
          </w:p>
        </w:tc>
        <w:tc>
          <w:tcPr>
            <w:tcW w:w="7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4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24"/>
                <w:szCs w:val="24"/>
                <w:color w:val="auto"/>
              </w:rPr>
            </w:pPr>
          </w:p>
        </w:tc>
        <w:tc>
          <w:tcPr>
            <w:tcW w:w="1440" w:type="dxa"/>
            <w:vAlign w:val="bottom"/>
            <w:gridSpan w:val="2"/>
          </w:tcPr>
          <w:p>
            <w:pPr>
              <w:ind w:left="62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16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the registrant’s losses for the years ended December 31, 2003, 2005, 2006, and 2007, and for the nine months ended September 30, 2008, the ratio coverage was less than 1:1. To achieve a coverage ratio of 1:1, the registrant must generate additional earnings of the amounts shown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Nine months</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vMerge w:val="restart"/>
          </w:tcPr>
          <w:p>
            <w:pPr>
              <w:ind w:left="260"/>
              <w:spacing w:after="0"/>
              <w:rPr>
                <w:sz w:val="20"/>
                <w:szCs w:val="20"/>
                <w:color w:val="auto"/>
              </w:rPr>
            </w:pPr>
            <w:r>
              <w:rPr>
                <w:rFonts w:ascii="Arial" w:cs="Arial" w:eastAsia="Arial" w:hAnsi="Arial"/>
                <w:sz w:val="14"/>
                <w:szCs w:val="14"/>
                <w:color w:val="auto"/>
              </w:rPr>
              <w:t>Years ended December 31,</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3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3"/>
          </w:tcPr>
          <w:p>
            <w:pPr>
              <w:jc w:val="center"/>
              <w:ind w:left="228"/>
              <w:spacing w:after="0" w:line="154"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326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76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2003</w:t>
            </w:r>
          </w:p>
        </w:tc>
        <w:tc>
          <w:tcPr>
            <w:tcW w:w="66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color w:val="auto"/>
              </w:rPr>
              <w:t>2005</w:t>
            </w:r>
          </w:p>
        </w:tc>
        <w:tc>
          <w:tcPr>
            <w:tcW w:w="1380" w:type="dxa"/>
            <w:vAlign w:val="bottom"/>
            <w:gridSpan w:val="2"/>
          </w:tcPr>
          <w:p>
            <w:pPr>
              <w:jc w:val="right"/>
              <w:ind w:right="130"/>
              <w:spacing w:after="0" w:line="142" w:lineRule="exact"/>
              <w:rPr>
                <w:sz w:val="20"/>
                <w:szCs w:val="20"/>
                <w:color w:val="auto"/>
              </w:rPr>
            </w:pPr>
            <w:r>
              <w:rPr>
                <w:rFonts w:ascii="Arial" w:cs="Arial" w:eastAsia="Arial" w:hAnsi="Arial"/>
                <w:sz w:val="14"/>
                <w:szCs w:val="14"/>
                <w:color w:val="auto"/>
              </w:rPr>
              <w:t>2006</w:t>
            </w:r>
          </w:p>
        </w:tc>
        <w:tc>
          <w:tcPr>
            <w:tcW w:w="68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1160" w:type="dxa"/>
            <w:vAlign w:val="bottom"/>
            <w:gridSpan w:val="2"/>
          </w:tcPr>
          <w:p>
            <w:pPr>
              <w:jc w:val="right"/>
              <w:ind w:right="202"/>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2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$ 107,638</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$ 95,378</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$ 103,077</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$ 105,577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48,098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ind w:left="660" w:right="60" w:hanging="436"/>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40" w:hanging="252"/>
        <w:spacing w:after="0" w:line="308"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00" w:hanging="436"/>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5,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Leonard S. Schleifer, M.D., Ph.D.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380"/>
          </w:cols>
          <w:pgMar w:left="240" w:top="935" w:right="2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6" w:name="page87"/>
    <w:bookmarkEnd w:id="86"/>
    <w:p>
      <w:pPr>
        <w:ind w:left="660" w:right="60" w:hanging="436"/>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40" w:hanging="252"/>
        <w:spacing w:after="0" w:line="308"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00" w:hanging="436"/>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5,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Finance &amp;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Administration,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 and Assistant Secretary</w:t>
            </w:r>
          </w:p>
        </w:tc>
      </w:tr>
    </w:tbl>
    <w:p>
      <w:pPr>
        <w:sectPr>
          <w:pgSz w:w="11900" w:h="16838" w:orient="portrait"/>
          <w:cols w:equalWidth="0" w:num="1">
            <w:col w:w="11380"/>
          </w:cols>
          <w:pgMar w:left="240" w:top="936" w:right="2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September 30, 2008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84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84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2008</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lowerRoman"/>
      <w:start w:val="2"/>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lvl w:ilvl="1">
      <w:lvlJc w:val="left"/>
      <w:lvlText w:val="(%2)"/>
      <w:numFmt w:val="lowerLetter"/>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4"/>
    </w:lvl>
  </w:abstractNum>
  <w:abstractNum w:abstractNumId="14">
    <w:nsid w:val="2443A858"/>
    <w:multiLevelType w:val="hybridMultilevel"/>
    <w:lvl w:ilvl="0">
      <w:lvlJc w:val="left"/>
      <w:lvlText w:val="%1"/>
      <w:numFmt w:val="lowerLetter"/>
      <w:start w:val="1"/>
    </w:lvl>
    <w:lvl w:ilvl="1">
      <w:lvlJc w:val="left"/>
      <w:lvlText w:val="%2."/>
      <w:numFmt w:val="decimal"/>
      <w:start w:val="5"/>
    </w:lvl>
  </w:abstractNum>
  <w:abstractNum w:abstractNumId="15">
    <w:nsid w:val="2D1D5AE9"/>
    <w:multiLevelType w:val="hybridMultilevel"/>
    <w:lvl w:ilvl="0">
      <w:lvlJc w:val="left"/>
      <w:lvlText w:val="(%1)"/>
      <w:numFmt w:val="lowerLetter"/>
      <w:start w:val="1"/>
    </w:lvl>
    <w:lvl w:ilvl="1">
      <w:lvlJc w:val="left"/>
      <w:lvlText w:val="%2."/>
      <w:numFmt w:val="decimal"/>
      <w:start w:val="6"/>
    </w:lvl>
  </w:abstractNum>
  <w:abstractNum w:abstractNumId="16">
    <w:nsid w:val="6763845E"/>
    <w:multiLevelType w:val="hybridMultilevel"/>
    <w:lvl w:ilvl="0">
      <w:lvlJc w:val="left"/>
      <w:lvlText w:val="%1"/>
      <w:numFmt w:val="lowerLetter"/>
      <w:start w:val="1"/>
    </w:lvl>
    <w:lvl w:ilvl="1">
      <w:lvlJc w:val="left"/>
      <w:lvlText w:val="%2."/>
      <w:numFmt w:val="decimal"/>
      <w:start w:val="8"/>
    </w:lvl>
  </w:abstractNum>
  <w:abstractNum w:abstractNumId="17">
    <w:nsid w:val="75A2A8D4"/>
    <w:multiLevelType w:val="hybridMultilevel"/>
    <w:lvl w:ilvl="0">
      <w:lvlJc w:val="left"/>
      <w:lvlText w:val="(%1)"/>
      <w:numFmt w:val="lowerLetter"/>
      <w:start w:val="2"/>
    </w:lvl>
    <w:lvl w:ilvl="1">
      <w:lvlJc w:val="left"/>
      <w:lvlText w:val="%2"/>
      <w:numFmt w:val="decimal"/>
      <w:start w:val="1"/>
    </w:lvl>
  </w:abstractNum>
  <w:abstractNum w:abstractNumId="18">
    <w:nsid w:val="8EDBDAB"/>
    <w:multiLevelType w:val="hybridMultilevel"/>
    <w:lvl w:ilvl="0">
      <w:lvlJc w:val="left"/>
      <w:lvlText w:val="(%1)"/>
      <w:numFmt w:val="lowerRoman"/>
      <w:start w:val="3"/>
    </w:lvl>
    <w:lvl w:ilvl="1">
      <w:lvlJc w:val="left"/>
      <w:lvlText w:val="%2."/>
      <w:numFmt w:val="decimal"/>
      <w:start w:val="10"/>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decimal"/>
      <w:start w:val="12"/>
    </w:lvl>
  </w:abstractNum>
  <w:abstractNum w:abstractNumId="21">
    <w:nsid w:val="B03E0C6"/>
    <w:multiLevelType w:val="hybridMultilevel"/>
    <w:lvl w:ilvl="0">
      <w:lvlJc w:val="left"/>
      <w:lvlText w:val="%1."/>
      <w:numFmt w:val="decimal"/>
      <w:start w:val="17"/>
    </w:lvl>
  </w:abstractNum>
  <w:abstractNum w:abstractNumId="22">
    <w:nsid w:val="189A769B"/>
    <w:multiLevelType w:val="hybridMultilevel"/>
    <w:lvl w:ilvl="0">
      <w:lvlJc w:val="left"/>
      <w:lvlText w:val="(%1)"/>
      <w:numFmt w:val="upperLetter"/>
      <w:start w:val="1"/>
    </w:lvl>
  </w:abstractNum>
  <w:abstractNum w:abstractNumId="23">
    <w:nsid w:val="54E49EB4"/>
    <w:multiLevelType w:val="hybridMultilevel"/>
    <w:lvl w:ilvl="0">
      <w:lvlJc w:val="left"/>
      <w:lvlText w:val="%1."/>
      <w:numFmt w:val="decimal"/>
      <w:start w:val="1"/>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4"/>
    </w:lvl>
  </w:abstractNum>
  <w:abstractNum w:abstractNumId="25">
    <w:nsid w:val="2CA88611"/>
    <w:multiLevelType w:val="hybridMultilevel"/>
    <w:lvl w:ilvl="0">
      <w:lvlJc w:val="left"/>
      <w:lvlText w:val="%1."/>
      <w:numFmt w:val="decimal"/>
      <w:start w:val="5"/>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4"/>
    </w:lvl>
  </w:abstractNum>
  <w:abstractNum w:abstractNumId="28">
    <w:nsid w:val="3A95F874"/>
    <w:multiLevelType w:val="hybridMultilevel"/>
    <w:lvl w:ilvl="0">
      <w:lvlJc w:val="left"/>
      <w:lvlText w:val="%1."/>
      <w:numFmt w:val="decimal"/>
      <w:start w:val="5"/>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2019-12-20T03:23:52Z</dcterms:created>
  <dcterms:modified xsi:type="dcterms:W3CDTF">2019-12-20T03:23:52Z</dcterms:modified>
</cp:coreProperties>
</file>