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Filed Pursuant to Rule 424(b)(5)</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Registration Statement No. 333-169786</w:t>
      </w:r>
    </w:p>
    <w:p>
      <w:pPr>
        <w:spacing w:after="0" w:line="31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Calculation of registration fee</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w w:val="86"/>
              </w:rPr>
              <w:t>Proposed</w:t>
            </w: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Proposed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 of</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7"/>
              </w:rPr>
              <w:t>maximum</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maximum</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5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offering price</w:t>
            </w:r>
          </w:p>
        </w:tc>
        <w:tc>
          <w:tcPr>
            <w:tcW w:w="4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s</w:t>
            </w:r>
            <w:r>
              <w:rPr>
                <w:rFonts w:ascii="Arial" w:cs="Arial" w:eastAsia="Arial" w:hAnsi="Arial"/>
                <w:sz w:val="14"/>
                <w:szCs w:val="14"/>
                <w:b w:val="1"/>
                <w:bCs w:val="1"/>
                <w:color w:val="auto"/>
              </w:rPr>
              <w:t>ecurities to be registered</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4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8"/>
              </w:rPr>
              <w:t>per share</w:t>
            </w:r>
          </w:p>
        </w:tc>
        <w:tc>
          <w:tcPr>
            <w:tcW w:w="4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w:t>
            </w:r>
          </w:p>
        </w:tc>
        <w:tc>
          <w:tcPr>
            <w:tcW w:w="40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registration fee(2)</w:t>
            </w:r>
          </w:p>
        </w:tc>
        <w:tc>
          <w:tcPr>
            <w:tcW w:w="0" w:type="dxa"/>
            <w:vAlign w:val="bottom"/>
          </w:tcPr>
          <w:p>
            <w:pPr>
              <w:spacing w:after="0"/>
              <w:rPr>
                <w:sz w:val="1"/>
                <w:szCs w:val="1"/>
                <w:color w:val="auto"/>
              </w:rPr>
            </w:pPr>
          </w:p>
        </w:tc>
      </w:tr>
      <w:tr>
        <w:trPr>
          <w:trHeight w:val="264"/>
        </w:trPr>
        <w:tc>
          <w:tcPr>
            <w:tcW w:w="4580" w:type="dxa"/>
            <w:vAlign w:val="bottom"/>
            <w:gridSpan w:val="2"/>
          </w:tcPr>
          <w:p>
            <w:pPr>
              <w:spacing w:after="0"/>
              <w:rPr>
                <w:sz w:val="20"/>
                <w:szCs w:val="20"/>
                <w:color w:val="auto"/>
              </w:rPr>
            </w:pPr>
            <w:r>
              <w:rPr>
                <w:rFonts w:ascii="Arial" w:cs="Arial" w:eastAsia="Arial" w:hAnsi="Arial"/>
                <w:sz w:val="18"/>
                <w:szCs w:val="18"/>
                <w:color w:val="auto"/>
              </w:rPr>
              <w:t>Common Stock, par value $0.001 per share</w:t>
            </w:r>
          </w:p>
        </w:tc>
        <w:tc>
          <w:tcPr>
            <w:tcW w:w="900" w:type="dxa"/>
            <w:vAlign w:val="bottom"/>
          </w:tcPr>
          <w:p>
            <w:pPr>
              <w:jc w:val="right"/>
              <w:spacing w:after="0"/>
              <w:rPr>
                <w:sz w:val="20"/>
                <w:szCs w:val="20"/>
                <w:color w:val="auto"/>
              </w:rPr>
            </w:pPr>
            <w:r>
              <w:rPr>
                <w:rFonts w:ascii="Arial" w:cs="Arial" w:eastAsia="Arial" w:hAnsi="Arial"/>
                <w:sz w:val="18"/>
                <w:szCs w:val="18"/>
                <w:color w:val="auto"/>
              </w:rPr>
              <w:t>6,325,000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27.69</w:t>
            </w:r>
          </w:p>
        </w:tc>
        <w:tc>
          <w:tcPr>
            <w:tcW w:w="148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$ 175,139,250</w:t>
            </w:r>
          </w:p>
        </w:tc>
        <w:tc>
          <w:tcPr>
            <w:tcW w:w="56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12,487.43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900" w:right="180" w:hanging="207"/>
        <w:spacing w:after="0" w:line="253" w:lineRule="auto"/>
        <w:tabs>
          <w:tab w:leader="none" w:pos="9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825,000 shares of common stock that may be purchased by the underwriters pursuant to their option to purchase additional shares of common stock to cover overallotments.</w:t>
      </w:r>
    </w:p>
    <w:p>
      <w:pPr>
        <w:spacing w:after="0" w:line="11" w:lineRule="exact"/>
        <w:rPr>
          <w:rFonts w:ascii="Arial" w:cs="Arial" w:eastAsia="Arial" w:hAnsi="Arial"/>
          <w:sz w:val="14"/>
          <w:szCs w:val="14"/>
          <w:color w:val="auto"/>
        </w:rPr>
      </w:pPr>
    </w:p>
    <w:p>
      <w:pPr>
        <w:ind w:left="900" w:hanging="207"/>
        <w:spacing w:after="0"/>
        <w:tabs>
          <w:tab w:leader="none" w:pos="90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in accordance with Rule 457(r) of the Securities Act of 1933, as amended.</w:t>
      </w:r>
    </w:p>
    <w:p>
      <w:pPr>
        <w:spacing w:after="0" w:line="35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(To Prospectus Dated October 6, 2010)</w:t>
      </w:r>
    </w:p>
    <w:p>
      <w:pPr>
        <w:spacing w:after="0" w:line="54"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5,500,000 Shares</w:t>
      </w:r>
    </w:p>
    <w:p>
      <w:pPr>
        <w:spacing w:after="0" w:line="61" w:lineRule="exact"/>
        <w:rPr>
          <w:sz w:val="20"/>
          <w:szCs w:val="20"/>
          <w:color w:val="auto"/>
        </w:rPr>
      </w:pPr>
    </w:p>
    <w:p>
      <w:pPr>
        <w:jc w:val="center"/>
        <w:ind w:right="-699"/>
        <w:spacing w:after="0"/>
        <w:rPr>
          <w:sz w:val="20"/>
          <w:szCs w:val="20"/>
          <w:color w:val="auto"/>
        </w:rPr>
      </w:pPr>
      <w:r>
        <w:rPr>
          <w:rFonts w:ascii="Arial" w:cs="Arial" w:eastAsia="Arial" w:hAnsi="Arial"/>
          <w:sz w:val="36"/>
          <w:szCs w:val="36"/>
          <w:b w:val="1"/>
          <w:bCs w:val="1"/>
          <w:color w:val="auto"/>
        </w:rPr>
        <w:t>Regeneron Pharmaceuticals, Inc.</w:t>
      </w:r>
    </w:p>
    <w:p>
      <w:pPr>
        <w:spacing w:after="0" w:line="358"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106680</wp:posOffset>
            </wp:positionV>
            <wp:extent cx="11322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2" w:lineRule="exact"/>
        <w:rPr>
          <w:sz w:val="20"/>
          <w:szCs w:val="20"/>
          <w:color w:val="auto"/>
        </w:rPr>
      </w:pPr>
    </w:p>
    <w:p>
      <w:pPr>
        <w:ind w:left="700" w:right="760" w:firstLine="397"/>
        <w:spacing w:after="0" w:line="277" w:lineRule="auto"/>
        <w:rPr>
          <w:sz w:val="20"/>
          <w:szCs w:val="20"/>
          <w:color w:val="auto"/>
        </w:rPr>
      </w:pPr>
      <w:r>
        <w:rPr>
          <w:rFonts w:ascii="Arial" w:cs="Arial" w:eastAsia="Arial" w:hAnsi="Arial"/>
          <w:sz w:val="18"/>
          <w:szCs w:val="18"/>
          <w:color w:val="auto"/>
        </w:rPr>
        <w:t>We are offering to sell 5,500,000 shares of our Common Stock through this prospectus supplement and the accompanying prospectus.</w:t>
      </w:r>
    </w:p>
    <w:p>
      <w:pPr>
        <w:spacing w:after="0" w:line="143" w:lineRule="exact"/>
        <w:rPr>
          <w:sz w:val="20"/>
          <w:szCs w:val="20"/>
          <w:color w:val="auto"/>
        </w:rPr>
      </w:pPr>
    </w:p>
    <w:p>
      <w:pPr>
        <w:ind w:left="700" w:right="20" w:firstLine="397"/>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“REGN.” The last reported sale price of our Common Stock on October 6, 2010 was $29.18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66040</wp:posOffset>
            </wp:positionV>
            <wp:extent cx="11322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5" w:lineRule="exact"/>
        <w:rPr>
          <w:sz w:val="20"/>
          <w:szCs w:val="20"/>
          <w:color w:val="auto"/>
        </w:rPr>
      </w:pPr>
    </w:p>
    <w:p>
      <w:pPr>
        <w:ind w:left="700" w:right="160" w:firstLine="496"/>
        <w:spacing w:after="0" w:line="239"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38 of our Quarterly Report on Form 10-Q for the quarterly period ended June 30, 2010, which is incorporated herein by reference, to read about risks that you should consider before buying shares of our Common Stock.</w:t>
      </w:r>
    </w:p>
    <w:p>
      <w:pPr>
        <w:spacing w:after="0" w:line="167" w:lineRule="exact"/>
        <w:rPr>
          <w:sz w:val="20"/>
          <w:szCs w:val="20"/>
          <w:color w:val="auto"/>
        </w:rPr>
      </w:pPr>
    </w:p>
    <w:p>
      <w:pPr>
        <w:ind w:left="700" w:right="120" w:firstLine="397"/>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73025</wp:posOffset>
            </wp:positionV>
            <wp:extent cx="11322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29" w:lineRule="exact"/>
        <w:rPr>
          <w:sz w:val="20"/>
          <w:szCs w:val="20"/>
          <w:color w:val="auto"/>
        </w:rPr>
      </w:pPr>
    </w:p>
    <w:p>
      <w:pPr>
        <w:ind w:left="700" w:right="240" w:firstLine="397"/>
        <w:spacing w:after="0" w:line="312" w:lineRule="auto"/>
        <w:rPr>
          <w:sz w:val="20"/>
          <w:szCs w:val="20"/>
          <w:color w:val="auto"/>
        </w:rPr>
      </w:pPr>
      <w:r>
        <w:rPr>
          <w:rFonts w:ascii="Arial" w:cs="Arial" w:eastAsia="Arial" w:hAnsi="Arial"/>
          <w:sz w:val="16"/>
          <w:szCs w:val="16"/>
          <w:color w:val="auto"/>
        </w:rPr>
        <w:t>The underwriter has agreed to purchase the Common Stock from us at a price of $27.69 per share which will result in approximately $151,832,500 of proceeds to us (after estimated offering expenses). We have granted the underwriter a 30-day option to purchase up to an additional 825,000 shares of our Common Stock at a price of $27.69 per share to cover any over-allotments.</w:t>
      </w:r>
    </w:p>
    <w:p>
      <w:pPr>
        <w:spacing w:after="0" w:line="120" w:lineRule="exact"/>
        <w:rPr>
          <w:sz w:val="20"/>
          <w:szCs w:val="20"/>
          <w:color w:val="auto"/>
        </w:rPr>
      </w:pPr>
    </w:p>
    <w:p>
      <w:pPr>
        <w:ind w:left="700" w:right="440" w:firstLine="397"/>
        <w:spacing w:after="0" w:line="277" w:lineRule="auto"/>
        <w:rPr>
          <w:sz w:val="20"/>
          <w:szCs w:val="20"/>
          <w:color w:val="auto"/>
        </w:rPr>
      </w:pPr>
      <w:r>
        <w:rPr>
          <w:rFonts w:ascii="Arial" w:cs="Arial" w:eastAsia="Arial" w:hAnsi="Arial"/>
          <w:sz w:val="18"/>
          <w:szCs w:val="18"/>
          <w:color w:val="auto"/>
        </w:rPr>
        <w:t>The underwriter may offer the Common Stock from time to time in one or more transactions in the over-the-counter market or through negotiated transactions at market prices or at negotiated prices.</w:t>
      </w:r>
    </w:p>
    <w:p>
      <w:pPr>
        <w:spacing w:after="0" w:line="1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underwriter expects to deliver the shares against payment in New York, New York on October 13,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109220</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59" w:lineRule="exact"/>
        <w:rPr>
          <w:sz w:val="20"/>
          <w:szCs w:val="20"/>
          <w:color w:val="auto"/>
        </w:rPr>
      </w:pPr>
    </w:p>
    <w:p>
      <w:pPr>
        <w:ind w:left="5400"/>
        <w:spacing w:after="0"/>
        <w:rPr>
          <w:sz w:val="20"/>
          <w:szCs w:val="20"/>
          <w:color w:val="auto"/>
        </w:rPr>
      </w:pPr>
      <w:r>
        <w:rPr>
          <w:rFonts w:ascii="Arial" w:cs="Arial" w:eastAsia="Arial" w:hAnsi="Arial"/>
          <w:sz w:val="32"/>
          <w:szCs w:val="32"/>
          <w:b w:val="1"/>
          <w:bCs w:val="1"/>
          <w:color w:val="auto"/>
        </w:rPr>
        <w:t>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109855</wp:posOffset>
            </wp:positionV>
            <wp:extent cx="11322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8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October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22" w:right="1039" w:bottom="1440" w:gutter="0" w:footer="0" w:header="0"/>
        </w:sectPr>
      </w:pPr>
    </w:p>
    <w:bookmarkStart w:id="2" w:name="page3"/>
    <w:bookmarkEnd w:id="2"/>
    <w:p>
      <w:pPr>
        <w:ind w:right="100" w:firstLine="397"/>
        <w:spacing w:after="0" w:line="295"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 has not, authorized anyone to provide you with different information. If anyone provides you with different or inconsistent information, you should not rely on it. We are not, and the underwriter is not, making an offer to sell these securities in any jurisdiction where the offer or sale is not permitted. You should not assume that the information contained in this prospectus supplement or the accompanying prospectus is accurate as of any date other than the date on the front of this prospectus supplement or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196215</wp:posOffset>
            </wp:positionV>
            <wp:extent cx="11322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0"/>
                <w:szCs w:val="20"/>
                <w:color w:val="auto"/>
              </w:rPr>
            </w:pPr>
          </w:p>
        </w:tc>
      </w:tr>
      <w:tr>
        <w:trPr>
          <w:trHeight w:val="4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w w:val="87"/>
              </w:rPr>
              <w:t>Prospectus Supplement</w:t>
            </w:r>
          </w:p>
        </w:tc>
        <w:tc>
          <w:tcPr>
            <w:tcW w:w="500" w:type="dxa"/>
            <w:vAlign w:val="bottom"/>
          </w:tcPr>
          <w:p>
            <w:pPr>
              <w:spacing w:after="0"/>
              <w:rPr>
                <w:sz w:val="24"/>
                <w:szCs w:val="24"/>
                <w:color w:val="auto"/>
              </w:rPr>
            </w:pPr>
          </w:p>
        </w:tc>
      </w:tr>
      <w:tr>
        <w:trPr>
          <w:trHeight w:val="385"/>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230"/>
        </w:trPr>
        <w:tc>
          <w:tcPr>
            <w:tcW w:w="25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 Supplement</w:t>
              </w:r>
            </w:hyperlink>
          </w:p>
        </w:tc>
        <w:tc>
          <w:tcPr>
            <w:tcW w:w="6880" w:type="dxa"/>
            <w:vAlign w:val="bottom"/>
            <w:gridSpan w:val="4"/>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35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Special Note About Forward-Looking Statements</w:t>
              </w:r>
            </w:hyperlink>
          </w:p>
        </w:tc>
        <w:tc>
          <w:tcPr>
            <w:tcW w:w="5840" w:type="dxa"/>
            <w:vAlign w:val="bottom"/>
            <w:gridSpan w:val="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Supplement Summary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w:t>
            </w:r>
          </w:p>
        </w:tc>
      </w:tr>
      <w:tr>
        <w:trPr>
          <w:trHeight w:val="196"/>
        </w:trPr>
        <w:tc>
          <w:tcPr>
            <w:tcW w:w="2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7000" w:type="dxa"/>
            <w:vAlign w:val="bottom"/>
            <w:gridSpan w:val="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Dividend Policy</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S-5</w:t>
            </w:r>
          </w:p>
        </w:tc>
      </w:tr>
      <w:tr>
        <w:trPr>
          <w:trHeight w:val="196"/>
        </w:trPr>
        <w:tc>
          <w:tcPr>
            <w:tcW w:w="6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Dilution</w:t>
              </w:r>
            </w:hyperlink>
          </w:p>
        </w:tc>
        <w:tc>
          <w:tcPr>
            <w:tcW w:w="560" w:type="dxa"/>
            <w:vAlign w:val="bottom"/>
            <w:tcBorders>
              <w:top w:val="single" w:sz="8" w:color="0000EE"/>
            </w:tcBorders>
            <w:gridSpan w:val="4"/>
          </w:tcPr>
          <w:p>
            <w:pPr>
              <w:spacing w:after="0"/>
              <w:rPr>
                <w:sz w:val="17"/>
                <w:szCs w:val="17"/>
                <w:color w:val="auto"/>
              </w:rPr>
            </w:pPr>
          </w:p>
        </w:tc>
        <w:tc>
          <w:tcPr>
            <w:tcW w:w="826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S-6</w:t>
            </w: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2">
              <w:r>
                <w:rPr>
                  <w:rFonts w:ascii="Arial" w:cs="Arial" w:eastAsia="Arial" w:hAnsi="Arial"/>
                  <w:sz w:val="18"/>
                  <w:szCs w:val="18"/>
                  <w:color w:val="0000EE"/>
                  <w:w w:val="92"/>
                </w:rPr>
                <w:t>Capitalization</w:t>
              </w:r>
            </w:hyperlink>
          </w:p>
        </w:tc>
        <w:tc>
          <w:tcPr>
            <w:tcW w:w="84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S-7</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Underwriting</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S-8</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Legal Matters</w:t>
              </w:r>
            </w:hyperlink>
          </w:p>
        </w:tc>
        <w:tc>
          <w:tcPr>
            <w:tcW w:w="842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Experts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20"/>
        </w:trPr>
        <w:tc>
          <w:tcPr>
            <w:tcW w:w="540" w:type="dxa"/>
            <w:vAlign w:val="bottom"/>
            <w:shd w:val="clear" w:color="auto" w:fill="0000EE"/>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Where You Can Find More Information</w:t>
              </w:r>
            </w:hyperlink>
          </w:p>
        </w:tc>
        <w:tc>
          <w:tcPr>
            <w:tcW w:w="656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S-9</w:t>
            </w:r>
          </w:p>
        </w:tc>
      </w:tr>
      <w:tr>
        <w:trPr>
          <w:trHeight w:val="196"/>
        </w:trPr>
        <w:tc>
          <w:tcPr>
            <w:tcW w:w="9420" w:type="dxa"/>
            <w:vAlign w:val="bottom"/>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Incorporation of Certain Documents By Reference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S-10</w:t>
            </w:r>
          </w:p>
        </w:tc>
      </w:tr>
      <w:tr>
        <w:trPr>
          <w:trHeight w:val="384"/>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780" w:type="dxa"/>
            <w:vAlign w:val="bottom"/>
          </w:tcPr>
          <w:p>
            <w:pPr>
              <w:jc w:val="center"/>
              <w:ind w:right="3050"/>
              <w:spacing w:after="0"/>
              <w:rPr>
                <w:sz w:val="20"/>
                <w:szCs w:val="20"/>
                <w:color w:val="auto"/>
              </w:rPr>
            </w:pPr>
            <w:r>
              <w:rPr>
                <w:rFonts w:ascii="Arial" w:cs="Arial" w:eastAsia="Arial" w:hAnsi="Arial"/>
                <w:sz w:val="18"/>
                <w:szCs w:val="18"/>
                <w:b w:val="1"/>
                <w:bCs w:val="1"/>
                <w:color w:val="auto"/>
                <w:w w:val="85"/>
              </w:rPr>
              <w:t>Prospectus</w:t>
            </w:r>
          </w:p>
        </w:tc>
        <w:tc>
          <w:tcPr>
            <w:tcW w:w="500" w:type="dxa"/>
            <w:vAlign w:val="bottom"/>
          </w:tcPr>
          <w:p>
            <w:pPr>
              <w:spacing w:after="0"/>
              <w:rPr>
                <w:sz w:val="24"/>
                <w:szCs w:val="24"/>
                <w:color w:val="auto"/>
              </w:rPr>
            </w:pP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About This Prospectus</w:t>
            </w:r>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Summary</w:t>
            </w: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Risk Factors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Ratio of Earnings to Fixed Charges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Capital Stock</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Debt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Description of 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Plan of Distribution</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Legal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Experts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420" w:type="dxa"/>
            <w:vAlign w:val="bottom"/>
            <w:gridSpan w:val="12"/>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9420" w:type="dxa"/>
            <w:vAlign w:val="bottom"/>
            <w:gridSpan w:val="12"/>
          </w:tcPr>
          <w:p>
            <w:pPr>
              <w:spacing w:after="0"/>
              <w:rPr>
                <w:sz w:val="20"/>
                <w:szCs w:val="20"/>
                <w:color w:val="auto"/>
              </w:rPr>
            </w:pPr>
            <w:r>
              <w:rPr>
                <w:rFonts w:ascii="Arial" w:cs="Arial" w:eastAsia="Arial" w:hAnsi="Arial"/>
                <w:sz w:val="18"/>
                <w:szCs w:val="18"/>
                <w:color w:val="auto"/>
              </w:rPr>
              <w:t>Where You Can Find More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ABOUT THIS PROSPECTUS SUPPLEMENT</w:t>
      </w:r>
    </w:p>
    <w:p>
      <w:pPr>
        <w:spacing w:after="0" w:line="135" w:lineRule="exact"/>
        <w:rPr>
          <w:sz w:val="20"/>
          <w:szCs w:val="20"/>
          <w:color w:val="auto"/>
        </w:rPr>
      </w:pPr>
    </w:p>
    <w:p>
      <w:pPr>
        <w:ind w:left="700" w:right="120" w:firstLine="397"/>
        <w:spacing w:after="0" w:line="302"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terms of this offering. The second part, the base prospectus, gives more general information, some of which may not apply to this offering. You should read both this prospectus supplement and the accompanying prospectus, together with the additional information described below under the headings “Where You Can Find More Information” and “Incorporation of Certain Documents by Reference.”</w:t>
      </w:r>
    </w:p>
    <w:p>
      <w:pPr>
        <w:spacing w:after="0" w:line="60"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Information contained on our website does not constitute part of this prospectus supplement or the accompanying prospectus.</w:t>
      </w:r>
    </w:p>
    <w:p>
      <w:pPr>
        <w:spacing w:after="0" w:line="142"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In this prospectus supplement, all references to “we,” “us,” “our,” “Regeneron,” the “Company” and similar designations refer to Regeneron Pharmaceuticals, Inc., unless the context indicates otherwise.</w:t>
      </w:r>
    </w:p>
    <w:p>
      <w:pPr>
        <w:spacing w:after="0" w:line="288"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Statements in this prospectus supplement and in the accompanying prospectus and other materials filed or to be filed with the Securities and Exchange Commission, or the SEC, (or otherwise made by Regeneron or on Regeneron’s behalf) contain various forward-looking statements within the meaning of Section 27A of the Securities Act of 1933, as amended, or the Securities Act, and Section 21E of the Securities Exchange Act of 1934, as amended, or the Exchange Act, which represent our management’s beliefs and assumptions concerning future events. When used in this prospectus supplement and in the accompanying prospectus and in other materials filed or to be filed with the SEC (or otherwise made by Regeneron or on Regeneron’s behalf), forward-looking statements include, without limitation, statements regarding financial forecasts or projections, and our expectations, beliefs, intentions or future strategies that are signified by the words “may,” “will,” “expect,” “intend,” “indicate,” “anticipate,” “believe,” “forecast,” “estimate,” “plan,” “guidance,” “outlook,” “could,” “should,” “continue” and similar terms used in connection with statements regarding the outlook of Regeneron. These statements are based upon the current beliefs and expectations of management and are subject to significant risks and uncertainties that could cause our actual results and financial position to differ materially from these statements. These statements include, but are not limited to, statements regarding:</w:t>
      </w:r>
    </w:p>
    <w:p>
      <w:pPr>
        <w:spacing w:after="0" w:line="85" w:lineRule="exact"/>
        <w:rPr>
          <w:sz w:val="20"/>
          <w:szCs w:val="20"/>
          <w:color w:val="auto"/>
        </w:rPr>
      </w:pPr>
    </w:p>
    <w:p>
      <w:pPr>
        <w:jc w:val="both"/>
        <w:ind w:left="1300" w:right="120" w:hanging="202"/>
        <w:spacing w:after="0" w:line="26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clinical trials, development timelines, future IND filings for new product candidates, and regulatory filings and submissions for any of our product candidates in clinical development, including, without limitation, ARCALYST</w:t>
      </w:r>
      <w:r>
        <w:rPr>
          <w:rFonts w:ascii="Arial" w:cs="Arial" w:eastAsia="Arial" w:hAnsi="Arial"/>
          <w:sz w:val="15"/>
          <w:szCs w:val="15"/>
          <w:color w:val="auto"/>
        </w:rPr>
        <w:t>®</w:t>
      </w:r>
      <w:r>
        <w:rPr>
          <w:rFonts w:ascii="Arial" w:cs="Arial" w:eastAsia="Arial" w:hAnsi="Arial"/>
          <w:sz w:val="18"/>
          <w:szCs w:val="18"/>
          <w:color w:val="auto"/>
        </w:rPr>
        <w:t xml:space="preserve"> (rilonacept), aflibercept (VEGF Trap), and VEGF Trap-Eye;</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possible success of any of our current or future product candidates;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new antibody product candidates into clinical development;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build a successful, integrated biopharmaceutical company;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marketing approval for, or successfully market any of our product candidates;</w:t>
      </w:r>
    </w:p>
    <w:p>
      <w:pPr>
        <w:spacing w:after="0" w:line="117" w:lineRule="exact"/>
        <w:rPr>
          <w:rFonts w:ascii="Arial" w:cs="Arial" w:eastAsia="Arial" w:hAnsi="Arial"/>
          <w:sz w:val="18"/>
          <w:szCs w:val="18"/>
          <w:color w:val="auto"/>
        </w:rPr>
      </w:pPr>
    </w:p>
    <w:p>
      <w:pPr>
        <w:ind w:left="1300" w:right="4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data that will be generated by ongoing and planned clinical trials and the ability to use that data to support regulatory filings, including potential applications for marketing approval for any of our product candidates;</w:t>
      </w:r>
    </w:p>
    <w:p>
      <w:pPr>
        <w:spacing w:after="0" w:line="62" w:lineRule="exact"/>
        <w:rPr>
          <w:rFonts w:ascii="Arial" w:cs="Arial" w:eastAsia="Arial" w:hAnsi="Arial"/>
          <w:sz w:val="18"/>
          <w:szCs w:val="18"/>
          <w:color w:val="auto"/>
        </w:rPr>
      </w:pPr>
    </w:p>
    <w:p>
      <w:pPr>
        <w:ind w:left="1300" w:right="8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maintenance of any of our license or collaborative relationships, including, without limitation, those with sanofi-aventis and Bayer HealthCare;</w:t>
      </w:r>
    </w:p>
    <w:p>
      <w:pPr>
        <w:spacing w:after="0" w:line="62"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liquidity and our expectations regarding our future cash needs and our expectations regarding the possibility of raising additional capital; and</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amount, and our expected uses of the net proceeds of this offering.</w:t>
      </w:r>
    </w:p>
    <w:p>
      <w:pPr>
        <w:spacing w:after="0" w:line="200" w:lineRule="exact"/>
        <w:rPr>
          <w:sz w:val="20"/>
          <w:szCs w:val="20"/>
          <w:color w:val="auto"/>
        </w:rPr>
      </w:pPr>
    </w:p>
    <w:p>
      <w:pPr>
        <w:spacing w:after="0" w:line="2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00" w:firstLine="397"/>
        <w:spacing w:after="0" w:line="271" w:lineRule="auto"/>
        <w:rPr>
          <w:sz w:val="20"/>
          <w:szCs w:val="20"/>
          <w:color w:val="auto"/>
        </w:rPr>
      </w:pPr>
      <w:r>
        <w:rPr>
          <w:rFonts w:ascii="Arial" w:cs="Arial" w:eastAsia="Arial" w:hAnsi="Arial"/>
          <w:sz w:val="17"/>
          <w:szCs w:val="17"/>
          <w:b w:val="1"/>
          <w:bCs w:val="1"/>
          <w:color w:val="auto"/>
        </w:rPr>
        <w:t>These forward-looking statements are subject to significant risks, uncertainties and assumptions that could cause our actual results and the timing of certain events to differ materially from those expressed in the forward-looking statements. There may be other factors not identified above, or in “Risk Factors”, of which we are not currently aware that may affect matters discussed in the forward-looking statements and may also cause actual results to differ materially from those discussed. We assume no obligation to publicly update any forward-looking statement to reflect actual results, changes in assumptions or changes in other factors affecting these estimates other than as required by law. Before deciding to purchase our securities you should carefully consider the risks described in the “Risk Factors” section beginning on page 38 of our Quarterly Report on Form 10-Q for the quarterly period ended June 30, 2010, which is incorporated herein by reference, in addition to the other documents incorporated by reference herein and therein.</w:t>
      </w:r>
    </w:p>
    <w:p>
      <w:pPr>
        <w:spacing w:after="0" w:line="36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PROSPECTUS SUPPLEMENT SUMMARY</w:t>
      </w:r>
    </w:p>
    <w:p>
      <w:pPr>
        <w:spacing w:after="0" w:line="135" w:lineRule="exact"/>
        <w:rPr>
          <w:sz w:val="20"/>
          <w:szCs w:val="20"/>
          <w:color w:val="auto"/>
        </w:rPr>
      </w:pPr>
    </w:p>
    <w:p>
      <w:pPr>
        <w:ind w:left="920" w:right="100" w:firstLine="397"/>
        <w:spacing w:after="0" w:line="297" w:lineRule="auto"/>
        <w:rPr>
          <w:sz w:val="20"/>
          <w:szCs w:val="20"/>
          <w:color w:val="auto"/>
        </w:rPr>
      </w:pPr>
      <w:r>
        <w:rPr>
          <w:rFonts w:ascii="Arial" w:cs="Arial" w:eastAsia="Arial" w:hAnsi="Arial"/>
          <w:sz w:val="16"/>
          <w:szCs w:val="16"/>
          <w:i w:val="1"/>
          <w:iCs w:val="1"/>
          <w:color w:val="auto"/>
        </w:rPr>
        <w:t>This summary highlights selected information more fully described elsewhere in this prospectus supplement and the accompanying prospectus. This summary is not complete and does not contain all of the information that may be important to you. You should read carefully this entire prospectus supplement and the accompanying prospectus, any free writing prospectus, and the other documents that we refer to and incorporate by reference herein for a more complete understanding of us and this offering, including in particular the “Risk Factors” section incorporated by reference in this prospectus supplement and the accompanying prospectus.</w:t>
      </w:r>
    </w:p>
    <w:p>
      <w:pPr>
        <w:spacing w:after="0" w:line="27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Regeneron Pharmaceuticals, Inc.</w:t>
      </w:r>
    </w:p>
    <w:p>
      <w:pPr>
        <w:spacing w:after="0" w:line="135" w:lineRule="exact"/>
        <w:rPr>
          <w:sz w:val="20"/>
          <w:szCs w:val="20"/>
          <w:color w:val="auto"/>
        </w:rPr>
      </w:pPr>
    </w:p>
    <w:p>
      <w:pPr>
        <w:ind w:left="920" w:right="120" w:firstLine="397"/>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5"/>
          <w:szCs w:val="15"/>
          <w:color w:val="auto"/>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94" w:lineRule="exact"/>
        <w:rPr>
          <w:sz w:val="20"/>
          <w:szCs w:val="20"/>
          <w:color w:val="auto"/>
        </w:rPr>
      </w:pPr>
    </w:p>
    <w:p>
      <w:pPr>
        <w:ind w:left="920" w:firstLine="397"/>
        <w:spacing w:after="0" w:line="270"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14"/>
          <w:szCs w:val="14"/>
          <w:color w:val="auto"/>
        </w:rPr>
        <w:t>®</w:t>
      </w:r>
      <w:r>
        <w:rPr>
          <w:rFonts w:ascii="Arial" w:cs="Arial" w:eastAsia="Arial" w:hAnsi="Arial"/>
          <w:sz w:val="17"/>
          <w:szCs w:val="17"/>
          <w:color w:val="auto"/>
        </w:rPr>
        <w:t xml:space="preserve"> (rilonacept), which is being developed for the prevention of gout-related flares in patients initiating uric acid-lowering treatment; VEGF Trap-Eye, which is being developed in eye diseases using intraocular delivery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(IL-6R), which is being developed in rheumatoid arthritis and ankylosing spondilitis;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All five of our earlier stage clinical programs are fully human antibodies that are being developed in collaboration with sanofi-aventis.</w:t>
      </w:r>
    </w:p>
    <w:p>
      <w:pPr>
        <w:spacing w:after="0" w:line="83" w:lineRule="exact"/>
        <w:rPr>
          <w:sz w:val="20"/>
          <w:szCs w:val="20"/>
          <w:color w:val="auto"/>
        </w:rPr>
      </w:pPr>
    </w:p>
    <w:p>
      <w:pPr>
        <w:jc w:val="both"/>
        <w:ind w:left="920" w:right="140" w:firstLine="397"/>
        <w:spacing w:after="0" w:line="30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60" w:lineRule="exact"/>
        <w:rPr>
          <w:sz w:val="20"/>
          <w:szCs w:val="20"/>
          <w:color w:val="auto"/>
        </w:rPr>
      </w:pPr>
    </w:p>
    <w:p>
      <w:pPr>
        <w:ind w:left="920" w:right="20" w:firstLine="397"/>
        <w:spacing w:after="0" w:line="270"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0"/>
          <w:szCs w:val="10"/>
          <w:color w:val="auto"/>
        </w:rPr>
        <w:t>TM</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technology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cell line expression technologies </w:t>
      </w:r>
      <w:r>
        <w:rPr>
          <w:rFonts w:ascii="Arial" w:cs="Arial" w:eastAsia="Arial" w:hAnsi="Arial"/>
          <w:sz w:val="17"/>
          <w:szCs w:val="17"/>
          <w:i w:val="1"/>
          <w:iCs w:val="1"/>
          <w:color w:val="auto"/>
        </w:rPr>
        <w:t>(VelociMab</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83" w:lineRule="exact"/>
        <w:rPr>
          <w:sz w:val="20"/>
          <w:szCs w:val="20"/>
          <w:color w:val="auto"/>
        </w:rPr>
      </w:pPr>
    </w:p>
    <w:p>
      <w:pPr>
        <w:ind w:left="920" w:right="240" w:firstLine="397"/>
        <w:spacing w:after="0" w:line="259" w:lineRule="auto"/>
        <w:rPr>
          <w:sz w:val="20"/>
          <w:szCs w:val="20"/>
          <w:color w:val="auto"/>
        </w:rPr>
      </w:pPr>
      <w:r>
        <w:rPr>
          <w:rFonts w:ascii="Arial" w:cs="Arial" w:eastAsia="Arial" w:hAnsi="Arial"/>
          <w:sz w:val="18"/>
          <w:szCs w:val="18"/>
          <w:color w:val="auto"/>
        </w:rPr>
        <w:t>Our principal executive offices are located at 777 Old Saw Mill River Road, Tarrytown, New York 10591, and our telephone number at that address is (914) 345-7400. Our website address is www.regeneron.com. The information on, or accessible through, our website is not part of this prospectus and should not be relied upon in connection with making any investment decision with respect to the securities offered by this prospectus supplement.</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79"/>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Issuer</w:t>
      </w:r>
      <w:r>
        <w:rPr>
          <w:sz w:val="20"/>
          <w:szCs w:val="20"/>
          <w:color w:val="auto"/>
        </w:rPr>
        <w:tab/>
      </w:r>
      <w:r>
        <w:rPr>
          <w:rFonts w:ascii="Arial" w:cs="Arial" w:eastAsia="Arial" w:hAnsi="Arial"/>
          <w:sz w:val="18"/>
          <w:szCs w:val="18"/>
          <w:color w:val="auto"/>
        </w:rPr>
        <w:t>Regeneron Pharmaceuticals, Inc.</w:t>
      </w:r>
    </w:p>
    <w:p>
      <w:pPr>
        <w:spacing w:after="0" w:line="11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Common Stock Offered</w:t>
      </w:r>
      <w:r>
        <w:rPr>
          <w:sz w:val="20"/>
          <w:szCs w:val="20"/>
          <w:color w:val="auto"/>
        </w:rPr>
        <w:tab/>
      </w:r>
      <w:r>
        <w:rPr>
          <w:rFonts w:ascii="Arial" w:cs="Arial" w:eastAsia="Arial" w:hAnsi="Arial"/>
          <w:sz w:val="15"/>
          <w:szCs w:val="15"/>
          <w:color w:val="auto"/>
        </w:rPr>
        <w:t>5,500,000 shares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Common Stock to be Outstanding After This</w:t>
      </w:r>
    </w:p>
    <w:p>
      <w:pPr>
        <w:spacing w:after="0" w:line="27"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Offering</w:t>
      </w:r>
      <w:r>
        <w:rPr>
          <w:sz w:val="20"/>
          <w:szCs w:val="20"/>
          <w:color w:val="auto"/>
        </w:rPr>
        <w:tab/>
      </w:r>
      <w:r>
        <w:rPr>
          <w:rFonts w:ascii="Arial" w:cs="Arial" w:eastAsia="Arial" w:hAnsi="Arial"/>
          <w:sz w:val="18"/>
          <w:szCs w:val="18"/>
          <w:color w:val="auto"/>
        </w:rPr>
        <w:t>85,505,370 shares(1)(2)</w:t>
      </w:r>
    </w:p>
    <w:p>
      <w:pPr>
        <w:spacing w:after="0" w:line="9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The proceeds from this offering to us will be approximately $151,832,500</w:t>
      </w:r>
    </w:p>
    <w:p>
      <w:pPr>
        <w:spacing w:after="0" w:line="27" w:lineRule="exact"/>
        <w:rPr>
          <w:sz w:val="20"/>
          <w:szCs w:val="20"/>
          <w:color w:val="auto"/>
        </w:rPr>
      </w:pPr>
    </w:p>
    <w:p>
      <w:pPr>
        <w:ind w:left="4600" w:right="100"/>
        <w:spacing w:after="0" w:line="261" w:lineRule="auto"/>
        <w:rPr>
          <w:sz w:val="20"/>
          <w:szCs w:val="20"/>
          <w:color w:val="auto"/>
        </w:rPr>
      </w:pPr>
      <w:r>
        <w:rPr>
          <w:rFonts w:ascii="Arial" w:cs="Arial" w:eastAsia="Arial" w:hAnsi="Arial"/>
          <w:sz w:val="18"/>
          <w:szCs w:val="18"/>
          <w:color w:val="auto"/>
        </w:rPr>
        <w:t>($174,676,750 if the underwriter exercises its option to purchase additional shares in full), after deducting estimated offering expenses.</w:t>
      </w:r>
    </w:p>
    <w:p>
      <w:pPr>
        <w:spacing w:after="0" w:line="76"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We expect to use the net proceeds of the offering for general corporate purposes.</w:t>
      </w:r>
    </w:p>
    <w:p>
      <w:pPr>
        <w:spacing w:after="0" w:line="125"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Before investing in our Common Stock, you should carefully read and consider the</w:t>
      </w:r>
    </w:p>
    <w:p>
      <w:pPr>
        <w:spacing w:after="0" w:line="27" w:lineRule="exact"/>
        <w:rPr>
          <w:sz w:val="20"/>
          <w:szCs w:val="20"/>
          <w:color w:val="auto"/>
        </w:rPr>
      </w:pPr>
    </w:p>
    <w:p>
      <w:pPr>
        <w:ind w:left="4600" w:right="60"/>
        <w:spacing w:after="0" w:line="255" w:lineRule="auto"/>
        <w:rPr>
          <w:sz w:val="20"/>
          <w:szCs w:val="20"/>
          <w:color w:val="auto"/>
        </w:rPr>
      </w:pPr>
      <w:r>
        <w:rPr>
          <w:rFonts w:ascii="Arial" w:cs="Arial" w:eastAsia="Arial" w:hAnsi="Arial"/>
          <w:sz w:val="18"/>
          <w:szCs w:val="18"/>
          <w:color w:val="auto"/>
        </w:rPr>
        <w:t>information set forth in “Risk Factors” beginning on page 38 of our Quarterly Report on Form 10-Q for the quarterly period ended June 30, 2010, which is incorporated herein by reference.</w:t>
      </w:r>
    </w:p>
    <w:p>
      <w:pPr>
        <w:spacing w:after="0" w:line="78"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Trading Symbol for Our Common Stock</w:t>
      </w:r>
      <w:r>
        <w:rPr>
          <w:sz w:val="20"/>
          <w:szCs w:val="20"/>
          <w:color w:val="auto"/>
        </w:rPr>
        <w:tab/>
      </w:r>
      <w:r>
        <w:rPr>
          <w:rFonts w:ascii="Arial" w:cs="Arial" w:eastAsia="Arial" w:hAnsi="Arial"/>
          <w:sz w:val="16"/>
          <w:szCs w:val="16"/>
          <w:color w:val="auto"/>
        </w:rPr>
        <w:t>Our Common Stock is listed on the NASDAQ Global Select Market under the trading</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symbol “REGN.”</w:t>
      </w:r>
    </w:p>
    <w:p>
      <w:pPr>
        <w:spacing w:after="0" w:line="99" w:lineRule="exact"/>
        <w:rPr>
          <w:sz w:val="20"/>
          <w:szCs w:val="20"/>
          <w:color w:val="auto"/>
        </w:rPr>
      </w:pPr>
    </w:p>
    <w:p>
      <w:pPr>
        <w:ind w:left="920"/>
        <w:spacing w:after="0"/>
        <w:tabs>
          <w:tab w:leader="none" w:pos="4580" w:val="left"/>
        </w:tabs>
        <w:rPr>
          <w:sz w:val="20"/>
          <w:szCs w:val="20"/>
          <w:color w:val="auto"/>
        </w:rPr>
      </w:pPr>
      <w:r>
        <w:rPr>
          <w:rFonts w:ascii="Arial" w:cs="Arial" w:eastAsia="Arial" w:hAnsi="Arial"/>
          <w:sz w:val="18"/>
          <w:szCs w:val="18"/>
          <w:b w:val="1"/>
          <w:bCs w:val="1"/>
          <w:color w:val="auto"/>
        </w:rPr>
        <w:t>Transfer Agent and Registrar</w:t>
      </w:r>
      <w:r>
        <w:rPr>
          <w:sz w:val="20"/>
          <w:szCs w:val="20"/>
          <w:color w:val="auto"/>
        </w:rPr>
        <w:tab/>
      </w:r>
      <w:r>
        <w:rPr>
          <w:rFonts w:ascii="Arial" w:cs="Arial" w:eastAsia="Arial" w:hAnsi="Arial"/>
          <w:sz w:val="16"/>
          <w:szCs w:val="16"/>
          <w:color w:val="auto"/>
        </w:rPr>
        <w:t>American Stock Transfer and Trust Company, LLC</w:t>
      </w:r>
    </w:p>
    <w:p>
      <w:pPr>
        <w:spacing w:after="0" w:line="135" w:lineRule="exact"/>
        <w:rPr>
          <w:sz w:val="20"/>
          <w:szCs w:val="20"/>
          <w:color w:val="auto"/>
        </w:rPr>
      </w:pPr>
    </w:p>
    <w:p>
      <w:pPr>
        <w:ind w:left="920" w:right="260" w:firstLine="397"/>
        <w:spacing w:after="0" w:line="277" w:lineRule="auto"/>
        <w:rPr>
          <w:sz w:val="20"/>
          <w:szCs w:val="20"/>
          <w:color w:val="auto"/>
        </w:rPr>
      </w:pPr>
      <w:r>
        <w:rPr>
          <w:rFonts w:ascii="Arial" w:cs="Arial" w:eastAsia="Arial" w:hAnsi="Arial"/>
          <w:sz w:val="18"/>
          <w:szCs w:val="18"/>
          <w:color w:val="auto"/>
        </w:rPr>
        <w:t>Unless otherwise indicated, this prospectus supplement reflects and assumes no exercise by the underwriter of its overallotment option.</w:t>
      </w:r>
    </w:p>
    <w:p>
      <w:pPr>
        <w:spacing w:after="0" w:line="170" w:lineRule="exact"/>
        <w:rPr>
          <w:sz w:val="20"/>
          <w:szCs w:val="20"/>
          <w:color w:val="auto"/>
        </w:rPr>
      </w:pPr>
    </w:p>
    <w:p>
      <w:pPr>
        <w:ind w:left="1240" w:right="480" w:hanging="311"/>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this offering is based on 80,005,370 shares of Common Stock outstanding on September 15, 2010.</w:t>
      </w:r>
    </w:p>
    <w:p>
      <w:pPr>
        <w:spacing w:after="0" w:line="8" w:lineRule="exact"/>
        <w:rPr>
          <w:rFonts w:ascii="Arial" w:cs="Arial" w:eastAsia="Arial" w:hAnsi="Arial"/>
          <w:sz w:val="18"/>
          <w:szCs w:val="18"/>
          <w:color w:val="auto"/>
        </w:rPr>
      </w:pPr>
    </w:p>
    <w:p>
      <w:pPr>
        <w:ind w:left="1240" w:right="40" w:hanging="311"/>
        <w:spacing w:after="0" w:line="342" w:lineRule="auto"/>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shares of Common Stock to be outstanding after this offering excludes, as of September 15, 2010, 21,172,624 shares of our Common Stock subject to stock options outstanding as of that date, of which 11,895,943 were exercisable as of that date.</w:t>
      </w:r>
    </w:p>
    <w:p>
      <w:pPr>
        <w:sectPr>
          <w:pgSz w:w="11900" w:h="16838" w:orient="portrait"/>
          <w:cols w:equalWidth="0" w:num="1">
            <w:col w:w="10780"/>
          </w:cols>
          <w:pgMar w:left="240" w:top="419"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80"/>
          </w:cols>
          <w:pgMar w:left="240" w:top="419" w:right="8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Summary Financial Data</w:t>
      </w:r>
    </w:p>
    <w:p>
      <w:pPr>
        <w:spacing w:after="0" w:line="135" w:lineRule="exact"/>
        <w:rPr>
          <w:sz w:val="20"/>
          <w:szCs w:val="20"/>
          <w:color w:val="auto"/>
        </w:rPr>
      </w:pPr>
    </w:p>
    <w:p>
      <w:pPr>
        <w:ind w:left="920" w:right="140" w:firstLine="397"/>
        <w:spacing w:after="0" w:line="288" w:lineRule="auto"/>
        <w:rPr>
          <w:sz w:val="20"/>
          <w:szCs w:val="20"/>
          <w:color w:val="auto"/>
        </w:rPr>
      </w:pPr>
      <w:r>
        <w:rPr>
          <w:rFonts w:ascii="Arial" w:cs="Arial" w:eastAsia="Arial" w:hAnsi="Arial"/>
          <w:sz w:val="16"/>
          <w:szCs w:val="16"/>
          <w:color w:val="auto"/>
        </w:rPr>
        <w:t>The summary historical financial data presented below have been derived from our financial statements and should be read in conjunction with our financial statements and the notes thereto and “Management’s Discussion and Analysis of Financial Condition and Results of Operations” in our Annual Report on Form 10-K for the year ended December 31, 2009 and our Quarterly Report on</w:t>
      </w:r>
    </w:p>
    <w:p>
      <w:pPr>
        <w:ind w:left="920" w:right="440"/>
        <w:spacing w:after="0" w:line="323" w:lineRule="auto"/>
        <w:rPr>
          <w:sz w:val="20"/>
          <w:szCs w:val="20"/>
          <w:color w:val="auto"/>
        </w:rPr>
      </w:pPr>
      <w:r>
        <w:rPr>
          <w:rFonts w:ascii="Arial" w:cs="Arial" w:eastAsia="Arial" w:hAnsi="Arial"/>
          <w:sz w:val="16"/>
          <w:szCs w:val="16"/>
          <w:color w:val="auto"/>
        </w:rPr>
        <w:t>Form 10-Q for the period ended June 30, 2010, each of which are incorporated by reference into this prospectus supplement and the accompanying prospectus. The information presented below is not necessarily indicative of the results of our future operations.</w:t>
      </w:r>
    </w:p>
    <w:p>
      <w:pPr>
        <w:spacing w:after="0" w:line="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0"/>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10"/>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0" w:type="dxa"/>
            <w:vAlign w:val="bottom"/>
            <w:gridSpan w:val="11"/>
          </w:tcPr>
          <w:p>
            <w:pPr>
              <w:jc w:val="right"/>
              <w:ind w:right="60"/>
              <w:spacing w:after="0"/>
              <w:rPr>
                <w:sz w:val="20"/>
                <w:szCs w:val="20"/>
                <w:color w:val="auto"/>
              </w:rPr>
            </w:pPr>
            <w:r>
              <w:rPr>
                <w:rFonts w:ascii="Arial" w:cs="Arial" w:eastAsia="Arial" w:hAnsi="Arial"/>
                <w:sz w:val="14"/>
                <w:szCs w:val="14"/>
                <w:b w:val="1"/>
                <w:bCs w:val="1"/>
                <w:color w:val="auto"/>
                <w:w w:val="93"/>
              </w:rPr>
              <w:t>(In thousands, except per share data)</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Statement of Operations Data</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Revenues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Collaboration 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180,334</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133,186</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314,457</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185,138</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87,648</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47,763</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Technology licensing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20,075</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40,013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28,421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manufacturing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12,311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Net product sales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15,049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18,364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research and other</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3,373</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219,420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165,013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379,268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238,457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125,024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Research and development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241,997</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174,538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398,762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274,903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202,468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137,064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155,581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manufacturing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Selling, general, and administrative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28,902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23,052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52,923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48,880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37,929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25,892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25,476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goods sold</w:t>
            </w: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272,021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198,417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453,371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324,706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240,397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(52,601)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(33,404)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3"/>
              </w:rPr>
              <w:t>(74,103)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7"/>
              </w:rPr>
              <w:t>(86,249)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(115,373)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0"/>
              </w:rPr>
              <w:t>(107,655)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(124,421)</w:t>
            </w: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contract income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Investment income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3,078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4,488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18,161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16,548</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10,381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(2,337)</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(7,752)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(12,043)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(12,046)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Loss on early extinguishment of debt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(938)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(3,395)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180" w:type="dxa"/>
            <w:vAlign w:val="bottom"/>
            <w:gridSpan w:val="2"/>
          </w:tcPr>
          <w:p>
            <w:pPr>
              <w:spacing w:after="0"/>
              <w:rPr>
                <w:sz w:val="20"/>
                <w:szCs w:val="20"/>
                <w:color w:val="auto"/>
              </w:rPr>
            </w:pPr>
            <w:r>
              <w:rPr>
                <w:rFonts w:ascii="Arial" w:cs="Arial" w:eastAsia="Arial" w:hAnsi="Arial"/>
                <w:sz w:val="16"/>
                <w:szCs w:val="16"/>
                <w:color w:val="auto"/>
                <w:w w:val="94"/>
              </w:rPr>
              <w:t>Net loss before income tax expense and cumulative effect of a</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change in accounting principle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(55,996)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(30,326)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(71,952)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(76,778)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(106,519)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(103,150)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180" w:type="dxa"/>
            <w:vAlign w:val="bottom"/>
            <w:gridSpan w:val="2"/>
          </w:tcPr>
          <w:p>
            <w:pPr>
              <w:spacing w:after="0"/>
              <w:rPr>
                <w:sz w:val="20"/>
                <w:szCs w:val="20"/>
                <w:color w:val="auto"/>
              </w:rPr>
            </w:pPr>
            <w:r>
              <w:rPr>
                <w:rFonts w:ascii="Arial" w:cs="Arial" w:eastAsia="Arial" w:hAnsi="Arial"/>
                <w:sz w:val="16"/>
                <w:szCs w:val="16"/>
                <w:color w:val="auto"/>
                <w:w w:val="99"/>
              </w:rPr>
              <w:t>Net loss before cumulative effect of a change in accounting</w:t>
            </w: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principle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(55,996)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(30,326)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(67,830)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(79,129)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(106,519)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(103,150)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w w:val="96"/>
              </w:rPr>
              <w:t>Cumulative effect of a change in accounting principle related</w:t>
            </w:r>
          </w:p>
        </w:tc>
        <w:tc>
          <w:tcPr>
            <w:tcW w:w="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 share-based payments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(55,996)</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(30,326)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(67,830)</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(79,129)</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(106,519)</w:t>
            </w:r>
          </w:p>
        </w:tc>
        <w:tc>
          <w:tcPr>
            <w:tcW w:w="1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(102,337)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(95,446)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basic and diluted: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w w:val="95"/>
              </w:rPr>
              <w:t>Net loss before cumulative effect of a change in accounting</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Pr>
          <w:p>
            <w:pPr>
              <w:ind w:left="300"/>
              <w:spacing w:after="0"/>
              <w:rPr>
                <w:sz w:val="20"/>
                <w:szCs w:val="20"/>
                <w:color w:val="auto"/>
              </w:rPr>
            </w:pPr>
            <w:r>
              <w:rPr>
                <w:rFonts w:ascii="Arial" w:cs="Arial" w:eastAsia="Arial" w:hAnsi="Arial"/>
                <w:sz w:val="16"/>
                <w:szCs w:val="16"/>
                <w:color w:val="auto"/>
              </w:rPr>
              <w:t>principle</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(0.69)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(0.38)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(0.85)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Cumulative effect of a change in accounting principle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related to share-based payments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6"/>
                <w:szCs w:val="16"/>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(0.69)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(0.38)</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(0.85)</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(1.00)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(1.61)</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(1.77)</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60"/>
          </w:cols>
          <w:pgMar w:left="240" w:top="41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203835</wp:posOffset>
            </wp:positionV>
            <wp:extent cx="6598920" cy="77050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At</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At December 31,</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800" w:type="dxa"/>
            <w:vAlign w:val="bottom"/>
          </w:tcPr>
          <w:p>
            <w:pPr>
              <w:spacing w:after="0"/>
              <w:rPr>
                <w:sz w:val="13"/>
                <w:szCs w:val="13"/>
                <w:color w:val="auto"/>
              </w:rPr>
            </w:pPr>
          </w:p>
        </w:tc>
        <w:tc>
          <w:tcPr>
            <w:tcW w:w="12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June 30,</w:t>
            </w: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vMerge w:val="continue"/>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w w:val="74"/>
              </w:rPr>
              <w:t>thousands)</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rPr>
              <w:t>Cash, cash equivalents, restricted</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tcPr>
          <w:p>
            <w:pPr>
              <w:ind w:left="180"/>
              <w:spacing w:after="0"/>
              <w:rPr>
                <w:sz w:val="20"/>
                <w:szCs w:val="20"/>
                <w:color w:val="auto"/>
              </w:rPr>
            </w:pPr>
            <w:r>
              <w:rPr>
                <w:rFonts w:ascii="Arial" w:cs="Arial" w:eastAsia="Arial" w:hAnsi="Arial"/>
                <w:sz w:val="18"/>
                <w:szCs w:val="18"/>
                <w:color w:val="auto"/>
              </w:rPr>
              <w:t>cash, and marketable securities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(current and non-current)</w:t>
            </w:r>
          </w:p>
        </w:tc>
        <w:tc>
          <w:tcPr>
            <w:tcW w:w="1020" w:type="dxa"/>
            <w:vAlign w:val="bottom"/>
          </w:tcPr>
          <w:p>
            <w:pPr>
              <w:jc w:val="right"/>
              <w:ind w:right="138"/>
              <w:spacing w:after="0"/>
              <w:rPr>
                <w:sz w:val="20"/>
                <w:szCs w:val="20"/>
                <w:color w:val="auto"/>
              </w:rPr>
            </w:pPr>
            <w:r>
              <w:rPr>
                <w:rFonts w:ascii="Arial" w:cs="Arial" w:eastAsia="Arial" w:hAnsi="Arial"/>
                <w:sz w:val="18"/>
                <w:szCs w:val="18"/>
                <w:color w:val="auto"/>
              </w:rPr>
              <w:t>$380,202</w:t>
            </w:r>
          </w:p>
        </w:tc>
        <w:tc>
          <w:tcPr>
            <w:tcW w:w="20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$390,010</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$527,461</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$846,279</w:t>
            </w:r>
          </w:p>
        </w:tc>
        <w:tc>
          <w:tcPr>
            <w:tcW w:w="200" w:type="dxa"/>
            <w:vAlign w:val="bottom"/>
          </w:tcPr>
          <w:p>
            <w:pPr>
              <w:spacing w:after="0"/>
              <w:rPr>
                <w:sz w:val="20"/>
                <w:szCs w:val="20"/>
                <w:color w:val="auto"/>
              </w:rPr>
            </w:pP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$522,859</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$316,654</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790,641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741,202</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724,220</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957,881</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585,090</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423,501</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Notes payable — current portion</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9"/>
              </w:rPr>
              <w:t>Notes payable — long-term portion</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2"/>
        </w:trPr>
        <w:tc>
          <w:tcPr>
            <w:tcW w:w="2800" w:type="dxa"/>
            <w:vAlign w:val="bottom"/>
          </w:tcPr>
          <w:p>
            <w:pPr>
              <w:spacing w:after="0" w:line="201" w:lineRule="exact"/>
              <w:rPr>
                <w:sz w:val="20"/>
                <w:szCs w:val="20"/>
                <w:color w:val="auto"/>
              </w:rPr>
            </w:pPr>
            <w:r>
              <w:rPr>
                <w:rFonts w:ascii="Arial" w:cs="Arial" w:eastAsia="Arial" w:hAnsi="Arial"/>
                <w:sz w:val="18"/>
                <w:szCs w:val="18"/>
                <w:color w:val="auto"/>
                <w:w w:val="99"/>
              </w:rPr>
              <w:t>Facility lease obligations — current</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180"/>
              <w:spacing w:after="0"/>
              <w:rPr>
                <w:sz w:val="20"/>
                <w:szCs w:val="20"/>
                <w:color w:val="auto"/>
              </w:rPr>
            </w:pPr>
            <w:r>
              <w:rPr>
                <w:rFonts w:ascii="Arial" w:cs="Arial" w:eastAsia="Arial" w:hAnsi="Arial"/>
                <w:sz w:val="18"/>
                <w:szCs w:val="18"/>
                <w:color w:val="auto"/>
              </w:rPr>
              <w:t>and long-term portions</w:t>
            </w:r>
          </w:p>
        </w:tc>
        <w:tc>
          <w:tcPr>
            <w:tcW w:w="1020" w:type="dxa"/>
            <w:vAlign w:val="bottom"/>
          </w:tcPr>
          <w:p>
            <w:pPr>
              <w:jc w:val="right"/>
              <w:ind w:right="138"/>
              <w:spacing w:after="0"/>
              <w:rPr>
                <w:sz w:val="20"/>
                <w:szCs w:val="20"/>
                <w:color w:val="auto"/>
              </w:rPr>
            </w:pPr>
            <w:r>
              <w:rPr>
                <w:rFonts w:ascii="Arial" w:cs="Arial" w:eastAsia="Arial" w:hAnsi="Arial"/>
                <w:sz w:val="18"/>
                <w:szCs w:val="18"/>
                <w:color w:val="auto"/>
              </w:rPr>
              <w:t>157,807</w:t>
            </w:r>
          </w:p>
        </w:tc>
        <w:tc>
          <w:tcPr>
            <w:tcW w:w="20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109,022</w:t>
            </w:r>
          </w:p>
        </w:tc>
        <w:tc>
          <w:tcPr>
            <w:tcW w:w="1200" w:type="dxa"/>
            <w:vAlign w:val="bottom"/>
            <w:gridSpan w:val="2"/>
          </w:tcPr>
          <w:p>
            <w:pPr>
              <w:jc w:val="right"/>
              <w:ind w:right="128"/>
              <w:spacing w:after="0"/>
              <w:rPr>
                <w:sz w:val="20"/>
                <w:szCs w:val="20"/>
                <w:color w:val="auto"/>
              </w:rPr>
            </w:pPr>
            <w:r>
              <w:rPr>
                <w:rFonts w:ascii="Arial" w:cs="Arial" w:eastAsia="Arial" w:hAnsi="Arial"/>
                <w:sz w:val="18"/>
                <w:szCs w:val="18"/>
                <w:color w:val="auto"/>
              </w:rPr>
              <w:t>54,182</w:t>
            </w:r>
          </w:p>
        </w:tc>
        <w:tc>
          <w:tcPr>
            <w:tcW w:w="1240" w:type="dxa"/>
            <w:vAlign w:val="bottom"/>
            <w:gridSpan w:val="2"/>
          </w:tcPr>
          <w:p>
            <w:pPr>
              <w:jc w:val="right"/>
              <w:ind w:right="148"/>
              <w:spacing w:after="0"/>
              <w:rPr>
                <w:sz w:val="20"/>
                <w:szCs w:val="20"/>
                <w:color w:val="auto"/>
              </w:rPr>
            </w:pPr>
            <w:r>
              <w:rPr>
                <w:rFonts w:ascii="Arial" w:cs="Arial" w:eastAsia="Arial" w:hAnsi="Arial"/>
                <w:sz w:val="18"/>
                <w:szCs w:val="18"/>
                <w:color w:val="auto"/>
              </w:rPr>
              <w:t>21,623</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371,216</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396,762</w:t>
            </w:r>
          </w:p>
        </w:tc>
        <w:tc>
          <w:tcPr>
            <w:tcW w:w="120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421,514</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459,348</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216,624</w:t>
            </w:r>
          </w:p>
        </w:tc>
        <w:tc>
          <w:tcPr>
            <w:tcW w:w="12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114,002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419" w:right="7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proceeds from this offering to us will be approximately $151,832,500 ($174,676,750 if the underwriter exercises its option to purchase additional shares in full), after deducting estimated offering expenses.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use the net proceeds from this offering for general corporate purposes.</w:t>
      </w:r>
    </w:p>
    <w:p>
      <w:pPr>
        <w:spacing w:after="0" w:line="343"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DIVIDEND POLICY</w:t>
      </w:r>
    </w:p>
    <w:p>
      <w:pPr>
        <w:spacing w:after="0" w:line="135"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Regeneron, organized under the laws of the State of New York, is subject to Sections 510 and 513 of the New York Business Corporation Law, which govern the payment of dividends on or the repurchase or redemption of its capital stock. We are restricted from engaging in any of these activities unless we maintain a capital surplus.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have never paid cash dividends and do not anticipate paying any in the foreseeable future.</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DILUTION</w:t>
      </w:r>
    </w:p>
    <w:p>
      <w:pPr>
        <w:spacing w:after="0" w:line="135" w:lineRule="exact"/>
        <w:rPr>
          <w:sz w:val="20"/>
          <w:szCs w:val="20"/>
          <w:color w:val="auto"/>
        </w:rPr>
      </w:pPr>
    </w:p>
    <w:p>
      <w:pPr>
        <w:ind w:left="700" w:right="380" w:firstLine="397"/>
        <w:spacing w:after="0" w:line="342" w:lineRule="auto"/>
        <w:rPr>
          <w:sz w:val="20"/>
          <w:szCs w:val="20"/>
          <w:color w:val="auto"/>
        </w:rPr>
      </w:pPr>
      <w:r>
        <w:rPr>
          <w:rFonts w:ascii="Arial" w:cs="Arial" w:eastAsia="Arial" w:hAnsi="Arial"/>
          <w:sz w:val="16"/>
          <w:szCs w:val="16"/>
          <w:color w:val="auto"/>
        </w:rPr>
        <w:t>If you invest in our Common Stock, your interest will be diluted immediately to the extent of the difference between the public offering price per share of our Common Stock and the adjusted net tangible book value per common share after this offering.</w:t>
      </w:r>
    </w:p>
    <w:p>
      <w:pPr>
        <w:spacing w:after="0" w:line="29"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The net tangible book value of our common shares as of June 30, 2010, was approximately $371.2 million, or approximately $4.52 per share. Net tangible book value per share represents the amount of our total tangible assets less total liabilities divided by the total number of shares of our Common Stock and Class A Stock outstanding.</w:t>
      </w:r>
    </w:p>
    <w:p>
      <w:pPr>
        <w:spacing w:after="0" w:line="87"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for our Common Stock in this offering and the net tangible book value per common share immediately following the completion of this offering.</w:t>
      </w:r>
    </w:p>
    <w:p>
      <w:pPr>
        <w:spacing w:after="0" w:line="29" w:lineRule="exact"/>
        <w:rPr>
          <w:sz w:val="20"/>
          <w:szCs w:val="20"/>
          <w:color w:val="auto"/>
        </w:rPr>
      </w:pPr>
    </w:p>
    <w:p>
      <w:pPr>
        <w:ind w:left="700" w:right="280" w:firstLine="397"/>
        <w:spacing w:after="0" w:line="273" w:lineRule="auto"/>
        <w:rPr>
          <w:sz w:val="20"/>
          <w:szCs w:val="20"/>
          <w:color w:val="auto"/>
        </w:rPr>
      </w:pPr>
      <w:r>
        <w:rPr>
          <w:rFonts w:ascii="Arial" w:cs="Arial" w:eastAsia="Arial" w:hAnsi="Arial"/>
          <w:sz w:val="17"/>
          <w:szCs w:val="17"/>
          <w:color w:val="auto"/>
        </w:rPr>
        <w:t>After giving effect to the sale of shares of Common Stock offered by this prospectus supplement at an assumed offering price of $28.00 per share in connection with this offering and after deducting the estimated underwriting discounts and our estimated offering expenses, our pro forma net tangible book value as of June 30, 2010 would have been approximately $523.0 million or approximately $5.97 per share. This represents an immediate increase in net tangible book value of approximately $1.45 per share to our existing stockholders and an immediate dilution in pro forma net tangible book value of approximately $22.03 per share to purchasers of our Common Stock in this offering, as illustrated by the following table:</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28.00</w:t>
            </w: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60"/>
              <w:spacing w:after="0"/>
              <w:rPr>
                <w:sz w:val="20"/>
                <w:szCs w:val="20"/>
                <w:color w:val="auto"/>
              </w:rPr>
            </w:pPr>
            <w:r>
              <w:rPr>
                <w:rFonts w:ascii="Arial" w:cs="Arial" w:eastAsia="Arial" w:hAnsi="Arial"/>
                <w:sz w:val="18"/>
                <w:szCs w:val="18"/>
                <w:color w:val="auto"/>
              </w:rPr>
              <w:t>Net tangible book value per share as of June 30, 2010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new investors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w w:val="96"/>
              </w:rPr>
              <w:t>Pro forma net tangible book value per share as of June 30, 2010 after giving effect to this offering</w:t>
            </w:r>
          </w:p>
        </w:tc>
        <w:tc>
          <w:tcPr>
            <w:tcW w:w="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6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22.03</w:t>
            </w:r>
          </w:p>
        </w:tc>
        <w:tc>
          <w:tcPr>
            <w:tcW w:w="6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700" w:right="160" w:firstLine="397"/>
        <w:spacing w:after="0" w:line="264" w:lineRule="auto"/>
        <w:rPr>
          <w:sz w:val="20"/>
          <w:szCs w:val="20"/>
          <w:color w:val="auto"/>
        </w:rPr>
      </w:pPr>
      <w:r>
        <w:rPr>
          <w:rFonts w:ascii="Arial" w:cs="Arial" w:eastAsia="Arial" w:hAnsi="Arial"/>
          <w:sz w:val="18"/>
          <w:szCs w:val="18"/>
          <w:color w:val="auto"/>
        </w:rPr>
        <w:t>The discussion of dilution, and the table quantifying it, assume no exercise of any outstanding options or other potentially dilutive securities. The exercise of potentially dilutive securities having an exercise price less than the offering price would increase the dilutive effect to new investors.</w:t>
      </w:r>
    </w:p>
    <w:p>
      <w:pPr>
        <w:spacing w:after="0" w:line="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table above excludes the following potentially dilutive securities as of June 30, 2010:</w:t>
      </w:r>
    </w:p>
    <w:p>
      <w:pPr>
        <w:spacing w:after="0" w:line="131" w:lineRule="exact"/>
        <w:rPr>
          <w:sz w:val="20"/>
          <w:szCs w:val="20"/>
          <w:color w:val="auto"/>
        </w:rPr>
      </w:pPr>
    </w:p>
    <w:p>
      <w:pPr>
        <w:ind w:left="1300" w:right="80" w:hanging="202"/>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19,463,616 shares issuable upon the exercise of stock options at a weighted average exercise price of $17.41 per share, of which 9,978,046 shares were exercisable as of that date.</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following table sets forth our capitalization as of June 30, 2010:</w:t>
      </w:r>
    </w:p>
    <w:p>
      <w:pPr>
        <w:spacing w:after="0" w:line="131" w:lineRule="exact"/>
        <w:rPr>
          <w:sz w:val="20"/>
          <w:szCs w:val="20"/>
          <w:color w:val="auto"/>
        </w:rPr>
      </w:pPr>
    </w:p>
    <w:p>
      <w:pPr>
        <w:ind w:left="1300" w:hanging="202"/>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117" w:lineRule="exact"/>
        <w:rPr>
          <w:rFonts w:ascii="Arial" w:cs="Arial" w:eastAsia="Arial" w:hAnsi="Arial"/>
          <w:sz w:val="18"/>
          <w:szCs w:val="18"/>
          <w:color w:val="auto"/>
        </w:rPr>
      </w:pPr>
    </w:p>
    <w:p>
      <w:pPr>
        <w:ind w:left="1300" w:right="1160" w:hanging="202"/>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adjusted to give effect to this offering and the application of the estimated net proceeds of this offering as described under “Use of Proceeds.”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The table assumes that the underwriter’s option to purchase additional shares related to this offering is not exercised.</w:t>
      </w:r>
    </w:p>
    <w:p>
      <w:pPr>
        <w:spacing w:after="0" w:line="131" w:lineRule="exact"/>
        <w:rPr>
          <w:sz w:val="20"/>
          <w:szCs w:val="20"/>
          <w:color w:val="auto"/>
        </w:rPr>
      </w:pPr>
    </w:p>
    <w:p>
      <w:pPr>
        <w:ind w:left="700" w:right="860" w:firstLine="397"/>
        <w:spacing w:after="0" w:line="264" w:lineRule="auto"/>
        <w:rPr>
          <w:sz w:val="20"/>
          <w:szCs w:val="20"/>
          <w:color w:val="auto"/>
        </w:rPr>
      </w:pPr>
      <w:r>
        <w:rPr>
          <w:rFonts w:ascii="Arial" w:cs="Arial" w:eastAsia="Arial" w:hAnsi="Arial"/>
          <w:sz w:val="18"/>
          <w:szCs w:val="18"/>
          <w:color w:val="auto"/>
        </w:rPr>
        <w:t>You should read this table together with our financial statements and notes thereto and other financial and operating data included elsewhere in this prospectus supplement or in the accompanying prospectus or incorporated by reference into this prospectus supplement or the accompanying prospectus.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56"/>
              <w:spacing w:after="0"/>
              <w:rPr>
                <w:sz w:val="20"/>
                <w:szCs w:val="20"/>
                <w:color w:val="auto"/>
              </w:rPr>
            </w:pPr>
            <w:r>
              <w:rPr>
                <w:rFonts w:ascii="Arial" w:cs="Arial" w:eastAsia="Arial" w:hAnsi="Arial"/>
                <w:sz w:val="14"/>
                <w:szCs w:val="14"/>
                <w:b w:val="1"/>
                <w:bCs w:val="1"/>
                <w:color w:val="auto"/>
                <w:w w:val="92"/>
              </w:rPr>
              <w:t>June 30, 2010</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4"/>
          </w:tcPr>
          <w:p>
            <w:pPr>
              <w:jc w:val="center"/>
              <w:ind w:left="456"/>
              <w:spacing w:after="0" w:line="119" w:lineRule="exact"/>
              <w:rPr>
                <w:sz w:val="20"/>
                <w:szCs w:val="20"/>
                <w:color w:val="auto"/>
              </w:rPr>
            </w:pPr>
            <w:r>
              <w:rPr>
                <w:rFonts w:ascii="Arial" w:cs="Arial" w:eastAsia="Arial" w:hAnsi="Arial"/>
                <w:sz w:val="13"/>
                <w:szCs w:val="13"/>
                <w:b w:val="1"/>
                <w:bCs w:val="1"/>
                <w:color w:val="auto"/>
              </w:rPr>
              <w:t>(Unaudited)</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700" w:type="dxa"/>
            <w:vAlign w:val="bottom"/>
            <w:vMerge w:val="restart"/>
          </w:tcPr>
          <w:p>
            <w:pPr>
              <w:spacing w:after="0"/>
              <w:rPr>
                <w:sz w:val="3"/>
                <w:szCs w:val="3"/>
                <w:color w:val="auto"/>
              </w:rPr>
            </w:pPr>
          </w:p>
        </w:tc>
        <w:tc>
          <w:tcPr>
            <w:tcW w:w="7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Facility lease obligations, current portion</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Facility lease obligations, long-term portion</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157,359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facility lease obligations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157,807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157,807</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70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Preferred stock, $0.01 par value; 30,000,000 shares authorized, no shares issued and outstanding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7420" w:type="dxa"/>
            <w:vAlign w:val="bottom"/>
          </w:tcPr>
          <w:p>
            <w:pPr>
              <w:spacing w:after="0" w:line="201" w:lineRule="exact"/>
              <w:rPr>
                <w:sz w:val="20"/>
                <w:szCs w:val="20"/>
                <w:color w:val="auto"/>
              </w:rPr>
            </w:pPr>
            <w:r>
              <w:rPr>
                <w:rFonts w:ascii="Arial" w:cs="Arial" w:eastAsia="Arial" w:hAnsi="Arial"/>
                <w:sz w:val="18"/>
                <w:szCs w:val="18"/>
                <w:color w:val="auto"/>
                <w:w w:val="91"/>
              </w:rPr>
              <w:t>Class A Stock, convertible, $0.001 par value; 40,000,000 shares authorized, 2,182,036 shares issued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42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$0.001 par value, 160,000,000 shares authorized, 79,923,216 shares issued and</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actual; 85,423,216 shares issued and outstanding, as adjusted</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1,368,531</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1,520,358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(997,091)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(997,091)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371,216</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523,048</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529,023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680,855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420" w:type="dxa"/>
            <w:vAlign w:val="bottom"/>
            <w:vMerge w:val="restart"/>
          </w:tcPr>
          <w:p>
            <w:pPr>
              <w:ind w:left="4840"/>
              <w:spacing w:after="0"/>
              <w:rPr>
                <w:sz w:val="20"/>
                <w:szCs w:val="20"/>
                <w:color w:val="auto"/>
              </w:rPr>
            </w:pPr>
            <w:r>
              <w:rPr>
                <w:rFonts w:ascii="Arial" w:cs="Arial" w:eastAsia="Arial" w:hAnsi="Arial"/>
                <w:sz w:val="18"/>
                <w:szCs w:val="18"/>
                <w:color w:val="auto"/>
              </w:rPr>
              <w:t>S-7</w:t>
            </w: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0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UNDERWRITING</w:t>
      </w:r>
    </w:p>
    <w:p>
      <w:pPr>
        <w:spacing w:after="0" w:line="135" w:lineRule="exact"/>
        <w:rPr>
          <w:sz w:val="20"/>
          <w:szCs w:val="20"/>
          <w:color w:val="auto"/>
        </w:rPr>
      </w:pPr>
    </w:p>
    <w:p>
      <w:pPr>
        <w:ind w:left="700" w:right="160" w:firstLine="397"/>
        <w:spacing w:after="0" w:line="277" w:lineRule="auto"/>
        <w:rPr>
          <w:sz w:val="20"/>
          <w:szCs w:val="20"/>
          <w:color w:val="auto"/>
        </w:rPr>
      </w:pPr>
      <w:r>
        <w:rPr>
          <w:rFonts w:ascii="Arial" w:cs="Arial" w:eastAsia="Arial" w:hAnsi="Arial"/>
          <w:sz w:val="18"/>
          <w:szCs w:val="18"/>
          <w:color w:val="auto"/>
        </w:rPr>
        <w:t>We intend to offer shares of our Common Stock through Citigroup Global Markets Inc. We have agreed to sell to the underwriter, and the underwriter has agreed to purchase from us, 5,500,000 shares of our Common Stock.</w:t>
      </w:r>
    </w:p>
    <w:p>
      <w:pPr>
        <w:spacing w:after="0" w:line="76" w:lineRule="exact"/>
        <w:rPr>
          <w:sz w:val="20"/>
          <w:szCs w:val="20"/>
          <w:color w:val="auto"/>
        </w:rPr>
      </w:pPr>
    </w:p>
    <w:p>
      <w:pPr>
        <w:ind w:left="700" w:right="140" w:firstLine="397"/>
        <w:spacing w:after="0" w:line="297" w:lineRule="auto"/>
        <w:rPr>
          <w:sz w:val="20"/>
          <w:szCs w:val="20"/>
          <w:color w:val="auto"/>
        </w:rPr>
      </w:pPr>
      <w:r>
        <w:rPr>
          <w:rFonts w:ascii="Arial" w:cs="Arial" w:eastAsia="Arial" w:hAnsi="Arial"/>
          <w:sz w:val="16"/>
          <w:szCs w:val="16"/>
          <w:color w:val="auto"/>
        </w:rPr>
        <w:t>The underwriter has agreed to purchase all of the shares of our Common Stock (other than those covered by the over-allotment option described below) sold under the underwriting agreement. The underwriter is offering the shares of our Common Stock, when, as and if issued to and accepted by it, subject to approval of legal matters by its counsel, including the validity of the Common Stock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64"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and to contribute to payments that the underwriter may be required to make in respect of those liabilities.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Commissions and Discounts</w:t>
      </w:r>
    </w:p>
    <w:p>
      <w:pPr>
        <w:spacing w:after="0" w:line="135" w:lineRule="exact"/>
        <w:rPr>
          <w:sz w:val="20"/>
          <w:szCs w:val="20"/>
          <w:color w:val="auto"/>
        </w:rPr>
      </w:pPr>
    </w:p>
    <w:p>
      <w:pPr>
        <w:ind w:left="700" w:firstLine="397"/>
        <w:spacing w:after="0" w:line="269" w:lineRule="auto"/>
        <w:rPr>
          <w:sz w:val="20"/>
          <w:szCs w:val="20"/>
          <w:color w:val="auto"/>
        </w:rPr>
      </w:pPr>
      <w:r>
        <w:rPr>
          <w:rFonts w:ascii="Arial" w:cs="Arial" w:eastAsia="Arial" w:hAnsi="Arial"/>
          <w:sz w:val="17"/>
          <w:szCs w:val="17"/>
          <w:color w:val="auto"/>
        </w:rPr>
        <w:t>In connection with the sale of the shares of Common Stock offered hereby, the underwriter may be deemed to have received compensation, which may include a commission equivalent of up to $0.05 per share, in the form of underwriting discounts. The underwriter has agreed to purchase the shares of Common Stock from us at a price of $27.69 per share, which will result in proceeds to us, after deducting estimated offering expenses, of approximately $151,832,500 assuming no exercise of the over-allotment option granted to the underwriter, and approximately $174,676,750 assuming full exercise of the over-allotment option. The underwriter proposes to offer the shares of Common Stock from time to time for sale in one or more transactions in the over-the-counter market, through negotiated transactions or otherwise at market prices prevailing at the time of sale, at prices related to prevailing market prices or negotiated prices, subject to receipt and acceptance by it and subject to its right to reject any order in whole or in part. The underwriter may effect such transactions by selling shares of Common Stock to or through dealers, and such dealers may receive compensation in the form of discounts, concessions or commissions from the underwriter and/or purchasers of shares of Common Stock for whom it may act as agent or to whom it may sell as principal.</w:t>
      </w:r>
    </w:p>
    <w:p>
      <w:pPr>
        <w:spacing w:after="0" w:line="88"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 expenses of the offering are estimated to be approximately $462,500. We are responsible for all expenses related to the offering, whether or not it is completed.</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Over-Allotment Option</w:t>
      </w:r>
    </w:p>
    <w:p>
      <w:pPr>
        <w:spacing w:after="0" w:line="135" w:lineRule="exact"/>
        <w:rPr>
          <w:sz w:val="20"/>
          <w:szCs w:val="20"/>
          <w:color w:val="auto"/>
        </w:rPr>
      </w:pPr>
    </w:p>
    <w:p>
      <w:pPr>
        <w:ind w:left="700" w:right="420" w:firstLine="397"/>
        <w:spacing w:after="0" w:line="264" w:lineRule="auto"/>
        <w:rPr>
          <w:sz w:val="20"/>
          <w:szCs w:val="20"/>
          <w:color w:val="auto"/>
        </w:rPr>
      </w:pPr>
      <w:r>
        <w:rPr>
          <w:rFonts w:ascii="Arial" w:cs="Arial" w:eastAsia="Arial" w:hAnsi="Arial"/>
          <w:sz w:val="18"/>
          <w:szCs w:val="18"/>
          <w:color w:val="auto"/>
        </w:rPr>
        <w:t>We have granted an option to the underwriter to purchase up to 825,000 additional shares of our Common Stock at $27.69 per share. The underwriter may exercise this option for 30 days from the date of this prospectus supplement solely to cover any over-allotments.</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Lock-Up Agreements</w:t>
      </w:r>
    </w:p>
    <w:p>
      <w:pPr>
        <w:spacing w:after="0" w:line="135" w:lineRule="exact"/>
        <w:rPr>
          <w:sz w:val="20"/>
          <w:szCs w:val="20"/>
          <w:color w:val="auto"/>
        </w:rPr>
      </w:pPr>
    </w:p>
    <w:p>
      <w:pPr>
        <w:ind w:left="700" w:right="360" w:firstLine="397"/>
        <w:spacing w:after="0" w:line="302" w:lineRule="auto"/>
        <w:rPr>
          <w:sz w:val="20"/>
          <w:szCs w:val="20"/>
          <w:color w:val="auto"/>
        </w:rPr>
      </w:pPr>
      <w:r>
        <w:rPr>
          <w:rFonts w:ascii="Arial" w:cs="Arial" w:eastAsia="Arial" w:hAnsi="Arial"/>
          <w:sz w:val="16"/>
          <w:szCs w:val="16"/>
          <w:color w:val="auto"/>
        </w:rPr>
        <w:t>For a period of 45 days after the date of this prospectus supplement, we will not, without the prior written consent of Citigroup Global Markets Inc., purchase or sell or dispose of or hedge any shares of our Common Stock or any securities convertible into or exercisable or exchangeable for shares of our Common Stock, other than issuances of shares of restricted stock or stock options (or shares issued upon the exercise of stock options), in each case, to our employees or directors pursuant to our equity incentive plans.</w:t>
      </w:r>
    </w:p>
    <w:p>
      <w:pPr>
        <w:spacing w:after="0" w:line="60"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We have imposed a blackout period on trading in our Common Stock for our executive officers and our directors for a period of 30 days after the date of this prospectus supplement. As a result, they will not purchase or sell any shares of our Common Stock or any securities convertible into or exercisable or exchangeable for shares of our Common Stock during this 30-day period. The Company has also agreed not to waive any existing lockup agreements that exist as of the date of this prospectus supplement during such 30-day period.</w:t>
      </w:r>
    </w:p>
    <w:p>
      <w:pPr>
        <w:spacing w:after="0" w:line="94" w:lineRule="exact"/>
        <w:rPr>
          <w:sz w:val="20"/>
          <w:szCs w:val="20"/>
          <w:color w:val="auto"/>
        </w:rPr>
      </w:pPr>
    </w:p>
    <w:p>
      <w:pPr>
        <w:ind w:left="700" w:right="100" w:firstLine="397"/>
        <w:spacing w:after="0" w:line="264" w:lineRule="auto"/>
        <w:rPr>
          <w:sz w:val="20"/>
          <w:szCs w:val="20"/>
          <w:color w:val="auto"/>
        </w:rPr>
      </w:pPr>
      <w:r>
        <w:rPr>
          <w:rFonts w:ascii="Arial" w:cs="Arial" w:eastAsia="Arial" w:hAnsi="Arial"/>
          <w:sz w:val="18"/>
          <w:szCs w:val="18"/>
          <w:color w:val="auto"/>
        </w:rPr>
        <w:t>Notwithstanding the above, our executive officers and directors may sell or otherwise transfer shares of our Common Stock, or securities convertible into or exercisable for shares of our Common Stock pursuant to any written trading plan under Rule 10b5-1 of the Exchange Act, which exists as of the date of this prospectus supplement.</w:t>
      </w: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135" w:lineRule="exact"/>
        <w:rPr>
          <w:sz w:val="20"/>
          <w:szCs w:val="20"/>
          <w:color w:val="auto"/>
        </w:rPr>
      </w:pPr>
    </w:p>
    <w:p>
      <w:pPr>
        <w:ind w:left="700" w:right="280" w:firstLine="397"/>
        <w:spacing w:after="0" w:line="264" w:lineRule="auto"/>
        <w:rPr>
          <w:sz w:val="20"/>
          <w:szCs w:val="20"/>
          <w:color w:val="auto"/>
        </w:rPr>
      </w:pPr>
      <w:r>
        <w:rPr>
          <w:rFonts w:ascii="Arial" w:cs="Arial" w:eastAsia="Arial" w:hAnsi="Arial"/>
          <w:sz w:val="18"/>
          <w:szCs w:val="18"/>
          <w:color w:val="auto"/>
        </w:rPr>
        <w:t>Until distribution of the shares of our Common Stock is completed, SEC rules may limit the underwriter from bidding for and purchasing shares of our Common Stock. However, the underwriter may engage in transactions that stabilize the price of the shares of our Common Stock, such as bids or purchases to peg, fix or maintain that price.</w:t>
      </w:r>
    </w:p>
    <w:p>
      <w:pPr>
        <w:spacing w:after="0" w:line="87" w:lineRule="exact"/>
        <w:rPr>
          <w:sz w:val="20"/>
          <w:szCs w:val="20"/>
          <w:color w:val="auto"/>
        </w:rPr>
      </w:pPr>
    </w:p>
    <w:p>
      <w:pPr>
        <w:ind w:left="700" w:right="180" w:firstLine="397"/>
        <w:spacing w:after="0" w:line="297" w:lineRule="auto"/>
        <w:rPr>
          <w:sz w:val="20"/>
          <w:szCs w:val="20"/>
          <w:color w:val="auto"/>
        </w:rPr>
      </w:pPr>
      <w:r>
        <w:rPr>
          <w:rFonts w:ascii="Arial" w:cs="Arial" w:eastAsia="Arial" w:hAnsi="Arial"/>
          <w:sz w:val="16"/>
          <w:szCs w:val="16"/>
          <w:color w:val="auto"/>
        </w:rPr>
        <w:t>If the underwriter creates a short position in our Common Stock in connection with this offering (i.e., if it sells more shares of our Common Stock than are listed on the cover page of this prospectus supplement), the underwriter may reduce that short position by purchasing shares of our Common Stock in the open market. The underwriter may also elect to reduce any short position by exercising all or part of the over-allotment option described above. Purchases of shares of our Common Stock to stabilize its price or to reduce a short position may cause the price of shares of our Common Stock to be higher than it might be in the absence of such purchases.</w:t>
      </w:r>
    </w:p>
    <w:p>
      <w:pPr>
        <w:spacing w:after="0" w:line="64" w:lineRule="exact"/>
        <w:rPr>
          <w:sz w:val="20"/>
          <w:szCs w:val="20"/>
          <w:color w:val="auto"/>
        </w:rPr>
      </w:pPr>
    </w:p>
    <w:p>
      <w:pPr>
        <w:ind w:left="700" w:right="120" w:firstLine="397"/>
        <w:spacing w:after="0" w:line="276" w:lineRule="auto"/>
        <w:rPr>
          <w:sz w:val="20"/>
          <w:szCs w:val="20"/>
          <w:color w:val="auto"/>
        </w:rPr>
      </w:pPr>
      <w:r>
        <w:rPr>
          <w:rFonts w:ascii="Arial" w:cs="Arial" w:eastAsia="Arial" w:hAnsi="Arial"/>
          <w:sz w:val="17"/>
          <w:szCs w:val="17"/>
          <w:color w:val="auto"/>
        </w:rPr>
        <w:t>The underwriter also may impose a penalty bid, whereby the underwriter may reclaim selling concessions allowed to other broker-dealers in respect of the Common Stock sold in the offering for its account if the underwriter repurchases the shares in stabilizing or covering transactions. These activities may stabilize, maintain or otherwise affect the market price of the Common Stock, which may be higher than the price that might otherwise prevail in the open market. The imposition of a penalty bid may also affect the price of the shares of our Common Stock in that it discourages resales of those shares of our Common Stock.</w:t>
      </w:r>
    </w:p>
    <w:p>
      <w:pPr>
        <w:spacing w:after="0" w:line="78" w:lineRule="exact"/>
        <w:rPr>
          <w:sz w:val="20"/>
          <w:szCs w:val="20"/>
          <w:color w:val="auto"/>
        </w:rPr>
      </w:pPr>
    </w:p>
    <w:p>
      <w:pPr>
        <w:ind w:left="700" w:firstLine="397"/>
        <w:spacing w:after="0" w:line="302" w:lineRule="auto"/>
        <w:rPr>
          <w:sz w:val="20"/>
          <w:szCs w:val="20"/>
          <w:color w:val="auto"/>
        </w:rPr>
      </w:pPr>
      <w:r>
        <w:rPr>
          <w:rFonts w:ascii="Arial" w:cs="Arial" w:eastAsia="Arial" w:hAnsi="Arial"/>
          <w:sz w:val="16"/>
          <w:szCs w:val="16"/>
          <w:color w:val="auto"/>
        </w:rPr>
        <w:t>The underwriter has advised us that these transactions may be effected on the NASDAQ Global Select Market or otherwise. Neither we nor the underwriter make any representation or prediction as to the direction or magnitude of any effect that the transactions described above may have on the price of shares of our Common Stock. In addition, neither we nor the underwriter makes any representation that the underwriter will engage in these transactions or that these transactions, once commenced, will not be discontinued without notice.</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Relationship with Regeneron</w:t>
      </w:r>
    </w:p>
    <w:p>
      <w:pPr>
        <w:spacing w:after="0" w:line="135" w:lineRule="exact"/>
        <w:rPr>
          <w:sz w:val="20"/>
          <w:szCs w:val="20"/>
          <w:color w:val="auto"/>
        </w:rPr>
      </w:pPr>
    </w:p>
    <w:p>
      <w:pPr>
        <w:ind w:left="700" w:right="300" w:firstLine="397"/>
        <w:spacing w:after="0" w:line="286" w:lineRule="auto"/>
        <w:rPr>
          <w:sz w:val="20"/>
          <w:szCs w:val="20"/>
          <w:color w:val="auto"/>
        </w:rPr>
      </w:pPr>
      <w:r>
        <w:rPr>
          <w:rFonts w:ascii="Arial" w:cs="Arial" w:eastAsia="Arial" w:hAnsi="Arial"/>
          <w:sz w:val="17"/>
          <w:szCs w:val="17"/>
          <w:color w:val="auto"/>
        </w:rPr>
        <w:t>In the ordinary course of business, the underwriter and its affiliates have in the past, and may in the future, engage in investment banking or other transactions of a financial nature with us, including the provision of certain advisory services to us or financing transactions for which they have received, and may in the future receive, customary compensation.</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420" w:firstLine="397"/>
        <w:spacing w:after="0" w:line="342" w:lineRule="auto"/>
        <w:rPr>
          <w:sz w:val="20"/>
          <w:szCs w:val="20"/>
          <w:color w:val="auto"/>
        </w:rPr>
      </w:pPr>
      <w:r>
        <w:rPr>
          <w:rFonts w:ascii="Arial" w:cs="Arial" w:eastAsia="Arial" w:hAnsi="Arial"/>
          <w:sz w:val="16"/>
          <w:szCs w:val="16"/>
          <w:color w:val="auto"/>
        </w:rPr>
        <w:t>The validity of our Common Stock offered in this offering and certain other legal matters will be passed on for us by Skadden, Arps, Slate, Meagher &amp; Flom LLP, New York, New York, and for the underwriter by Ropes &amp; Gray LLP, New York, New York.</w:t>
      </w:r>
    </w:p>
    <w:p>
      <w:pPr>
        <w:spacing w:after="0" w:line="24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right="300" w:firstLine="397"/>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2009 have been so incorporated in reliance on the report of PricewaterhouseCoopers LLP, an independent registered public accounting firm, given on the authority of said firm as experts in accounting and auditing.</w:t>
      </w:r>
    </w:p>
    <w:p>
      <w:pPr>
        <w:spacing w:after="0" w:line="306"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We are subject to the reporting requirements of the Exchange Act and must file annual, quarterly and special reports, proxy statements and other information with the SEC. You may also read and copy documents filed by us at the SEC’s public reference room at 100 F Street, E, Washington, D.C. 20549. You may obtain information on the operation of the SEC’s public reference room by calling the SEC at 1-800-SEC-0330. The SEC maintains a web site that contains reports, proxy and information statements and other information we have filed electronically with the SEC. This web site is located at </w:t>
      </w:r>
      <w:r>
        <w:rPr>
          <w:rFonts w:ascii="Arial" w:cs="Arial" w:eastAsia="Arial" w:hAnsi="Arial"/>
          <w:sz w:val="18"/>
          <w:szCs w:val="18"/>
          <w:u w:val="single" w:color="auto"/>
          <w:color w:val="auto"/>
        </w:rPr>
        <w:t>http://www.sec.gov</w:t>
      </w:r>
      <w:r>
        <w:rPr>
          <w:rFonts w:ascii="Arial" w:cs="Arial" w:eastAsia="Arial" w:hAnsi="Arial"/>
          <w:sz w:val="18"/>
          <w:szCs w:val="18"/>
          <w:color w:val="auto"/>
        </w:rPr>
        <w:t>. Our Common Stock is listed on the NASDAQ Global Select</w:t>
      </w:r>
    </w:p>
    <w:p>
      <w:pPr>
        <w:spacing w:after="0" w:line="38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 xml:space="preserve">Market. Accordingly, certain reports, proxy statements and other information we have filed with the SEC may also be inspected at the offices of the NASDAQ Stock Market, One Liberty Plaza, 165 Broadway, New York, New York 10006. Certain information is also available at our web site or from links on our web site at </w:t>
      </w:r>
      <w:r>
        <w:rPr>
          <w:rFonts w:ascii="Arial" w:cs="Arial" w:eastAsia="Arial" w:hAnsi="Arial"/>
          <w:sz w:val="18"/>
          <w:szCs w:val="18"/>
          <w:u w:val="single" w:color="auto"/>
          <w:color w:val="auto"/>
        </w:rPr>
        <w:t>http://www.regeneron.com</w:t>
      </w:r>
      <w:r>
        <w:rPr>
          <w:rFonts w:ascii="Arial" w:cs="Arial" w:eastAsia="Arial" w:hAnsi="Arial"/>
          <w:sz w:val="18"/>
          <w:szCs w:val="18"/>
          <w:color w:val="auto"/>
        </w:rPr>
        <w:t>. Information on our web site does not constitute part of this prospectus supplement.</w:t>
      </w:r>
    </w:p>
    <w:p>
      <w:pPr>
        <w:spacing w:after="0" w:line="92" w:lineRule="exact"/>
        <w:rPr>
          <w:sz w:val="20"/>
          <w:szCs w:val="20"/>
          <w:color w:val="auto"/>
        </w:rPr>
      </w:pPr>
    </w:p>
    <w:p>
      <w:pPr>
        <w:ind w:left="700" w:right="260" w:firstLine="397"/>
        <w:spacing w:after="0" w:line="293" w:lineRule="auto"/>
        <w:rPr>
          <w:sz w:val="20"/>
          <w:szCs w:val="20"/>
          <w:color w:val="auto"/>
        </w:rPr>
      </w:pPr>
      <w:r>
        <w:rPr>
          <w:rFonts w:ascii="Arial" w:cs="Arial" w:eastAsia="Arial" w:hAnsi="Arial"/>
          <w:sz w:val="16"/>
          <w:szCs w:val="16"/>
          <w:color w:val="auto"/>
        </w:rPr>
        <w:t>We have filed a registration statement (together with all amendments to the registration statement, collectively, the “Registration Statement”) with the SEC under the Securities Act, with respect to the securities offered under this prospectus. This prospectus supplement does not contain all of the information included in the Registration Statement and the exhibits and schedules thereto. For further information with respect to Regeneron and our securities, we refer you to the Registration Statement and the exhibits thereto. Statements in this prospectus supplement concerning the provisions of documents are necessarily summaries of such documents, and each such statement is qualified in its entirety by reference to the copy of the applicable document filed with the SEC.</w:t>
      </w:r>
    </w:p>
    <w:p>
      <w:pPr>
        <w:spacing w:after="0" w:line="28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35" w:lineRule="exact"/>
        <w:rPr>
          <w:sz w:val="20"/>
          <w:szCs w:val="20"/>
          <w:color w:val="auto"/>
        </w:rPr>
      </w:pPr>
    </w:p>
    <w:p>
      <w:pPr>
        <w:ind w:left="700" w:firstLine="397"/>
        <w:spacing w:after="0" w:line="254" w:lineRule="auto"/>
        <w:rPr>
          <w:sz w:val="20"/>
          <w:szCs w:val="20"/>
          <w:color w:val="auto"/>
        </w:rPr>
      </w:pPr>
      <w:r>
        <w:rPr>
          <w:rFonts w:ascii="Arial" w:cs="Arial" w:eastAsia="Arial" w:hAnsi="Arial"/>
          <w:sz w:val="18"/>
          <w:szCs w:val="18"/>
          <w:color w:val="auto"/>
        </w:rPr>
        <w:t>The SEC allows us to “incorporate by reference” into this prospectus supplement the information we file with them, which means that we can disclose important information to you by referring you to those documents. Any statement contained or incorporated by reference in this prospectus supplement shall be deemed to be modified or superseded for purposes of this prospectus supplement to the extent that a statement contained herein, or in any subsequently filed document which also is incorporated by reference herein, modifies or superseded such earlier statement. Any statement so modified or superseded shall not be deemed, except as so modified or superseded, to constitute a part of this prospectus supplement. We incorporate by reference the documents listed below (except as specifically set forth below, other than information that we have furnished on Form 8-K, which information is expressly not incorporated by reference herein):</w:t>
      </w:r>
    </w:p>
    <w:p>
      <w:pPr>
        <w:spacing w:after="0" w:line="98" w:lineRule="exact"/>
        <w:rPr>
          <w:sz w:val="20"/>
          <w:szCs w:val="20"/>
          <w:color w:val="auto"/>
        </w:rPr>
      </w:pPr>
    </w:p>
    <w:p>
      <w:pPr>
        <w:ind w:left="1300" w:hanging="20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2009, filed on February 18, 2010.</w:t>
      </w:r>
    </w:p>
    <w:p>
      <w:pPr>
        <w:spacing w:after="0" w:line="117" w:lineRule="exact"/>
        <w:rPr>
          <w:rFonts w:ascii="Arial" w:cs="Arial" w:eastAsia="Arial" w:hAnsi="Arial"/>
          <w:sz w:val="18"/>
          <w:szCs w:val="18"/>
          <w:color w:val="auto"/>
        </w:rPr>
      </w:pPr>
    </w:p>
    <w:p>
      <w:pPr>
        <w:ind w:left="1300" w:right="660" w:hanging="20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 ended March 31, 2010, filed on April 29, 2010 and for the quarterly period ended June 30, 2010, filed on July 28, 2010.</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Current Reports on Form 8-K, filed on February 16, 2010, May 13, 2010, June 10, 2010, June 14, 2010 and July 29, 2010.</w:t>
      </w:r>
    </w:p>
    <w:p>
      <w:pPr>
        <w:spacing w:after="0" w:line="15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All documents that we file pursuant to Section 13(a), 13(c), 14, or 15(d) of the Exchange Act subsequent to the date of this prospectus including on a Current Report on Form 8-K with respect to certain exhibits to the registration statement in connection with this offering, and, in all events, prior to the termination of this offering shall be deemed to be incorporated by reference into this prospectus and to be a part of this prospectus from the respective dates of filing of such documents, except for information furnished under Item 2.02 and Item 7.01 of Form 8-K and related exhibits, which is not deemed filed and not incorporated by reference herein. Any statement contained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herein modifies or supersedes such statement.</w:t>
      </w:r>
    </w:p>
    <w:p>
      <w:pPr>
        <w:spacing w:after="0" w:line="72"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You may request a copy of any document we incorporate by reference, except exhibits to the documents (unless the exhibits are specifically incorporated by reference), at no cost, by writing or calling us at:</w:t>
      </w:r>
    </w:p>
    <w:p>
      <w:pPr>
        <w:spacing w:after="0" w:line="184"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5480" w:right="4380" w:hanging="386"/>
        <w:spacing w:after="0" w:line="852" w:lineRule="auto"/>
        <w:tabs>
          <w:tab w:leader="none" w:pos="5522" w:val="left"/>
        </w:tabs>
        <w:numPr>
          <w:ilvl w:val="0"/>
          <w:numId w:val="7"/>
        </w:numPr>
        <w:rPr>
          <w:rFonts w:ascii="Arial" w:cs="Arial" w:eastAsia="Arial" w:hAnsi="Arial"/>
          <w:sz w:val="16"/>
          <w:szCs w:val="16"/>
          <w:color w:val="auto"/>
        </w:rPr>
      </w:pPr>
      <w:r>
        <w:rPr>
          <w:rFonts w:ascii="Arial" w:cs="Arial" w:eastAsia="Arial" w:hAnsi="Arial"/>
          <w:sz w:val="16"/>
          <w:szCs w:val="16"/>
          <w:color w:val="auto"/>
        </w:rPr>
        <w:t>345-7741 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-161925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PROSPECTUS</w:t>
      </w:r>
    </w:p>
    <w:p>
      <w:pPr>
        <w:spacing w:after="0" w:line="214" w:lineRule="exact"/>
        <w:rPr>
          <w:sz w:val="20"/>
          <w:szCs w:val="20"/>
          <w:color w:val="auto"/>
        </w:rPr>
      </w:pPr>
    </w:p>
    <w:p>
      <w:pPr>
        <w:jc w:val="center"/>
        <w:ind w:right="-699"/>
        <w:spacing w:after="0"/>
        <w:rPr>
          <w:sz w:val="20"/>
          <w:szCs w:val="20"/>
          <w:color w:val="auto"/>
        </w:rPr>
      </w:pPr>
      <w:r>
        <w:rPr>
          <w:rFonts w:ascii="Arial" w:cs="Arial" w:eastAsia="Arial" w:hAnsi="Arial"/>
          <w:sz w:val="43"/>
          <w:szCs w:val="43"/>
          <w:b w:val="1"/>
          <w:bCs w:val="1"/>
          <w:color w:val="auto"/>
        </w:rPr>
        <w:t>Regeneron Pharmaceuticals, Inc.</w:t>
      </w:r>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699"/>
        <w:spacing w:after="0"/>
        <w:rPr>
          <w:sz w:val="20"/>
          <w:szCs w:val="20"/>
          <w:color w:val="auto"/>
        </w:rPr>
      </w:pPr>
      <w:r>
        <w:rPr>
          <w:rFonts w:ascii="Arial" w:cs="Arial" w:eastAsia="Arial" w:hAnsi="Arial"/>
          <w:sz w:val="25"/>
          <w:szCs w:val="25"/>
          <w:b w:val="1"/>
          <w:bCs w:val="1"/>
          <w:color w:val="auto"/>
        </w:rPr>
        <w:t>WARRANTS</w:t>
      </w:r>
    </w:p>
    <w:p>
      <w:pPr>
        <w:spacing w:after="0" w:line="11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from time to time offer to sell together or separately in one or more offerings:</w:t>
      </w:r>
    </w:p>
    <w:p>
      <w:pPr>
        <w:spacing w:after="0" w:line="131" w:lineRule="exact"/>
        <w:rPr>
          <w:sz w:val="20"/>
          <w:szCs w:val="20"/>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debt securities, which may be senior, subordinated or junior subordinated and convertible or non-convertible;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or debt securities.</w:t>
      </w:r>
    </w:p>
    <w:p>
      <w:pPr>
        <w:spacing w:after="0" w:line="131" w:lineRule="exact"/>
        <w:rPr>
          <w:sz w:val="20"/>
          <w:szCs w:val="20"/>
          <w:color w:val="auto"/>
        </w:rPr>
      </w:pPr>
    </w:p>
    <w:p>
      <w:pPr>
        <w:ind w:left="700" w:firstLine="397"/>
        <w:spacing w:after="0" w:line="264" w:lineRule="auto"/>
        <w:rPr>
          <w:sz w:val="20"/>
          <w:szCs w:val="20"/>
          <w:color w:val="auto"/>
        </w:rPr>
      </w:pPr>
      <w:r>
        <w:rPr>
          <w:rFonts w:ascii="Arial" w:cs="Arial" w:eastAsia="Arial" w:hAnsi="Arial"/>
          <w:sz w:val="18"/>
          <w:szCs w:val="18"/>
          <w:color w:val="auto"/>
        </w:rPr>
        <w:t>This prospectus describes some of the general terms that may apply to these securities. We will provide the specific prices and terms of these securities in one or more supplements to this prospectus at the time of the offering. You should read this prospectus and the accompanying prospectus supplement carefully before you make your investment decision.</w:t>
      </w:r>
    </w:p>
    <w:p>
      <w:pPr>
        <w:spacing w:after="0" w:line="87"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We may offer and sell these securities through underwriters, dealers or agents or directly to purchasers, on a continuous or delayed basis. The prospectus supplement for each offering will describe in detail the plan of distribution for that offering and will set forth the names of any underwriters, dealers or agents involved in the offering and any applicable fees, commissions or discount arrangements.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This prospectus may not be used to sell securities unless accompanied by a prospectus supplement or a free writing prospectus.</w:t>
      </w:r>
    </w:p>
    <w:p>
      <w:pPr>
        <w:spacing w:after="0" w:line="154" w:lineRule="exact"/>
        <w:rPr>
          <w:sz w:val="20"/>
          <w:szCs w:val="20"/>
          <w:color w:val="auto"/>
        </w:rPr>
      </w:pPr>
    </w:p>
    <w:p>
      <w:pPr>
        <w:ind w:left="700" w:right="800" w:firstLine="397"/>
        <w:spacing w:after="0" w:line="277" w:lineRule="auto"/>
        <w:rPr>
          <w:sz w:val="20"/>
          <w:szCs w:val="20"/>
          <w:color w:val="auto"/>
        </w:rPr>
      </w:pPr>
      <w:r>
        <w:rPr>
          <w:rFonts w:ascii="Arial" w:cs="Arial" w:eastAsia="Arial" w:hAnsi="Arial"/>
          <w:sz w:val="18"/>
          <w:szCs w:val="18"/>
          <w:color w:val="auto"/>
        </w:rPr>
        <w:t>Our Common Stock is listed on the NASDAQ Global Select Market under the trading symbol “REGN.” Each prospectus supplement will indicate if the securities offered thereby will be listed on any securities exchange.</w:t>
      </w:r>
    </w:p>
    <w:p>
      <w:pPr>
        <w:spacing w:after="0" w:line="63" w:lineRule="exact"/>
        <w:rPr>
          <w:sz w:val="20"/>
          <w:szCs w:val="20"/>
          <w:color w:val="auto"/>
        </w:rPr>
      </w:pPr>
    </w:p>
    <w:p>
      <w:pPr>
        <w:ind w:left="700" w:right="500" w:firstLine="496"/>
        <w:spacing w:after="0" w:line="256" w:lineRule="auto"/>
        <w:rPr>
          <w:sz w:val="20"/>
          <w:szCs w:val="20"/>
          <w:color w:val="auto"/>
        </w:rPr>
      </w:pPr>
      <w:r>
        <w:rPr>
          <w:rFonts w:ascii="Arial" w:cs="Arial" w:eastAsia="Arial" w:hAnsi="Arial"/>
          <w:sz w:val="22"/>
          <w:szCs w:val="22"/>
          <w:b w:val="1"/>
          <w:bCs w:val="1"/>
          <w:color w:val="auto"/>
        </w:rPr>
        <w:t>Investing in our securities involves a high degree of risk. See “Risk Factors” on page 2 before you make your investment decision.</w:t>
      </w:r>
    </w:p>
    <w:p>
      <w:pPr>
        <w:spacing w:after="0" w:line="77" w:lineRule="exact"/>
        <w:rPr>
          <w:sz w:val="20"/>
          <w:szCs w:val="20"/>
          <w:color w:val="auto"/>
        </w:rPr>
      </w:pPr>
    </w:p>
    <w:p>
      <w:pPr>
        <w:ind w:left="700" w:right="80" w:firstLine="397"/>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or the accompanying prospectus supplement is truthful or complete. Any representation to the contrary is a criminal offense.</w:t>
      </w:r>
    </w:p>
    <w:p>
      <w:pPr>
        <w:spacing w:after="0" w:line="3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The date of this prospectus is October 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80" w:type="dxa"/>
            <w:vAlign w:val="bottom"/>
            <w:gridSpan w:val="2"/>
          </w:tcPr>
          <w:p>
            <w:pPr>
              <w:ind w:left="1140"/>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92"/>
        </w:trPr>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800" w:type="dxa"/>
            <w:vAlign w:val="bottom"/>
          </w:tcPr>
          <w:p>
            <w:pPr>
              <w:spacing w:after="0"/>
              <w:rPr>
                <w:sz w:val="24"/>
                <w:szCs w:val="24"/>
                <w:color w:val="auto"/>
              </w:rPr>
            </w:pPr>
          </w:p>
        </w:tc>
      </w:tr>
      <w:tr>
        <w:trPr>
          <w:trHeight w:val="223"/>
        </w:trPr>
        <w:tc>
          <w:tcPr>
            <w:tcW w:w="700" w:type="dxa"/>
            <w:vAlign w:val="bottom"/>
          </w:tcPr>
          <w:p>
            <w:pPr>
              <w:spacing w:after="0"/>
              <w:rPr>
                <w:sz w:val="19"/>
                <w:szCs w:val="19"/>
                <w:color w:val="auto"/>
              </w:rPr>
            </w:pPr>
          </w:p>
        </w:tc>
        <w:tc>
          <w:tcPr>
            <w:tcW w:w="16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About This Prospectus</w:t>
              </w:r>
            </w:hyperlink>
          </w:p>
        </w:tc>
        <w:tc>
          <w:tcPr>
            <w:tcW w:w="7900" w:type="dxa"/>
            <w:vAlign w:val="bottom"/>
            <w:gridSpan w:val="7"/>
          </w:tcPr>
          <w:p>
            <w:pPr>
              <w:spacing w:after="0"/>
              <w:rPr>
                <w:sz w:val="19"/>
                <w:szCs w:val="19"/>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ii</w:t>
            </w:r>
          </w:p>
        </w:tc>
        <w:tc>
          <w:tcPr>
            <w:tcW w:w="800" w:type="dxa"/>
            <w:vAlign w:val="bottom"/>
          </w:tcPr>
          <w:p>
            <w:pPr>
              <w:spacing w:after="0"/>
              <w:rPr>
                <w:sz w:val="19"/>
                <w:szCs w:val="19"/>
                <w:color w:val="auto"/>
              </w:rPr>
            </w:pPr>
          </w:p>
        </w:tc>
      </w:tr>
      <w:tr>
        <w:trPr>
          <w:trHeight w:val="196"/>
        </w:trPr>
        <w:tc>
          <w:tcPr>
            <w:tcW w:w="7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Summary</w:t>
              </w:r>
            </w:hyperlink>
          </w:p>
        </w:tc>
        <w:tc>
          <w:tcPr>
            <w:tcW w:w="8840" w:type="dxa"/>
            <w:vAlign w:val="bottom"/>
            <w:gridSpan w:val="12"/>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640" w:type="dxa"/>
            <w:vAlign w:val="bottom"/>
            <w:gridSpan w:val="11"/>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5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Ratio of Earnings to Fixed Charges</w:t>
              </w:r>
            </w:hyperlink>
          </w:p>
        </w:tc>
        <w:tc>
          <w:tcPr>
            <w:tcW w:w="7000" w:type="dxa"/>
            <w:vAlign w:val="bottom"/>
            <w:gridSpan w:val="3"/>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Securities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Capital Stock</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1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Description of Debt Securities</w:t>
              </w:r>
            </w:hyperlink>
          </w:p>
        </w:tc>
        <w:tc>
          <w:tcPr>
            <w:tcW w:w="7360" w:type="dxa"/>
            <w:vAlign w:val="bottom"/>
            <w:gridSpan w:val="4"/>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Description of Warrants</w:t>
              </w:r>
            </w:hyperlink>
          </w:p>
        </w:tc>
        <w:tc>
          <w:tcPr>
            <w:tcW w:w="7760" w:type="dxa"/>
            <w:vAlign w:val="bottom"/>
            <w:gridSpan w:val="6"/>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Plan of Distribution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Legal Matters</w:t>
              </w:r>
            </w:hyperlink>
          </w:p>
        </w:tc>
        <w:tc>
          <w:tcPr>
            <w:tcW w:w="420" w:type="dxa"/>
            <w:vAlign w:val="bottom"/>
            <w:tcBorders>
              <w:top w:val="single" w:sz="8" w:color="0000EE"/>
            </w:tcBorders>
            <w:gridSpan w:val="2"/>
          </w:tcPr>
          <w:p>
            <w:pPr>
              <w:spacing w:after="0"/>
              <w:rPr>
                <w:sz w:val="17"/>
                <w:szCs w:val="17"/>
                <w:color w:val="auto"/>
              </w:rPr>
            </w:pPr>
          </w:p>
        </w:tc>
        <w:tc>
          <w:tcPr>
            <w:tcW w:w="8120" w:type="dxa"/>
            <w:vAlign w:val="bottom"/>
            <w:gridSpan w:val="8"/>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Experts</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320" w:type="dxa"/>
            <w:vAlign w:val="bottom"/>
            <w:gridSpan w:val="11"/>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5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Cautionary Statement Regarding Forward-Looking Statements</w:t>
              </w:r>
            </w:hyperlink>
          </w:p>
        </w:tc>
        <w:tc>
          <w:tcPr>
            <w:tcW w:w="5020" w:type="dxa"/>
            <w:vAlign w:val="bottom"/>
          </w:tcPr>
          <w:p>
            <w:pPr>
              <w:spacing w:after="0"/>
              <w:rPr>
                <w:sz w:val="17"/>
                <w:szCs w:val="17"/>
                <w:color w:val="auto"/>
              </w:rPr>
            </w:pPr>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9540" w:type="dxa"/>
            <w:vAlign w:val="bottom"/>
            <w:gridSpan w:val="1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38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800" w:type="dxa"/>
            <w:vAlign w:val="bottom"/>
          </w:tcPr>
          <w:p>
            <w:pPr>
              <w:spacing w:after="0"/>
              <w:rPr>
                <w:sz w:val="17"/>
                <w:szCs w:val="17"/>
                <w:color w:val="auto"/>
              </w:rPr>
            </w:pPr>
          </w:p>
        </w:tc>
      </w:tr>
      <w:tr>
        <w:trPr>
          <w:trHeight w:val="247"/>
        </w:trPr>
        <w:tc>
          <w:tcPr>
            <w:tcW w:w="700" w:type="dxa"/>
            <w:vAlign w:val="bottom"/>
            <w:tcBorders>
              <w:bottom w:val="single" w:sz="8" w:color="808080"/>
            </w:tcBorders>
          </w:tcPr>
          <w:p>
            <w:pPr>
              <w:spacing w:after="0"/>
              <w:rPr>
                <w:sz w:val="21"/>
                <w:szCs w:val="21"/>
                <w:color w:val="auto"/>
              </w:rPr>
            </w:pPr>
          </w:p>
        </w:tc>
        <w:tc>
          <w:tcPr>
            <w:tcW w:w="54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00" w:type="dxa"/>
            <w:vAlign w:val="bottom"/>
            <w:tcBorders>
              <w:top w:val="single" w:sz="8" w:color="0000EE"/>
              <w:bottom w:val="single" w:sz="8" w:color="808080"/>
            </w:tcBorders>
          </w:tcPr>
          <w:p>
            <w:pPr>
              <w:spacing w:after="0"/>
              <w:rPr>
                <w:sz w:val="21"/>
                <w:szCs w:val="21"/>
                <w:color w:val="auto"/>
              </w:rPr>
            </w:pPr>
          </w:p>
        </w:tc>
        <w:tc>
          <w:tcPr>
            <w:tcW w:w="100" w:type="dxa"/>
            <w:vAlign w:val="bottom"/>
            <w:tcBorders>
              <w:top w:val="single" w:sz="8" w:color="0000EE"/>
              <w:bottom w:val="single" w:sz="8" w:color="808080"/>
            </w:tcBorders>
          </w:tcPr>
          <w:p>
            <w:pPr>
              <w:spacing w:after="0"/>
              <w:rPr>
                <w:sz w:val="21"/>
                <w:szCs w:val="21"/>
                <w:color w:val="auto"/>
              </w:rPr>
            </w:pPr>
          </w:p>
        </w:tc>
        <w:tc>
          <w:tcPr>
            <w:tcW w:w="16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22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260" w:type="dxa"/>
            <w:vAlign w:val="bottom"/>
            <w:tcBorders>
              <w:top w:val="single" w:sz="8" w:color="0000EE"/>
              <w:bottom w:val="single" w:sz="8" w:color="808080"/>
            </w:tcBorders>
          </w:tcPr>
          <w:p>
            <w:pPr>
              <w:spacing w:after="0"/>
              <w:rPr>
                <w:sz w:val="21"/>
                <w:szCs w:val="21"/>
                <w:color w:val="auto"/>
              </w:rPr>
            </w:pPr>
          </w:p>
        </w:tc>
        <w:tc>
          <w:tcPr>
            <w:tcW w:w="140" w:type="dxa"/>
            <w:vAlign w:val="bottom"/>
            <w:tcBorders>
              <w:top w:val="single" w:sz="8" w:color="0000EE"/>
              <w:bottom w:val="single" w:sz="8" w:color="808080"/>
            </w:tcBorders>
          </w:tcPr>
          <w:p>
            <w:pPr>
              <w:spacing w:after="0"/>
              <w:rPr>
                <w:sz w:val="21"/>
                <w:szCs w:val="21"/>
                <w:color w:val="auto"/>
              </w:rPr>
            </w:pPr>
          </w:p>
        </w:tc>
        <w:tc>
          <w:tcPr>
            <w:tcW w:w="360" w:type="dxa"/>
            <w:vAlign w:val="bottom"/>
            <w:tcBorders>
              <w:top w:val="single" w:sz="8" w:color="0000EE"/>
              <w:bottom w:val="single" w:sz="8" w:color="808080"/>
            </w:tcBorders>
          </w:tcPr>
          <w:p>
            <w:pPr>
              <w:spacing w:after="0"/>
              <w:rPr>
                <w:sz w:val="21"/>
                <w:szCs w:val="21"/>
                <w:color w:val="auto"/>
              </w:rPr>
            </w:pPr>
          </w:p>
        </w:tc>
        <w:tc>
          <w:tcPr>
            <w:tcW w:w="320" w:type="dxa"/>
            <w:vAlign w:val="bottom"/>
            <w:tcBorders>
              <w:top w:val="single" w:sz="8" w:color="0000EE"/>
              <w:bottom w:val="single" w:sz="8" w:color="808080"/>
            </w:tcBorders>
          </w:tcPr>
          <w:p>
            <w:pPr>
              <w:spacing w:after="0"/>
              <w:rPr>
                <w:sz w:val="21"/>
                <w:szCs w:val="21"/>
                <w:color w:val="auto"/>
              </w:rPr>
            </w:pPr>
          </w:p>
        </w:tc>
        <w:tc>
          <w:tcPr>
            <w:tcW w:w="1660" w:type="dxa"/>
            <w:vAlign w:val="bottom"/>
            <w:tcBorders>
              <w:bottom w:val="single" w:sz="8" w:color="808080"/>
            </w:tcBorders>
          </w:tcPr>
          <w:p>
            <w:pPr>
              <w:spacing w:after="0"/>
              <w:rPr>
                <w:sz w:val="21"/>
                <w:szCs w:val="21"/>
                <w:color w:val="auto"/>
              </w:rPr>
            </w:pPr>
          </w:p>
        </w:tc>
        <w:tc>
          <w:tcPr>
            <w:tcW w:w="5020" w:type="dxa"/>
            <w:vAlign w:val="bottom"/>
            <w:tcBorders>
              <w:bottom w:val="single" w:sz="8" w:color="808080"/>
            </w:tcBorders>
          </w:tcPr>
          <w:p>
            <w:pPr>
              <w:spacing w:after="0"/>
              <w:rPr>
                <w:sz w:val="21"/>
                <w:szCs w:val="21"/>
                <w:color w:val="auto"/>
              </w:rPr>
            </w:pPr>
          </w:p>
        </w:tc>
        <w:tc>
          <w:tcPr>
            <w:tcW w:w="380" w:type="dxa"/>
            <w:vAlign w:val="bottom"/>
            <w:tcBorders>
              <w:bottom w:val="single" w:sz="8" w:color="808080"/>
            </w:tcBorders>
          </w:tcPr>
          <w:p>
            <w:pPr>
              <w:spacing w:after="0"/>
              <w:rPr>
                <w:sz w:val="21"/>
                <w:szCs w:val="21"/>
                <w:color w:val="auto"/>
              </w:rPr>
            </w:pPr>
          </w:p>
        </w:tc>
        <w:tc>
          <w:tcPr>
            <w:tcW w:w="8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ABOUT THIS PROSPECTUS</w:t>
      </w:r>
    </w:p>
    <w:p>
      <w:pPr>
        <w:spacing w:after="0" w:line="135" w:lineRule="exact"/>
        <w:rPr>
          <w:sz w:val="20"/>
          <w:szCs w:val="20"/>
          <w:color w:val="auto"/>
        </w:rPr>
      </w:pPr>
    </w:p>
    <w:p>
      <w:pPr>
        <w:jc w:val="both"/>
        <w:ind w:left="700" w:right="80" w:firstLine="397"/>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(the “SEC”) using a “shelf” registration process. Under the shelf process, we may sell any combination of the securities described in this prospectus in one or more offerings.</w:t>
      </w:r>
    </w:p>
    <w:p>
      <w:pPr>
        <w:spacing w:after="0" w:line="87" w:lineRule="exact"/>
        <w:rPr>
          <w:sz w:val="20"/>
          <w:szCs w:val="20"/>
          <w:color w:val="auto"/>
        </w:rPr>
      </w:pPr>
    </w:p>
    <w:p>
      <w:pPr>
        <w:ind w:left="700" w:right="40" w:firstLine="397"/>
        <w:spacing w:after="0" w:line="297" w:lineRule="auto"/>
        <w:rPr>
          <w:sz w:val="20"/>
          <w:szCs w:val="20"/>
          <w:color w:val="auto"/>
        </w:rPr>
      </w:pPr>
      <w:r>
        <w:rPr>
          <w:rFonts w:ascii="Arial" w:cs="Arial" w:eastAsia="Arial" w:hAnsi="Arial"/>
          <w:sz w:val="16"/>
          <w:szCs w:val="16"/>
          <w:color w:val="auto"/>
        </w:rPr>
        <w:t>This prospectus only provides you with a general description of the securities we may offer. Each time we sell securities we will provide a supplement to this prospectus that will contain specific information about the terms of that offering, including the specific amounts, prices and terms of the securities offered. The prospectus supplement may also add, update or change information contained in this prospectus. You should carefully read both this prospectus and any accompanying prospectus supplement or other offering materials, together with the additional information described under the heading “Where You Can Find More Information.”</w:t>
      </w:r>
    </w:p>
    <w:p>
      <w:pPr>
        <w:spacing w:after="0" w:line="64" w:lineRule="exact"/>
        <w:rPr>
          <w:sz w:val="20"/>
          <w:szCs w:val="20"/>
          <w:color w:val="auto"/>
        </w:rPr>
      </w:pPr>
    </w:p>
    <w:p>
      <w:pPr>
        <w:ind w:left="700" w:firstLine="397"/>
        <w:spacing w:after="0" w:line="286" w:lineRule="auto"/>
        <w:rPr>
          <w:sz w:val="20"/>
          <w:szCs w:val="20"/>
          <w:color w:val="auto"/>
        </w:rPr>
      </w:pPr>
      <w:r>
        <w:rPr>
          <w:rFonts w:ascii="Arial" w:cs="Arial" w:eastAsia="Arial" w:hAnsi="Arial"/>
          <w:sz w:val="17"/>
          <w:szCs w:val="17"/>
          <w:color w:val="auto"/>
        </w:rPr>
        <w:t>You should rely only on the information contained or incorporated by reference in this prospectus. We have not authorized anyone to provide you with different information. If anyone provides you with different or inconsistent information, you should not rely on it. We are not making an offer to sell these securities in any jurisdiction where the offer or sale is not permitted.</w:t>
      </w:r>
    </w:p>
    <w:p>
      <w:pPr>
        <w:spacing w:after="0" w:line="71" w:lineRule="exact"/>
        <w:rPr>
          <w:sz w:val="20"/>
          <w:szCs w:val="20"/>
          <w:color w:val="auto"/>
        </w:rPr>
      </w:pPr>
    </w:p>
    <w:p>
      <w:pPr>
        <w:ind w:left="700" w:right="100" w:firstLine="397"/>
        <w:spacing w:after="0" w:line="291" w:lineRule="auto"/>
        <w:rPr>
          <w:sz w:val="20"/>
          <w:szCs w:val="20"/>
          <w:color w:val="auto"/>
        </w:rPr>
      </w:pPr>
      <w:r>
        <w:rPr>
          <w:rFonts w:ascii="Arial" w:cs="Arial" w:eastAsia="Arial" w:hAnsi="Arial"/>
          <w:sz w:val="16"/>
          <w:szCs w:val="16"/>
          <w:color w:val="auto"/>
        </w:rPr>
        <w:t>This prospectus and any accompanying prospectus supplement or other offering materials do not contain all of the information included in the registration statement as permitted by the rules and regulations of the SEC. For further information, we refer you to the registration statement on Form S-3, including its exhibits. We are subject to the informational requirements of the Securities Exchange Act of 1934, as amended (“Exchange Act”), and, therefore, file reports and other information with the SEC. Statements contained in this prospectus and any accompanying prospectus supplement or other offering materials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spacing w:after="0" w:line="73" w:lineRule="exact"/>
        <w:rPr>
          <w:sz w:val="20"/>
          <w:szCs w:val="20"/>
          <w:color w:val="auto"/>
        </w:rPr>
      </w:pPr>
    </w:p>
    <w:p>
      <w:pPr>
        <w:ind w:left="700" w:right="380" w:firstLine="397"/>
        <w:spacing w:after="0" w:line="264" w:lineRule="auto"/>
        <w:rPr>
          <w:sz w:val="20"/>
          <w:szCs w:val="20"/>
          <w:color w:val="auto"/>
        </w:rPr>
      </w:pPr>
      <w:r>
        <w:rPr>
          <w:rFonts w:ascii="Arial" w:cs="Arial" w:eastAsia="Arial" w:hAnsi="Arial"/>
          <w:sz w:val="18"/>
          <w:szCs w:val="18"/>
          <w:color w:val="auto"/>
        </w:rPr>
        <w:t>You should not assume that the information in this prospectus, any prospectus supplement or any other offering materials is accurate as of any date other than the date on the front of each document. Our business, financial condition, results of operations and prospects may have changed since then.</w:t>
      </w:r>
    </w:p>
    <w:p>
      <w:pPr>
        <w:spacing w:after="0" w:line="87" w:lineRule="exact"/>
        <w:rPr>
          <w:sz w:val="20"/>
          <w:szCs w:val="20"/>
          <w:color w:val="auto"/>
        </w:rPr>
      </w:pPr>
    </w:p>
    <w:p>
      <w:pPr>
        <w:ind w:left="700" w:right="20" w:firstLine="397"/>
        <w:spacing w:after="0" w:line="279" w:lineRule="auto"/>
        <w:rPr>
          <w:sz w:val="20"/>
          <w:szCs w:val="20"/>
          <w:color w:val="auto"/>
        </w:rPr>
      </w:pPr>
      <w:r>
        <w:rPr>
          <w:rFonts w:ascii="Arial" w:cs="Arial" w:eastAsia="Arial" w:hAnsi="Arial"/>
          <w:sz w:val="17"/>
          <w:szCs w:val="17"/>
          <w:color w:val="auto"/>
        </w:rPr>
        <w:t>In this prospectus, unless otherwise specified or the context requires otherwise, we use the terms “Regeneron,” the “Company,” “we,” “us” and “our” to refer to Regeneron Pharmaceuticals, Inc. References to our “Common Stock” refer to shares of our common stock, par value $0.001 per share, references to our Class A Stock refer to our Class A Stock, par value $0.001 per share and references to our “common shares” shall mean, collectively, shares of Common Stock and shares of Class A Stock.</w:t>
      </w:r>
    </w:p>
    <w:p>
      <w:pPr>
        <w:spacing w:after="0" w:line="36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218440</wp:posOffset>
            </wp:positionV>
            <wp:extent cx="6598920" cy="7705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8920" cy="77050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SUMMARY</w:t>
      </w:r>
    </w:p>
    <w:p>
      <w:pPr>
        <w:spacing w:after="0" w:line="135" w:lineRule="exact"/>
        <w:rPr>
          <w:sz w:val="20"/>
          <w:szCs w:val="20"/>
          <w:color w:val="auto"/>
        </w:rPr>
      </w:pPr>
    </w:p>
    <w:p>
      <w:pPr>
        <w:ind w:left="920" w:right="380" w:firstLine="397"/>
        <w:spacing w:after="0" w:line="264" w:lineRule="auto"/>
        <w:rPr>
          <w:sz w:val="20"/>
          <w:szCs w:val="20"/>
          <w:color w:val="auto"/>
        </w:rPr>
      </w:pPr>
      <w:r>
        <w:rPr>
          <w:rFonts w:ascii="Arial" w:cs="Arial" w:eastAsia="Arial" w:hAnsi="Arial"/>
          <w:sz w:val="18"/>
          <w:szCs w:val="18"/>
          <w:i w:val="1"/>
          <w:iCs w:val="1"/>
          <w:color w:val="auto"/>
        </w:rPr>
        <w:t>This is only a summary and may not contain all the information that is important to you. You should carefully read both this prospectus and any accompanying prospectus supplement and any other offering materials, together with the additional information described under the heading “Where You Can Find More Information.”</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Regeneron Pharmaceuticals, Inc.</w:t>
      </w:r>
    </w:p>
    <w:p>
      <w:pPr>
        <w:spacing w:after="0" w:line="135" w:lineRule="exact"/>
        <w:rPr>
          <w:sz w:val="20"/>
          <w:szCs w:val="20"/>
          <w:color w:val="auto"/>
        </w:rPr>
      </w:pPr>
    </w:p>
    <w:p>
      <w:pPr>
        <w:ind w:left="920" w:right="120" w:firstLine="397"/>
        <w:spacing w:after="0" w:line="257" w:lineRule="auto"/>
        <w:rPr>
          <w:sz w:val="20"/>
          <w:szCs w:val="20"/>
          <w:color w:val="auto"/>
        </w:rPr>
      </w:pPr>
      <w:r>
        <w:rPr>
          <w:rFonts w:ascii="Arial" w:cs="Arial" w:eastAsia="Arial" w:hAnsi="Arial"/>
          <w:sz w:val="18"/>
          <w:szCs w:val="18"/>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15"/>
          <w:szCs w:val="15"/>
          <w:color w:val="auto"/>
        </w:rPr>
        <w:t>®</w:t>
      </w:r>
      <w:r>
        <w:rPr>
          <w:rFonts w:ascii="Arial" w:cs="Arial" w:eastAsia="Arial" w:hAnsi="Arial"/>
          <w:sz w:val="18"/>
          <w:szCs w:val="18"/>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94" w:lineRule="exact"/>
        <w:rPr>
          <w:sz w:val="20"/>
          <w:szCs w:val="20"/>
          <w:color w:val="auto"/>
        </w:rPr>
      </w:pPr>
    </w:p>
    <w:p>
      <w:pPr>
        <w:ind w:left="920" w:firstLine="397"/>
        <w:spacing w:after="0" w:line="270" w:lineRule="auto"/>
        <w:rPr>
          <w:sz w:val="20"/>
          <w:szCs w:val="20"/>
          <w:color w:val="auto"/>
        </w:rPr>
      </w:pPr>
      <w:r>
        <w:rPr>
          <w:rFonts w:ascii="Arial" w:cs="Arial" w:eastAsia="Arial" w:hAnsi="Arial"/>
          <w:sz w:val="17"/>
          <w:szCs w:val="17"/>
          <w:color w:val="auto"/>
        </w:rPr>
        <w:t>We have eight product candidates in clinical development, including three product candidates that are in late-stage (Phase 3) clinical development. Our late stage programs are ARCALYST</w:t>
      </w:r>
      <w:r>
        <w:rPr>
          <w:rFonts w:ascii="Arial" w:cs="Arial" w:eastAsia="Arial" w:hAnsi="Arial"/>
          <w:sz w:val="14"/>
          <w:szCs w:val="14"/>
          <w:color w:val="auto"/>
        </w:rPr>
        <w:t>®</w:t>
      </w:r>
      <w:r>
        <w:rPr>
          <w:rFonts w:ascii="Arial" w:cs="Arial" w:eastAsia="Arial" w:hAnsi="Arial"/>
          <w:sz w:val="17"/>
          <w:szCs w:val="17"/>
          <w:color w:val="auto"/>
        </w:rPr>
        <w:t xml:space="preserve"> (rilonacept), which is being developed for the prevention of gout-related flares in patients initiating uric acid-lowering treatment; VEGF Trap-Eye, which is being developed in eye diseases using intraocular delivery in collaboration with Bayer HealthCare LLC; and aflibercept (VEGF Trap), which is being developed in oncology in collaboration with the sanofi-aventis Group. Our earlier stage clinical programs are REGN727, an antibody to PCSK9, which is being developed for low density lipoprotein (LDL) cholesterol reduction; REGN88, an antibody to the interleukin-6 receptor (IL-6R), which is being developed in rheumatoid arthritis and ankylosing spondilitis; REGN421, an antibody to Delta-like ligand-4 (Dll4), which is being developed in oncology; REGN668, an antibody to the interleukin-4 receptor (IL-4R), which is being developed in atopic dermatitis; and REGN475, an antibody to Nerve Growth Factor (NGF), which is being developed for the treatment of pain. All five of our earlier stage clinical programs are fully human antibodies that are being developed in collaboration with sanofi-aventis.</w:t>
      </w:r>
    </w:p>
    <w:p>
      <w:pPr>
        <w:spacing w:after="0" w:line="83" w:lineRule="exact"/>
        <w:rPr>
          <w:sz w:val="20"/>
          <w:szCs w:val="20"/>
          <w:color w:val="auto"/>
        </w:rPr>
      </w:pPr>
    </w:p>
    <w:p>
      <w:pPr>
        <w:jc w:val="both"/>
        <w:ind w:left="920" w:right="140" w:firstLine="397"/>
        <w:spacing w:after="0" w:line="302"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60" w:lineRule="exact"/>
        <w:rPr>
          <w:sz w:val="20"/>
          <w:szCs w:val="20"/>
          <w:color w:val="auto"/>
        </w:rPr>
      </w:pPr>
    </w:p>
    <w:p>
      <w:pPr>
        <w:ind w:left="920" w:right="20" w:firstLine="397"/>
        <w:spacing w:after="0" w:line="270" w:lineRule="auto"/>
        <w:rPr>
          <w:sz w:val="20"/>
          <w:szCs w:val="20"/>
          <w:color w:val="auto"/>
        </w:rPr>
      </w:pPr>
      <w:r>
        <w:rPr>
          <w:rFonts w:ascii="Arial" w:cs="Arial" w:eastAsia="Arial" w:hAnsi="Arial"/>
          <w:sz w:val="17"/>
          <w:szCs w:val="17"/>
          <w:color w:val="auto"/>
        </w:rPr>
        <w:t xml:space="preserve">We believe that our ability to develop product candidates is enhanced by the application of our </w:t>
      </w:r>
      <w:r>
        <w:rPr>
          <w:rFonts w:ascii="Arial" w:cs="Arial" w:eastAsia="Arial" w:hAnsi="Arial"/>
          <w:sz w:val="17"/>
          <w:szCs w:val="17"/>
          <w:i w:val="1"/>
          <w:iCs w:val="1"/>
          <w:color w:val="auto"/>
        </w:rPr>
        <w:t>VelociSuite</w:t>
      </w:r>
      <w:r>
        <w:rPr>
          <w:rFonts w:ascii="Arial" w:cs="Arial" w:eastAsia="Arial" w:hAnsi="Arial"/>
          <w:sz w:val="10"/>
          <w:szCs w:val="10"/>
          <w:color w:val="auto"/>
        </w:rPr>
        <w:t>TM</w:t>
      </w:r>
      <w:r>
        <w:rPr>
          <w:rFonts w:ascii="Arial" w:cs="Arial" w:eastAsia="Arial" w:hAnsi="Arial"/>
          <w:sz w:val="17"/>
          <w:szCs w:val="17"/>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7"/>
          <w:szCs w:val="17"/>
          <w:i w:val="1"/>
          <w:iCs w:val="1"/>
          <w:color w:val="auto"/>
        </w:rPr>
        <w:t>VelociGene</w:t>
      </w:r>
      <w:r>
        <w:rPr>
          <w:rFonts w:ascii="Arial" w:cs="Arial" w:eastAsia="Arial" w:hAnsi="Arial"/>
          <w:sz w:val="14"/>
          <w:szCs w:val="14"/>
          <w:color w:val="auto"/>
        </w:rPr>
        <w:t>®</w:t>
      </w:r>
      <w:r>
        <w:rPr>
          <w:rFonts w:ascii="Arial" w:cs="Arial" w:eastAsia="Arial" w:hAnsi="Arial"/>
          <w:sz w:val="17"/>
          <w:szCs w:val="17"/>
          <w:color w:val="auto"/>
        </w:rPr>
        <w:t xml:space="preserve"> technology to understand the role of these proteins in normal physiology as well as in models of disease. Our human monoclonal antibody technology </w:t>
      </w:r>
      <w:r>
        <w:rPr>
          <w:rFonts w:ascii="Arial" w:cs="Arial" w:eastAsia="Arial" w:hAnsi="Arial"/>
          <w:sz w:val="17"/>
          <w:szCs w:val="17"/>
          <w:i w:val="1"/>
          <w:iCs w:val="1"/>
          <w:color w:val="auto"/>
        </w:rPr>
        <w:t>(VelocImmune</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cell line expression technologies </w:t>
      </w:r>
      <w:r>
        <w:rPr>
          <w:rFonts w:ascii="Arial" w:cs="Arial" w:eastAsia="Arial" w:hAnsi="Arial"/>
          <w:sz w:val="17"/>
          <w:szCs w:val="17"/>
          <w:i w:val="1"/>
          <w:iCs w:val="1"/>
          <w:color w:val="auto"/>
        </w:rPr>
        <w:t>(VelociMab</w:t>
      </w:r>
      <w:r>
        <w:rPr>
          <w:rFonts w:ascii="Arial" w:cs="Arial" w:eastAsia="Arial" w:hAnsi="Arial"/>
          <w:sz w:val="14"/>
          <w:szCs w:val="14"/>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7"/>
          <w:szCs w:val="17"/>
          <w:i w:val="1"/>
          <w:iCs w:val="1"/>
          <w:color w:val="auto"/>
        </w:rPr>
        <w:t>VelocImmune</w:t>
      </w:r>
      <w:r>
        <w:rPr>
          <w:rFonts w:ascii="Arial" w:cs="Arial" w:eastAsia="Arial" w:hAnsi="Arial"/>
          <w:sz w:val="14"/>
          <w:szCs w:val="14"/>
          <w:color w:val="auto"/>
        </w:rPr>
        <w:t>®</w:t>
      </w:r>
      <w:r>
        <w:rPr>
          <w:rFonts w:ascii="Arial" w:cs="Arial" w:eastAsia="Arial" w:hAnsi="Arial"/>
          <w:sz w:val="17"/>
          <w:szCs w:val="17"/>
          <w:color w:val="auto"/>
        </w:rPr>
        <w:t>. Under the terms of our antibody collaboration with sanofi-aventis, which was expanded during 2009, we plan to advance an average of four to five new antibody product candidates into clinical development each year, for an anticipated total of 30-40 candidates from 2010 through 2017. We continue to invest in the development of enabling technologies to assist in our efforts to identify, develop, manufacture, and commercialize new product candidates.</w:t>
      </w:r>
    </w:p>
    <w:p>
      <w:pPr>
        <w:spacing w:after="0" w:line="83" w:lineRule="exact"/>
        <w:rPr>
          <w:sz w:val="20"/>
          <w:szCs w:val="20"/>
          <w:color w:val="auto"/>
        </w:rPr>
      </w:pPr>
    </w:p>
    <w:p>
      <w:pPr>
        <w:ind w:left="920" w:right="240" w:firstLine="397"/>
        <w:spacing w:after="0" w:line="259" w:lineRule="auto"/>
        <w:rPr>
          <w:sz w:val="20"/>
          <w:szCs w:val="20"/>
          <w:color w:val="auto"/>
        </w:rPr>
      </w:pPr>
      <w:r>
        <w:rPr>
          <w:rFonts w:ascii="Arial" w:cs="Arial" w:eastAsia="Arial" w:hAnsi="Arial"/>
          <w:sz w:val="18"/>
          <w:szCs w:val="18"/>
          <w:color w:val="auto"/>
        </w:rPr>
        <w:t>Our principal executive offices are located at 777 Old Saw Mill River Road, Tarrytown, New York 10591, and our telephone number at that address is (914) 345-7400. Our website address is www.regeneron.com. The information on, or accessible through, our website is not part of this prospectus and should not be relied upon in connection with making any investment decision with respect to the securities offered by this prospectus.</w:t>
      </w:r>
    </w:p>
    <w:p>
      <w:pPr>
        <w:sectPr>
          <w:pgSz w:w="11900" w:h="16838" w:orient="portrait"/>
          <w:cols w:equalWidth="0" w:num="1">
            <w:col w:w="10840"/>
          </w:cols>
          <w:pgMar w:left="240" w:top="41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419" w:right="8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You should consider the specific risks described in our Annual Report on Form 10-K for the year ended December 31, 2009 and our Quarterly Report on Form 10-Q for the quarter ended June 30, 2010, the risk factors described under the caption “Risk Factors” in any applicable prospectus supplement, and any risk factors set forth in our other filings with the SEC, pursuant to Sections 13(a), 13(c), 14 or 15(d) of the Exchange Act, before making an investment decision. Each of the risks described in these documents could materially and adversely affect our business, financial condition, results of operations and prospects, and could result in a partial or complete loss of your investment. See “Where You Can Find More Information” beginning on page 18 of this prospectus.</w:t>
      </w:r>
    </w:p>
    <w:p>
      <w:pPr>
        <w:spacing w:after="0" w:line="28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USE OF PROCEEDS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7"/>
            <w:vMerge w:val="restart"/>
          </w:tcPr>
          <w:p>
            <w:pPr>
              <w:jc w:val="right"/>
              <w:ind w:right="80"/>
              <w:spacing w:after="0"/>
              <w:rPr>
                <w:sz w:val="20"/>
                <w:szCs w:val="20"/>
                <w:color w:val="auto"/>
              </w:rPr>
            </w:pPr>
            <w:r>
              <w:rPr>
                <w:rFonts w:ascii="Arial" w:cs="Arial" w:eastAsia="Arial" w:hAnsi="Arial"/>
                <w:sz w:val="14"/>
                <w:szCs w:val="14"/>
                <w:b w:val="1"/>
                <w:bCs w:val="1"/>
                <w:color w:val="auto"/>
                <w:w w:val="96"/>
              </w:rPr>
              <w:t>Year Ended December 31,</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1"/>
              </w:rPr>
              <w:t>June 30</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7"/>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2008(B)</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1"/>
              </w:rPr>
              <w:t>(Dollars</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Earnings: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Pretax income (loss) from continuing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320"/>
              <w:spacing w:after="0"/>
              <w:rPr>
                <w:sz w:val="20"/>
                <w:szCs w:val="20"/>
                <w:color w:val="auto"/>
              </w:rPr>
            </w:pPr>
            <w:r>
              <w:rPr>
                <w:rFonts w:ascii="Arial" w:cs="Arial" w:eastAsia="Arial" w:hAnsi="Arial"/>
                <w:sz w:val="16"/>
                <w:szCs w:val="16"/>
                <w:color w:val="auto"/>
                <w:w w:val="95"/>
              </w:rPr>
              <w:t>operations before income (loss) from equity</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Pr>
          <w:p>
            <w:pPr>
              <w:ind w:left="320"/>
              <w:spacing w:after="0"/>
              <w:rPr>
                <w:sz w:val="20"/>
                <w:szCs w:val="20"/>
                <w:color w:val="auto"/>
              </w:rPr>
            </w:pPr>
            <w:r>
              <w:rPr>
                <w:rFonts w:ascii="Arial" w:cs="Arial" w:eastAsia="Arial" w:hAnsi="Arial"/>
                <w:sz w:val="16"/>
                <w:szCs w:val="16"/>
                <w:color w:val="auto"/>
              </w:rPr>
              <w:t>investee</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(55,996)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(71,952)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8"/>
              <w:spacing w:after="0"/>
              <w:rPr>
                <w:sz w:val="20"/>
                <w:szCs w:val="20"/>
                <w:color w:val="auto"/>
              </w:rPr>
            </w:pPr>
            <w:r>
              <w:rPr>
                <w:rFonts w:ascii="Arial" w:cs="Arial" w:eastAsia="Arial" w:hAnsi="Arial"/>
                <w:sz w:val="16"/>
                <w:szCs w:val="16"/>
                <w:color w:val="auto"/>
                <w:w w:val="90"/>
              </w:rPr>
              <w:t>(76,778)</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w w:val="90"/>
              </w:rPr>
              <w:t>(106,519)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(103,150)</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$(95,456)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charges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10,067</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13,687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Amortization of capitalized interest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capitalized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(2,836)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6"/>
                <w:szCs w:val="16"/>
                <w:color w:val="auto"/>
              </w:rPr>
              <w:t>Adjusted earnings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300" w:type="dxa"/>
            <w:vAlign w:val="bottom"/>
            <w:gridSpan w:val="2"/>
            <w:vMerge w:val="continue"/>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(50,305)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w w:val="90"/>
              </w:rPr>
              <w:t>(66,890)</w:t>
            </w:r>
          </w:p>
        </w:tc>
        <w:tc>
          <w:tcPr>
            <w:tcW w:w="22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860" w:type="dxa"/>
            <w:vAlign w:val="bottom"/>
            <w:gridSpan w:val="2"/>
          </w:tcPr>
          <w:p>
            <w:pPr>
              <w:jc w:val="right"/>
              <w:ind w:right="228"/>
              <w:spacing w:after="0"/>
              <w:rPr>
                <w:sz w:val="20"/>
                <w:szCs w:val="20"/>
                <w:color w:val="auto"/>
              </w:rPr>
            </w:pPr>
            <w:r>
              <w:rPr>
                <w:rFonts w:ascii="Arial" w:cs="Arial" w:eastAsia="Arial" w:hAnsi="Arial"/>
                <w:sz w:val="16"/>
                <w:szCs w:val="16"/>
                <w:color w:val="auto"/>
                <w:w w:val="90"/>
              </w:rPr>
              <w:t>(66,691)</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(92,482)</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6"/>
                <w:szCs w:val="16"/>
                <w:color w:val="auto"/>
              </w:rPr>
              <w:t>(89,434)</w:t>
            </w:r>
          </w:p>
        </w:tc>
        <w:tc>
          <w:tcPr>
            <w:tcW w:w="960" w:type="dxa"/>
            <w:vAlign w:val="bottom"/>
            <w:gridSpan w:val="3"/>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(81,691)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Fixed charges: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4,426</w:t>
            </w:r>
          </w:p>
        </w:tc>
        <w:tc>
          <w:tcPr>
            <w:tcW w:w="3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2,337</w:t>
            </w:r>
          </w:p>
        </w:tc>
        <w:tc>
          <w:tcPr>
            <w:tcW w:w="3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7,752</w:t>
            </w:r>
          </w:p>
        </w:tc>
        <w:tc>
          <w:tcPr>
            <w:tcW w:w="3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12,043</w:t>
            </w:r>
          </w:p>
        </w:tc>
        <w:tc>
          <w:tcPr>
            <w:tcW w:w="3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12,043</w:t>
            </w:r>
          </w:p>
        </w:tc>
        <w:tc>
          <w:tcPr>
            <w:tcW w:w="34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$ 12,046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capitalized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88"/>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Arial" w:cs="Arial" w:eastAsia="Arial" w:hAnsi="Arial"/>
                <w:sz w:val="16"/>
                <w:szCs w:val="16"/>
                <w:color w:val="auto"/>
                <w:w w:val="94"/>
              </w:rPr>
              <w:t>Assumed interest component of rental charges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6"/>
                <w:szCs w:val="16"/>
                <w:color w:val="auto"/>
              </w:rPr>
              <w:t>Total fixed charges</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8,517</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10,067</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14,014</w:t>
            </w:r>
          </w:p>
        </w:tc>
        <w:tc>
          <w:tcPr>
            <w:tcW w:w="3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13,643</w:t>
            </w:r>
          </w:p>
        </w:tc>
        <w:tc>
          <w:tcPr>
            <w:tcW w:w="3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$ 13,687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6"/>
                <w:szCs w:val="16"/>
                <w:color w:val="auto"/>
              </w:rPr>
              <w:t>Ratio of earnings to fixed charges</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68"/>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89535</wp:posOffset>
            </wp:positionV>
            <wp:extent cx="8147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8" w:lineRule="exact"/>
        <w:rPr>
          <w:sz w:val="20"/>
          <w:szCs w:val="20"/>
          <w:color w:val="auto"/>
        </w:rPr>
      </w:pPr>
    </w:p>
    <w:p>
      <w:pPr>
        <w:jc w:val="both"/>
        <w:ind w:left="1040" w:right="20" w:hanging="347"/>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Due to the Company’s losses for the six months ended June 30, 2010 and for the years ended December 31, 2009, 2008, 2007, 2006, and 2005, the ratio coverage was less than 1:1. To achieve a coverage ratio of 1:1, the Company must generate additional earnings of the amounts shown in the table below.</w:t>
      </w:r>
    </w:p>
    <w:p>
      <w:pPr>
        <w:spacing w:after="0" w:line="19" w:lineRule="exact"/>
        <w:rPr>
          <w:rFonts w:ascii="Arial" w:cs="Arial" w:eastAsia="Arial" w:hAnsi="Arial"/>
          <w:sz w:val="18"/>
          <w:szCs w:val="18"/>
          <w:color w:val="auto"/>
        </w:rPr>
      </w:pPr>
    </w:p>
    <w:p>
      <w:pPr>
        <w:ind w:left="1040" w:right="20" w:hanging="347"/>
        <w:spacing w:after="0" w:line="342"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year ended December 31,2008, the Company repurchased $82.5 million and repaid the remaining $117.5 million of its convertible senior subordinate notes. As of December 31, 2008, the Company therefore did not have any registered debt outstanding.</w:t>
      </w:r>
    </w:p>
    <w:p>
      <w:pPr>
        <w:spacing w:after="0" w:line="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Six Months</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60" w:type="dxa"/>
            <w:vAlign w:val="bottom"/>
            <w:gridSpan w:val="5"/>
            <w:vMerge w:val="restart"/>
          </w:tcPr>
          <w:p>
            <w:pPr>
              <w:jc w:val="right"/>
              <w:ind w:right="808"/>
              <w:spacing w:after="0"/>
              <w:rPr>
                <w:sz w:val="20"/>
                <w:szCs w:val="20"/>
                <w:color w:val="auto"/>
              </w:rPr>
            </w:pPr>
            <w:r>
              <w:rPr>
                <w:rFonts w:ascii="Arial" w:cs="Arial" w:eastAsia="Arial" w:hAnsi="Arial"/>
                <w:sz w:val="14"/>
                <w:szCs w:val="14"/>
                <w:b w:val="1"/>
                <w:bCs w:val="1"/>
                <w:color w:val="auto"/>
                <w:w w:val="96"/>
              </w:rPr>
              <w:t>Year Ended December 31,</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920" w:type="dxa"/>
            <w:vAlign w:val="bottom"/>
          </w:tcPr>
          <w:p>
            <w:pPr>
              <w:spacing w:after="0"/>
              <w:rPr>
                <w:sz w:val="13"/>
                <w:szCs w:val="13"/>
                <w:color w:val="auto"/>
              </w:rPr>
            </w:pPr>
          </w:p>
        </w:tc>
        <w:tc>
          <w:tcPr>
            <w:tcW w:w="14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June 30</w:t>
            </w: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2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2010</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7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2008(B)</w:t>
            </w:r>
          </w:p>
        </w:tc>
        <w:tc>
          <w:tcPr>
            <w:tcW w:w="1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64"/>
        </w:trPr>
        <w:tc>
          <w:tcPr>
            <w:tcW w:w="2920" w:type="dxa"/>
            <w:vAlign w:val="bottom"/>
          </w:tcPr>
          <w:p>
            <w:pPr>
              <w:spacing w:after="0"/>
              <w:rPr>
                <w:sz w:val="20"/>
                <w:szCs w:val="20"/>
                <w:color w:val="auto"/>
              </w:rPr>
            </w:pPr>
            <w:r>
              <w:rPr>
                <w:rFonts w:ascii="Arial" w:cs="Arial" w:eastAsia="Arial" w:hAnsi="Arial"/>
                <w:sz w:val="18"/>
                <w:szCs w:val="18"/>
                <w:color w:val="auto"/>
              </w:rPr>
              <w:t>Coverage deficiency</w:t>
            </w:r>
          </w:p>
        </w:tc>
        <w:tc>
          <w:tcPr>
            <w:tcW w:w="1220" w:type="dxa"/>
            <w:vAlign w:val="bottom"/>
          </w:tcPr>
          <w:p>
            <w:pPr>
              <w:jc w:val="right"/>
              <w:ind w:right="284"/>
              <w:spacing w:after="0"/>
              <w:rPr>
                <w:sz w:val="20"/>
                <w:szCs w:val="20"/>
                <w:color w:val="auto"/>
              </w:rPr>
            </w:pPr>
            <w:r>
              <w:rPr>
                <w:rFonts w:ascii="Arial" w:cs="Arial" w:eastAsia="Arial" w:hAnsi="Arial"/>
                <w:sz w:val="18"/>
                <w:szCs w:val="18"/>
                <w:color w:val="auto"/>
              </w:rPr>
              <w:t>$58,822</w:t>
            </w:r>
          </w:p>
        </w:tc>
        <w:tc>
          <w:tcPr>
            <w:tcW w:w="200" w:type="dxa"/>
            <w:vAlign w:val="bottom"/>
          </w:tcPr>
          <w:p>
            <w:pPr>
              <w:spacing w:after="0"/>
              <w:rPr>
                <w:sz w:val="22"/>
                <w:szCs w:val="22"/>
                <w:color w:val="auto"/>
              </w:rPr>
            </w:pPr>
          </w:p>
        </w:tc>
        <w:tc>
          <w:tcPr>
            <w:tcW w:w="920" w:type="dxa"/>
            <w:vAlign w:val="bottom"/>
          </w:tcPr>
          <w:p>
            <w:pPr>
              <w:jc w:val="right"/>
              <w:ind w:right="139"/>
              <w:spacing w:after="0"/>
              <w:rPr>
                <w:sz w:val="20"/>
                <w:szCs w:val="20"/>
                <w:color w:val="auto"/>
              </w:rPr>
            </w:pPr>
            <w:r>
              <w:rPr>
                <w:rFonts w:ascii="Arial" w:cs="Arial" w:eastAsia="Arial" w:hAnsi="Arial"/>
                <w:sz w:val="18"/>
                <w:szCs w:val="18"/>
                <w:color w:val="auto"/>
              </w:rPr>
              <w:t>$72,448</w:t>
            </w:r>
          </w:p>
        </w:tc>
        <w:tc>
          <w:tcPr>
            <w:tcW w:w="980" w:type="dxa"/>
            <w:vAlign w:val="bottom"/>
            <w:gridSpan w:val="2"/>
          </w:tcPr>
          <w:p>
            <w:pPr>
              <w:jc w:val="right"/>
              <w:ind w:right="8"/>
              <w:spacing w:after="0"/>
              <w:rPr>
                <w:sz w:val="20"/>
                <w:szCs w:val="20"/>
                <w:color w:val="auto"/>
              </w:rPr>
            </w:pPr>
            <w:r>
              <w:rPr>
                <w:rFonts w:ascii="Arial" w:cs="Arial" w:eastAsia="Arial" w:hAnsi="Arial"/>
                <w:sz w:val="18"/>
                <w:szCs w:val="18"/>
                <w:color w:val="auto"/>
              </w:rPr>
              <w:t>$76,758</w:t>
            </w:r>
          </w:p>
        </w:tc>
        <w:tc>
          <w:tcPr>
            <w:tcW w:w="1340" w:type="dxa"/>
            <w:vAlign w:val="bottom"/>
            <w:gridSpan w:val="3"/>
          </w:tcPr>
          <w:p>
            <w:pPr>
              <w:jc w:val="right"/>
              <w:ind w:right="128"/>
              <w:spacing w:after="0"/>
              <w:rPr>
                <w:sz w:val="20"/>
                <w:szCs w:val="20"/>
                <w:color w:val="auto"/>
              </w:rPr>
            </w:pPr>
            <w:r>
              <w:rPr>
                <w:rFonts w:ascii="Arial" w:cs="Arial" w:eastAsia="Arial" w:hAnsi="Arial"/>
                <w:sz w:val="18"/>
                <w:szCs w:val="18"/>
                <w:color w:val="auto"/>
              </w:rPr>
              <w:t>$106,496</w:t>
            </w:r>
          </w:p>
        </w:tc>
        <w:tc>
          <w:tcPr>
            <w:tcW w:w="1220" w:type="dxa"/>
            <w:vAlign w:val="bottom"/>
            <w:gridSpan w:val="2"/>
          </w:tcPr>
          <w:p>
            <w:pPr>
              <w:jc w:val="right"/>
              <w:ind w:right="128"/>
              <w:spacing w:after="0"/>
              <w:rPr>
                <w:sz w:val="20"/>
                <w:szCs w:val="20"/>
                <w:color w:val="auto"/>
              </w:rPr>
            </w:pPr>
            <w:r>
              <w:rPr>
                <w:rFonts w:ascii="Arial" w:cs="Arial" w:eastAsia="Arial" w:hAnsi="Arial"/>
                <w:sz w:val="18"/>
                <w:szCs w:val="18"/>
                <w:color w:val="auto"/>
              </w:rPr>
              <w:t>$103,077</w:t>
            </w:r>
          </w:p>
        </w:tc>
        <w:tc>
          <w:tcPr>
            <w:tcW w:w="1120" w:type="dxa"/>
            <w:vAlign w:val="bottom"/>
            <w:gridSpan w:val="2"/>
          </w:tcPr>
          <w:p>
            <w:pPr>
              <w:jc w:val="right"/>
              <w:ind w:right="128"/>
              <w:spacing w:after="0"/>
              <w:rPr>
                <w:sz w:val="20"/>
                <w:szCs w:val="20"/>
                <w:color w:val="auto"/>
              </w:rPr>
            </w:pPr>
            <w:r>
              <w:rPr>
                <w:rFonts w:ascii="Arial" w:cs="Arial" w:eastAsia="Arial" w:hAnsi="Arial"/>
                <w:sz w:val="18"/>
                <w:szCs w:val="18"/>
                <w:color w:val="auto"/>
              </w:rPr>
              <w:t>$95,378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SECURITIES</w:t>
      </w:r>
    </w:p>
    <w:p>
      <w:pPr>
        <w:spacing w:after="0" w:line="135" w:lineRule="exact"/>
        <w:rPr>
          <w:sz w:val="20"/>
          <w:szCs w:val="20"/>
          <w:color w:val="auto"/>
        </w:rPr>
      </w:pPr>
    </w:p>
    <w:p>
      <w:pPr>
        <w:jc w:val="both"/>
        <w:ind w:left="700" w:right="200" w:firstLine="397"/>
        <w:spacing w:after="0" w:line="264" w:lineRule="auto"/>
        <w:rPr>
          <w:sz w:val="20"/>
          <w:szCs w:val="20"/>
          <w:color w:val="auto"/>
        </w:rPr>
      </w:pPr>
      <w:r>
        <w:rPr>
          <w:rFonts w:ascii="Arial" w:cs="Arial" w:eastAsia="Arial" w:hAnsi="Arial"/>
          <w:sz w:val="18"/>
          <w:szCs w:val="18"/>
          <w:color w:val="auto"/>
        </w:rPr>
        <w:t>This prospectus contains summary descriptions of the Common Stock, preferred stock, debt securities, and warrants that we may offer and sell from time to time. These summary descriptions are not meant to be complete descriptions of each security. The particular terms of any security will be described in the applicable prospectus supplement.</w:t>
      </w:r>
    </w:p>
    <w:p>
      <w:pPr>
        <w:spacing w:after="0" w:line="3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DESCRIPTION OF CAPITAL STOCK</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right="200" w:firstLine="397"/>
        <w:spacing w:after="0" w:line="279" w:lineRule="auto"/>
        <w:rPr>
          <w:sz w:val="20"/>
          <w:szCs w:val="20"/>
          <w:color w:val="auto"/>
        </w:rPr>
      </w:pPr>
      <w:r>
        <w:rPr>
          <w:rFonts w:ascii="Arial" w:cs="Arial" w:eastAsia="Arial" w:hAnsi="Arial"/>
          <w:sz w:val="17"/>
          <w:szCs w:val="17"/>
          <w:color w:val="auto"/>
        </w:rPr>
        <w:t>Our authorized capital stock consists of 160,000,000 shares of Common Stock, par value $0.001 per share, of which 80,005,370 shares were issued and outstanding as of September 15, 2010, 40,000,000 shares of Class A Stock, par value $0.001 per share, of which 2,181,831 shares were issued and outstanding as of September 15, 2010, and 30,000,000 shares of preferred stock, par value $0.01 per share, none of which were issued and outstanding as of September 15, 2010.</w:t>
      </w:r>
    </w:p>
    <w:p>
      <w:pPr>
        <w:spacing w:after="0" w:line="77" w:lineRule="exact"/>
        <w:rPr>
          <w:sz w:val="20"/>
          <w:szCs w:val="20"/>
          <w:color w:val="auto"/>
        </w:rPr>
      </w:pPr>
    </w:p>
    <w:p>
      <w:pPr>
        <w:ind w:left="700" w:firstLine="397"/>
        <w:spacing w:after="0" w:line="312" w:lineRule="auto"/>
        <w:rPr>
          <w:sz w:val="20"/>
          <w:szCs w:val="20"/>
          <w:color w:val="auto"/>
        </w:rPr>
      </w:pPr>
      <w:r>
        <w:rPr>
          <w:rFonts w:ascii="Arial" w:cs="Arial" w:eastAsia="Arial" w:hAnsi="Arial"/>
          <w:sz w:val="16"/>
          <w:szCs w:val="16"/>
          <w:color w:val="auto"/>
        </w:rPr>
        <w:t>The following is a description of our capital stock and certain provisions of our certificate of incorporation, by-laws, and certain provisions of applicable law. The following is only a summary and is qualified by applicable law and by the provisions of our certificate of incorporation and by-laws, copies of which are included as exhibits to the registration statement of which this prospectus forms a part.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Common Stock and Class A Stock</w:t>
      </w:r>
    </w:p>
    <w:p>
      <w:pPr>
        <w:spacing w:after="0" w:line="135" w:lineRule="exact"/>
        <w:rPr>
          <w:sz w:val="20"/>
          <w:szCs w:val="20"/>
          <w:color w:val="auto"/>
        </w:rPr>
      </w:pPr>
    </w:p>
    <w:p>
      <w:pPr>
        <w:ind w:left="700" w:right="220" w:firstLine="397"/>
        <w:spacing w:after="0" w:line="277"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rights of holders of Common Stock and holders of Class A Stock are identical except for voting rights, conversion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rights, and restrictions on transferability.</w:t>
      </w:r>
    </w:p>
    <w:p>
      <w:pPr>
        <w:spacing w:after="0" w:line="76"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The holders of Class A Stock are entitled to ten votes per share and the holders of Common Stock are entitled to one</w:t>
      </w:r>
      <w:r>
        <w:rPr>
          <w:rFonts w:ascii="Arial" w:cs="Arial" w:eastAsia="Arial" w:hAnsi="Arial"/>
          <w:sz w:val="16"/>
          <w:szCs w:val="16"/>
          <w:i w:val="1"/>
          <w:iCs w:val="1"/>
          <w:color w:val="auto"/>
        </w:rPr>
        <w:t xml:space="preserve"> </w:t>
      </w:r>
      <w:r>
        <w:rPr>
          <w:rFonts w:ascii="Arial" w:cs="Arial" w:eastAsia="Arial" w:hAnsi="Arial"/>
          <w:sz w:val="16"/>
          <w:szCs w:val="16"/>
          <w:color w:val="auto"/>
        </w:rPr>
        <w:t>vote per share. Except as otherwise expressly provided by law, and subject to any voting rights provided to holders of preferred stock, holders of common shares have exclusive voting rights on all matters requiring a vote of shareholders. Except as provided by law, the holders of Class A Stock and the holders of shares of Common Stock will vote together as a single class on all matters presented to the shareholders for their vote or approval, including the election of directors. Shareholders are not entitled to vote cumulatively for the election of directors and no class of outstanding common shares acting alone is entitled to elect any directors.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Class A Stock is subject to certain limitations on transfer that do not apply to the Common Stock.</w:t>
      </w:r>
    </w:p>
    <w:p>
      <w:pPr>
        <w:spacing w:after="0" w:line="131" w:lineRule="exact"/>
        <w:rPr>
          <w:sz w:val="20"/>
          <w:szCs w:val="20"/>
          <w:color w:val="auto"/>
        </w:rPr>
      </w:pPr>
    </w:p>
    <w:p>
      <w:pPr>
        <w:ind w:left="700" w:right="20" w:firstLine="397"/>
        <w:spacing w:after="0" w:line="271" w:lineRule="auto"/>
        <w:rPr>
          <w:sz w:val="20"/>
          <w:szCs w:val="20"/>
          <w:color w:val="auto"/>
        </w:rPr>
      </w:pPr>
      <w:r>
        <w:rPr>
          <w:rFonts w:ascii="Arial" w:cs="Arial" w:eastAsia="Arial" w:hAnsi="Arial"/>
          <w:sz w:val="17"/>
          <w:szCs w:val="17"/>
          <w:i w:val="1"/>
          <w:iCs w:val="1"/>
          <w:color w:val="auto"/>
        </w:rPr>
        <w:t xml:space="preserve">Dividends and Liquidation. </w:t>
      </w:r>
      <w:r>
        <w:rPr>
          <w:rFonts w:ascii="Arial" w:cs="Arial" w:eastAsia="Arial" w:hAnsi="Arial"/>
          <w:sz w:val="17"/>
          <w:szCs w:val="17"/>
          <w:color w:val="auto"/>
        </w:rPr>
        <w:t>Except as described in this paragraph, holders of Class A Stock and holders of our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have an equal right to receive dividends when and if declared by our board of directors out of funds legally available therefor. If a dividend or distribution payable in Class A Stock is made on the Class A Stock, we must also make a pro rata and simultaneous dividend or distribution on the Common Stock payable in shares of Common Stock. Conversely, if a dividend or distribution payable in Common Stock is made on the Common Stock, we must also make a pro rata and simultaneous dividend or distribution on the Class A Stock payable in shares of Class A Stock. In the event of our liquidation, dissolution or winding up, holders of the shares of Class A Stock and Common Stock are entitled to share equally, share-for-share, in the assets available for distribution after payment of all creditors and the liquidation preferences of our preferred stock.</w:t>
      </w:r>
    </w:p>
    <w:p>
      <w:pPr>
        <w:spacing w:after="0" w:line="84" w:lineRule="exact"/>
        <w:rPr>
          <w:sz w:val="20"/>
          <w:szCs w:val="20"/>
          <w:color w:val="auto"/>
        </w:rPr>
      </w:pPr>
    </w:p>
    <w:p>
      <w:pPr>
        <w:ind w:left="700" w:right="160" w:firstLine="397"/>
        <w:spacing w:after="0" w:line="257" w:lineRule="auto"/>
        <w:rPr>
          <w:sz w:val="20"/>
          <w:szCs w:val="20"/>
          <w:color w:val="auto"/>
        </w:rPr>
      </w:pPr>
      <w:r>
        <w:rPr>
          <w:rFonts w:ascii="Arial" w:cs="Arial" w:eastAsia="Arial" w:hAnsi="Arial"/>
          <w:sz w:val="18"/>
          <w:szCs w:val="18"/>
          <w:i w:val="1"/>
          <w:iCs w:val="1"/>
          <w:color w:val="auto"/>
        </w:rPr>
        <w:t xml:space="preserve">Optional Conversion Rights. </w:t>
      </w:r>
      <w:r>
        <w:rPr>
          <w:rFonts w:ascii="Arial" w:cs="Arial" w:eastAsia="Arial" w:hAnsi="Arial"/>
          <w:sz w:val="18"/>
          <w:szCs w:val="18"/>
          <w:color w:val="auto"/>
        </w:rPr>
        <w:t>Each share of Class A Stock may, at any time and at the option of the holder, be converted into one</w:t>
      </w:r>
      <w:r>
        <w:rPr>
          <w:rFonts w:ascii="Arial" w:cs="Arial" w:eastAsia="Arial" w:hAnsi="Arial"/>
          <w:sz w:val="18"/>
          <w:szCs w:val="18"/>
          <w:i w:val="1"/>
          <w:iCs w:val="1"/>
          <w:color w:val="auto"/>
        </w:rPr>
        <w:t xml:space="preserve"> </w:t>
      </w:r>
      <w:r>
        <w:rPr>
          <w:rFonts w:ascii="Arial" w:cs="Arial" w:eastAsia="Arial" w:hAnsi="Arial"/>
          <w:sz w:val="18"/>
          <w:szCs w:val="18"/>
          <w:color w:val="auto"/>
        </w:rPr>
        <w:t>fully paid and nonassessable share of Common Stock. Upon conversion, such shares of Common Stock would not be subject to restrictions on transfer that applied to the shares of Class A Stock prior to conversion except to the extent such restrictions are imposed under applicable securities laws. The shares of Common Stock are not convertible into or exchangeable for shares of Class A Stock or any other of our shares or securities.</w:t>
      </w:r>
    </w:p>
    <w:p>
      <w:pPr>
        <w:spacing w:after="0" w:line="94" w:lineRule="exact"/>
        <w:rPr>
          <w:sz w:val="20"/>
          <w:szCs w:val="20"/>
          <w:color w:val="auto"/>
        </w:rPr>
      </w:pPr>
    </w:p>
    <w:p>
      <w:pPr>
        <w:ind w:left="700" w:right="200" w:firstLine="397"/>
        <w:spacing w:after="0" w:line="286"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Holders of Class A Stock and Common Stock have no preemptive rights to subscribe for any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of any class which we may issue and there are no redemption provisions or sinking fund provisions applicable to either such class, nor are our shares of Class A Stock or the Common Stock subject to calls or assessments.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Our Common Stock is listed on the NASDAQ Global Select Market under the symbol “REGN.”</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12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our Common Stock is American Stock Transfer &amp;</w:t>
      </w:r>
      <w:r>
        <w:rPr>
          <w:rFonts w:ascii="Arial" w:cs="Arial" w:eastAsia="Arial" w:hAnsi="Arial"/>
          <w:sz w:val="18"/>
          <w:szCs w:val="18"/>
          <w:i w:val="1"/>
          <w:iCs w:val="1"/>
          <w:color w:val="auto"/>
        </w:rPr>
        <w:t xml:space="preserve"> </w:t>
      </w:r>
      <w:r>
        <w:rPr>
          <w:rFonts w:ascii="Arial" w:cs="Arial" w:eastAsia="Arial" w:hAnsi="Arial"/>
          <w:sz w:val="18"/>
          <w:szCs w:val="18"/>
          <w:color w:val="auto"/>
        </w:rPr>
        <w:t>Trust Company.</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left="700" w:right="200" w:firstLine="397"/>
        <w:spacing w:after="0" w:line="257" w:lineRule="auto"/>
        <w:rPr>
          <w:sz w:val="20"/>
          <w:szCs w:val="20"/>
          <w:color w:val="auto"/>
        </w:rPr>
      </w:pPr>
      <w:r>
        <w:rPr>
          <w:rFonts w:ascii="Arial" w:cs="Arial" w:eastAsia="Arial" w:hAnsi="Arial"/>
          <w:sz w:val="18"/>
          <w:szCs w:val="18"/>
          <w:color w:val="auto"/>
        </w:rPr>
        <w:t>The following is a description of certain general terms and provisions of our preferred stock. The particular terms of any series of preferred stock will be described in a prospectus supplement and the extent, if any, to which the general provisions set forth below may apply to the series of preferred stock so offered will be described in the prospectus supplement. The following description of the preferred stock does not purport to be complete. You should refer to the provisions of our Restated Certificate of Incorporation dated January 25, 2008.</w:t>
      </w:r>
    </w:p>
    <w:p>
      <w:pPr>
        <w:spacing w:after="0" w:line="94"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Restated Certificate of Incorporation allows us to issue up to 30,000,000 shares of preferred stock in one or more</w:t>
      </w:r>
      <w:r>
        <w:rPr>
          <w:rFonts w:ascii="Arial" w:cs="Arial" w:eastAsia="Arial" w:hAnsi="Arial"/>
          <w:sz w:val="16"/>
          <w:szCs w:val="16"/>
          <w:i w:val="1"/>
          <w:iCs w:val="1"/>
          <w:color w:val="auto"/>
        </w:rPr>
        <w:t xml:space="preserve"> </w:t>
      </w:r>
      <w:r>
        <w:rPr>
          <w:rFonts w:ascii="Arial" w:cs="Arial" w:eastAsia="Arial" w:hAnsi="Arial"/>
          <w:sz w:val="16"/>
          <w:szCs w:val="16"/>
          <w:color w:val="auto"/>
        </w:rPr>
        <w:t>series and as may be determined by our board of directors. As of September 15, 2010, no shares of our preferred stock were outstanding. Our board of directors has the authority, without shareholder consent, to establish from time to time the number of shares to be included in any series of our preferred stock, to fix the designation, powers, preference, and rights of the shares of any such series and any qualifications, limitations or restrictions thereof and to increase or decrease the number of shares of any such series without any further vote or action by the shareholders. The rights, preferences, and restrictions of the preferred stock of any series of preferred stock will be fixed by a Certificate of Amendment to our Restated Certificate of Incorporation relating to such series. A prospectus supplement relating to such series will describe the terms of the preferred stock of the series, including the following:</w:t>
      </w:r>
    </w:p>
    <w:p>
      <w:pPr>
        <w:spacing w:after="0" w:line="72" w:lineRule="exact"/>
        <w:rPr>
          <w:sz w:val="20"/>
          <w:szCs w:val="20"/>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in that series;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designation for that series by number, letter or title that shall distinguish the series from any other series of preferred stock;</w:t>
      </w:r>
    </w:p>
    <w:p>
      <w:pPr>
        <w:spacing w:after="0" w:line="140" w:lineRule="exact"/>
        <w:rPr>
          <w:rFonts w:ascii="Arial" w:cs="Arial" w:eastAsia="Arial" w:hAnsi="Arial"/>
          <w:sz w:val="16"/>
          <w:szCs w:val="16"/>
          <w:color w:val="auto"/>
        </w:rPr>
      </w:pPr>
    </w:p>
    <w:p>
      <w:pPr>
        <w:ind w:left="1300" w:right="120" w:hanging="202"/>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dividend rate (or method for determining the rate) for that series and whether dividends on that series of preferred stock will be cumulative, noncumulative or partially cumulative;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liquidation preference per share of that series of 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conversion or exchange provisions applicable to that series of 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redemption or sinking fund provisions applicable to that series of preferred stock;</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voting rights of that series of preferred stock;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of any other preferences or rights applicable to that series of preferred stock.</w:t>
      </w:r>
    </w:p>
    <w:p>
      <w:pPr>
        <w:spacing w:after="0" w:line="131"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i w:val="1"/>
          <w:iCs w:val="1"/>
          <w:color w:val="auto"/>
        </w:rPr>
        <w:t xml:space="preserve">Permanent Global Preferred Securities. </w:t>
      </w:r>
      <w:r>
        <w:rPr>
          <w:rFonts w:ascii="Arial" w:cs="Arial" w:eastAsia="Arial" w:hAnsi="Arial"/>
          <w:sz w:val="18"/>
          <w:szCs w:val="18"/>
          <w:color w:val="auto"/>
        </w:rPr>
        <w:t>A series of preferred stock may be issued in whole or in part in the form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securities that will be deposited with a depositary or its nominee identified in the prospectus supplement relating to such series of preferred stock. The terms of the depositary arrangement with respect to any series of preferred stock and the rights of and limitations on owners of beneficial interests in a global security representing a series of preferred stock will be described in the related prospectus supplement.</w:t>
      </w:r>
    </w:p>
    <w:p>
      <w:pPr>
        <w:spacing w:after="0" w:line="94"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i w:val="1"/>
          <w:iCs w:val="1"/>
          <w:color w:val="auto"/>
        </w:rPr>
        <w:t xml:space="preserve">Transfer Agent and Registrar. </w:t>
      </w:r>
      <w:r>
        <w:rPr>
          <w:rFonts w:ascii="Arial" w:cs="Arial" w:eastAsia="Arial" w:hAnsi="Arial"/>
          <w:sz w:val="18"/>
          <w:szCs w:val="18"/>
          <w:color w:val="auto"/>
        </w:rPr>
        <w:t>The transfer agent and registrar for each series of preferred stock will be set forth in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w:t>
      </w:r>
    </w:p>
    <w:p>
      <w:pPr>
        <w:spacing w:after="0" w:line="76" w:lineRule="exact"/>
        <w:rPr>
          <w:sz w:val="20"/>
          <w:szCs w:val="20"/>
          <w:color w:val="auto"/>
        </w:rPr>
      </w:pPr>
    </w:p>
    <w:p>
      <w:pPr>
        <w:jc w:val="both"/>
        <w:ind w:left="700" w:right="220" w:firstLine="397"/>
        <w:spacing w:after="0" w:line="302" w:lineRule="auto"/>
        <w:rPr>
          <w:sz w:val="20"/>
          <w:szCs w:val="20"/>
          <w:color w:val="auto"/>
        </w:rPr>
      </w:pPr>
      <w:r>
        <w:rPr>
          <w:rFonts w:ascii="Arial" w:cs="Arial" w:eastAsia="Arial" w:hAnsi="Arial"/>
          <w:sz w:val="16"/>
          <w:szCs w:val="16"/>
          <w:i w:val="1"/>
          <w:iCs w:val="1"/>
          <w:color w:val="auto"/>
        </w:rPr>
        <w:t xml:space="preserve">Anti-Take-Over Effects. </w:t>
      </w:r>
      <w:r>
        <w:rPr>
          <w:rFonts w:ascii="Arial" w:cs="Arial" w:eastAsia="Arial" w:hAnsi="Arial"/>
          <w:sz w:val="16"/>
          <w:szCs w:val="16"/>
          <w:color w:val="auto"/>
        </w:rPr>
        <w:t>Our board of directors may authorize, without shareholder approval, the issuance of preferred stock with</w:t>
      </w:r>
      <w:r>
        <w:rPr>
          <w:rFonts w:ascii="Arial" w:cs="Arial" w:eastAsia="Arial" w:hAnsi="Arial"/>
          <w:sz w:val="16"/>
          <w:szCs w:val="16"/>
          <w:i w:val="1"/>
          <w:iCs w:val="1"/>
          <w:color w:val="auto"/>
        </w:rPr>
        <w:t xml:space="preserve"> </w:t>
      </w:r>
      <w:r>
        <w:rPr>
          <w:rFonts w:ascii="Arial" w:cs="Arial" w:eastAsia="Arial" w:hAnsi="Arial"/>
          <w:sz w:val="16"/>
          <w:szCs w:val="16"/>
          <w:color w:val="auto"/>
        </w:rPr>
        <w:t>voting and conversion rights that could adversely affect the voting power and other rights of holders of our Common Stock. Preferred stock could thus be issued quickly with terms designed to delay or prevent a change in control or to make the removal of management more difficult. In certain circumstances, this could have the effect of decreasing the market price of our Common Stock.</w:t>
      </w:r>
    </w:p>
    <w:p>
      <w:pPr>
        <w:spacing w:after="0" w:line="3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Registration Rights of One of Our Shareholders</w:t>
      </w:r>
    </w:p>
    <w:p>
      <w:pPr>
        <w:spacing w:after="0" w:line="135" w:lineRule="exact"/>
        <w:rPr>
          <w:sz w:val="20"/>
          <w:szCs w:val="20"/>
          <w:color w:val="auto"/>
        </w:rPr>
      </w:pPr>
    </w:p>
    <w:p>
      <w:pPr>
        <w:ind w:left="700" w:right="100" w:firstLine="397"/>
        <w:spacing w:after="0" w:line="276" w:lineRule="auto"/>
        <w:rPr>
          <w:sz w:val="20"/>
          <w:szCs w:val="20"/>
          <w:color w:val="auto"/>
        </w:rPr>
      </w:pPr>
      <w:r>
        <w:rPr>
          <w:rFonts w:ascii="Arial" w:cs="Arial" w:eastAsia="Arial" w:hAnsi="Arial"/>
          <w:sz w:val="17"/>
          <w:szCs w:val="17"/>
          <w:color w:val="auto"/>
        </w:rPr>
        <w:t>One of our shareholders has registration rights. Under the registration rights agreement between us and such shareholder, after December 20, 2017, such shareholder (and certain of its transferees) may request that we file registration statements under the Securities Act and, upon such request and subject to minimum size and other conditions, we will be required to use our best efforts to effect any such registration. We are not required to effect more than three such registrations. We are generally obligated to bear the expenses, other than underwriting discounts and sales commissions, of all of these registrations.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Anti-Takeover Effects of Provisions of the Charter and By-Laws and New York corporate law</w:t>
      </w:r>
    </w:p>
    <w:p>
      <w:pPr>
        <w:spacing w:after="0" w:line="13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 xml:space="preserve">For a description of anti-takeover effects of various provisions of our charter, by-laws, and the New York Business Corporation Law, please see “RISK FACTORS — Risks Related To Our Common Stock — </w:t>
      </w:r>
      <w:r>
        <w:rPr>
          <w:rFonts w:ascii="Arial" w:cs="Arial" w:eastAsia="Arial" w:hAnsi="Arial"/>
          <w:sz w:val="18"/>
          <w:szCs w:val="18"/>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r>
        <w:rPr>
          <w:rFonts w:ascii="Arial" w:cs="Arial" w:eastAsia="Arial" w:hAnsi="Arial"/>
          <w:sz w:val="18"/>
          <w:szCs w:val="18"/>
          <w:color w:val="auto"/>
        </w:rPr>
        <w: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Annual Report on Form 10-K for the year ended December 31, 2009 and our Quarterly Report on Form 10-Q for the quarter ended June 30, 2010.</w:t>
      </w:r>
    </w:p>
    <w:p>
      <w:pPr>
        <w:spacing w:after="0" w:line="31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DESCRIPTION OF DEBT SECURITIES</w:t>
      </w:r>
    </w:p>
    <w:p>
      <w:pPr>
        <w:spacing w:after="0" w:line="135"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The following descriptions of the debt securities do not purport to be complete and are subject to and qualified in their entirety by reference to the indenture, a form of which is included as an exhibit to the registration statement of which this prospectus is a part. Any future supplemental indenture or similar document also will be so filed. You should read the indenture and any supplemental indenture or similar document because they, and not this description, define your rights as holder of our debt securities. All capitalized terms have the meanings specified in the indenture.</w:t>
      </w:r>
    </w:p>
    <w:p>
      <w:pPr>
        <w:spacing w:after="0" w:line="94" w:lineRule="exact"/>
        <w:rPr>
          <w:sz w:val="20"/>
          <w:szCs w:val="20"/>
          <w:color w:val="auto"/>
        </w:rPr>
      </w:pPr>
    </w:p>
    <w:p>
      <w:pPr>
        <w:ind w:left="700" w:right="20" w:firstLine="397"/>
        <w:spacing w:after="0" w:line="272" w:lineRule="auto"/>
        <w:rPr>
          <w:sz w:val="20"/>
          <w:szCs w:val="20"/>
          <w:color w:val="auto"/>
        </w:rPr>
      </w:pPr>
      <w:r>
        <w:rPr>
          <w:rFonts w:ascii="Arial" w:cs="Arial" w:eastAsia="Arial" w:hAnsi="Arial"/>
          <w:sz w:val="17"/>
          <w:szCs w:val="17"/>
          <w:color w:val="auto"/>
        </w:rPr>
        <w:t>We may issue, from time to time, debt securities, in one or more series, that will consist of either our senior debt, our senior subordinated debt, our subordinated debt, or our junior subordinated debt. The debt securities we offer will be issued under an indenture between us and one or more financial institutions qualified under the Trust Indenture Act to act as trustee. We may appoint more than one trustee under the indenture, each with respect to one or more series of debt securities. Each such trustee shall be a corporation or banking association organized and doing business in the United States that has a combined capital and surplus of at least $50,000,000. Debt securities, whether senior, senior subordinated, subordinated, or junior subordinated, may be issued as convertible debt securities or exchangeable debt securities.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Terms of the Indenture</w:t>
      </w:r>
    </w:p>
    <w:p>
      <w:pPr>
        <w:spacing w:after="0" w:line="135"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94" w:lineRule="exact"/>
        <w:rPr>
          <w:sz w:val="20"/>
          <w:szCs w:val="20"/>
          <w:color w:val="auto"/>
        </w:rPr>
      </w:pPr>
    </w:p>
    <w:p>
      <w:pPr>
        <w:ind w:left="700" w:right="100" w:firstLine="397"/>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or “OID,” because of interest payment and other characteristics. Special U.S. federal income tax considerations applicable to debt securities issued with original issue discount will be described in more detail in any applicable prospectus supplement.</w:t>
      </w:r>
    </w:p>
    <w:p>
      <w:pPr>
        <w:spacing w:after="0" w:line="37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firstLine="397"/>
        <w:spacing w:after="0" w:line="277"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76" w:lineRule="exact"/>
        <w:rPr>
          <w:sz w:val="20"/>
          <w:szCs w:val="20"/>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title;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being offered, and, if a series, the total amount authorized and the total amount outstanding;</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limit on the amount that may be issued;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whether or not we will issue the series of debt securities in global form and, if so, the terms and who the depositary will be;</w:t>
      </w:r>
    </w:p>
    <w:p>
      <w:pPr>
        <w:spacing w:after="0" w:line="128" w:lineRule="exact"/>
        <w:rPr>
          <w:rFonts w:ascii="Arial" w:cs="Arial" w:eastAsia="Arial" w:hAnsi="Arial"/>
          <w:sz w:val="17"/>
          <w:szCs w:val="17"/>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maturity date;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principal amount due at maturity, and whether the debt securities will be issued with any original issue discount;</w:t>
      </w:r>
    </w:p>
    <w:p>
      <w:pPr>
        <w:spacing w:after="0" w:line="117" w:lineRule="exact"/>
        <w:rPr>
          <w:rFonts w:ascii="Arial" w:cs="Arial" w:eastAsia="Arial" w:hAnsi="Arial"/>
          <w:sz w:val="18"/>
          <w:szCs w:val="18"/>
          <w:color w:val="auto"/>
        </w:rPr>
      </w:pPr>
    </w:p>
    <w:p>
      <w:pPr>
        <w:ind w:left="1300" w:hanging="20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73" w:lineRule="exact"/>
        <w:rPr>
          <w:rFonts w:ascii="Arial" w:cs="Arial" w:eastAsia="Arial" w:hAnsi="Arial"/>
          <w:sz w:val="18"/>
          <w:szCs w:val="18"/>
          <w:color w:val="auto"/>
        </w:rPr>
      </w:pPr>
    </w:p>
    <w:p>
      <w:pPr>
        <w:ind w:left="1300" w:right="200" w:hanging="20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annual interest rate, which may be fixed or variable, or the method for determining the rate, the date interest will begin to accrue, the dates interest will be payable and the regular record dates for interest payment dates or the method for determining such dates;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form and terms of any guarantee of any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place where payments will be payable;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transfer, sale or other assignment, if any;</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117" w:lineRule="exact"/>
        <w:rPr>
          <w:rFonts w:ascii="Arial" w:cs="Arial" w:eastAsia="Arial" w:hAnsi="Arial"/>
          <w:sz w:val="18"/>
          <w:szCs w:val="18"/>
          <w:color w:val="auto"/>
        </w:rPr>
      </w:pPr>
    </w:p>
    <w:p>
      <w:pPr>
        <w:ind w:left="1300" w:right="140" w:hanging="202"/>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if any, after which, the conditions upon which, and the price at which we may, at our option, redeem the series of debt securities pursuant to any optional or provisional redemption provisions, and any other applicable terms of those redemption provisions;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17" w:lineRule="exact"/>
        <w:rPr>
          <w:rFonts w:ascii="Arial" w:cs="Arial" w:eastAsia="Arial" w:hAnsi="Arial"/>
          <w:sz w:val="18"/>
          <w:szCs w:val="18"/>
          <w:color w:val="auto"/>
        </w:rPr>
      </w:pPr>
    </w:p>
    <w:p>
      <w:pPr>
        <w:ind w:left="1300" w:right="240" w:hanging="202"/>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date, if any, on which, and the price at which we are obligated, pursuant to any mandatory sinking fund or analogous fund provisions or otherwise, to redeem, or at the holder’s option to purchase, the series of debt securities;</w:t>
      </w:r>
    </w:p>
    <w:p>
      <w:pPr>
        <w:spacing w:after="0" w:line="38" w:lineRule="exact"/>
        <w:rPr>
          <w:rFonts w:ascii="Arial" w:cs="Arial" w:eastAsia="Arial" w:hAnsi="Arial"/>
          <w:sz w:val="17"/>
          <w:szCs w:val="17"/>
          <w:color w:val="auto"/>
        </w:rPr>
      </w:pPr>
    </w:p>
    <w:p>
      <w:pPr>
        <w:ind w:left="1300" w:hanging="202"/>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indenture will restrict our ability and/or the ability of our subsidiaries to:</w:t>
      </w:r>
    </w:p>
    <w:p>
      <w:pPr>
        <w:spacing w:after="0" w:line="130"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issue additional securities;</w:t>
      </w:r>
    </w:p>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pay dividends, make distributions in respect of our capital stock and the capital stock of our subsidiaries or transfer assets;</w:t>
      </w:r>
    </w:p>
    <w:p>
      <w:pPr>
        <w:spacing w:after="0" w:line="140" w:lineRule="exact"/>
        <w:rPr>
          <w:rFonts w:ascii="Arial" w:cs="Arial" w:eastAsia="Arial" w:hAnsi="Arial"/>
          <w:sz w:val="16"/>
          <w:szCs w:val="16"/>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redeem capital stock;</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make investments or other restricted payments;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engage in transactions with stockholders and affiliates;</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issue or sell stock of our subsidiaries; or</w:t>
      </w:r>
    </w:p>
    <w:p>
      <w:pPr>
        <w:spacing w:after="0" w:line="117" w:lineRule="exact"/>
        <w:rPr>
          <w:rFonts w:ascii="Arial" w:cs="Arial" w:eastAsia="Arial" w:hAnsi="Arial"/>
          <w:sz w:val="18"/>
          <w:szCs w:val="18"/>
          <w:color w:val="auto"/>
        </w:rPr>
      </w:pPr>
    </w:p>
    <w:p>
      <w:pPr>
        <w:ind w:left="1480" w:hanging="180"/>
        <w:spacing w:after="0"/>
        <w:tabs>
          <w:tab w:leader="none" w:pos="14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effect a consolidation or merger;</w:t>
      </w:r>
    </w:p>
    <w:p>
      <w:pPr>
        <w:spacing w:after="0" w:line="130" w:lineRule="exact"/>
        <w:rPr>
          <w:rFonts w:ascii="Arial" w:cs="Arial" w:eastAsia="Arial" w:hAnsi="Arial"/>
          <w:sz w:val="18"/>
          <w:szCs w:val="18"/>
          <w:color w:val="auto"/>
        </w:rPr>
      </w:pPr>
    </w:p>
    <w:p>
      <w:pPr>
        <w:ind w:left="1300" w:right="48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indenture will require us to maintain any interest coverage, fixed charge, cash flow-based, asset-based or other financial ratios;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information describing any book-entry features;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117" w:lineRule="exact"/>
        <w:rPr>
          <w:rFonts w:ascii="Arial" w:cs="Arial" w:eastAsia="Arial" w:hAnsi="Arial"/>
          <w:sz w:val="18"/>
          <w:szCs w:val="18"/>
          <w:color w:val="auto"/>
        </w:rPr>
      </w:pPr>
    </w:p>
    <w:p>
      <w:pPr>
        <w:ind w:left="1300" w:right="340" w:hanging="202"/>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other than dollars, the currency in which the series of debt securities will be denominated; and</w:t>
      </w:r>
    </w:p>
    <w:p>
      <w:pPr>
        <w:spacing w:after="0" w:line="117" w:lineRule="exact"/>
        <w:rPr>
          <w:rFonts w:ascii="Arial" w:cs="Arial" w:eastAsia="Arial" w:hAnsi="Arial"/>
          <w:sz w:val="18"/>
          <w:szCs w:val="18"/>
          <w:color w:val="auto"/>
        </w:rPr>
      </w:pPr>
    </w:p>
    <w:p>
      <w:pPr>
        <w:ind w:left="1300" w:right="60" w:hanging="202"/>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 including any events of default that are in addition to those described in this prospectus or any covenants provided with respect to the debt securities that are in addition to those described above, and any terms which may be required by us or advisable under applicable laws or regulations or advisable in connection with the marketing of the debt securities.</w:t>
      </w:r>
    </w:p>
    <w:p>
      <w:pPr>
        <w:spacing w:after="0" w:line="92" w:lineRule="exact"/>
        <w:rPr>
          <w:sz w:val="20"/>
          <w:szCs w:val="20"/>
          <w:color w:val="auto"/>
        </w:rPr>
      </w:pPr>
    </w:p>
    <w:p>
      <w:pPr>
        <w:ind w:left="700" w:right="40" w:firstLine="397"/>
        <w:spacing w:after="0" w:line="277"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76"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Unless otherwise provided in the applicable prospectus supplement, all securities of any one series need not be issued at the same time and may be issued from time to time without consent of any holder.</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Senior Debt Securities</w:t>
      </w:r>
    </w:p>
    <w:p>
      <w:pPr>
        <w:spacing w:after="0" w:line="135" w:lineRule="exact"/>
        <w:rPr>
          <w:sz w:val="20"/>
          <w:szCs w:val="20"/>
          <w:color w:val="auto"/>
        </w:rPr>
      </w:pPr>
    </w:p>
    <w:p>
      <w:pPr>
        <w:ind w:left="700" w:firstLine="397"/>
        <w:spacing w:after="0" w:line="277" w:lineRule="auto"/>
        <w:rPr>
          <w:sz w:val="20"/>
          <w:szCs w:val="20"/>
          <w:color w:val="auto"/>
        </w:rPr>
      </w:pPr>
      <w:r>
        <w:rPr>
          <w:rFonts w:ascii="Arial" w:cs="Arial" w:eastAsia="Arial" w:hAnsi="Arial"/>
          <w:sz w:val="18"/>
          <w:szCs w:val="18"/>
          <w:color w:val="auto"/>
        </w:rPr>
        <w:t>Payment of the principal of, premium, if any, and interest on senior debt securities will rank on a parity with all of our other existing and future unsecured and unsubordinated debt.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Senior Subordinated Debt Securities</w:t>
      </w:r>
    </w:p>
    <w:p>
      <w:pPr>
        <w:spacing w:after="0" w:line="135" w:lineRule="exact"/>
        <w:rPr>
          <w:sz w:val="20"/>
          <w:szCs w:val="20"/>
          <w:color w:val="auto"/>
        </w:rPr>
      </w:pPr>
    </w:p>
    <w:p>
      <w:pPr>
        <w:ind w:left="700" w:firstLine="397"/>
        <w:spacing w:after="0" w:line="259" w:lineRule="auto"/>
        <w:rPr>
          <w:sz w:val="20"/>
          <w:szCs w:val="20"/>
          <w:color w:val="auto"/>
        </w:rPr>
      </w:pPr>
      <w:r>
        <w:rPr>
          <w:rFonts w:ascii="Arial" w:cs="Arial" w:eastAsia="Arial" w:hAnsi="Arial"/>
          <w:sz w:val="18"/>
          <w:szCs w:val="18"/>
          <w:color w:val="auto"/>
        </w:rPr>
        <w:t>Payment of the principal of, premium, if any, and interest on senior subordinated debt securities will be junior in right of payment to the prior payment in full of all of our existing and future unsecured and unsubordinated debt. We will set forth in the applicable prospectus supplement relating to any senior subordinated debt securities the subordination terms of such securities as well as the aggregate amount of outstanding debt, as of the most recent</w:t>
      </w:r>
    </w:p>
    <w:p>
      <w:pPr>
        <w:spacing w:after="0" w:line="37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342" w:lineRule="auto"/>
        <w:rPr>
          <w:sz w:val="20"/>
          <w:szCs w:val="20"/>
          <w:color w:val="auto"/>
        </w:rPr>
      </w:pPr>
      <w:r>
        <w:rPr>
          <w:rFonts w:ascii="Arial" w:cs="Arial" w:eastAsia="Arial" w:hAnsi="Arial"/>
          <w:sz w:val="16"/>
          <w:szCs w:val="16"/>
          <w:color w:val="auto"/>
        </w:rPr>
        <w:t>practicable date, that by its terms would be senior to the senior subordinated debt securities. We will also set forth in such prospectus supplement limitations, if any, on issuance of additional senior debt securities or additional senior subordinated debt securities.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Subordinated Debt Securities</w:t>
      </w:r>
    </w:p>
    <w:p>
      <w:pPr>
        <w:spacing w:after="0" w:line="135" w:lineRule="exact"/>
        <w:rPr>
          <w:sz w:val="20"/>
          <w:szCs w:val="20"/>
          <w:color w:val="auto"/>
        </w:rPr>
      </w:pPr>
    </w:p>
    <w:p>
      <w:pPr>
        <w:ind w:left="700" w:right="40" w:firstLine="397"/>
        <w:spacing w:after="0" w:line="273" w:lineRule="auto"/>
        <w:rPr>
          <w:sz w:val="20"/>
          <w:szCs w:val="20"/>
          <w:color w:val="auto"/>
        </w:rPr>
      </w:pPr>
      <w:r>
        <w:rPr>
          <w:rFonts w:ascii="Arial" w:cs="Arial" w:eastAsia="Arial" w:hAnsi="Arial"/>
          <w:sz w:val="17"/>
          <w:szCs w:val="17"/>
          <w:color w:val="auto"/>
        </w:rPr>
        <w:t>Payment of the principal of, premium, if any, and interest on subordinated debt securities will be subordinated and junior in right of payment to the prior payment in full of all of our senior and senior subordinated debt. We will set forth in the applicable prospectus supplement relating to any subordinated debt securities the subordination terms of such securities as well as the aggregate amount of outstanding indebtedness, as of the most recent practicable date, that by its terms would be senior to the subordinated debt securities. We will also set forth in such prospectus supplement limitations, if any, on issuance of additional senior debt securities, additional senior subordinated debt securities, or additional subordinated debt securities.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Junior Subordinated Debt Securities</w:t>
      </w:r>
    </w:p>
    <w:p>
      <w:pPr>
        <w:spacing w:after="0" w:line="135" w:lineRule="exact"/>
        <w:rPr>
          <w:sz w:val="20"/>
          <w:szCs w:val="20"/>
          <w:color w:val="auto"/>
        </w:rPr>
      </w:pPr>
    </w:p>
    <w:p>
      <w:pPr>
        <w:ind w:left="700" w:right="80" w:firstLine="397"/>
        <w:spacing w:after="0" w:line="255" w:lineRule="auto"/>
        <w:rPr>
          <w:sz w:val="20"/>
          <w:szCs w:val="20"/>
          <w:color w:val="auto"/>
        </w:rPr>
      </w:pPr>
      <w:r>
        <w:rPr>
          <w:rFonts w:ascii="Arial" w:cs="Arial" w:eastAsia="Arial" w:hAnsi="Arial"/>
          <w:sz w:val="18"/>
          <w:szCs w:val="18"/>
          <w:color w:val="auto"/>
        </w:rPr>
        <w:t>Payment of the principal of, premium, if any, and interest on junior subordinated debt securities will be subordinated and junior in right of payment to the prior payment in full of all of our senior, senior subordinated, and subordinated debt. We will set forth in the applicable prospectus supplement relating to any junior subordinated debt securities the subordination terms of such securities as well as the aggregate amount of outstanding debt, as of the most recent practicable date, that by its terms would be senior to the junior subordinated debt securities. We will also set forth in such prospectus supplement limitations, if any, on issuance of additional debt securities.</w:t>
      </w: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Conversion or Exchange Rights</w:t>
      </w:r>
    </w:p>
    <w:p>
      <w:pPr>
        <w:spacing w:after="0" w:line="135" w:lineRule="exact"/>
        <w:rPr>
          <w:sz w:val="20"/>
          <w:szCs w:val="20"/>
          <w:color w:val="auto"/>
        </w:rPr>
      </w:pPr>
    </w:p>
    <w:p>
      <w:pPr>
        <w:ind w:left="700" w:firstLine="397"/>
        <w:spacing w:after="0" w:line="342" w:lineRule="auto"/>
        <w:rPr>
          <w:sz w:val="20"/>
          <w:szCs w:val="20"/>
          <w:color w:val="auto"/>
        </w:rPr>
      </w:pPr>
      <w:r>
        <w:rPr>
          <w:rFonts w:ascii="Arial" w:cs="Arial" w:eastAsia="Arial" w:hAnsi="Arial"/>
          <w:sz w:val="16"/>
          <w:szCs w:val="16"/>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29" w:lineRule="exact"/>
        <w:rPr>
          <w:sz w:val="20"/>
          <w:szCs w:val="20"/>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Consolidation, Merger or Sale</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The indenture in the form initially filed as an exhibit to the registration statement of which this prospectus is a part does not contain any covenant that restricts our ability to merge or consolidate, or sell, convey, transfer or otherwise dispose of all or substantially all of our assets. However, any successor of ours or acquiror of such assets must assume all of our obligations under the indenture and the debt securities.</w:t>
      </w:r>
    </w:p>
    <w:p>
      <w:pPr>
        <w:spacing w:after="0" w:line="92" w:lineRule="exact"/>
        <w:rPr>
          <w:sz w:val="20"/>
          <w:szCs w:val="20"/>
          <w:color w:val="auto"/>
        </w:rPr>
      </w:pPr>
    </w:p>
    <w:p>
      <w:pPr>
        <w:ind w:left="700" w:right="100" w:firstLine="397"/>
        <w:spacing w:after="0" w:line="286" w:lineRule="auto"/>
        <w:rPr>
          <w:sz w:val="20"/>
          <w:szCs w:val="20"/>
          <w:color w:val="auto"/>
        </w:rPr>
      </w:pPr>
      <w:r>
        <w:rPr>
          <w:rFonts w:ascii="Arial" w:cs="Arial" w:eastAsia="Arial" w:hAnsi="Arial"/>
          <w:sz w:val="17"/>
          <w:szCs w:val="17"/>
          <w:color w:val="auto"/>
        </w:rPr>
        <w:t>If the debt securities are convertible for our other securities, the person with whom we consolidate or merge or to whom we sell all of our property must make provisions for the conversion of the debt securities into securities which the holders of the debt securities would have received if they had converted the debt securities before the consolidation, merger or sale.</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Events of Default</w:t>
      </w:r>
    </w:p>
    <w:p>
      <w:pPr>
        <w:spacing w:after="0" w:line="135"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in respect of a series of debt securities, means any of the following:</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pay interest when due and payable and our failure continues for 90 days and the time for payment has not been extended or deferred;</w:t>
      </w:r>
    </w:p>
    <w:p>
      <w:pPr>
        <w:spacing w:after="0" w:line="62" w:lineRule="exact"/>
        <w:rPr>
          <w:rFonts w:ascii="Arial" w:cs="Arial" w:eastAsia="Arial" w:hAnsi="Arial"/>
          <w:sz w:val="18"/>
          <w:szCs w:val="18"/>
          <w:color w:val="auto"/>
        </w:rPr>
      </w:pPr>
    </w:p>
    <w:p>
      <w:pPr>
        <w:ind w:left="1300" w:right="38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payable and the time for payment has not been extended or delayed;</w:t>
      </w:r>
    </w:p>
    <w:p>
      <w:pPr>
        <w:spacing w:after="0" w:line="62" w:lineRule="exact"/>
        <w:rPr>
          <w:rFonts w:ascii="Arial" w:cs="Arial" w:eastAsia="Arial" w:hAnsi="Arial"/>
          <w:sz w:val="18"/>
          <w:szCs w:val="18"/>
          <w:color w:val="auto"/>
        </w:rPr>
      </w:pPr>
    </w:p>
    <w:p>
      <w:pPr>
        <w:ind w:left="1300" w:right="280" w:hanging="202"/>
        <w:spacing w:after="0" w:line="31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if we fail to observe or perform any other covenant contained in the debt securities or the indenture, other than a covenant specifically relating to another series of debt securities, and our failure continues for 90 days after we receive notice from the trustee or holders of at least 25% in aggregate principal amount of the outstanding debt securities of the applicable series;</w:t>
      </w:r>
    </w:p>
    <w:p>
      <w:pPr>
        <w:spacing w:after="0" w:line="38" w:lineRule="exact"/>
        <w:rPr>
          <w:rFonts w:ascii="Arial" w:cs="Arial" w:eastAsia="Arial" w:hAnsi="Arial"/>
          <w:sz w:val="16"/>
          <w:szCs w:val="16"/>
          <w:color w:val="auto"/>
        </w:rPr>
      </w:pPr>
    </w:p>
    <w:p>
      <w:pPr>
        <w:ind w:left="1300" w:hanging="20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of our company; or</w:t>
      </w:r>
    </w:p>
    <w:p>
      <w:pPr>
        <w:spacing w:after="0" w:line="117" w:lineRule="exact"/>
        <w:rPr>
          <w:rFonts w:ascii="Arial" w:cs="Arial" w:eastAsia="Arial" w:hAnsi="Arial"/>
          <w:sz w:val="18"/>
          <w:szCs w:val="18"/>
          <w:color w:val="auto"/>
        </w:rPr>
      </w:pPr>
    </w:p>
    <w:p>
      <w:pPr>
        <w:ind w:left="1300" w:right="220" w:hanging="202"/>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resolution of our board of directors or the supplemental indenture under which we issue such series of debt securities.</w:t>
      </w:r>
    </w:p>
    <w:p>
      <w:pPr>
        <w:spacing w:after="0" w:line="76" w:lineRule="exact"/>
        <w:rPr>
          <w:sz w:val="20"/>
          <w:szCs w:val="20"/>
          <w:color w:val="auto"/>
        </w:rPr>
      </w:pPr>
    </w:p>
    <w:p>
      <w:pPr>
        <w:ind w:left="700" w:firstLine="397"/>
        <w:spacing w:after="0" w:line="273" w:lineRule="auto"/>
        <w:rPr>
          <w:sz w:val="20"/>
          <w:szCs w:val="20"/>
          <w:color w:val="auto"/>
        </w:rPr>
      </w:pPr>
      <w:r>
        <w:rPr>
          <w:rFonts w:ascii="Arial" w:cs="Arial" w:eastAsia="Arial" w:hAnsi="Arial"/>
          <w:sz w:val="17"/>
          <w:szCs w:val="17"/>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will be due and payable without any notice or other action on the part of the trustee or any holder.</w:t>
      </w:r>
    </w:p>
    <w:p>
      <w:pPr>
        <w:spacing w:after="0" w:line="84" w:lineRule="exact"/>
        <w:rPr>
          <w:sz w:val="20"/>
          <w:szCs w:val="20"/>
          <w:color w:val="auto"/>
        </w:rPr>
      </w:pPr>
    </w:p>
    <w:p>
      <w:pPr>
        <w:jc w:val="both"/>
        <w:ind w:left="700" w:right="380" w:firstLine="397"/>
        <w:spacing w:after="0" w:line="312" w:lineRule="auto"/>
        <w:rPr>
          <w:sz w:val="20"/>
          <w:szCs w:val="20"/>
          <w:color w:val="auto"/>
        </w:rPr>
      </w:pPr>
      <w:r>
        <w:rPr>
          <w:rFonts w:ascii="Arial" w:cs="Arial" w:eastAsia="Arial" w:hAnsi="Arial"/>
          <w:sz w:val="16"/>
          <w:szCs w:val="16"/>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w:t>
      </w:r>
    </w:p>
    <w:p>
      <w:pPr>
        <w:spacing w:after="0" w:line="52"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Subject to the terms of the indenture, if an Event of Default under the indenture occurs and is continuing, the trustee will be under no obligation to exercise any of its rights or powers under the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9" w:lineRule="exact"/>
        <w:rPr>
          <w:sz w:val="20"/>
          <w:szCs w:val="20"/>
          <w:color w:val="auto"/>
        </w:rPr>
      </w:pPr>
    </w:p>
    <w:p>
      <w:pPr>
        <w:ind w:left="1300" w:hanging="20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indenture; and</w:t>
      </w:r>
    </w:p>
    <w:p>
      <w:pPr>
        <w:spacing w:after="0" w:line="117" w:lineRule="exact"/>
        <w:rPr>
          <w:rFonts w:ascii="Arial" w:cs="Arial" w:eastAsia="Arial" w:hAnsi="Arial"/>
          <w:sz w:val="18"/>
          <w:szCs w:val="18"/>
          <w:color w:val="auto"/>
        </w:rPr>
      </w:pPr>
    </w:p>
    <w:p>
      <w:pPr>
        <w:ind w:left="1300" w:right="140" w:hanging="20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of 1939, the trustee need not take any action that might involve it in personal liability or might be unduly prejudicial to the holders not involved in the proceeding.</w:t>
      </w:r>
    </w:p>
    <w:p>
      <w:pPr>
        <w:spacing w:after="0" w:line="76" w:lineRule="exact"/>
        <w:rPr>
          <w:sz w:val="20"/>
          <w:szCs w:val="20"/>
          <w:color w:val="auto"/>
        </w:rPr>
      </w:pPr>
    </w:p>
    <w:p>
      <w:pPr>
        <w:ind w:left="700" w:right="320" w:firstLine="397"/>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 or to appoint a receiver or trustee, or to seek other remedies if:</w:t>
      </w:r>
    </w:p>
    <w:p>
      <w:pPr>
        <w:spacing w:after="0" w:line="76" w:lineRule="exact"/>
        <w:rPr>
          <w:sz w:val="20"/>
          <w:szCs w:val="20"/>
          <w:color w:val="auto"/>
        </w:rPr>
      </w:pPr>
    </w:p>
    <w:p>
      <w:pPr>
        <w:ind w:left="1300" w:hanging="20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holder has given written notice to the trustee of a continuing Event of Default with respect to that series;</w:t>
      </w:r>
    </w:p>
    <w:p>
      <w:pPr>
        <w:spacing w:after="0" w:line="117" w:lineRule="exact"/>
        <w:rPr>
          <w:rFonts w:ascii="Arial" w:cs="Arial" w:eastAsia="Arial" w:hAnsi="Arial"/>
          <w:sz w:val="18"/>
          <w:szCs w:val="18"/>
          <w:color w:val="auto"/>
        </w:rPr>
      </w:pPr>
    </w:p>
    <w:p>
      <w:pPr>
        <w:ind w:left="1300" w:right="400" w:hanging="202"/>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holders of at least 25% in aggregate principal amount of the outstanding debt securities of that series have made written request, and those holders have offered reasonable indemnity to the trustee to institute the proceeding as trustee; and</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20" w:hanging="202"/>
        <w:spacing w:after="0" w:line="342"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29" w:lineRule="exact"/>
        <w:rPr>
          <w:sz w:val="20"/>
          <w:szCs w:val="20"/>
          <w:color w:val="auto"/>
        </w:rPr>
      </w:pPr>
    </w:p>
    <w:p>
      <w:pPr>
        <w:ind w:left="700" w:right="620" w:firstLine="397"/>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7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will periodically file statements with the trustee regarding our compliance with specified covenants in the indenture.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Global Securities</w:t>
      </w:r>
    </w:p>
    <w:p>
      <w:pPr>
        <w:spacing w:after="0" w:line="135" w:lineRule="exact"/>
        <w:rPr>
          <w:sz w:val="20"/>
          <w:szCs w:val="20"/>
          <w:color w:val="auto"/>
        </w:rPr>
      </w:pPr>
    </w:p>
    <w:p>
      <w:pPr>
        <w:ind w:left="700" w:right="80" w:firstLine="397"/>
        <w:spacing w:after="0" w:line="290" w:lineRule="auto"/>
        <w:rPr>
          <w:sz w:val="20"/>
          <w:szCs w:val="20"/>
          <w:color w:val="auto"/>
        </w:rPr>
      </w:pPr>
      <w:r>
        <w:rPr>
          <w:rFonts w:ascii="Arial" w:cs="Arial" w:eastAsia="Arial" w:hAnsi="Arial"/>
          <w:sz w:val="16"/>
          <w:szCs w:val="16"/>
          <w:color w:val="auto"/>
        </w:rPr>
        <w:t>Unless we inform you otherwise in the applicable prospectus supplement, the 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35" w:lineRule="exact"/>
        <w:rPr>
          <w:sz w:val="20"/>
          <w:szCs w:val="20"/>
          <w:color w:val="auto"/>
        </w:rPr>
      </w:pPr>
    </w:p>
    <w:p>
      <w:pPr>
        <w:jc w:val="both"/>
        <w:ind w:left="700" w:right="400" w:firstLine="397"/>
        <w:spacing w:after="0" w:line="264"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securities will be expressly made subject to the discharge and defeasance provisions of the indenture.</w:t>
      </w:r>
    </w:p>
    <w:p>
      <w:pPr>
        <w:spacing w:after="0" w:line="87" w:lineRule="exact"/>
        <w:rPr>
          <w:sz w:val="20"/>
          <w:szCs w:val="20"/>
          <w:color w:val="auto"/>
        </w:rPr>
      </w:pPr>
    </w:p>
    <w:p>
      <w:pPr>
        <w:ind w:left="700" w:right="80" w:firstLine="397"/>
        <w:spacing w:after="0" w:line="288" w:lineRule="auto"/>
        <w:rPr>
          <w:sz w:val="20"/>
          <w:szCs w:val="20"/>
          <w:color w:val="auto"/>
        </w:rPr>
      </w:pPr>
      <w:r>
        <w:rPr>
          <w:rFonts w:ascii="Arial" w:cs="Arial" w:eastAsia="Arial" w:hAnsi="Arial"/>
          <w:sz w:val="16"/>
          <w:szCs w:val="16"/>
          <w:color w:val="auto"/>
        </w:rPr>
        <w:t>We may discharge some of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w:t>
      </w:r>
    </w:p>
    <w:p>
      <w:pPr>
        <w:ind w:left="700" w:right="60"/>
        <w:spacing w:after="0" w:line="323" w:lineRule="auto"/>
        <w:rPr>
          <w:sz w:val="20"/>
          <w:szCs w:val="20"/>
          <w:color w:val="auto"/>
        </w:rPr>
      </w:pPr>
      <w:r>
        <w:rPr>
          <w:rFonts w:ascii="Arial" w:cs="Arial" w:eastAsia="Arial" w:hAnsi="Arial"/>
          <w:sz w:val="16"/>
          <w:szCs w:val="16"/>
          <w:color w:val="auto"/>
        </w:rPr>
        <w:t>U.S. government obligations, as trust funds, in an amount certified to be sufficient to pay when due, whether at maturity, upon redemption or otherwise, the principal of, premium, if any, and interest on the debt securities, and any mandatory sinking fund payments.</w:t>
      </w:r>
    </w:p>
    <w:p>
      <w:pPr>
        <w:spacing w:after="0" w:line="44" w:lineRule="exact"/>
        <w:rPr>
          <w:sz w:val="20"/>
          <w:szCs w:val="20"/>
          <w:color w:val="auto"/>
        </w:rPr>
      </w:pPr>
    </w:p>
    <w:p>
      <w:pPr>
        <w:ind w:left="700" w:right="40" w:firstLine="397"/>
        <w:spacing w:after="0" w:line="302"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(“defeasance”). We also may be released from the obligations imposed by any covenants of any outstanding series of debt securities and provisions of the indenture, and we may omit to comply with those covenants without creating an Event of Default (“covenant defeasance”). We may effect defeasance and covenant defeasance only if, among other things:</w:t>
      </w:r>
    </w:p>
    <w:p>
      <w:pPr>
        <w:spacing w:after="0" w:line="60" w:lineRule="exact"/>
        <w:rPr>
          <w:sz w:val="20"/>
          <w:szCs w:val="20"/>
          <w:color w:val="auto"/>
        </w:rPr>
      </w:pPr>
    </w:p>
    <w:p>
      <w:pPr>
        <w:ind w:left="1300" w:hanging="202"/>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as trust funds, in an amount certified to be sufficient to pay at maturity (or upon redemption) the principal, premium, if any, and interest on all outstanding debt securities of the series; and</w:t>
      </w:r>
    </w:p>
    <w:p>
      <w:pPr>
        <w:spacing w:after="0" w:line="73" w:lineRule="exact"/>
        <w:rPr>
          <w:rFonts w:ascii="Arial" w:cs="Arial" w:eastAsia="Arial" w:hAnsi="Arial"/>
          <w:sz w:val="18"/>
          <w:szCs w:val="18"/>
          <w:color w:val="auto"/>
        </w:rPr>
      </w:pPr>
    </w:p>
    <w:p>
      <w:pPr>
        <w:ind w:left="1300" w:right="80" w:hanging="202"/>
        <w:spacing w:after="0" w:line="297"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deliver to the trustee an opinion of counsel from a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00" w:right="140" w:firstLine="397"/>
        <w:spacing w:after="0" w:line="312" w:lineRule="auto"/>
        <w:rPr>
          <w:sz w:val="20"/>
          <w:szCs w:val="20"/>
          <w:color w:val="auto"/>
        </w:rPr>
      </w:pPr>
      <w:r>
        <w:rPr>
          <w:rFonts w:ascii="Arial" w:cs="Arial" w:eastAsia="Arial" w:hAnsi="Arial"/>
          <w:sz w:val="16"/>
          <w:szCs w:val="16"/>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Modification of the Indenture; Waiver</w:t>
      </w:r>
    </w:p>
    <w:p>
      <w:pPr>
        <w:spacing w:after="0" w:line="243"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of a series with respect to certain specific matters, including:</w:t>
      </w:r>
    </w:p>
    <w:p>
      <w:pPr>
        <w:spacing w:after="0" w:line="184" w:lineRule="exact"/>
        <w:rPr>
          <w:sz w:val="20"/>
          <w:szCs w:val="20"/>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w:t>
      </w:r>
    </w:p>
    <w:p>
      <w:pPr>
        <w:spacing w:after="0" w:line="225"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the provisions described above under “— Consolidation, Merger or Sale”;</w:t>
      </w:r>
    </w:p>
    <w:p>
      <w:pPr>
        <w:spacing w:after="0" w:line="225"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comply with any requirements of the SEC in connection with the qualification of the indenture under the Trust Indenture Act of 1939;</w:t>
      </w:r>
    </w:p>
    <w:p>
      <w:pPr>
        <w:spacing w:after="0" w:line="170"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w:t>
      </w:r>
    </w:p>
    <w:p>
      <w:pPr>
        <w:spacing w:after="0" w:line="225" w:lineRule="exact"/>
        <w:rPr>
          <w:rFonts w:ascii="Arial" w:cs="Arial" w:eastAsia="Arial" w:hAnsi="Arial"/>
          <w:sz w:val="18"/>
          <w:szCs w:val="18"/>
          <w:color w:val="auto"/>
        </w:rPr>
      </w:pPr>
    </w:p>
    <w:p>
      <w:pPr>
        <w:ind w:left="1300" w:hanging="202"/>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debt securities and to make all appropriate changes for that purpose;</w:t>
      </w:r>
    </w:p>
    <w:p>
      <w:pPr>
        <w:spacing w:after="0" w:line="225"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issuance, authorization and delivery of debt securities or any series;</w:t>
      </w:r>
    </w:p>
    <w:p>
      <w:pPr>
        <w:spacing w:after="0" w:line="170" w:lineRule="exact"/>
        <w:rPr>
          <w:rFonts w:ascii="Arial" w:cs="Arial" w:eastAsia="Arial" w:hAnsi="Arial"/>
          <w:sz w:val="18"/>
          <w:szCs w:val="18"/>
          <w:color w:val="auto"/>
        </w:rPr>
      </w:pPr>
    </w:p>
    <w:p>
      <w:pPr>
        <w:ind w:left="1300" w:right="100" w:hanging="202"/>
        <w:spacing w:after="0" w:line="286"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add to our covenants such new covenants, restrictions, conditions or provisions for the protection of the holders, to make the occurrence, or the occurrence and the continuance, of a default in any such additional covenants, restrictions, conditions or provisions an Event of Default, or to surrender any of our rights or powers under the indenture; or</w:t>
      </w:r>
    </w:p>
    <w:p>
      <w:pPr>
        <w:spacing w:after="0" w:line="165" w:lineRule="exact"/>
        <w:rPr>
          <w:rFonts w:ascii="Arial" w:cs="Arial" w:eastAsia="Arial" w:hAnsi="Arial"/>
          <w:sz w:val="17"/>
          <w:szCs w:val="17"/>
          <w:color w:val="auto"/>
        </w:rPr>
      </w:pPr>
    </w:p>
    <w:p>
      <w:pPr>
        <w:ind w:left="1300" w:hanging="202"/>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change anything that does not materially adversely affect the interests of any holder of debt securities of any series.</w:t>
      </w:r>
    </w:p>
    <w:p>
      <w:pPr>
        <w:spacing w:after="0" w:line="250" w:lineRule="exact"/>
        <w:rPr>
          <w:sz w:val="20"/>
          <w:szCs w:val="20"/>
          <w:color w:val="auto"/>
        </w:rPr>
      </w:pPr>
    </w:p>
    <w:p>
      <w:pPr>
        <w:ind w:left="700" w:right="60" w:firstLine="397"/>
        <w:spacing w:after="0" w:line="259" w:lineRule="auto"/>
        <w:rPr>
          <w:sz w:val="20"/>
          <w:szCs w:val="20"/>
          <w:color w:val="auto"/>
        </w:rPr>
      </w:pPr>
      <w:r>
        <w:rPr>
          <w:rFonts w:ascii="Arial" w:cs="Arial" w:eastAsia="Arial" w:hAnsi="Arial"/>
          <w:sz w:val="18"/>
          <w:szCs w:val="18"/>
          <w:color w:val="auto"/>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we and the trustee may make the following changes only with the consent of each holder of any outstanding debt securities affected:</w:t>
      </w:r>
    </w:p>
    <w:p>
      <w:pPr>
        <w:spacing w:after="0" w:line="200" w:lineRule="exact"/>
        <w:rPr>
          <w:sz w:val="20"/>
          <w:szCs w:val="20"/>
          <w:color w:val="auto"/>
        </w:rPr>
      </w:pPr>
    </w:p>
    <w:p>
      <w:pPr>
        <w:ind w:left="1300" w:hanging="202"/>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1300" w:right="460" w:hanging="202"/>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reducing any premium payable upon the redemption of any debt securities; or</w:t>
      </w:r>
    </w:p>
    <w:p>
      <w:pPr>
        <w:spacing w:after="0" w:line="89" w:lineRule="exact"/>
        <w:rPr>
          <w:rFonts w:ascii="Arial" w:cs="Arial" w:eastAsia="Arial" w:hAnsi="Arial"/>
          <w:sz w:val="18"/>
          <w:szCs w:val="18"/>
          <w:color w:val="auto"/>
        </w:rPr>
      </w:pPr>
    </w:p>
    <w:p>
      <w:pPr>
        <w:ind w:left="1300" w:hanging="202"/>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reducing the percentage of debt securities, the holders of which are required to consent to any supplemental indenture.</w:t>
      </w:r>
    </w:p>
    <w:p>
      <w:pPr>
        <w:spacing w:after="0" w:line="3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Concerning the Trustee</w:t>
      </w:r>
    </w:p>
    <w:p>
      <w:pPr>
        <w:spacing w:after="0" w:line="175"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 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w:t>
      </w:r>
    </w:p>
    <w:p>
      <w:pPr>
        <w:spacing w:after="0" w:line="36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one or more series of debt securities. All payments of principal of, premium, if any, and interest on, and all registration, transfer, exchange, authentication, and delivery of (including authentication and delivery on original issuance of the debt securities), the debt securities of a series (other than debt securities issued in bearer form) will be effected by the trustee with respect to that series at an office designated by the trustee in New York, New York.</w:t>
      </w:r>
    </w:p>
    <w:p>
      <w:pPr>
        <w:spacing w:after="0" w:line="92" w:lineRule="exact"/>
        <w:rPr>
          <w:sz w:val="20"/>
          <w:szCs w:val="20"/>
          <w:color w:val="auto"/>
        </w:rPr>
      </w:pPr>
    </w:p>
    <w:p>
      <w:pPr>
        <w:jc w:val="both"/>
        <w:ind w:left="700" w:right="280" w:firstLine="397"/>
        <w:spacing w:after="0" w:line="259" w:lineRule="auto"/>
        <w:rPr>
          <w:sz w:val="20"/>
          <w:szCs w:val="20"/>
          <w:color w:val="auto"/>
        </w:rPr>
      </w:pPr>
      <w:r>
        <w:rPr>
          <w:rFonts w:ascii="Arial" w:cs="Arial" w:eastAsia="Arial" w:hAnsi="Arial"/>
          <w:sz w:val="18"/>
          <w:szCs w:val="18"/>
          <w:color w:val="auto"/>
        </w:rPr>
        <w:t>The indenture contains limitations on the right of the trustee, should it become a creditor of our company,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92" w:lineRule="exact"/>
        <w:rPr>
          <w:sz w:val="20"/>
          <w:szCs w:val="20"/>
          <w:color w:val="auto"/>
        </w:rPr>
      </w:pPr>
    </w:p>
    <w:p>
      <w:pPr>
        <w:ind w:left="700" w:firstLine="397"/>
        <w:spacing w:after="0" w:line="290" w:lineRule="auto"/>
        <w:rPr>
          <w:sz w:val="20"/>
          <w:szCs w:val="20"/>
          <w:color w:val="auto"/>
        </w:rPr>
      </w:pPr>
      <w:r>
        <w:rPr>
          <w:rFonts w:ascii="Arial" w:cs="Arial" w:eastAsia="Arial" w:hAnsi="Arial"/>
          <w:sz w:val="16"/>
          <w:szCs w:val="16"/>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if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 Individual Liability of Incorporators, Shareholders, Officers or Directors</w:t>
      </w:r>
    </w:p>
    <w:p>
      <w:pPr>
        <w:spacing w:after="0" w:line="135" w:lineRule="exact"/>
        <w:rPr>
          <w:sz w:val="20"/>
          <w:szCs w:val="20"/>
          <w:color w:val="auto"/>
        </w:rPr>
      </w:pPr>
    </w:p>
    <w:p>
      <w:pPr>
        <w:ind w:left="700" w:right="20" w:firstLine="397"/>
        <w:spacing w:after="0" w:line="264" w:lineRule="auto"/>
        <w:rPr>
          <w:sz w:val="20"/>
          <w:szCs w:val="20"/>
          <w:color w:val="auto"/>
        </w:rPr>
      </w:pPr>
      <w:r>
        <w:rPr>
          <w:rFonts w:ascii="Arial" w:cs="Arial" w:eastAsia="Arial" w:hAnsi="Arial"/>
          <w:sz w:val="18"/>
          <w:szCs w:val="18"/>
          <w:color w:val="auto"/>
        </w:rPr>
        <w:t>The indenture provides that neither our incorporator nor any of our past, present or future shareholders, officers or directors of our company or any successor corporation in their capacity as such shall have any individual liability for any of our obligations, covenants or agreements under the debt securities or the indenture.</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Governing Law</w:t>
      </w:r>
    </w:p>
    <w:p>
      <w:pPr>
        <w:spacing w:after="0" w:line="135" w:lineRule="exact"/>
        <w:rPr>
          <w:sz w:val="20"/>
          <w:szCs w:val="20"/>
          <w:color w:val="auto"/>
        </w:rPr>
      </w:pPr>
    </w:p>
    <w:p>
      <w:pPr>
        <w:ind w:left="700" w:right="360" w:firstLine="397"/>
        <w:spacing w:after="0" w:line="277"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without regard to conflict of law principles thereof.</w:t>
      </w:r>
    </w:p>
    <w:p>
      <w:pPr>
        <w:spacing w:after="0" w:line="28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DESCRIPTION OF WARRANTS</w:t>
      </w:r>
    </w:p>
    <w:p>
      <w:pPr>
        <w:spacing w:after="0" w:line="135" w:lineRule="exact"/>
        <w:rPr>
          <w:sz w:val="20"/>
          <w:szCs w:val="20"/>
          <w:color w:val="auto"/>
        </w:rPr>
      </w:pPr>
    </w:p>
    <w:p>
      <w:pPr>
        <w:ind w:left="700" w:right="20" w:firstLine="397"/>
        <w:spacing w:after="0" w:line="276" w:lineRule="auto"/>
        <w:rPr>
          <w:sz w:val="20"/>
          <w:szCs w:val="20"/>
          <w:color w:val="auto"/>
        </w:rPr>
      </w:pPr>
      <w:r>
        <w:rPr>
          <w:rFonts w:ascii="Arial" w:cs="Arial" w:eastAsia="Arial" w:hAnsi="Arial"/>
          <w:sz w:val="17"/>
          <w:szCs w:val="17"/>
          <w:color w:val="auto"/>
        </w:rPr>
        <w:t>We may issue warrants for the purchase of Common Stock, preferred stock, or debt securities. We may issue warrants independently or together with any offered securities. The warrants may be attached to or separate from those offered securities. We will issue the warrants under one or more warrant agreements to be entered into between us and a warrant agent to be named in the applicable prospectus supplement. The warrant agent will act solely as our agent in connection with the warrants and will not assume any obligation or relationship of agency or trust for or with any holders or beneficial owners of warrants.</w:t>
      </w:r>
    </w:p>
    <w:p>
      <w:pPr>
        <w:spacing w:after="0" w:line="78" w:lineRule="exact"/>
        <w:rPr>
          <w:sz w:val="20"/>
          <w:szCs w:val="20"/>
          <w:color w:val="auto"/>
        </w:rPr>
      </w:pPr>
    </w:p>
    <w:p>
      <w:pPr>
        <w:ind w:left="700" w:right="180" w:firstLine="397"/>
        <w:spacing w:after="0" w:line="277"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76" w:lineRule="exact"/>
        <w:rPr>
          <w:sz w:val="20"/>
          <w:szCs w:val="20"/>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for which the warrants are exercisable;</w:t>
      </w:r>
    </w:p>
    <w:p>
      <w:pPr>
        <w:spacing w:after="0" w:line="117" w:lineRule="exact"/>
        <w:rPr>
          <w:rFonts w:ascii="Arial" w:cs="Arial" w:eastAsia="Arial" w:hAnsi="Arial"/>
          <w:sz w:val="18"/>
          <w:szCs w:val="18"/>
          <w:color w:val="auto"/>
        </w:rPr>
      </w:pPr>
    </w:p>
    <w:p>
      <w:pPr>
        <w:ind w:left="1300" w:right="360" w:hanging="202"/>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and terms of the other securities, if any, with which the warrants are to be issued and the number of warrants issued with each other security;</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17" w:lineRule="exact"/>
        <w:rPr>
          <w:rFonts w:ascii="Arial" w:cs="Arial" w:eastAsia="Arial" w:hAnsi="Arial"/>
          <w:sz w:val="18"/>
          <w:szCs w:val="18"/>
          <w:color w:val="auto"/>
        </w:rPr>
      </w:pPr>
    </w:p>
    <w:p>
      <w:pPr>
        <w:ind w:left="1300" w:right="26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adjustment of the number or amount of securities receivable upon exercise of the warrants or the exercise price of the warrants;</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the securities purchasable upon exercise of the warrants may be purchased;</w:t>
      </w:r>
    </w:p>
    <w:p>
      <w:pPr>
        <w:spacing w:after="0" w:line="117" w:lineRule="exact"/>
        <w:rPr>
          <w:rFonts w:ascii="Arial" w:cs="Arial" w:eastAsia="Arial" w:hAnsi="Arial"/>
          <w:sz w:val="18"/>
          <w:szCs w:val="18"/>
          <w:color w:val="auto"/>
        </w:rPr>
      </w:pPr>
    </w:p>
    <w:p>
      <w:pPr>
        <w:ind w:left="1300" w:right="42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securities purchasable upon exercise of the warrants will be separately transferable;</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discussion of any material U.S. federal income tax considerations applicable to the exercise of the warrants;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maximum or minimum number of warrants that may be exercised at any time;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 and</w:t>
      </w:r>
    </w:p>
    <w:p>
      <w:pPr>
        <w:spacing w:after="0" w:line="117" w:lineRule="exact"/>
        <w:rPr>
          <w:rFonts w:ascii="Arial" w:cs="Arial" w:eastAsia="Arial" w:hAnsi="Arial"/>
          <w:sz w:val="18"/>
          <w:szCs w:val="18"/>
          <w:color w:val="auto"/>
        </w:rPr>
      </w:pPr>
    </w:p>
    <w:p>
      <w:pPr>
        <w:ind w:left="1300" w:right="580" w:hanging="202"/>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warrants, including terms, procedures and limitations relating to the exchange and exercise of the warrants.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Exercise of Warrants</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Each warrant will entitle the holder of the warrant to purchase for cash the amount of Common Stock, preferred stock or debt securities at the exercise price stated or determinable in the applicable prospectus supplement for the warrants. Warrants may be exercised at any time up to the close of business on the expiration date shown in the applicable prospectus supplement, unless otherwise specified in such prospectus supplement. After the close of business on the expiration date, unexercised warrants will become void. Warrants may be exercised as described in the applicable prospectus supplement. When the warrant holder makes the payment and properly completes and signs the warrant certificate at the corporate trust office of the warrant agent or any other office indicated in the prospectus supplement, we will, as soon as possible, forward the Common Stock, preferred stock or debt securities that the warrant holder has purchased. If the warrant holder exercises the warrant for less than all of the warrants represented by the warrant certificate, we will issue a new warrant certificate for the remaining warrants.</w:t>
      </w:r>
    </w:p>
    <w:p>
      <w:pPr>
        <w:spacing w:after="0" w:line="87"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The description in the applicable prospectus supplement of any warrants we offer will not necessarily be complete and will be qualified in its entirety by reference to the applicable warrant agreement and warrant certificate, which will be filed with the SEC if we offer warrants. For more information on how you can obtain copies of any warrant certificate or warrant agreement if we offer warrants, see “Where You Can Find More Information” beginning on page 18 of this prospectus. We urge you to read the applicable warrant certificate, the applicable warrant agreement, and any applicable prospectus supplement in their entirety.</w:t>
      </w:r>
    </w:p>
    <w:p>
      <w:pPr>
        <w:spacing w:after="0" w:line="290"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PLAN OF DISTRIBUTION</w:t>
      </w:r>
    </w:p>
    <w:p>
      <w:pPr>
        <w:spacing w:after="0" w:line="135" w:lineRule="exact"/>
        <w:rPr>
          <w:sz w:val="20"/>
          <w:szCs w:val="20"/>
          <w:color w:val="auto"/>
        </w:rPr>
      </w:pPr>
    </w:p>
    <w:p>
      <w:pPr>
        <w:jc w:val="center"/>
        <w:ind w:right="-939"/>
        <w:spacing w:after="0"/>
        <w:rPr>
          <w:sz w:val="20"/>
          <w:szCs w:val="20"/>
          <w:color w:val="auto"/>
        </w:rPr>
      </w:pPr>
      <w:r>
        <w:rPr>
          <w:rFonts w:ascii="Arial" w:cs="Arial" w:eastAsia="Arial" w:hAnsi="Arial"/>
          <w:sz w:val="17"/>
          <w:szCs w:val="17"/>
          <w:color w:val="auto"/>
        </w:rPr>
        <w:t>We may sell the securities offered by this prospectus from time to time in one or more transactions, including without limitation:</w:t>
      </w:r>
    </w:p>
    <w:p>
      <w:pPr>
        <w:spacing w:after="0" w:line="142" w:lineRule="exact"/>
        <w:rPr>
          <w:sz w:val="20"/>
          <w:szCs w:val="20"/>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directly to one or more purchasers;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419" w:right="11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or through underwriters, brokers or dealers;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through a combination of any of these methods.</w:t>
      </w:r>
    </w:p>
    <w:p>
      <w:pPr>
        <w:spacing w:after="0" w:line="131" w:lineRule="exact"/>
        <w:rPr>
          <w:sz w:val="20"/>
          <w:szCs w:val="20"/>
          <w:color w:val="auto"/>
        </w:rPr>
      </w:pPr>
    </w:p>
    <w:p>
      <w:pPr>
        <w:ind w:left="700" w:right="360" w:firstLine="397"/>
        <w:spacing w:after="0" w:line="342" w:lineRule="auto"/>
        <w:rPr>
          <w:sz w:val="20"/>
          <w:szCs w:val="20"/>
          <w:color w:val="auto"/>
        </w:rPr>
      </w:pPr>
      <w:r>
        <w:rPr>
          <w:rFonts w:ascii="Arial" w:cs="Arial" w:eastAsia="Arial" w:hAnsi="Arial"/>
          <w:sz w:val="16"/>
          <w:szCs w:val="16"/>
          <w:color w:val="auto"/>
        </w:rPr>
        <w:t>A distribution of the securities offered by this prospectus may also be effected through the issuance of derivative securities, including without limitation, warrants, subscriptions, exchangeable securities, forward delivery contracts, and the writing of options.</w:t>
      </w:r>
    </w:p>
    <w:p>
      <w:pPr>
        <w:spacing w:after="0" w:line="29" w:lineRule="exact"/>
        <w:rPr>
          <w:sz w:val="20"/>
          <w:szCs w:val="20"/>
          <w:color w:val="auto"/>
        </w:rPr>
      </w:pPr>
    </w:p>
    <w:p>
      <w:pPr>
        <w:ind w:left="700" w:right="200" w:firstLine="397"/>
        <w:spacing w:after="0" w:line="277" w:lineRule="auto"/>
        <w:rPr>
          <w:sz w:val="20"/>
          <w:szCs w:val="20"/>
          <w:color w:val="auto"/>
        </w:rPr>
      </w:pPr>
      <w:r>
        <w:rPr>
          <w:rFonts w:ascii="Arial" w:cs="Arial" w:eastAsia="Arial" w:hAnsi="Arial"/>
          <w:sz w:val="18"/>
          <w:szCs w:val="18"/>
          <w:color w:val="auto"/>
        </w:rPr>
        <w:t>In addition, the manner in which we may sell some or all of the securities covered by this prospectus includes, without limitation, through:</w:t>
      </w:r>
    </w:p>
    <w:p>
      <w:pPr>
        <w:spacing w:after="0" w:line="76" w:lineRule="exact"/>
        <w:rPr>
          <w:sz w:val="20"/>
          <w:szCs w:val="20"/>
          <w:color w:val="auto"/>
        </w:rPr>
      </w:pPr>
    </w:p>
    <w:p>
      <w:pPr>
        <w:ind w:left="1300" w:right="60" w:hanging="202"/>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also enter into hedging transactions. For example, we may:</w:t>
      </w:r>
    </w:p>
    <w:p>
      <w:pPr>
        <w:spacing w:after="0" w:line="131" w:lineRule="exact"/>
        <w:rPr>
          <w:sz w:val="20"/>
          <w:szCs w:val="20"/>
          <w:color w:val="auto"/>
        </w:rPr>
      </w:pPr>
    </w:p>
    <w:p>
      <w:pPr>
        <w:ind w:left="1300" w:right="320" w:hanging="202"/>
        <w:spacing w:after="0" w:line="264"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to close out its short positions;</w:t>
      </w:r>
    </w:p>
    <w:p>
      <w:pPr>
        <w:spacing w:after="0" w:line="73" w:lineRule="exact"/>
        <w:rPr>
          <w:rFonts w:ascii="Arial" w:cs="Arial" w:eastAsia="Arial" w:hAnsi="Arial"/>
          <w:sz w:val="18"/>
          <w:szCs w:val="18"/>
          <w:color w:val="auto"/>
        </w:rPr>
      </w:pPr>
    </w:p>
    <w:p>
      <w:pPr>
        <w:ind w:left="1300" w:hanging="20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securities short and redeliver such shares to close out our short positions;</w:t>
      </w:r>
    </w:p>
    <w:p>
      <w:pPr>
        <w:spacing w:after="0" w:line="117" w:lineRule="exact"/>
        <w:rPr>
          <w:rFonts w:ascii="Arial" w:cs="Arial" w:eastAsia="Arial" w:hAnsi="Arial"/>
          <w:sz w:val="18"/>
          <w:szCs w:val="18"/>
          <w:color w:val="auto"/>
        </w:rPr>
      </w:pPr>
    </w:p>
    <w:p>
      <w:pPr>
        <w:ind w:left="1300" w:right="6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Stock to a broker-dealer or an affiliate thereof, who will then resell or transfer the Common Stock under this prospectus; or</w:t>
      </w:r>
    </w:p>
    <w:p>
      <w:pPr>
        <w:spacing w:after="0" w:line="62" w:lineRule="exact"/>
        <w:rPr>
          <w:rFonts w:ascii="Arial" w:cs="Arial" w:eastAsia="Arial" w:hAnsi="Arial"/>
          <w:sz w:val="18"/>
          <w:szCs w:val="18"/>
          <w:color w:val="auto"/>
        </w:rPr>
      </w:pPr>
    </w:p>
    <w:p>
      <w:pPr>
        <w:ind w:left="1300" w:right="320" w:hanging="202"/>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 affiliate thereof, who may sell the loaned shares or, in an Event of Default in the case of a pledge, sell the pledged shares pursuant to this prospectus.</w:t>
      </w:r>
    </w:p>
    <w:p>
      <w:pPr>
        <w:spacing w:after="0" w:line="76" w:lineRule="exact"/>
        <w:rPr>
          <w:sz w:val="20"/>
          <w:szCs w:val="20"/>
          <w:color w:val="auto"/>
        </w:rPr>
      </w:pPr>
    </w:p>
    <w:p>
      <w:pPr>
        <w:ind w:left="700" w:firstLine="397"/>
        <w:spacing w:after="0" w:line="291" w:lineRule="auto"/>
        <w:rPr>
          <w:sz w:val="20"/>
          <w:szCs w:val="20"/>
          <w:color w:val="auto"/>
        </w:rPr>
      </w:pPr>
      <w:r>
        <w:rPr>
          <w:rFonts w:ascii="Arial" w:cs="Arial" w:eastAsia="Arial" w:hAnsi="Arial"/>
          <w:sz w:val="16"/>
          <w:szCs w:val="16"/>
          <w:color w:val="auto"/>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spacing w:after="0" w:line="7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prospectus supplement with respect to each offering of securities will state the terms of the offering of the securities, including:</w:t>
      </w:r>
    </w:p>
    <w:p>
      <w:pPr>
        <w:spacing w:after="0" w:line="154" w:lineRule="exact"/>
        <w:rPr>
          <w:sz w:val="20"/>
          <w:szCs w:val="20"/>
          <w:color w:val="auto"/>
        </w:rPr>
      </w:pPr>
    </w:p>
    <w:p>
      <w:pPr>
        <w:ind w:left="1300" w:right="320" w:hanging="202"/>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or names of any underwriters or agents and the amounts of securities underwritten or purchased by each of them, if any;</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public offering price or purchase price of the securities and the net proceeds to be received by us from the sale;</w:t>
      </w:r>
    </w:p>
    <w:p>
      <w:pPr>
        <w:spacing w:after="0" w:line="200" w:lineRule="exact"/>
        <w:rPr>
          <w:sz w:val="20"/>
          <w:szCs w:val="20"/>
          <w:color w:val="auto"/>
        </w:rPr>
      </w:pPr>
    </w:p>
    <w:p>
      <w:pPr>
        <w:spacing w:after="0" w:line="2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delayed delivery arrangements;</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underwriting discounts or agency fees and other items constituting underwriters’ or agents’ compensation;</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securities exchange or markets on which the securities may be listed.</w:t>
      </w:r>
    </w:p>
    <w:p>
      <w:pPr>
        <w:spacing w:after="0" w:line="131" w:lineRule="exact"/>
        <w:rPr>
          <w:sz w:val="20"/>
          <w:szCs w:val="20"/>
          <w:color w:val="auto"/>
        </w:rPr>
      </w:pPr>
    </w:p>
    <w:p>
      <w:pPr>
        <w:ind w:left="700" w:right="120" w:firstLine="397"/>
        <w:spacing w:after="0" w:line="277" w:lineRule="auto"/>
        <w:rPr>
          <w:sz w:val="20"/>
          <w:szCs w:val="20"/>
          <w:color w:val="auto"/>
        </w:rPr>
      </w:pPr>
      <w:r>
        <w:rPr>
          <w:rFonts w:ascii="Arial" w:cs="Arial" w:eastAsia="Arial" w:hAnsi="Arial"/>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76" w:lineRule="exact"/>
        <w:rPr>
          <w:sz w:val="20"/>
          <w:szCs w:val="20"/>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prices related to the prevailing market prices; or</w:t>
      </w:r>
    </w:p>
    <w:p>
      <w:pPr>
        <w:spacing w:after="0" w:line="117" w:lineRule="exact"/>
        <w:rPr>
          <w:rFonts w:ascii="Arial" w:cs="Arial" w:eastAsia="Arial" w:hAnsi="Arial"/>
          <w:sz w:val="18"/>
          <w:szCs w:val="18"/>
          <w:color w:val="auto"/>
        </w:rPr>
      </w:pPr>
    </w:p>
    <w:p>
      <w:pPr>
        <w:ind w:left="1300" w:hanging="202"/>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w:t>
      </w:r>
    </w:p>
    <w:p>
      <w:pPr>
        <w:spacing w:after="0" w:line="135" w:lineRule="exact"/>
        <w:rPr>
          <w:sz w:val="20"/>
          <w:szCs w:val="20"/>
          <w:color w:val="auto"/>
        </w:rPr>
      </w:pPr>
    </w:p>
    <w:p>
      <w:pPr>
        <w:ind w:left="700" w:firstLine="397"/>
        <w:spacing w:after="0" w:line="293" w:lineRule="auto"/>
        <w:rPr>
          <w:sz w:val="20"/>
          <w:szCs w:val="20"/>
          <w:color w:val="auto"/>
        </w:rPr>
      </w:pPr>
      <w:r>
        <w:rPr>
          <w:rFonts w:ascii="Arial" w:cs="Arial" w:eastAsia="Arial" w:hAnsi="Arial"/>
          <w:sz w:val="16"/>
          <w:szCs w:val="16"/>
          <w:color w:val="auto"/>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Underwriters and Agents</w:t>
      </w:r>
    </w:p>
    <w:p>
      <w:pPr>
        <w:spacing w:after="0" w:line="135" w:lineRule="exact"/>
        <w:rPr>
          <w:sz w:val="20"/>
          <w:szCs w:val="20"/>
          <w:color w:val="auto"/>
        </w:rPr>
      </w:pPr>
    </w:p>
    <w:p>
      <w:pPr>
        <w:ind w:left="700" w:right="20" w:firstLine="397"/>
        <w:spacing w:after="0" w:line="255" w:lineRule="auto"/>
        <w:rPr>
          <w:sz w:val="20"/>
          <w:szCs w:val="20"/>
          <w:color w:val="auto"/>
        </w:rPr>
      </w:pPr>
      <w:r>
        <w:rPr>
          <w:rFonts w:ascii="Arial" w:cs="Arial" w:eastAsia="Arial" w:hAnsi="Arial"/>
          <w:sz w:val="18"/>
          <w:szCs w:val="18"/>
          <w:color w:val="auto"/>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mentioned in the applicable prospectus supplement or pricing supplement, as the case may be.</w:t>
      </w:r>
    </w:p>
    <w:p>
      <w:pPr>
        <w:spacing w:after="0" w:line="99" w:lineRule="exact"/>
        <w:rPr>
          <w:sz w:val="20"/>
          <w:szCs w:val="20"/>
          <w:color w:val="auto"/>
        </w:rPr>
      </w:pPr>
    </w:p>
    <w:p>
      <w:pPr>
        <w:ind w:left="700" w:firstLine="397"/>
        <w:spacing w:after="0" w:line="276" w:lineRule="auto"/>
        <w:rPr>
          <w:sz w:val="20"/>
          <w:szCs w:val="20"/>
          <w:color w:val="auto"/>
        </w:rPr>
      </w:pPr>
      <w:r>
        <w:rPr>
          <w:rFonts w:ascii="Arial" w:cs="Arial" w:eastAsia="Arial" w:hAnsi="Arial"/>
          <w:sz w:val="17"/>
          <w:szCs w:val="17"/>
          <w:color w:val="auto"/>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spacing w:after="0" w:line="78" w:lineRule="exact"/>
        <w:rPr>
          <w:sz w:val="20"/>
          <w:szCs w:val="20"/>
          <w:color w:val="auto"/>
        </w:rPr>
      </w:pPr>
    </w:p>
    <w:p>
      <w:pPr>
        <w:ind w:left="700" w:right="80" w:firstLine="397"/>
        <w:spacing w:after="0" w:line="257" w:lineRule="auto"/>
        <w:rPr>
          <w:sz w:val="20"/>
          <w:szCs w:val="20"/>
          <w:color w:val="auto"/>
        </w:rPr>
      </w:pPr>
      <w:r>
        <w:rPr>
          <w:rFonts w:ascii="Arial" w:cs="Arial" w:eastAsia="Arial" w:hAnsi="Arial"/>
          <w:sz w:val="18"/>
          <w:szCs w:val="18"/>
          <w:color w:val="auto"/>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77" w:lineRule="auto"/>
        <w:rPr>
          <w:sz w:val="20"/>
          <w:szCs w:val="20"/>
          <w:color w:val="auto"/>
        </w:rPr>
      </w:pPr>
      <w:r>
        <w:rPr>
          <w:rFonts w:ascii="Arial" w:cs="Arial" w:eastAsia="Arial" w:hAnsi="Arial"/>
          <w:sz w:val="18"/>
          <w:szCs w:val="18"/>
          <w:color w:val="auto"/>
        </w:rPr>
        <w:t>or pricing supplement, as the case may be will identify any remarketing firm and will describe the terms of its agreement, if any, with us and its compensation.</w:t>
      </w:r>
    </w:p>
    <w:p>
      <w:pPr>
        <w:spacing w:after="0" w:line="76" w:lineRule="exact"/>
        <w:rPr>
          <w:sz w:val="20"/>
          <w:szCs w:val="20"/>
          <w:color w:val="auto"/>
        </w:rPr>
      </w:pPr>
    </w:p>
    <w:p>
      <w:pPr>
        <w:ind w:left="700" w:right="140" w:firstLine="397"/>
        <w:spacing w:after="0" w:line="276" w:lineRule="auto"/>
        <w:rPr>
          <w:sz w:val="20"/>
          <w:szCs w:val="20"/>
          <w:color w:val="auto"/>
        </w:rPr>
      </w:pPr>
      <w:r>
        <w:rPr>
          <w:rFonts w:ascii="Arial" w:cs="Arial" w:eastAsia="Arial" w:hAnsi="Arial"/>
          <w:sz w:val="17"/>
          <w:szCs w:val="17"/>
          <w:color w:val="auto"/>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Dealers</w:t>
      </w:r>
    </w:p>
    <w:p>
      <w:pPr>
        <w:spacing w:after="0" w:line="135" w:lineRule="exact"/>
        <w:rPr>
          <w:sz w:val="20"/>
          <w:szCs w:val="20"/>
          <w:color w:val="auto"/>
        </w:rPr>
      </w:pPr>
    </w:p>
    <w:p>
      <w:pPr>
        <w:ind w:left="700" w:right="120" w:firstLine="397"/>
        <w:spacing w:after="0" w:line="259" w:lineRule="auto"/>
        <w:rPr>
          <w:sz w:val="20"/>
          <w:szCs w:val="20"/>
          <w:color w:val="auto"/>
        </w:rPr>
      </w:pPr>
      <w:r>
        <w:rPr>
          <w:rFonts w:ascii="Arial" w:cs="Arial" w:eastAsia="Arial" w:hAnsi="Arial"/>
          <w:sz w:val="18"/>
          <w:szCs w:val="18"/>
          <w:color w:val="auto"/>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Direct Sales</w:t>
      </w:r>
    </w:p>
    <w:p>
      <w:pPr>
        <w:spacing w:after="0" w:line="13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choose to sell the offered securities directly. In this case, no underwriters or agents would be involved.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Institutional Purchasers</w:t>
      </w:r>
    </w:p>
    <w:p>
      <w:pPr>
        <w:spacing w:after="0" w:line="135" w:lineRule="exact"/>
        <w:rPr>
          <w:sz w:val="20"/>
          <w:szCs w:val="20"/>
          <w:color w:val="auto"/>
        </w:rPr>
      </w:pPr>
    </w:p>
    <w:p>
      <w:pPr>
        <w:ind w:left="700" w:right="40" w:firstLine="397"/>
        <w:spacing w:after="0" w:line="259" w:lineRule="auto"/>
        <w:rPr>
          <w:sz w:val="20"/>
          <w:szCs w:val="20"/>
          <w:color w:val="auto"/>
        </w:rPr>
      </w:pPr>
      <w:r>
        <w:rPr>
          <w:rFonts w:ascii="Arial" w:cs="Arial" w:eastAsia="Arial" w:hAnsi="Arial"/>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spacing w:after="0" w:line="92" w:lineRule="exact"/>
        <w:rPr>
          <w:sz w:val="20"/>
          <w:szCs w:val="20"/>
          <w:color w:val="auto"/>
        </w:rPr>
      </w:pPr>
    </w:p>
    <w:p>
      <w:pPr>
        <w:ind w:left="700" w:right="140" w:firstLine="397"/>
        <w:spacing w:after="0" w:line="342" w:lineRule="auto"/>
        <w:rPr>
          <w:sz w:val="20"/>
          <w:szCs w:val="20"/>
          <w:color w:val="auto"/>
        </w:rPr>
      </w:pPr>
      <w:r>
        <w:rPr>
          <w:rFonts w:ascii="Arial" w:cs="Arial" w:eastAsia="Arial" w:hAnsi="Arial"/>
          <w:sz w:val="16"/>
          <w:szCs w:val="16"/>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Indemnification; Other Relationships</w:t>
      </w:r>
    </w:p>
    <w:p>
      <w:pPr>
        <w:spacing w:after="0" w:line="135" w:lineRule="exact"/>
        <w:rPr>
          <w:sz w:val="20"/>
          <w:szCs w:val="20"/>
          <w:color w:val="auto"/>
        </w:rPr>
      </w:pPr>
    </w:p>
    <w:p>
      <w:pPr>
        <w:ind w:left="700" w:right="340" w:firstLine="397"/>
        <w:spacing w:after="0" w:line="259" w:lineRule="auto"/>
        <w:rPr>
          <w:sz w:val="20"/>
          <w:szCs w:val="20"/>
          <w:color w:val="auto"/>
        </w:rPr>
      </w:pPr>
      <w:r>
        <w:rPr>
          <w:rFonts w:ascii="Arial" w:cs="Arial" w:eastAsia="Arial" w:hAnsi="Arial"/>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Market-Making, Stabilization and Other Transactions</w:t>
      </w:r>
    </w:p>
    <w:p>
      <w:pPr>
        <w:spacing w:after="0" w:line="135" w:lineRule="exact"/>
        <w:rPr>
          <w:sz w:val="20"/>
          <w:szCs w:val="20"/>
          <w:color w:val="auto"/>
        </w:rPr>
      </w:pPr>
    </w:p>
    <w:p>
      <w:pPr>
        <w:ind w:left="700" w:firstLine="397"/>
        <w:spacing w:after="0" w:line="270" w:lineRule="auto"/>
        <w:rPr>
          <w:sz w:val="20"/>
          <w:szCs w:val="20"/>
          <w:color w:val="auto"/>
        </w:rPr>
      </w:pPr>
      <w:r>
        <w:rPr>
          <w:rFonts w:ascii="Arial" w:cs="Arial" w:eastAsia="Arial" w:hAnsi="Arial"/>
          <w:sz w:val="17"/>
          <w:szCs w:val="17"/>
          <w:color w:val="auto"/>
        </w:rPr>
        <w:t>There is currently no market for any of the offered securities, other than the Common Stock which is listed on the NASDAQ Global Select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preferred stock, or warrants on any securities exchange or on the National Association of Securities Dealers, Inc. automated quotation system; any such listing with respect to any particular debt securities, preferred stock, or warrants will be described in the applicable prospectus supplement or pricing supplement, as the case may be.</w:t>
      </w: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firstLine="397"/>
        <w:spacing w:after="0" w:line="286" w:lineRule="auto"/>
        <w:rPr>
          <w:sz w:val="20"/>
          <w:szCs w:val="20"/>
          <w:color w:val="auto"/>
        </w:rPr>
      </w:pPr>
      <w:r>
        <w:rPr>
          <w:rFonts w:ascii="Arial" w:cs="Arial" w:eastAsia="Arial" w:hAnsi="Arial"/>
          <w:sz w:val="16"/>
          <w:szCs w:val="16"/>
          <w:color w:val="auto"/>
        </w:rPr>
        <w:t>In connection with any offering of Common Stock, the underwriters may purchase and sell shares of Common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spacing w:after="0" w:line="80" w:lineRule="exact"/>
        <w:rPr>
          <w:sz w:val="20"/>
          <w:szCs w:val="20"/>
          <w:color w:val="auto"/>
        </w:rPr>
      </w:pPr>
    </w:p>
    <w:p>
      <w:pPr>
        <w:ind w:left="700" w:right="20" w:firstLine="397"/>
        <w:spacing w:after="0" w:line="257" w:lineRule="auto"/>
        <w:rPr>
          <w:sz w:val="20"/>
          <w:szCs w:val="20"/>
          <w:color w:val="auto"/>
        </w:rPr>
      </w:pPr>
      <w:r>
        <w:rPr>
          <w:rFonts w:ascii="Arial" w:cs="Arial" w:eastAsia="Arial" w:hAnsi="Arial"/>
          <w:sz w:val="18"/>
          <w:szCs w:val="18"/>
          <w:color w:val="auto"/>
        </w:rPr>
        <w:t>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Fees and Commissions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In compliance with the guidelines of the Financial Industry Regulatory Authority (the “FINRA”), the aggregate maximum discount, commission, or agency fees or other items constituting underwriting compensation to be received by any FINRA member or independent broker-dealer will not exceed 8% of any offering pursuant to this prospectus and any applicable prospectus supplement or pricing supplement, as the case may be; however, it is anticipated that the maximum commission or discount to be received in any particular offering of securities will be significantly less than this amount.</w:t>
      </w:r>
    </w:p>
    <w:p>
      <w:pPr>
        <w:spacing w:after="0" w:line="3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46"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LEGAL MATTERS</w:t>
      </w:r>
    </w:p>
    <w:p>
      <w:pPr>
        <w:spacing w:after="0" w:line="135" w:lineRule="exact"/>
        <w:rPr>
          <w:sz w:val="20"/>
          <w:szCs w:val="20"/>
          <w:color w:val="auto"/>
        </w:rPr>
      </w:pPr>
    </w:p>
    <w:p>
      <w:pPr>
        <w:ind w:left="700" w:right="80" w:firstLine="397"/>
        <w:spacing w:after="0" w:line="259" w:lineRule="auto"/>
        <w:rPr>
          <w:sz w:val="20"/>
          <w:szCs w:val="20"/>
          <w:color w:val="auto"/>
        </w:rPr>
      </w:pPr>
      <w:r>
        <w:rPr>
          <w:rFonts w:ascii="Arial" w:cs="Arial" w:eastAsia="Arial" w:hAnsi="Arial"/>
          <w:sz w:val="18"/>
          <w:szCs w:val="18"/>
          <w:color w:val="auto"/>
        </w:rPr>
        <w:t>Unless otherwise indicated in the applicable prospectus supplement, Skadden, Arps, Slate, Meagher &amp; Flom LLP, New York, New York will provide opinions regarding the authorization and validity of the securities. Skadden, Arps, Slate, Meagher &amp; Flom LLP may also provide opinions regarding certain other matters. Any underwriters will also be advised about legal matters by their own counsel, which will be named in the prospectus supplement.</w:t>
      </w:r>
    </w:p>
    <w:p>
      <w:pPr>
        <w:spacing w:after="0" w:line="30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EXPERTS</w:t>
      </w:r>
    </w:p>
    <w:p>
      <w:pPr>
        <w:spacing w:after="0" w:line="135" w:lineRule="exact"/>
        <w:rPr>
          <w:sz w:val="20"/>
          <w:szCs w:val="20"/>
          <w:color w:val="auto"/>
        </w:rPr>
      </w:pPr>
    </w:p>
    <w:p>
      <w:pPr>
        <w:ind w:left="700" w:firstLine="397"/>
        <w:spacing w:after="0" w:line="257"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2009 have been so incorporated in reliance on the report of PricewaterhouseCoopers LLP, an independent registered public accounting firm, given on the authority of said firm as experts in auditing and accounting.</w:t>
      </w:r>
    </w:p>
    <w:p>
      <w:pPr>
        <w:spacing w:after="0" w:line="306"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35" w:lineRule="exact"/>
        <w:rPr>
          <w:sz w:val="20"/>
          <w:szCs w:val="20"/>
          <w:color w:val="auto"/>
        </w:rPr>
      </w:pPr>
    </w:p>
    <w:p>
      <w:pPr>
        <w:ind w:left="700" w:right="20" w:firstLine="397"/>
        <w:spacing w:after="0" w:line="270" w:lineRule="auto"/>
        <w:rPr>
          <w:sz w:val="20"/>
          <w:szCs w:val="20"/>
          <w:color w:val="auto"/>
        </w:rPr>
      </w:pPr>
      <w:r>
        <w:rPr>
          <w:rFonts w:ascii="Arial" w:cs="Arial" w:eastAsia="Arial" w:hAnsi="Arial"/>
          <w:sz w:val="17"/>
          <w:szCs w:val="17"/>
          <w:color w:val="auto"/>
        </w:rPr>
        <w:t>This prospectus, any accompanying prospectus supplements, and the documents incorporated by reference contain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commercial success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shareholders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29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35" w:lineRule="exact"/>
        <w:rPr>
          <w:sz w:val="20"/>
          <w:szCs w:val="20"/>
          <w:color w:val="auto"/>
        </w:rPr>
      </w:pPr>
    </w:p>
    <w:p>
      <w:pPr>
        <w:ind w:left="700" w:right="160" w:firstLine="397"/>
        <w:spacing w:after="0" w:line="288" w:lineRule="auto"/>
        <w:rPr>
          <w:sz w:val="20"/>
          <w:szCs w:val="20"/>
          <w:color w:val="auto"/>
        </w:rPr>
      </w:pPr>
      <w:r>
        <w:rPr>
          <w:rFonts w:ascii="Arial" w:cs="Arial" w:eastAsia="Arial" w:hAnsi="Arial"/>
          <w:sz w:val="16"/>
          <w:szCs w:val="16"/>
          <w:color w:val="auto"/>
        </w:rPr>
        <w:t>We file annual, quarterly and current reports, proxy statements, and other information with the SEC under the Exchange Act. You may inspect without charge any documents filed by us at the SEC’s Public Reference Room at 100 F Street, N.E., Room 1580, Washington, D.C. 20549. You may obtain information on the operation of the Public Reference Room by calling the SEC at</w:t>
      </w:r>
    </w:p>
    <w:p>
      <w:pPr>
        <w:ind w:left="700" w:right="280"/>
        <w:spacing w:after="0" w:line="323" w:lineRule="auto"/>
        <w:rPr>
          <w:sz w:val="20"/>
          <w:szCs w:val="20"/>
          <w:color w:val="auto"/>
        </w:rPr>
      </w:pPr>
      <w:r>
        <w:rPr>
          <w:rFonts w:ascii="Arial" w:cs="Arial" w:eastAsia="Arial" w:hAnsi="Arial"/>
          <w:sz w:val="16"/>
          <w:szCs w:val="16"/>
          <w:color w:val="auto"/>
        </w:rPr>
        <w:t xml:space="preserve">1-800-SEC-0330. The SEC also maintains an Internet site, </w:t>
      </w:r>
      <w:r>
        <w:rPr>
          <w:rFonts w:ascii="Arial" w:cs="Arial" w:eastAsia="Arial" w:hAnsi="Arial"/>
          <w:sz w:val="16"/>
          <w:szCs w:val="16"/>
          <w:i w:val="1"/>
          <w:iCs w:val="1"/>
          <w:color w:val="auto"/>
        </w:rPr>
        <w:t>www.sec.gov</w:t>
      </w:r>
      <w:r>
        <w:rPr>
          <w:rFonts w:ascii="Arial" w:cs="Arial" w:eastAsia="Arial" w:hAnsi="Arial"/>
          <w:sz w:val="16"/>
          <w:szCs w:val="16"/>
          <w:color w:val="auto"/>
        </w:rPr>
        <w:t>, that contains reports, proxy and information statements, and other information regarding issuers that file electronically with the SEC, including Regeneron Pharmaceuticals, Inc.</w:t>
      </w:r>
    </w:p>
    <w:p>
      <w:pPr>
        <w:spacing w:after="0" w:line="44" w:lineRule="exact"/>
        <w:rPr>
          <w:sz w:val="20"/>
          <w:szCs w:val="20"/>
          <w:color w:val="auto"/>
        </w:rPr>
      </w:pPr>
    </w:p>
    <w:p>
      <w:pPr>
        <w:ind w:left="700" w:firstLine="397"/>
        <w:spacing w:after="0" w:line="255" w:lineRule="auto"/>
        <w:rPr>
          <w:sz w:val="20"/>
          <w:szCs w:val="20"/>
          <w:color w:val="auto"/>
        </w:rPr>
      </w:pPr>
      <w:r>
        <w:rPr>
          <w:rFonts w:ascii="Arial" w:cs="Arial" w:eastAsia="Arial" w:hAnsi="Arial"/>
          <w:sz w:val="18"/>
          <w:szCs w:val="18"/>
          <w:color w:val="auto"/>
        </w:rPr>
        <w:t>The SEC allows us to “incorporate by reference” information into this prospectus and any accompanying prospectus supplement, which means that we can disclose important information to you by referring you to other documents filed separately with the SEC. The information incorporated by reference is considered part of this prospectus, and information filed with the SEC subsequent to this prospectus and prior to the termination of the particular offering referred to in such prospectus supplement will automatically be deemed to update and supersede this information. We incorporate by reference into this prospectus and any accompanying prospectus supplement the documents listed below (excluding any portions of such documents that have been “furnished” but not “filed” for purposes of the Exchange Act):</w:t>
      </w:r>
    </w:p>
    <w:p>
      <w:pPr>
        <w:spacing w:after="0" w:line="95" w:lineRule="exact"/>
        <w:rPr>
          <w:sz w:val="20"/>
          <w:szCs w:val="20"/>
          <w:color w:val="auto"/>
        </w:rPr>
      </w:pPr>
    </w:p>
    <w:p>
      <w:pPr>
        <w:ind w:left="5560" w:right="1520" w:hanging="4462"/>
        <w:spacing w:after="0" w:line="747" w:lineRule="auto"/>
        <w:tabs>
          <w:tab w:leader="none" w:pos="1294"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2009, filed on February 18, 2010.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00" w:right="480" w:hanging="202"/>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 ended March 31, 2010, filed on April 29, 2010, and for the quarterly period ended June 30, 2010, filed on July 28, 2010.</w:t>
      </w:r>
    </w:p>
    <w:p>
      <w:pPr>
        <w:spacing w:after="0" w:line="62" w:lineRule="exact"/>
        <w:rPr>
          <w:rFonts w:ascii="Arial" w:cs="Arial" w:eastAsia="Arial" w:hAnsi="Arial"/>
          <w:sz w:val="18"/>
          <w:szCs w:val="18"/>
          <w:color w:val="auto"/>
        </w:rPr>
      </w:pPr>
    </w:p>
    <w:p>
      <w:pPr>
        <w:ind w:left="1300" w:hanging="202"/>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Current Reports on Form 8-K, filed on February 16, 2010, May 13, 2010, June 10, 2010, June 14, 2010 and July 29, 2010.</w:t>
      </w:r>
    </w:p>
    <w:p>
      <w:pPr>
        <w:spacing w:after="0" w:line="140" w:lineRule="exact"/>
        <w:rPr>
          <w:rFonts w:ascii="Arial" w:cs="Arial" w:eastAsia="Arial" w:hAnsi="Arial"/>
          <w:sz w:val="16"/>
          <w:szCs w:val="16"/>
          <w:color w:val="auto"/>
        </w:rPr>
      </w:pPr>
    </w:p>
    <w:p>
      <w:pPr>
        <w:ind w:left="1300" w:right="220" w:hanging="202"/>
        <w:spacing w:after="0" w:line="342" w:lineRule="auto"/>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description of our common stock set forth in a Registration Statement on Form 8-A, including any amendment or report filed for the purpose of updating such description (filing date October 15, 1996: Commission File No. 000-19034).</w:t>
      </w:r>
    </w:p>
    <w:p>
      <w:pPr>
        <w:spacing w:after="0" w:line="29" w:lineRule="exact"/>
        <w:rPr>
          <w:sz w:val="20"/>
          <w:szCs w:val="20"/>
          <w:color w:val="auto"/>
        </w:rPr>
      </w:pPr>
    </w:p>
    <w:p>
      <w:pPr>
        <w:ind w:left="700" w:right="40" w:firstLine="397"/>
        <w:spacing w:after="0" w:line="257" w:lineRule="auto"/>
        <w:rPr>
          <w:sz w:val="20"/>
          <w:szCs w:val="20"/>
          <w:color w:val="auto"/>
        </w:rPr>
      </w:pPr>
      <w:r>
        <w:rPr>
          <w:rFonts w:ascii="Arial" w:cs="Arial" w:eastAsia="Arial" w:hAnsi="Arial"/>
          <w:sz w:val="18"/>
          <w:szCs w:val="18"/>
          <w:color w:val="auto"/>
        </w:rPr>
        <w:t>We also incorporate by reference any future filings made with the SEC pursuant to Sections 13(a), 13(c), 14 or 15(d) of the Exchange Act between the date of this prospectus and the date all of the securities offered hereby are sold or the offering is otherwise terminated, with the exception of any information furnished under Item 2.02 and Item 7.01 of Form 8-K, which is not deemed filed and which is not incorporated by reference herein. Any such filings shall be deemed to be incorporated by reference and to be a part of this prospectus from the respective dates of filing of those documents.</w:t>
      </w:r>
    </w:p>
    <w:p>
      <w:pPr>
        <w:spacing w:after="0" w:line="94" w:lineRule="exact"/>
        <w:rPr>
          <w:sz w:val="20"/>
          <w:szCs w:val="20"/>
          <w:color w:val="auto"/>
        </w:rPr>
      </w:pPr>
    </w:p>
    <w:p>
      <w:pPr>
        <w:jc w:val="both"/>
        <w:ind w:left="700" w:firstLine="397"/>
        <w:spacing w:after="0" w:line="312" w:lineRule="auto"/>
        <w:rPr>
          <w:sz w:val="20"/>
          <w:szCs w:val="20"/>
          <w:color w:val="auto"/>
        </w:rPr>
      </w:pPr>
      <w:r>
        <w:rPr>
          <w:rFonts w:ascii="Arial" w:cs="Arial" w:eastAsia="Arial" w:hAnsi="Arial"/>
          <w:sz w:val="16"/>
          <w:szCs w:val="16"/>
          <w:color w:val="auto"/>
        </w:rPr>
        <w:t>We will provide without charge upon written or oral request to each person, including any beneficial owner, to whom a prospectus is delivered, a copy of any and all of the documents which are incorporated by reference into this prospectus but not delivered with this prospectus (other than exhibits unless such exhibits are specifically incorporated by reference in such documents).</w:t>
      </w:r>
    </w:p>
    <w:p>
      <w:pPr>
        <w:spacing w:after="0" w:line="5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You may request a copy of these documents by writing or telephoning us at:</w:t>
      </w:r>
    </w:p>
    <w:p>
      <w:pPr>
        <w:spacing w:after="0" w:line="23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Investor Relations Department</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Tarrytown, New York 10591</w:t>
      </w:r>
    </w:p>
    <w:p>
      <w:pPr>
        <w:spacing w:after="0" w:line="40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80"/>
          </w:cols>
          <w:pgMar w:left="240" w:top="419" w:right="11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630301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5,500,000 Shares</w:t>
      </w:r>
    </w:p>
    <w:p>
      <w:pPr>
        <w:spacing w:after="0" w:line="57" w:lineRule="exact"/>
        <w:rPr>
          <w:sz w:val="20"/>
          <w:szCs w:val="20"/>
          <w:color w:val="auto"/>
        </w:rPr>
      </w:pPr>
    </w:p>
    <w:p>
      <w:pPr>
        <w:jc w:val="center"/>
        <w:ind w:right="-1100"/>
        <w:spacing w:after="0"/>
        <w:rPr>
          <w:sz w:val="20"/>
          <w:szCs w:val="20"/>
          <w:color w:val="auto"/>
        </w:rPr>
      </w:pPr>
      <w:r>
        <w:rPr>
          <w:rFonts w:ascii="Arial" w:cs="Arial" w:eastAsia="Arial" w:hAnsi="Arial"/>
          <w:sz w:val="38"/>
          <w:szCs w:val="38"/>
          <w:b w:val="1"/>
          <w:bCs w:val="1"/>
          <w:color w:val="auto"/>
        </w:rPr>
        <w:t>Regeneron Pharmaceuticals, Inc.</w:t>
      </w:r>
    </w:p>
    <w:p>
      <w:pPr>
        <w:spacing w:after="0" w:line="151" w:lineRule="exact"/>
        <w:rPr>
          <w:sz w:val="20"/>
          <w:szCs w:val="20"/>
          <w:color w:val="auto"/>
        </w:rPr>
      </w:pPr>
    </w:p>
    <w:p>
      <w:pPr>
        <w:ind w:left="482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63500</wp:posOffset>
            </wp:positionV>
            <wp:extent cx="6261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5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PROSPECTUS SUPPLEMENT</w:t>
      </w:r>
    </w:p>
    <w:p>
      <w:pPr>
        <w:spacing w:after="0" w:line="19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October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137795</wp:posOffset>
            </wp:positionV>
            <wp:extent cx="6261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6110" cy="8890"/>
                    </a:xfrm>
                    <a:prstGeom prst="rect">
                      <a:avLst/>
                    </a:prstGeom>
                    <a:noFill/>
                  </pic:spPr>
                </pic:pic>
              </a:graphicData>
            </a:graphic>
          </wp:anchor>
        </w:drawing>
      </w:r>
    </w:p>
    <w:p>
      <w:pPr>
        <w:spacing w:after="0" w:line="230" w:lineRule="exact"/>
        <w:rPr>
          <w:sz w:val="20"/>
          <w:szCs w:val="20"/>
          <w:color w:val="auto"/>
        </w:rPr>
      </w:pPr>
    </w:p>
    <w:p>
      <w:pPr>
        <w:ind w:left="5340"/>
        <w:spacing w:after="0"/>
        <w:rPr>
          <w:sz w:val="20"/>
          <w:szCs w:val="20"/>
          <w:color w:val="auto"/>
        </w:rPr>
      </w:pPr>
      <w:r>
        <w:rPr>
          <w:rFonts w:ascii="Arial" w:cs="Arial" w:eastAsia="Arial" w:hAnsi="Arial"/>
          <w:sz w:val="40"/>
          <w:szCs w:val="40"/>
          <w:b w:val="1"/>
          <w:bCs w:val="1"/>
          <w:color w:val="auto"/>
        </w:rPr>
        <w:t>Citi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64135</wp:posOffset>
            </wp:positionV>
            <wp:extent cx="630301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3010" cy="34290"/>
                    </a:xfrm>
                    <a:prstGeom prst="rect">
                      <a:avLst/>
                    </a:prstGeom>
                    <a:noFill/>
                  </pic:spPr>
                </pic:pic>
              </a:graphicData>
            </a:graphic>
          </wp:anchor>
        </w:drawing>
      </w:r>
    </w:p>
    <w:sectPr>
      <w:pgSz w:w="11900" w:h="16838" w:orient="portrait"/>
      <w:cols w:equalWidth="0" w:num="1">
        <w:col w:w="10219"/>
      </w:cols>
      <w:pgMar w:left="240" w:top="4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1)"/>
      <w:numFmt w:val="decimal"/>
      <w:start w:val="914"/>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upp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lvl w:ilvl="1">
      <w:lvlJc w:val="left"/>
      <w:lvlText w:val="•"/>
      <w:numFmt w:val="bullet"/>
      <w:start w:val="1"/>
    </w:lvl>
  </w:abstractNum>
  <w:abstractNum w:abstractNumId="11">
    <w:nsid w:val="333AB105"/>
    <w:multiLevelType w:val="hybridMultilevel"/>
    <w:lvl w:ilvl="0">
      <w:lvlJc w:val="left"/>
      <w:lvlText w:val="•"/>
      <w:numFmt w:val="bullet"/>
      <w:start w:val="1"/>
    </w:lvl>
    <w:lvl w:ilvl="1">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2019-12-10T08:55:44Z</dcterms:created>
  <dcterms:modified xsi:type="dcterms:W3CDTF">2019-12-10T08:55:44Z</dcterms:modified>
</cp:coreProperties>
</file>