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7, 2024 (October 7,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REGENERON PHARMACEUTICALS,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3"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550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000-19034</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13-3444607</w:t>
            </w:r>
          </w:p>
        </w:tc>
      </w:tr>
      <w:tr>
        <w:trPr>
          <w:trHeight w:val="216"/>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10591-6707</w:t>
            </w:r>
          </w:p>
        </w:tc>
      </w:tr>
      <w:tr>
        <w:trPr>
          <w:trHeight w:val="238"/>
        </w:trPr>
        <w:tc>
          <w:tcPr>
            <w:tcW w:w="550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90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(914) 847-7000</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REGN</w:t>
            </w:r>
          </w:p>
        </w:tc>
        <w:tc>
          <w:tcPr>
            <w:tcW w:w="4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Regeneron Pharmaceuticals, Inc. (“</w:t>
      </w:r>
      <w:r>
        <w:rPr>
          <w:rFonts w:ascii="Times New Roman" w:cs="Times New Roman" w:eastAsia="Times New Roman" w:hAnsi="Times New Roman"/>
          <w:sz w:val="18"/>
          <w:szCs w:val="18"/>
          <w:u w:val="single" w:color="auto"/>
          <w:color w:val="auto"/>
        </w:rPr>
        <w:t>Regeneron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currently expects that its financial results calculated in accordance with U.S.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and its non-GAAP financial results for the third quarter 2024 will include an acquired in-process research and development (“</w:t>
      </w:r>
      <w:r>
        <w:rPr>
          <w:rFonts w:ascii="Times New Roman" w:cs="Times New Roman" w:eastAsia="Times New Roman" w:hAnsi="Times New Roman"/>
          <w:sz w:val="18"/>
          <w:szCs w:val="18"/>
          <w:u w:val="single" w:color="auto"/>
          <w:color w:val="auto"/>
        </w:rPr>
        <w:t>IPR&amp;D</w:t>
      </w:r>
      <w:r>
        <w:rPr>
          <w:rFonts w:ascii="Times New Roman" w:cs="Times New Roman" w:eastAsia="Times New Roman" w:hAnsi="Times New Roman"/>
          <w:sz w:val="18"/>
          <w:szCs w:val="18"/>
          <w:color w:val="auto"/>
        </w:rPr>
        <w:t>”) charge of approximately $56 million on a pre-tax basis. This charge relates to development milestone and up-front payments in connection with collaboration and licensing agreements. This acquired IPR&amp;D charge is expected to negatively impact each of GAAP and non-GAAP net income per diluted share for the third quarter 2024 by approximately $0.43.</w:t>
      </w:r>
    </w:p>
    <w:p>
      <w:pPr>
        <w:spacing w:after="0" w:line="18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Acquired IPR&amp;D charges may include IPR&amp;D acquired in connection with asset acquisitions as well as up-front, opt-in, certain development milestone payments, and premiums paid on equity securities related to collaboration and licensing agreements. Regeneron does not forecast such acquired IPR&amp;D charges due to the uncertainty of the future occurrence, magnitude, and timing of these transactions in any given period.</w:t>
      </w:r>
    </w:p>
    <w:p>
      <w:pPr>
        <w:spacing w:after="0" w:line="17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Regeneron’s results for the third quarter 2024 have not been finalized and are subject to Regeneron’s financial statement closing procedures. There can be no assurance that actual results will not differ from the preliminary (unaudited) estimates described herein.</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shall not be deemed “filed” for purposes of Section 18 of the Securities Exchange Act of 1934, as amended, nor shall such information be deemed incorporated by reference in any filing under the Securities Act of 1933, as amended, except as shall be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Regarding Forward-Looking Statements</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This Current Report on Form 8-K (this “Report”)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Regeneron’s expected acquired in-process research and development charge for the quarterly period ended September 30, 2024 and its expected impact on GAAP and non-GAAP net income per diluted share for this period as discussed in this Report. A more complete description of these and other material risks can be found in Regeneron’s filings with the U.S. Securities and Exchange Commission.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Regarding Non-GAAP Financial Measures</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This Report references non-GAAP net income per diluted share, which is a financial measure that is not calculated in accordance with U.S. Generally Accepted Accounting Principles (“GAAP”). This non-GAAP financial measure is computed by excluding certain non-cash and/or other items from the related GAAP financial measure. The Company also includes a non-GAAP adjustment for the estimated income tax effect of reconciling items. The Company makes such adjustments for items the Company does not view as useful in evaluating its operating performance. Management uses this and other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such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Joseph J. LaRosa</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2024-10-07T06:03:31Z</dcterms:created>
  <dcterms:modified xsi:type="dcterms:W3CDTF">2024-10-07T06:03:31Z</dcterms:modified>
</cp:coreProperties>
</file>