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LAROSA JOSEPH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19,438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521.45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514.63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515.7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16,194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516.81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517.4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519.43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520.45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14,663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521.05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524.99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525.3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34,933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-6076950</wp:posOffset>
            </wp:positionV>
            <wp:extent cx="7033260" cy="6307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630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414 shares of Company stock on April 15, 2020 at prices ranging from $515.30 to $515.88.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260 shares of Company stock on April 15, 2020 at prices ranging from $516.06 to $516.89.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266 shares of Company stock on April 15, 2020 at prices ranging from $517.00 to $517.73.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499 shares of Company stock on April 15, 2020 at prices ranging from $518.03 to $518.78.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286 shares of Company stock on April 15, 2020 at prices ranging from $519.25 to $519.59.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220 shares of Company stock on April 15, 2020 at prices ranging from $520.29 to $520.62. Upon request by the Commission staff, the Company, or a</w:t>
      </w:r>
    </w:p>
    <w:p>
      <w:pPr>
        <w:sectPr>
          <w:pgSz w:w="11900" w:h="16882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security holder of the Company, the reporting person will provide full information regarding the number of shares sold by the reporting person on April 15, 2020 at each separate price.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8. The stock option award (combined incentive stock option and non-qualified stock option) vests in four equal annual installments, commencing one year after the date of grant.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/s/**Joseph J. LaRosa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04/16/2020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2020-04-16T15:05:33Z</dcterms:created>
  <dcterms:modified xsi:type="dcterms:W3CDTF">2020-04-16T15:05:33Z</dcterms:modified>
</cp:coreProperties>
</file>