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8)*</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Issuer)</w:t>
      </w: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(Title of Class of Securities)</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(CUSIP Number)</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Karen Linehan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Sanofi</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54, rue La Boétie, 75008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Paris, France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+33 1 53 77 40 00</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Copy to:</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Michael J. Aiello, Esq.</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New York 10153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(Name, Address and Telephone Number of Person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July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(Date of Event Which Requires Filing of This Statement)</w:t>
      </w:r>
    </w:p>
    <w:p>
      <w:pPr>
        <w:spacing w:after="0" w:line="240"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 x</w:t>
      </w:r>
    </w:p>
    <w:p>
      <w:pPr>
        <w:spacing w:after="0" w:line="1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13D</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60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Sanofi</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5360" w:type="dxa"/>
            <w:vAlign w:val="bottom"/>
            <w:tcBorders>
              <w:bottom w:val="single" w:sz="8" w:color="auto"/>
            </w:tcBorders>
            <w:gridSpan w:val="3"/>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2.</w:t>
            </w:r>
          </w:p>
        </w:tc>
        <w:tc>
          <w:tcPr>
            <w:tcW w:w="7420" w:type="dxa"/>
            <w:vAlign w:val="bottom"/>
            <w:gridSpan w:val="6"/>
          </w:tcPr>
          <w:p>
            <w:pPr>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spacing w:after="0"/>
              <w:rPr>
                <w:sz w:val="17"/>
                <w:szCs w:val="17"/>
                <w:color w:val="auto"/>
              </w:rPr>
            </w:pPr>
          </w:p>
        </w:tc>
        <w:tc>
          <w:tcPr>
            <w:tcW w:w="2120" w:type="dxa"/>
            <w:vAlign w:val="bottom"/>
            <w:tcBorders>
              <w:right w:val="single" w:sz="8" w:color="auto"/>
            </w:tcBorders>
          </w:tcPr>
          <w:p>
            <w:pPr>
              <w:ind w:left="1140"/>
              <w:spacing w:after="0" w:line="201"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2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1840" w:type="dxa"/>
            <w:vAlign w:val="bottom"/>
            <w:gridSpan w:val="2"/>
          </w:tcPr>
          <w:p>
            <w:pPr>
              <w:spacing w:after="0"/>
              <w:rPr>
                <w:sz w:val="20"/>
                <w:szCs w:val="20"/>
                <w:color w:val="auto"/>
              </w:rPr>
            </w:pPr>
            <w:r>
              <w:rPr>
                <w:rFonts w:ascii="Arial" w:cs="Arial" w:eastAsia="Arial" w:hAnsi="Arial"/>
                <w:sz w:val="18"/>
                <w:szCs w:val="18"/>
                <w:color w:val="auto"/>
              </w:rPr>
              <w:t>SOURCE OF FUNDS</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WC</w:t>
            </w:r>
          </w:p>
        </w:tc>
        <w:tc>
          <w:tcPr>
            <w:tcW w:w="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540" w:type="dxa"/>
            <w:vAlign w:val="bottom"/>
            <w:tcBorders>
              <w:bottom w:val="single" w:sz="8" w:color="auto"/>
            </w:tcBorders>
            <w:gridSpan w:val="4"/>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8600" w:type="dxa"/>
            <w:vAlign w:val="bottom"/>
            <w:gridSpan w:val="7"/>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 2(d) or 2(e)</w:t>
            </w:r>
          </w:p>
        </w:tc>
        <w:tc>
          <w:tcPr>
            <w:tcW w:w="212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6.</w:t>
            </w:r>
          </w:p>
        </w:tc>
        <w:tc>
          <w:tcPr>
            <w:tcW w:w="3700" w:type="dxa"/>
            <w:vAlign w:val="bottom"/>
            <w:gridSpan w:val="4"/>
          </w:tcPr>
          <w:p>
            <w:pPr>
              <w:spacing w:after="0" w:line="201" w:lineRule="exact"/>
              <w:rPr>
                <w:sz w:val="20"/>
                <w:szCs w:val="20"/>
                <w:color w:val="auto"/>
              </w:rPr>
            </w:pPr>
            <w:r>
              <w:rPr>
                <w:rFonts w:ascii="Arial" w:cs="Arial" w:eastAsia="Arial" w:hAnsi="Arial"/>
                <w:sz w:val="18"/>
                <w:szCs w:val="18"/>
                <w:color w:val="auto"/>
                <w:w w:val="96"/>
              </w:rPr>
              <w:t>CITIZENSHIP OR PLACE OF ORGANIZATION</w:t>
            </w:r>
          </w:p>
        </w:tc>
        <w:tc>
          <w:tcPr>
            <w:tcW w:w="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The Republic of France</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NUMBER</w:t>
            </w:r>
          </w:p>
        </w:tc>
        <w:tc>
          <w:tcPr>
            <w:tcW w:w="15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OF</w:t>
            </w:r>
          </w:p>
        </w:tc>
        <w:tc>
          <w:tcPr>
            <w:tcW w:w="3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312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w w:val="90"/>
              </w:rPr>
              <w:t>-0-</w:t>
            </w:r>
          </w:p>
        </w:tc>
        <w:tc>
          <w:tcPr>
            <w:tcW w:w="118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gridSpan w:val="2"/>
          </w:tcPr>
          <w:p>
            <w:pPr>
              <w:ind w:left="40"/>
              <w:spacing w:after="0" w:line="175" w:lineRule="exact"/>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OWNED BY EACH</w:t>
            </w:r>
          </w:p>
        </w:tc>
        <w:tc>
          <w:tcPr>
            <w:tcW w:w="340" w:type="dxa"/>
            <w:vAlign w:val="bottom"/>
          </w:tcPr>
          <w:p>
            <w:pPr>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SHARED VOTING POWER 21,405,741 (1)</w:t>
            </w:r>
          </w:p>
        </w:tc>
        <w:tc>
          <w:tcPr>
            <w:tcW w:w="118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2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REPORTING PERSON</w:t>
            </w: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7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WITH</w:t>
            </w:r>
          </w:p>
        </w:tc>
        <w:tc>
          <w:tcPr>
            <w:tcW w:w="150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SOLE DISPOSITIVE POWER</w:t>
            </w:r>
          </w:p>
        </w:tc>
        <w:tc>
          <w:tcPr>
            <w:tcW w:w="3120" w:type="dxa"/>
            <w:vAlign w:val="bottom"/>
            <w:tcBorders>
              <w:bottom w:val="single" w:sz="8" w:color="auto"/>
            </w:tcBorders>
          </w:tcPr>
          <w:p>
            <w:pPr>
              <w:jc w:val="right"/>
              <w:ind w:right="241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0" w:type="dxa"/>
            <w:vAlign w:val="bottom"/>
            <w:tcBorders>
              <w:left w:val="single" w:sz="8" w:color="auto"/>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right w:val="single" w:sz="8" w:color="auto"/>
            </w:tcBorders>
          </w:tcPr>
          <w:p>
            <w:pPr>
              <w:spacing w:after="0"/>
              <w:rPr>
                <w:sz w:val="24"/>
                <w:szCs w:val="24"/>
                <w:color w:val="auto"/>
              </w:rPr>
            </w:pPr>
          </w:p>
        </w:tc>
        <w:tc>
          <w:tcPr>
            <w:tcW w:w="5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SHARED DISPOSITIVE POWER 21,405,741 (1)</w:t>
            </w:r>
          </w:p>
        </w:tc>
        <w:tc>
          <w:tcPr>
            <w:tcW w:w="11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206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6540" w:type="dxa"/>
            <w:vAlign w:val="bottom"/>
            <w:gridSpan w:val="4"/>
          </w:tcPr>
          <w:p>
            <w:pPr>
              <w:spacing w:after="0"/>
              <w:rPr>
                <w:sz w:val="20"/>
                <w:szCs w:val="20"/>
                <w:color w:val="auto"/>
              </w:rPr>
            </w:pPr>
            <w:r>
              <w:rPr>
                <w:rFonts w:ascii="Arial" w:cs="Arial" w:eastAsia="Arial" w:hAnsi="Arial"/>
                <w:sz w:val="18"/>
                <w:szCs w:val="18"/>
                <w:color w:val="auto"/>
              </w:rPr>
              <w:t>BENEFICIALLY OWNED BY EACH REPORTING PERSON 21,405,741 (1)</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7420" w:type="dxa"/>
            <w:vAlign w:val="bottom"/>
            <w:tcBorders>
              <w:bottom w:val="single" w:sz="8" w:color="auto"/>
            </w:tcBorders>
            <w:gridSpan w:val="6"/>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7420" w:type="dxa"/>
            <w:vAlign w:val="bottom"/>
            <w:gridSpan w:val="6"/>
          </w:tcPr>
          <w:p>
            <w:pPr>
              <w:spacing w:after="0"/>
              <w:rPr>
                <w:sz w:val="20"/>
                <w:szCs w:val="20"/>
                <w:color w:val="auto"/>
              </w:rPr>
            </w:pPr>
            <w:r>
              <w:rPr>
                <w:rFonts w:ascii="Arial" w:cs="Arial" w:eastAsia="Arial" w:hAnsi="Arial"/>
                <w:sz w:val="18"/>
                <w:szCs w:val="18"/>
                <w:color w:val="auto"/>
                <w:w w:val="99"/>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7420" w:type="dxa"/>
            <w:vAlign w:val="bottom"/>
            <w:tcBorders>
              <w:bottom w:val="single" w:sz="8" w:color="auto"/>
            </w:tcBorders>
            <w:gridSpan w:val="6"/>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7420" w:type="dxa"/>
            <w:vAlign w:val="bottom"/>
            <w:gridSpan w:val="6"/>
          </w:tcPr>
          <w:p>
            <w:pPr>
              <w:spacing w:after="0"/>
              <w:rPr>
                <w:sz w:val="20"/>
                <w:szCs w:val="20"/>
                <w:color w:val="auto"/>
              </w:rPr>
            </w:pPr>
            <w:r>
              <w:rPr>
                <w:rFonts w:ascii="Arial" w:cs="Arial" w:eastAsia="Arial" w:hAnsi="Arial"/>
                <w:sz w:val="18"/>
                <w:szCs w:val="18"/>
                <w:color w:val="auto"/>
                <w:w w:val="92"/>
              </w:rPr>
              <w:t>PERCENT OF CLASS REPRESENTED BY AMOUNT IN ROW (11)21.6% (2)</w:t>
            </w:r>
          </w:p>
        </w:tc>
        <w:tc>
          <w:tcPr>
            <w:tcW w:w="118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gridSpan w:val="4"/>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3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TYPE OF REPORTING PERSON</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w:t>
            </w:r>
          </w:p>
        </w:tc>
        <w:tc>
          <w:tcPr>
            <w:tcW w:w="3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8"/>
        <w:spacing w:after="0" w:line="255" w:lineRule="auto"/>
        <w:tabs>
          <w:tab w:leader="none" w:pos="487" w:val="left"/>
        </w:tabs>
        <w:numPr>
          <w:ilvl w:val="0"/>
          <w:numId w:val="1"/>
        </w:numPr>
        <w:rPr>
          <w:rFonts w:ascii="Arial" w:cs="Arial" w:eastAsia="Arial" w:hAnsi="Arial"/>
          <w:sz w:val="18"/>
          <w:szCs w:val="18"/>
          <w:color w:val="auto"/>
        </w:rPr>
      </w:pPr>
      <w:r>
        <w:rPr>
          <w:rFonts w:ascii="Arial" w:cs="Arial" w:eastAsia="Arial" w:hAnsi="Arial"/>
          <w:sz w:val="18"/>
          <w:szCs w:val="18"/>
          <w:color w:val="auto"/>
        </w:rPr>
        <w:t>18,606,189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0" w:lineRule="exact"/>
        <w:rPr>
          <w:rFonts w:ascii="Arial" w:cs="Arial" w:eastAsia="Arial" w:hAnsi="Arial"/>
          <w:sz w:val="18"/>
          <w:szCs w:val="18"/>
          <w:color w:val="auto"/>
        </w:rPr>
      </w:pPr>
    </w:p>
    <w:p>
      <w:pPr>
        <w:ind w:right="200" w:firstLine="8"/>
        <w:spacing w:after="0" w:line="277" w:lineRule="auto"/>
        <w:tabs>
          <w:tab w:leader="none" w:pos="487"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98,879,794 shares of Common Stock outstanding as of April 17, 2014, as reported in the Company’s Quarterly Report on Form 10-Q filed with the Securities and Exchange Commission on May 8, 2014.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ind w:right="240"/>
        <w:spacing w:after="0" w:line="259" w:lineRule="auto"/>
        <w:rPr>
          <w:sz w:val="20"/>
          <w:szCs w:val="20"/>
          <w:color w:val="auto"/>
        </w:rPr>
      </w:pPr>
      <w:r>
        <w:rPr>
          <w:rFonts w:ascii="Arial" w:cs="Arial" w:eastAsia="Arial" w:hAnsi="Arial"/>
          <w:sz w:val="18"/>
          <w:szCs w:val="18"/>
          <w:color w:val="auto"/>
        </w:rPr>
        <w:t>This Amendment No. 8 (this “</w:t>
      </w:r>
      <w:r>
        <w:rPr>
          <w:rFonts w:ascii="Arial" w:cs="Arial" w:eastAsia="Arial" w:hAnsi="Arial"/>
          <w:sz w:val="18"/>
          <w:szCs w:val="18"/>
          <w:u w:val="single" w:color="auto"/>
          <w:color w:val="auto"/>
        </w:rPr>
        <w:t>Amendment No. 8</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52" w:lineRule="exact"/>
        <w:rPr>
          <w:sz w:val="20"/>
          <w:szCs w:val="20"/>
          <w:color w:val="auto"/>
        </w:rPr>
      </w:pPr>
    </w:p>
    <w:p>
      <w:pPr>
        <w:ind w:right="120" w:firstLine="855"/>
        <w:spacing w:after="0" w:line="277" w:lineRule="auto"/>
        <w:rPr>
          <w:sz w:val="20"/>
          <w:szCs w:val="20"/>
          <w:color w:val="auto"/>
        </w:rPr>
      </w:pPr>
      <w:r>
        <w:rPr>
          <w:rFonts w:ascii="Arial" w:cs="Arial" w:eastAsia="Arial" w:hAnsi="Arial"/>
          <w:sz w:val="18"/>
          <w:szCs w:val="18"/>
          <w:color w:val="auto"/>
        </w:rPr>
        <w:t>For the purchases it made as disclosed in Item 5(c) of this Amendment No. 8, SAAN paid an aggregate of $348,139,911.15, excluding brokerage commission and fees. The source of such funds was working capital.</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Reporting Person purchased, through its subsidiary SAAN, an aggregate of 1,146,900 shares of Common Stock in market transactions, as disclosed in Item 5(c) of this Amendment No. 8.</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in the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25" w:lineRule="exact"/>
        <w:rPr>
          <w:sz w:val="20"/>
          <w:szCs w:val="20"/>
          <w:color w:val="auto"/>
        </w:rPr>
      </w:pPr>
    </w:p>
    <w:p>
      <w:pPr>
        <w:ind w:right="380" w:firstLine="877"/>
        <w:spacing w:after="0" w:line="255" w:lineRule="auto"/>
        <w:tabs>
          <w:tab w:leader="none" w:pos="111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8 as of the close of business on July 8, 2014, are incorporated herein by reference. As of the close of business on July 8, 2014, the Reporting Person beneficially owned 21,405,741 shares of Common Stock, representing approximately 21.6% of the shares of Common Stock outstanding (based on 98,879,794 shares of Common Stock outstanding as of April 17, 2014, as reported in the Company’s Quarterly Report on Form 10-Q filed with the Securities and Exchange Commission on May 8, 2014). The Reporting Person may be deemed to have shared voting and dispositive power with respect to the shares of Common Stock directly owned by SAAN and Aventis, its subsidiaries.</w:t>
      </w:r>
    </w:p>
    <w:p>
      <w:pPr>
        <w:spacing w:after="0" w:line="193" w:lineRule="exact"/>
        <w:rPr>
          <w:sz w:val="20"/>
          <w:szCs w:val="20"/>
          <w:color w:val="auto"/>
        </w:rPr>
      </w:pPr>
    </w:p>
    <w:p>
      <w:pPr>
        <w:ind w:right="280" w:firstLine="869"/>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July 8, 2014.</w:t>
      </w:r>
    </w:p>
    <w:p>
      <w:pPr>
        <w:spacing w:after="0" w:line="170" w:lineRule="exact"/>
        <w:rPr>
          <w:sz w:val="20"/>
          <w:szCs w:val="20"/>
          <w:color w:val="auto"/>
        </w:rPr>
      </w:pPr>
    </w:p>
    <w:p>
      <w:pPr>
        <w:ind w:right="20" w:firstLine="877"/>
        <w:spacing w:after="0" w:line="277" w:lineRule="auto"/>
        <w:tabs>
          <w:tab w:leader="none" w:pos="1159"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July 8, 2014, market transactions were effected in the Common Stock as disclosed in Schedule A to this Amendment No. 8.</w:t>
      </w:r>
    </w:p>
    <w:p>
      <w:pPr>
        <w:spacing w:after="0" w:line="170" w:lineRule="exact"/>
        <w:rPr>
          <w:sz w:val="20"/>
          <w:szCs w:val="20"/>
          <w:color w:val="auto"/>
        </w:rPr>
      </w:pPr>
    </w:p>
    <w:p>
      <w:pPr>
        <w:ind w:firstLine="869"/>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70" w:lineRule="exact"/>
        <w:rPr>
          <w:sz w:val="20"/>
          <w:szCs w:val="20"/>
          <w:color w:val="auto"/>
        </w:rPr>
      </w:pPr>
    </w:p>
    <w:p>
      <w:pPr>
        <w:ind w:left="1180" w:hanging="303"/>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60" w:hanging="28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2014</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John Felitti</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209"/>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30"/>
        </w:trPr>
        <w:tc>
          <w:tcPr>
            <w:tcW w:w="56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20" w:type="dxa"/>
            <w:vAlign w:val="bottom"/>
            <w:gridSpan w:val="3"/>
          </w:tcPr>
          <w:p>
            <w:pPr>
              <w:jc w:val="center"/>
              <w:ind w:left="1210"/>
              <w:spacing w:after="0"/>
              <w:rPr>
                <w:sz w:val="20"/>
                <w:szCs w:val="20"/>
                <w:color w:val="auto"/>
              </w:rPr>
            </w:pPr>
            <w:r>
              <w:rPr>
                <w:rFonts w:ascii="Arial" w:cs="Arial" w:eastAsia="Arial" w:hAnsi="Arial"/>
                <w:sz w:val="18"/>
                <w:szCs w:val="18"/>
                <w:color w:val="auto"/>
                <w:w w:val="91"/>
              </w:rPr>
              <w:t>Schedule A</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5"/>
              </w:rPr>
              <w:t>Number of</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Shares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88"/>
              </w:rPr>
              <w:t>Trade Date</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2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w w:val="97"/>
              </w:rPr>
              <w:t>Price per</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Entity</w:t>
            </w:r>
          </w:p>
        </w:tc>
        <w:tc>
          <w:tcPr>
            <w:tcW w:w="2420" w:type="dxa"/>
            <w:vAlign w:val="bottom"/>
          </w:tcPr>
          <w:p>
            <w:pPr>
              <w:jc w:val="center"/>
              <w:ind w:left="430"/>
              <w:spacing w:after="0"/>
              <w:rPr>
                <w:sz w:val="20"/>
                <w:szCs w:val="20"/>
                <w:color w:val="auto"/>
              </w:rPr>
            </w:pPr>
            <w:r>
              <w:rPr>
                <w:rFonts w:ascii="Arial" w:cs="Arial" w:eastAsia="Arial" w:hAnsi="Arial"/>
                <w:sz w:val="18"/>
                <w:szCs w:val="18"/>
                <w:color w:val="auto"/>
              </w:rPr>
              <w:t>(M/D/Y)†</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Transaction</w:t>
            </w: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6"/>
              </w:rPr>
              <w:t>Stock*</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Share*</w:t>
            </w:r>
          </w:p>
        </w:tc>
        <w:tc>
          <w:tcPr>
            <w:tcW w:w="480" w:type="dxa"/>
            <w:vAlign w:val="bottom"/>
          </w:tcPr>
          <w:p>
            <w:pPr>
              <w:spacing w:after="0"/>
              <w:rPr>
                <w:sz w:val="20"/>
                <w:szCs w:val="20"/>
                <w:color w:val="auto"/>
              </w:rPr>
            </w:pP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Price Range*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275.6790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276.3318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276.06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277.2944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278.3020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278.10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280.0328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279.29</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20,665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280.7446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280.30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281.8940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281.32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79,511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282.9111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282.32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283.8328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283.32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90"/>
              <w:spacing w:after="0"/>
              <w:rPr>
                <w:sz w:val="20"/>
                <w:szCs w:val="20"/>
                <w:color w:val="auto"/>
              </w:rPr>
            </w:pPr>
            <w:r>
              <w:rPr>
                <w:rFonts w:ascii="Arial" w:cs="Arial" w:eastAsia="Arial" w:hAnsi="Arial"/>
                <w:sz w:val="18"/>
                <w:szCs w:val="18"/>
                <w:color w:val="auto"/>
                <w:w w:val="92"/>
              </w:rPr>
              <w:t>6/30/2014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284.5270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284.33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285.8900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285.55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287.0772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286.69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288.2412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287.74</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289.3166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289.00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292.9795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292.50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294.2568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293.67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295.0946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294.68</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296.3817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295.70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297.2576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296.72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298.1332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297.72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299.1603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298.73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300.2167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299.73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301.2295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300.73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302.3760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301.79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303.2385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7/1/2014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22,158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304.0121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303.80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298.9059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298.29</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299.8729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299.29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300.5558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300.32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301.6310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301.36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303.0229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302.59</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304.1930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303.73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305.2062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304.75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306.3395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305.77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307.2525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306.77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308.4334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307.81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Purchase</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309.3588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308.81</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309.80</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80" w:type="dxa"/>
            <w:vAlign w:val="bottom"/>
            <w:gridSpan w:val="2"/>
          </w:tcPr>
          <w:p>
            <w:pPr>
              <w:jc w:val="right"/>
              <w:ind w:right="400"/>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520" w:type="dxa"/>
            <w:vAlign w:val="bottom"/>
            <w:tcBorders>
              <w:bottom w:val="single" w:sz="8" w:color="B22222"/>
            </w:tcBorders>
          </w:tcPr>
          <w:p>
            <w:pPr>
              <w:spacing w:after="0"/>
              <w:rPr>
                <w:sz w:val="4"/>
                <w:szCs w:val="4"/>
                <w:color w:val="auto"/>
              </w:rPr>
            </w:pPr>
          </w:p>
        </w:tc>
        <w:tc>
          <w:tcPr>
            <w:tcW w:w="2420" w:type="dxa"/>
            <w:vAlign w:val="bottom"/>
            <w:tcBorders>
              <w:bottom w:val="single" w:sz="8" w:color="B22222"/>
            </w:tcBorders>
          </w:tcPr>
          <w:p>
            <w:pPr>
              <w:spacing w:after="0"/>
              <w:rPr>
                <w:sz w:val="4"/>
                <w:szCs w:val="4"/>
                <w:color w:val="auto"/>
              </w:rPr>
            </w:pPr>
          </w:p>
        </w:tc>
        <w:tc>
          <w:tcPr>
            <w:tcW w:w="1340" w:type="dxa"/>
            <w:vAlign w:val="bottom"/>
            <w:tcBorders>
              <w:bottom w:val="single" w:sz="8" w:color="B22222"/>
            </w:tcBorders>
          </w:tcPr>
          <w:p>
            <w:pPr>
              <w:spacing w:after="0"/>
              <w:rPr>
                <w:sz w:val="4"/>
                <w:szCs w:val="4"/>
                <w:color w:val="auto"/>
              </w:rPr>
            </w:pPr>
          </w:p>
        </w:tc>
        <w:tc>
          <w:tcPr>
            <w:tcW w:w="840" w:type="dxa"/>
            <w:vAlign w:val="bottom"/>
            <w:tcBorders>
              <w:bottom w:val="single" w:sz="8" w:color="B22222"/>
            </w:tcBorders>
          </w:tcPr>
          <w:p>
            <w:pPr>
              <w:spacing w:after="0"/>
              <w:rPr>
                <w:sz w:val="4"/>
                <w:szCs w:val="4"/>
                <w:color w:val="auto"/>
              </w:rPr>
            </w:pPr>
          </w:p>
        </w:tc>
        <w:tc>
          <w:tcPr>
            <w:tcW w:w="40" w:type="dxa"/>
            <w:vAlign w:val="bottom"/>
            <w:tcBorders>
              <w:bottom w:val="single" w:sz="8" w:color="B22222"/>
            </w:tcBorders>
          </w:tcPr>
          <w:p>
            <w:pPr>
              <w:spacing w:after="0"/>
              <w:rPr>
                <w:sz w:val="4"/>
                <w:szCs w:val="4"/>
                <w:color w:val="auto"/>
              </w:rPr>
            </w:pPr>
          </w:p>
        </w:tc>
        <w:tc>
          <w:tcPr>
            <w:tcW w:w="1140" w:type="dxa"/>
            <w:vAlign w:val="bottom"/>
            <w:tcBorders>
              <w:bottom w:val="single" w:sz="8" w:color="B22222"/>
            </w:tcBorders>
          </w:tcPr>
          <w:p>
            <w:pPr>
              <w:spacing w:after="0"/>
              <w:rPr>
                <w:sz w:val="4"/>
                <w:szCs w:val="4"/>
                <w:color w:val="auto"/>
              </w:rPr>
            </w:pPr>
          </w:p>
        </w:tc>
        <w:tc>
          <w:tcPr>
            <w:tcW w:w="280" w:type="dxa"/>
            <w:vAlign w:val="bottom"/>
            <w:tcBorders>
              <w:bottom w:val="single" w:sz="8" w:color="B22222"/>
            </w:tcBorders>
          </w:tcPr>
          <w:p>
            <w:pPr>
              <w:spacing w:after="0"/>
              <w:rPr>
                <w:sz w:val="4"/>
                <w:szCs w:val="4"/>
                <w:color w:val="auto"/>
              </w:rPr>
            </w:pPr>
          </w:p>
        </w:tc>
        <w:tc>
          <w:tcPr>
            <w:tcW w:w="1080" w:type="dxa"/>
            <w:vAlign w:val="bottom"/>
            <w:tcBorders>
              <w:bottom w:val="single" w:sz="8" w:color="B22222"/>
            </w:tcBorders>
          </w:tcPr>
          <w:p>
            <w:pPr>
              <w:spacing w:after="0"/>
              <w:rPr>
                <w:sz w:val="4"/>
                <w:szCs w:val="4"/>
                <w:color w:val="auto"/>
              </w:rPr>
            </w:pPr>
          </w:p>
        </w:tc>
        <w:tc>
          <w:tcPr>
            <w:tcW w:w="480" w:type="dxa"/>
            <w:vAlign w:val="bottom"/>
            <w:tcBorders>
              <w:bottom w:val="single" w:sz="8" w:color="B22222"/>
            </w:tcBorders>
          </w:tcPr>
          <w:p>
            <w:pPr>
              <w:spacing w:after="0"/>
              <w:rPr>
                <w:sz w:val="4"/>
                <w:szCs w:val="4"/>
                <w:color w:val="auto"/>
              </w:rPr>
            </w:pPr>
          </w:p>
        </w:tc>
        <w:tc>
          <w:tcPr>
            <w:tcW w:w="880" w:type="dxa"/>
            <w:vAlign w:val="bottom"/>
            <w:tcBorders>
              <w:bottom w:val="single" w:sz="8" w:color="B22222"/>
            </w:tcBorders>
          </w:tcPr>
          <w:p>
            <w:pPr>
              <w:spacing w:after="0"/>
              <w:rPr>
                <w:sz w:val="4"/>
                <w:szCs w:val="4"/>
                <w:color w:val="auto"/>
              </w:rPr>
            </w:pPr>
          </w:p>
        </w:tc>
        <w:tc>
          <w:tcPr>
            <w:tcW w:w="620" w:type="dxa"/>
            <w:vAlign w:val="bottom"/>
            <w:tcBorders>
              <w:bottom w:val="single" w:sz="8" w:color="B22222"/>
            </w:tcBorders>
          </w:tcPr>
          <w:p>
            <w:pPr>
              <w:spacing w:after="0"/>
              <w:rPr>
                <w:sz w:val="4"/>
                <w:szCs w:val="4"/>
                <w:color w:val="auto"/>
              </w:rPr>
            </w:pPr>
          </w:p>
        </w:tc>
        <w:tc>
          <w:tcPr>
            <w:tcW w:w="760" w:type="dxa"/>
            <w:vAlign w:val="bottom"/>
            <w:tcBorders>
              <w:bottom w:val="single" w:sz="8" w:color="B22222"/>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80" w:type="dxa"/>
            <w:vAlign w:val="bottom"/>
          </w:tcPr>
          <w:p>
            <w:pPr>
              <w:jc w:val="center"/>
              <w:ind w:left="130"/>
              <w:spacing w:after="0"/>
              <w:rPr>
                <w:sz w:val="20"/>
                <w:szCs w:val="20"/>
                <w:color w:val="auto"/>
              </w:rPr>
            </w:pPr>
            <w:r>
              <w:rPr>
                <w:rFonts w:ascii="Arial" w:cs="Arial" w:eastAsia="Arial" w:hAnsi="Arial"/>
                <w:sz w:val="18"/>
                <w:szCs w:val="18"/>
                <w:color w:val="auto"/>
                <w:w w:val="92"/>
              </w:rPr>
              <w:t>Number of</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8"/>
              </w:rPr>
              <w:t>Shares of</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88"/>
              </w:rPr>
              <w:t>Trade Date</w:t>
            </w:r>
          </w:p>
        </w:tc>
        <w:tc>
          <w:tcPr>
            <w:tcW w:w="1880" w:type="dxa"/>
            <w:vAlign w:val="bottom"/>
          </w:tcPr>
          <w:p>
            <w:pPr>
              <w:spacing w:after="0"/>
              <w:rPr>
                <w:sz w:val="18"/>
                <w:szCs w:val="18"/>
                <w:color w:val="auto"/>
              </w:rPr>
            </w:pPr>
          </w:p>
        </w:tc>
        <w:tc>
          <w:tcPr>
            <w:tcW w:w="1480" w:type="dxa"/>
            <w:vAlign w:val="bottom"/>
          </w:tcPr>
          <w:p>
            <w:pPr>
              <w:jc w:val="center"/>
              <w:ind w:left="130"/>
              <w:spacing w:after="0"/>
              <w:rPr>
                <w:sz w:val="20"/>
                <w:szCs w:val="20"/>
                <w:color w:val="auto"/>
              </w:rPr>
            </w:pPr>
            <w:r>
              <w:rPr>
                <w:rFonts w:ascii="Arial" w:cs="Arial" w:eastAsia="Arial" w:hAnsi="Arial"/>
                <w:sz w:val="18"/>
                <w:szCs w:val="18"/>
                <w:color w:val="auto"/>
                <w:w w:val="90"/>
              </w:rPr>
              <w:t>Common</w:t>
            </w:r>
          </w:p>
        </w:tc>
        <w:tc>
          <w:tcPr>
            <w:tcW w:w="3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Price per</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Entity</w:t>
            </w:r>
          </w:p>
        </w:tc>
        <w:tc>
          <w:tcPr>
            <w:tcW w:w="2420" w:type="dxa"/>
            <w:vAlign w:val="bottom"/>
          </w:tcPr>
          <w:p>
            <w:pPr>
              <w:jc w:val="center"/>
              <w:ind w:left="430"/>
              <w:spacing w:after="0"/>
              <w:rPr>
                <w:sz w:val="20"/>
                <w:szCs w:val="20"/>
                <w:color w:val="auto"/>
              </w:rPr>
            </w:pPr>
            <w:r>
              <w:rPr>
                <w:rFonts w:ascii="Arial" w:cs="Arial" w:eastAsia="Arial" w:hAnsi="Arial"/>
                <w:sz w:val="18"/>
                <w:szCs w:val="18"/>
                <w:color w:val="auto"/>
              </w:rPr>
              <w:t>(M/D/Y)†</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91"/>
              </w:rPr>
              <w:t>Transaction</w:t>
            </w:r>
          </w:p>
        </w:tc>
        <w:tc>
          <w:tcPr>
            <w:tcW w:w="1480" w:type="dxa"/>
            <w:vAlign w:val="bottom"/>
          </w:tcPr>
          <w:p>
            <w:pPr>
              <w:jc w:val="center"/>
              <w:ind w:left="130"/>
              <w:spacing w:after="0"/>
              <w:rPr>
                <w:sz w:val="20"/>
                <w:szCs w:val="20"/>
                <w:color w:val="auto"/>
              </w:rPr>
            </w:pPr>
            <w:r>
              <w:rPr>
                <w:rFonts w:ascii="Arial" w:cs="Arial" w:eastAsia="Arial" w:hAnsi="Arial"/>
                <w:sz w:val="18"/>
                <w:szCs w:val="18"/>
                <w:color w:val="auto"/>
                <w:w w:val="96"/>
              </w:rPr>
              <w:t>Stock*</w:t>
            </w:r>
          </w:p>
        </w:tc>
        <w:tc>
          <w:tcPr>
            <w:tcW w:w="3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Share*</w:t>
            </w:r>
          </w:p>
        </w:tc>
        <w:tc>
          <w:tcPr>
            <w:tcW w:w="480" w:type="dxa"/>
            <w:vAlign w:val="bottom"/>
          </w:tcPr>
          <w:p>
            <w:pPr>
              <w:spacing w:after="0"/>
              <w:rPr>
                <w:sz w:val="20"/>
                <w:szCs w:val="20"/>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Price Range*</w:t>
            </w:r>
          </w:p>
        </w:tc>
        <w:tc>
          <w:tcPr>
            <w:tcW w:w="720" w:type="dxa"/>
            <w:vAlign w:val="bottom"/>
          </w:tcPr>
          <w:p>
            <w:pPr>
              <w:spacing w:after="0"/>
              <w:rPr>
                <w:sz w:val="20"/>
                <w:szCs w:val="20"/>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28,290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310.1358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309.81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310.80</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7/2/2014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311.3193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310.81</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311.80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7/2/2014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311.9243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311.81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312.11</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7/3/2014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309.4638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308.73</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309.72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7/3/2014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24,877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310.2112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309.73</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310.71</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7/3/2014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31,358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311.1989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310.73</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311.72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7/3/2014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20,376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312.2828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311.73</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312.71</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7/3/2014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7,436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312.8424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312.73</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312.97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7/7/2014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14,852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311.1676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310.48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311.47</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7/7/2014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102,911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312.0998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311.48</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312.47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7/7/2014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72,706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312.8645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312.48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313.44</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7/7/2014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30,731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314.0601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313.50</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314.43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7/7/2014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33,408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314.9575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314.50</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315.49</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7/7/2014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315.5946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315.50</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315.65</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9,985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309.3301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308.76</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309.74</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310.3359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309.75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310.73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42,745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311.2548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310.75</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311.74</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17,014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312.1152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311.75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312.68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32,331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313.0924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312.74</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313.68</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24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314.4147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313.77</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314.69</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SAAN</w:t>
            </w:r>
          </w:p>
        </w:tc>
        <w:tc>
          <w:tcPr>
            <w:tcW w:w="2420" w:type="dxa"/>
            <w:vAlign w:val="bottom"/>
          </w:tcPr>
          <w:p>
            <w:pPr>
              <w:jc w:val="center"/>
              <w:ind w:left="370"/>
              <w:spacing w:after="0"/>
              <w:rPr>
                <w:sz w:val="20"/>
                <w:szCs w:val="20"/>
                <w:color w:val="auto"/>
              </w:rPr>
            </w:pPr>
            <w:r>
              <w:rPr>
                <w:rFonts w:ascii="Arial" w:cs="Arial" w:eastAsia="Arial" w:hAnsi="Arial"/>
                <w:sz w:val="18"/>
                <w:szCs w:val="18"/>
                <w:color w:val="auto"/>
                <w:w w:val="91"/>
              </w:rPr>
              <w:t>7/8/2014</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86"/>
              </w:rPr>
              <w:t>Purchase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314.8523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314.79</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315.00</w:t>
            </w:r>
          </w:p>
        </w:tc>
      </w:tr>
    </w:tbl>
    <w:p>
      <w:pPr>
        <w:spacing w:after="0" w:line="21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†SAAN purchased the shares of Common Stock pursuant to a plan intended to comply with Rule 10b5-1(c)(1)(i) under the Exchange Act, entered into with a broker on June 27, 2014.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2019-12-06T04:15:02Z</dcterms:created>
  <dcterms:modified xsi:type="dcterms:W3CDTF">2019-12-06T04:15:02Z</dcterms:modified>
</cp:coreProperties>
</file>