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10,730,563</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10,730,563</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10,730,563</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10,730,563 shares or 11.9% of the 90,466,200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2012</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Walter R. Burkley</w:t>
      </w:r>
    </w:p>
    <w:p>
      <w:pPr>
        <w:ind w:left="1580"/>
        <w:spacing w:after="0" w:line="238" w:lineRule="auto"/>
        <w:rPr>
          <w:sz w:val="20"/>
          <w:szCs w:val="20"/>
          <w:color w:val="auto"/>
        </w:rPr>
      </w:pPr>
      <w:r>
        <w:rPr>
          <w:rFonts w:ascii="Courier New" w:cs="Courier New" w:eastAsia="Courier New" w:hAnsi="Courier New"/>
          <w:sz w:val="18"/>
          <w:szCs w:val="18"/>
          <w:color w:val="auto"/>
        </w:rPr>
        <w:t>Walter R. Burkley</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2019-12-09T09:40:56Z</dcterms:created>
  <dcterms:modified xsi:type="dcterms:W3CDTF">2019-12-09T09:40:56Z</dcterms:modified>
</cp:coreProperties>
</file>