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460" w:type="dxa"/>
        <w:tblCellMar>
          <w:top w:w="0" w:type="dxa"/>
          <w:left w:w="0" w:type="dxa"/>
          <w:bottom w:w="0" w:type="dxa"/>
          <w:right w:w="0" w:type="dxa"/>
        </w:tblCellMar>
      </w:tblPr>
      <w:tr>
        <w:trPr>
          <w:trHeight w:val="253"/>
        </w:trPr>
        <w:tc>
          <w:tcPr>
            <w:tcW w:w="6680" w:type="dxa"/>
            <w:vAlign w:val="bottom"/>
          </w:tcPr>
          <w:p>
            <w:pPr>
              <w:jc w:val="center"/>
              <w:ind w:left="1787"/>
              <w:spacing w:after="0"/>
              <w:rPr>
                <w:sz w:val="20"/>
                <w:szCs w:val="20"/>
                <w:color w:val="auto"/>
              </w:rPr>
            </w:pPr>
            <w:r>
              <w:rPr>
                <w:rFonts w:ascii="Arial" w:cs="Arial" w:eastAsia="Arial" w:hAnsi="Arial"/>
                <w:sz w:val="22"/>
                <w:szCs w:val="22"/>
                <w:b w:val="1"/>
                <w:bCs w:val="1"/>
                <w:color w:val="auto"/>
                <w:w w:val="97"/>
              </w:rPr>
              <w:t>UNITED STATES</w:t>
            </w:r>
          </w:p>
        </w:tc>
        <w:tc>
          <w:tcPr>
            <w:tcW w:w="980" w:type="dxa"/>
            <w:vAlign w:val="bottom"/>
          </w:tcPr>
          <w:p>
            <w:pPr>
              <w:spacing w:after="0"/>
              <w:rPr>
                <w:sz w:val="21"/>
                <w:szCs w:val="21"/>
                <w:color w:val="auto"/>
              </w:rPr>
            </w:pPr>
          </w:p>
        </w:tc>
      </w:tr>
      <w:tr>
        <w:trPr>
          <w:trHeight w:val="258"/>
        </w:trPr>
        <w:tc>
          <w:tcPr>
            <w:tcW w:w="6680" w:type="dxa"/>
            <w:vAlign w:val="bottom"/>
          </w:tcPr>
          <w:p>
            <w:pPr>
              <w:jc w:val="center"/>
              <w:ind w:left="1787"/>
              <w:spacing w:after="0"/>
              <w:rPr>
                <w:sz w:val="20"/>
                <w:szCs w:val="20"/>
                <w:color w:val="auto"/>
              </w:rPr>
            </w:pPr>
            <w:r>
              <w:rPr>
                <w:rFonts w:ascii="Arial" w:cs="Arial" w:eastAsia="Arial" w:hAnsi="Arial"/>
                <w:sz w:val="22"/>
                <w:szCs w:val="22"/>
                <w:b w:val="1"/>
                <w:bCs w:val="1"/>
                <w:color w:val="auto"/>
                <w:w w:val="99"/>
              </w:rPr>
              <w:t>SECURITIES AND EXCHANGE COMMISSION</w:t>
            </w:r>
          </w:p>
        </w:tc>
        <w:tc>
          <w:tcPr>
            <w:tcW w:w="980" w:type="dxa"/>
            <w:vAlign w:val="bottom"/>
          </w:tcPr>
          <w:p>
            <w:pPr>
              <w:spacing w:after="0"/>
              <w:rPr>
                <w:sz w:val="22"/>
                <w:szCs w:val="22"/>
                <w:color w:val="auto"/>
              </w:rPr>
            </w:pPr>
          </w:p>
        </w:tc>
      </w:tr>
      <w:tr>
        <w:trPr>
          <w:trHeight w:val="157"/>
        </w:trPr>
        <w:tc>
          <w:tcPr>
            <w:tcW w:w="6680" w:type="dxa"/>
            <w:vAlign w:val="bottom"/>
          </w:tcPr>
          <w:p>
            <w:pPr>
              <w:jc w:val="center"/>
              <w:ind w:left="1807"/>
              <w:spacing w:after="0"/>
              <w:rPr>
                <w:sz w:val="20"/>
                <w:szCs w:val="20"/>
                <w:color w:val="auto"/>
              </w:rPr>
            </w:pPr>
            <w:r>
              <w:rPr>
                <w:rFonts w:ascii="Arial" w:cs="Arial" w:eastAsia="Arial" w:hAnsi="Arial"/>
                <w:sz w:val="12"/>
                <w:szCs w:val="12"/>
                <w:b w:val="1"/>
                <w:bCs w:val="1"/>
                <w:color w:val="auto"/>
                <w:w w:val="91"/>
              </w:rPr>
              <w:t>Washington, D.C. 20549</w:t>
            </w:r>
          </w:p>
        </w:tc>
        <w:tc>
          <w:tcPr>
            <w:tcW w:w="980" w:type="dxa"/>
            <w:vAlign w:val="bottom"/>
          </w:tcPr>
          <w:p>
            <w:pPr>
              <w:spacing w:after="0"/>
              <w:rPr>
                <w:sz w:val="13"/>
                <w:szCs w:val="13"/>
                <w:color w:val="auto"/>
              </w:rPr>
            </w:pPr>
          </w:p>
        </w:tc>
      </w:tr>
      <w:tr>
        <w:trPr>
          <w:trHeight w:val="397"/>
        </w:trPr>
        <w:tc>
          <w:tcPr>
            <w:tcW w:w="6680" w:type="dxa"/>
            <w:vAlign w:val="bottom"/>
          </w:tcPr>
          <w:p>
            <w:pPr>
              <w:jc w:val="center"/>
              <w:ind w:left="1787"/>
              <w:spacing w:after="0"/>
              <w:rPr>
                <w:sz w:val="20"/>
                <w:szCs w:val="20"/>
                <w:color w:val="auto"/>
              </w:rPr>
            </w:pPr>
            <w:r>
              <w:rPr>
                <w:rFonts w:ascii="Arial" w:cs="Arial" w:eastAsia="Arial" w:hAnsi="Arial"/>
                <w:sz w:val="22"/>
                <w:szCs w:val="22"/>
                <w:b w:val="1"/>
                <w:bCs w:val="1"/>
                <w:color w:val="auto"/>
                <w:w w:val="99"/>
              </w:rPr>
              <w:t>FORM 8-K</w:t>
            </w:r>
          </w:p>
        </w:tc>
        <w:tc>
          <w:tcPr>
            <w:tcW w:w="980" w:type="dxa"/>
            <w:vAlign w:val="bottom"/>
          </w:tcPr>
          <w:p>
            <w:pPr>
              <w:spacing w:after="0"/>
              <w:rPr>
                <w:sz w:val="24"/>
                <w:szCs w:val="24"/>
                <w:color w:val="auto"/>
              </w:rPr>
            </w:pPr>
          </w:p>
        </w:tc>
      </w:tr>
      <w:tr>
        <w:trPr>
          <w:trHeight w:val="302"/>
        </w:trPr>
        <w:tc>
          <w:tcPr>
            <w:tcW w:w="6680" w:type="dxa"/>
            <w:vAlign w:val="bottom"/>
          </w:tcPr>
          <w:p>
            <w:pPr>
              <w:jc w:val="center"/>
              <w:ind w:left="1787"/>
              <w:spacing w:after="0"/>
              <w:rPr>
                <w:sz w:val="20"/>
                <w:szCs w:val="20"/>
                <w:color w:val="auto"/>
              </w:rPr>
            </w:pPr>
            <w:r>
              <w:rPr>
                <w:rFonts w:ascii="Arial" w:cs="Arial" w:eastAsia="Arial" w:hAnsi="Arial"/>
                <w:sz w:val="14"/>
                <w:szCs w:val="14"/>
                <w:b w:val="1"/>
                <w:bCs w:val="1"/>
                <w:color w:val="auto"/>
              </w:rPr>
              <w:t>CURRENT REPORT</w:t>
            </w:r>
          </w:p>
        </w:tc>
        <w:tc>
          <w:tcPr>
            <w:tcW w:w="980" w:type="dxa"/>
            <w:vAlign w:val="bottom"/>
          </w:tcPr>
          <w:p>
            <w:pPr>
              <w:spacing w:after="0"/>
              <w:rPr>
                <w:sz w:val="24"/>
                <w:szCs w:val="24"/>
                <w:color w:val="auto"/>
              </w:rPr>
            </w:pPr>
          </w:p>
        </w:tc>
      </w:tr>
      <w:tr>
        <w:trPr>
          <w:trHeight w:val="282"/>
        </w:trPr>
        <w:tc>
          <w:tcPr>
            <w:tcW w:w="6680" w:type="dxa"/>
            <w:vAlign w:val="bottom"/>
          </w:tcPr>
          <w:p>
            <w:pPr>
              <w:jc w:val="center"/>
              <w:ind w:left="1807"/>
              <w:spacing w:after="0"/>
              <w:rPr>
                <w:sz w:val="20"/>
                <w:szCs w:val="20"/>
                <w:color w:val="auto"/>
              </w:rPr>
            </w:pPr>
            <w:r>
              <w:rPr>
                <w:rFonts w:ascii="Arial" w:cs="Arial" w:eastAsia="Arial" w:hAnsi="Arial"/>
                <w:sz w:val="14"/>
                <w:szCs w:val="14"/>
                <w:b w:val="1"/>
                <w:bCs w:val="1"/>
                <w:color w:val="auto"/>
                <w:w w:val="92"/>
              </w:rPr>
              <w:t>Pursuant to Section 13 or 15(d) of</w:t>
            </w:r>
          </w:p>
        </w:tc>
        <w:tc>
          <w:tcPr>
            <w:tcW w:w="980" w:type="dxa"/>
            <w:vAlign w:val="bottom"/>
          </w:tcPr>
          <w:p>
            <w:pPr>
              <w:spacing w:after="0"/>
              <w:rPr>
                <w:sz w:val="24"/>
                <w:szCs w:val="24"/>
                <w:color w:val="auto"/>
              </w:rPr>
            </w:pPr>
          </w:p>
        </w:tc>
      </w:tr>
      <w:tr>
        <w:trPr>
          <w:trHeight w:val="186"/>
        </w:trPr>
        <w:tc>
          <w:tcPr>
            <w:tcW w:w="6680" w:type="dxa"/>
            <w:vAlign w:val="bottom"/>
          </w:tcPr>
          <w:p>
            <w:pPr>
              <w:jc w:val="center"/>
              <w:ind w:left="1807"/>
              <w:spacing w:after="0"/>
              <w:rPr>
                <w:sz w:val="20"/>
                <w:szCs w:val="20"/>
                <w:color w:val="auto"/>
              </w:rPr>
            </w:pPr>
            <w:r>
              <w:rPr>
                <w:rFonts w:ascii="Arial" w:cs="Arial" w:eastAsia="Arial" w:hAnsi="Arial"/>
                <w:sz w:val="14"/>
                <w:szCs w:val="14"/>
                <w:b w:val="1"/>
                <w:bCs w:val="1"/>
                <w:color w:val="auto"/>
                <w:w w:val="91"/>
              </w:rPr>
              <w:t>the Securities Exchange Act of 1934</w:t>
            </w:r>
          </w:p>
        </w:tc>
        <w:tc>
          <w:tcPr>
            <w:tcW w:w="980" w:type="dxa"/>
            <w:vAlign w:val="bottom"/>
          </w:tcPr>
          <w:p>
            <w:pPr>
              <w:spacing w:after="0"/>
              <w:rPr>
                <w:sz w:val="16"/>
                <w:szCs w:val="16"/>
                <w:color w:val="auto"/>
              </w:rPr>
            </w:pPr>
          </w:p>
        </w:tc>
      </w:tr>
      <w:tr>
        <w:trPr>
          <w:trHeight w:val="282"/>
        </w:trPr>
        <w:tc>
          <w:tcPr>
            <w:tcW w:w="6680" w:type="dxa"/>
            <w:vAlign w:val="bottom"/>
          </w:tcPr>
          <w:p>
            <w:pPr>
              <w:jc w:val="center"/>
              <w:ind w:left="1807"/>
              <w:spacing w:after="0"/>
              <w:rPr>
                <w:sz w:val="20"/>
                <w:szCs w:val="20"/>
                <w:color w:val="auto"/>
              </w:rPr>
            </w:pPr>
            <w:r>
              <w:rPr>
                <w:rFonts w:ascii="Arial" w:cs="Arial" w:eastAsia="Arial" w:hAnsi="Arial"/>
                <w:sz w:val="12"/>
                <w:szCs w:val="12"/>
                <w:color w:val="auto"/>
                <w:w w:val="91"/>
              </w:rPr>
              <w:t xml:space="preserve">Date of Report: </w:t>
            </w:r>
            <w:r>
              <w:rPr>
                <w:rFonts w:ascii="Arial" w:cs="Arial" w:eastAsia="Arial" w:hAnsi="Arial"/>
                <w:sz w:val="12"/>
                <w:szCs w:val="12"/>
                <w:b w:val="1"/>
                <w:bCs w:val="1"/>
                <w:color w:val="auto"/>
                <w:w w:val="91"/>
              </w:rPr>
              <w:t>January 9, 2017</w:t>
            </w:r>
          </w:p>
        </w:tc>
        <w:tc>
          <w:tcPr>
            <w:tcW w:w="980" w:type="dxa"/>
            <w:vAlign w:val="bottom"/>
          </w:tcPr>
          <w:p>
            <w:pPr>
              <w:spacing w:after="0"/>
              <w:rPr>
                <w:sz w:val="24"/>
                <w:szCs w:val="24"/>
                <w:color w:val="auto"/>
              </w:rPr>
            </w:pPr>
          </w:p>
        </w:tc>
      </w:tr>
      <w:tr>
        <w:trPr>
          <w:trHeight w:val="378"/>
        </w:trPr>
        <w:tc>
          <w:tcPr>
            <w:tcW w:w="6680" w:type="dxa"/>
            <w:vAlign w:val="bottom"/>
          </w:tcPr>
          <w:p>
            <w:pPr>
              <w:jc w:val="center"/>
              <w:ind w:left="1807"/>
              <w:spacing w:after="0"/>
              <w:rPr>
                <w:sz w:val="20"/>
                <w:szCs w:val="20"/>
                <w:color w:val="auto"/>
              </w:rPr>
            </w:pPr>
            <w:r>
              <w:rPr>
                <w:rFonts w:ascii="Arial" w:cs="Arial" w:eastAsia="Arial" w:hAnsi="Arial"/>
                <w:sz w:val="22"/>
                <w:szCs w:val="22"/>
                <w:b w:val="1"/>
                <w:bCs w:val="1"/>
                <w:color w:val="auto"/>
                <w:w w:val="99"/>
              </w:rPr>
              <w:t>REGENERON PHARMACEUTICALS, INC.</w:t>
            </w:r>
          </w:p>
        </w:tc>
        <w:tc>
          <w:tcPr>
            <w:tcW w:w="980" w:type="dxa"/>
            <w:vAlign w:val="bottom"/>
          </w:tcPr>
          <w:p>
            <w:pPr>
              <w:spacing w:after="0"/>
              <w:rPr>
                <w:sz w:val="24"/>
                <w:szCs w:val="24"/>
                <w:color w:val="auto"/>
              </w:rPr>
            </w:pPr>
          </w:p>
        </w:tc>
      </w:tr>
      <w:tr>
        <w:trPr>
          <w:trHeight w:val="153"/>
        </w:trPr>
        <w:tc>
          <w:tcPr>
            <w:tcW w:w="6680" w:type="dxa"/>
            <w:vAlign w:val="bottom"/>
          </w:tcPr>
          <w:p>
            <w:pPr>
              <w:jc w:val="center"/>
              <w:ind w:left="1807"/>
              <w:spacing w:after="0"/>
              <w:rPr>
                <w:sz w:val="20"/>
                <w:szCs w:val="20"/>
                <w:color w:val="auto"/>
              </w:rPr>
            </w:pPr>
            <w:r>
              <w:rPr>
                <w:rFonts w:ascii="Arial" w:cs="Arial" w:eastAsia="Arial" w:hAnsi="Arial"/>
                <w:sz w:val="12"/>
                <w:szCs w:val="12"/>
                <w:color w:val="auto"/>
                <w:w w:val="90"/>
              </w:rPr>
              <w:t>(Exact name of registrant as specified in its charter)</w:t>
            </w:r>
          </w:p>
        </w:tc>
        <w:tc>
          <w:tcPr>
            <w:tcW w:w="980" w:type="dxa"/>
            <w:vAlign w:val="bottom"/>
          </w:tcPr>
          <w:p>
            <w:pPr>
              <w:spacing w:after="0"/>
              <w:rPr>
                <w:sz w:val="13"/>
                <w:szCs w:val="13"/>
                <w:color w:val="auto"/>
              </w:rPr>
            </w:pPr>
          </w:p>
        </w:tc>
      </w:tr>
      <w:tr>
        <w:trPr>
          <w:trHeight w:val="279"/>
        </w:trPr>
        <w:tc>
          <w:tcPr>
            <w:tcW w:w="6680" w:type="dxa"/>
            <w:vAlign w:val="bottom"/>
          </w:tcPr>
          <w:p>
            <w:pPr>
              <w:jc w:val="center"/>
              <w:ind w:left="1787"/>
              <w:spacing w:after="0"/>
              <w:rPr>
                <w:sz w:val="20"/>
                <w:szCs w:val="20"/>
                <w:color w:val="auto"/>
              </w:rPr>
            </w:pPr>
            <w:r>
              <w:rPr>
                <w:rFonts w:ascii="Arial" w:cs="Arial" w:eastAsia="Arial" w:hAnsi="Arial"/>
                <w:sz w:val="12"/>
                <w:szCs w:val="12"/>
                <w:b w:val="1"/>
                <w:bCs w:val="1"/>
                <w:color w:val="auto"/>
                <w:w w:val="91"/>
              </w:rPr>
              <w:t>New York</w:t>
            </w:r>
          </w:p>
        </w:tc>
        <w:tc>
          <w:tcPr>
            <w:tcW w:w="980" w:type="dxa"/>
            <w:vAlign w:val="bottom"/>
          </w:tcPr>
          <w:p>
            <w:pPr>
              <w:spacing w:after="0"/>
              <w:rPr>
                <w:sz w:val="24"/>
                <w:szCs w:val="24"/>
                <w:color w:val="auto"/>
              </w:rPr>
            </w:pPr>
          </w:p>
        </w:tc>
      </w:tr>
      <w:tr>
        <w:trPr>
          <w:trHeight w:val="153"/>
        </w:trPr>
        <w:tc>
          <w:tcPr>
            <w:tcW w:w="6680" w:type="dxa"/>
            <w:vAlign w:val="bottom"/>
          </w:tcPr>
          <w:p>
            <w:pPr>
              <w:jc w:val="center"/>
              <w:ind w:left="1787"/>
              <w:spacing w:after="0"/>
              <w:rPr>
                <w:sz w:val="20"/>
                <w:szCs w:val="20"/>
                <w:color w:val="auto"/>
              </w:rPr>
            </w:pPr>
            <w:r>
              <w:rPr>
                <w:rFonts w:ascii="Arial" w:cs="Arial" w:eastAsia="Arial" w:hAnsi="Arial"/>
                <w:sz w:val="12"/>
                <w:szCs w:val="12"/>
                <w:color w:val="auto"/>
                <w:w w:val="92"/>
              </w:rPr>
              <w:t>(State or other jurisdiction of incorporation)</w:t>
            </w:r>
          </w:p>
        </w:tc>
        <w:tc>
          <w:tcPr>
            <w:tcW w:w="980" w:type="dxa"/>
            <w:vAlign w:val="bottom"/>
          </w:tcPr>
          <w:p>
            <w:pPr>
              <w:spacing w:after="0"/>
              <w:rPr>
                <w:sz w:val="13"/>
                <w:szCs w:val="13"/>
                <w:color w:val="auto"/>
              </w:rPr>
            </w:pPr>
          </w:p>
        </w:tc>
      </w:tr>
      <w:tr>
        <w:trPr>
          <w:trHeight w:val="279"/>
        </w:trPr>
        <w:tc>
          <w:tcPr>
            <w:tcW w:w="6680" w:type="dxa"/>
            <w:vAlign w:val="bottom"/>
          </w:tcPr>
          <w:p>
            <w:pPr>
              <w:jc w:val="center"/>
              <w:ind w:right="3927"/>
              <w:spacing w:after="0"/>
              <w:rPr>
                <w:sz w:val="20"/>
                <w:szCs w:val="20"/>
                <w:color w:val="auto"/>
              </w:rPr>
            </w:pPr>
            <w:r>
              <w:rPr>
                <w:rFonts w:ascii="Arial" w:cs="Arial" w:eastAsia="Arial" w:hAnsi="Arial"/>
                <w:sz w:val="12"/>
                <w:szCs w:val="12"/>
                <w:b w:val="1"/>
                <w:bCs w:val="1"/>
                <w:color w:val="auto"/>
                <w:w w:val="90"/>
              </w:rPr>
              <w:t>000-19034</w:t>
            </w:r>
          </w:p>
        </w:tc>
        <w:tc>
          <w:tcPr>
            <w:tcW w:w="980" w:type="dxa"/>
            <w:vAlign w:val="bottom"/>
          </w:tcPr>
          <w:p>
            <w:pPr>
              <w:jc w:val="center"/>
              <w:ind w:left="20"/>
              <w:spacing w:after="0"/>
              <w:rPr>
                <w:sz w:val="20"/>
                <w:szCs w:val="20"/>
                <w:color w:val="auto"/>
              </w:rPr>
            </w:pPr>
            <w:r>
              <w:rPr>
                <w:rFonts w:ascii="Arial" w:cs="Arial" w:eastAsia="Arial" w:hAnsi="Arial"/>
                <w:sz w:val="12"/>
                <w:szCs w:val="12"/>
                <w:b w:val="1"/>
                <w:bCs w:val="1"/>
                <w:color w:val="auto"/>
                <w:w w:val="90"/>
              </w:rPr>
              <w:t>13-3444607</w:t>
            </w:r>
          </w:p>
        </w:tc>
      </w:tr>
      <w:tr>
        <w:trPr>
          <w:trHeight w:val="144"/>
        </w:trPr>
        <w:tc>
          <w:tcPr>
            <w:tcW w:w="6680" w:type="dxa"/>
            <w:vAlign w:val="bottom"/>
          </w:tcPr>
          <w:p>
            <w:pPr>
              <w:jc w:val="center"/>
              <w:ind w:right="3907"/>
              <w:spacing w:after="0"/>
              <w:rPr>
                <w:sz w:val="20"/>
                <w:szCs w:val="20"/>
                <w:color w:val="auto"/>
              </w:rPr>
            </w:pPr>
            <w:r>
              <w:rPr>
                <w:rFonts w:ascii="Arial" w:cs="Arial" w:eastAsia="Arial" w:hAnsi="Arial"/>
                <w:sz w:val="12"/>
                <w:szCs w:val="12"/>
                <w:color w:val="auto"/>
                <w:w w:val="94"/>
              </w:rPr>
              <w:t>(Commission</w:t>
            </w:r>
          </w:p>
        </w:tc>
        <w:tc>
          <w:tcPr>
            <w:tcW w:w="980" w:type="dxa"/>
            <w:vAlign w:val="bottom"/>
          </w:tcPr>
          <w:p>
            <w:pPr>
              <w:jc w:val="center"/>
              <w:ind w:left="20"/>
              <w:spacing w:after="0"/>
              <w:rPr>
                <w:sz w:val="20"/>
                <w:szCs w:val="20"/>
                <w:color w:val="auto"/>
              </w:rPr>
            </w:pPr>
            <w:r>
              <w:rPr>
                <w:rFonts w:ascii="Arial" w:cs="Arial" w:eastAsia="Arial" w:hAnsi="Arial"/>
                <w:sz w:val="12"/>
                <w:szCs w:val="12"/>
                <w:color w:val="auto"/>
                <w:w w:val="93"/>
              </w:rPr>
              <w:t>(I.R.S. Employer</w:t>
            </w:r>
          </w:p>
        </w:tc>
      </w:tr>
      <w:tr>
        <w:trPr>
          <w:trHeight w:val="153"/>
        </w:trPr>
        <w:tc>
          <w:tcPr>
            <w:tcW w:w="6680" w:type="dxa"/>
            <w:vAlign w:val="bottom"/>
          </w:tcPr>
          <w:p>
            <w:pPr>
              <w:jc w:val="center"/>
              <w:ind w:right="3907"/>
              <w:spacing w:after="0"/>
              <w:rPr>
                <w:sz w:val="20"/>
                <w:szCs w:val="20"/>
                <w:color w:val="auto"/>
              </w:rPr>
            </w:pPr>
            <w:r>
              <w:rPr>
                <w:rFonts w:ascii="Arial" w:cs="Arial" w:eastAsia="Arial" w:hAnsi="Arial"/>
                <w:sz w:val="12"/>
                <w:szCs w:val="12"/>
                <w:color w:val="auto"/>
                <w:w w:val="95"/>
              </w:rPr>
              <w:t>File Number)</w:t>
            </w:r>
          </w:p>
        </w:tc>
        <w:tc>
          <w:tcPr>
            <w:tcW w:w="980" w:type="dxa"/>
            <w:vAlign w:val="bottom"/>
          </w:tcPr>
          <w:p>
            <w:pPr>
              <w:jc w:val="center"/>
              <w:ind w:left="20"/>
              <w:spacing w:after="0"/>
              <w:rPr>
                <w:sz w:val="20"/>
                <w:szCs w:val="20"/>
                <w:color w:val="auto"/>
              </w:rPr>
            </w:pPr>
            <w:r>
              <w:rPr>
                <w:rFonts w:ascii="Arial" w:cs="Arial" w:eastAsia="Arial" w:hAnsi="Arial"/>
                <w:sz w:val="12"/>
                <w:szCs w:val="12"/>
                <w:color w:val="auto"/>
                <w:w w:val="96"/>
              </w:rPr>
              <w:t>Identification No.)</w:t>
            </w:r>
          </w:p>
        </w:tc>
      </w:tr>
      <w:tr>
        <w:trPr>
          <w:trHeight w:val="279"/>
        </w:trPr>
        <w:tc>
          <w:tcPr>
            <w:tcW w:w="6680" w:type="dxa"/>
            <w:vAlign w:val="bottom"/>
          </w:tcPr>
          <w:p>
            <w:pPr>
              <w:jc w:val="center"/>
              <w:ind w:right="3907"/>
              <w:spacing w:after="0"/>
              <w:rPr>
                <w:sz w:val="20"/>
                <w:szCs w:val="20"/>
                <w:color w:val="auto"/>
              </w:rPr>
            </w:pPr>
            <w:r>
              <w:rPr>
                <w:rFonts w:ascii="Arial" w:cs="Arial" w:eastAsia="Arial" w:hAnsi="Arial"/>
                <w:sz w:val="12"/>
                <w:szCs w:val="12"/>
                <w:b w:val="1"/>
                <w:bCs w:val="1"/>
                <w:color w:val="auto"/>
                <w:w w:val="94"/>
              </w:rPr>
              <w:t>777 Old Saw Mill River Road, Tarrytown, New York</w:t>
            </w:r>
          </w:p>
        </w:tc>
        <w:tc>
          <w:tcPr>
            <w:tcW w:w="980" w:type="dxa"/>
            <w:vAlign w:val="bottom"/>
          </w:tcPr>
          <w:p>
            <w:pPr>
              <w:jc w:val="center"/>
              <w:ind w:left="20"/>
              <w:spacing w:after="0"/>
              <w:rPr>
                <w:sz w:val="20"/>
                <w:szCs w:val="20"/>
                <w:color w:val="auto"/>
              </w:rPr>
            </w:pPr>
            <w:r>
              <w:rPr>
                <w:rFonts w:ascii="Arial" w:cs="Arial" w:eastAsia="Arial" w:hAnsi="Arial"/>
                <w:sz w:val="12"/>
                <w:szCs w:val="12"/>
                <w:b w:val="1"/>
                <w:bCs w:val="1"/>
                <w:color w:val="auto"/>
                <w:w w:val="90"/>
              </w:rPr>
              <w:t>10591-6707</w:t>
            </w:r>
          </w:p>
        </w:tc>
      </w:tr>
      <w:tr>
        <w:trPr>
          <w:trHeight w:val="153"/>
        </w:trPr>
        <w:tc>
          <w:tcPr>
            <w:tcW w:w="6680" w:type="dxa"/>
            <w:vAlign w:val="bottom"/>
          </w:tcPr>
          <w:p>
            <w:pPr>
              <w:jc w:val="center"/>
              <w:ind w:right="3907"/>
              <w:spacing w:after="0"/>
              <w:rPr>
                <w:sz w:val="20"/>
                <w:szCs w:val="20"/>
                <w:color w:val="auto"/>
              </w:rPr>
            </w:pPr>
            <w:r>
              <w:rPr>
                <w:rFonts w:ascii="Arial" w:cs="Arial" w:eastAsia="Arial" w:hAnsi="Arial"/>
                <w:sz w:val="12"/>
                <w:szCs w:val="12"/>
                <w:color w:val="auto"/>
                <w:w w:val="92"/>
              </w:rPr>
              <w:t>(Address of principal executive offices)</w:t>
            </w:r>
          </w:p>
        </w:tc>
        <w:tc>
          <w:tcPr>
            <w:tcW w:w="980" w:type="dxa"/>
            <w:vAlign w:val="bottom"/>
          </w:tcPr>
          <w:p>
            <w:pPr>
              <w:jc w:val="center"/>
              <w:ind w:left="20"/>
              <w:spacing w:after="0"/>
              <w:rPr>
                <w:sz w:val="20"/>
                <w:szCs w:val="20"/>
                <w:color w:val="auto"/>
              </w:rPr>
            </w:pPr>
            <w:r>
              <w:rPr>
                <w:rFonts w:ascii="Arial" w:cs="Arial" w:eastAsia="Arial" w:hAnsi="Arial"/>
                <w:sz w:val="12"/>
                <w:szCs w:val="12"/>
                <w:color w:val="auto"/>
                <w:w w:val="95"/>
              </w:rPr>
              <w:t>(Zip Code)</w:t>
            </w:r>
          </w:p>
        </w:tc>
      </w:tr>
      <w:tr>
        <w:trPr>
          <w:trHeight w:val="288"/>
        </w:trPr>
        <w:tc>
          <w:tcPr>
            <w:tcW w:w="6680" w:type="dxa"/>
            <w:vAlign w:val="bottom"/>
          </w:tcPr>
          <w:p>
            <w:pPr>
              <w:jc w:val="center"/>
              <w:ind w:left="1807"/>
              <w:spacing w:after="0"/>
              <w:rPr>
                <w:sz w:val="20"/>
                <w:szCs w:val="20"/>
                <w:color w:val="auto"/>
              </w:rPr>
            </w:pPr>
            <w:r>
              <w:rPr>
                <w:rFonts w:ascii="Arial" w:cs="Arial" w:eastAsia="Arial" w:hAnsi="Arial"/>
                <w:sz w:val="12"/>
                <w:szCs w:val="12"/>
                <w:color w:val="auto"/>
                <w:w w:val="90"/>
              </w:rPr>
              <w:t xml:space="preserve">Registrant’s telephone number, including area code: </w:t>
            </w:r>
            <w:r>
              <w:rPr>
                <w:rFonts w:ascii="Arial" w:cs="Arial" w:eastAsia="Arial" w:hAnsi="Arial"/>
                <w:sz w:val="12"/>
                <w:szCs w:val="12"/>
                <w:b w:val="1"/>
                <w:bCs w:val="1"/>
                <w:color w:val="auto"/>
                <w:w w:val="90"/>
              </w:rPr>
              <w:t>(914) 847-7000</w:t>
            </w:r>
          </w:p>
        </w:tc>
        <w:tc>
          <w:tcPr>
            <w:tcW w:w="980" w:type="dxa"/>
            <w:vAlign w:val="bottom"/>
          </w:tcPr>
          <w:p>
            <w:pPr>
              <w:spacing w:after="0"/>
              <w:rPr>
                <w:sz w:val="24"/>
                <w:szCs w:val="24"/>
                <w:color w:val="auto"/>
              </w:rPr>
            </w:pPr>
          </w:p>
        </w:tc>
      </w:tr>
    </w:tbl>
    <w:p>
      <w:pPr>
        <w:spacing w:after="0" w:line="13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134620</wp:posOffset>
            </wp:positionH>
            <wp:positionV relativeFrom="page">
              <wp:posOffset>134620</wp:posOffset>
            </wp:positionV>
            <wp:extent cx="7292340"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2340" cy="22860"/>
                    </a:xfrm>
                    <a:prstGeom prst="rect">
                      <a:avLst/>
                    </a:prstGeom>
                    <a:noFill/>
                  </pic:spPr>
                </pic:pic>
              </a:graphicData>
            </a:graphic>
          </wp:anchor>
        </w:drawing>
        <w:drawing>
          <wp:anchor simplePos="0" relativeHeight="251657728" behindDoc="1" locked="0" layoutInCell="0" allowOverlap="1">
            <wp:simplePos x="0" y="0"/>
            <wp:positionH relativeFrom="page">
              <wp:posOffset>134620</wp:posOffset>
            </wp:positionH>
            <wp:positionV relativeFrom="page">
              <wp:posOffset>180340</wp:posOffset>
            </wp:positionV>
            <wp:extent cx="72923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 (see General Instructions A.2. below):</w:t>
      </w:r>
    </w:p>
    <w:p>
      <w:pPr>
        <w:spacing w:after="0" w:line="150" w:lineRule="exact"/>
        <w:rPr>
          <w:sz w:val="24"/>
          <w:szCs w:val="24"/>
          <w:color w:val="auto"/>
        </w:rPr>
      </w:pPr>
    </w:p>
    <w:p>
      <w:pPr>
        <w:spacing w:after="0"/>
        <w:rPr>
          <w:sz w:val="20"/>
          <w:szCs w:val="20"/>
          <w:color w:val="auto"/>
        </w:rPr>
      </w:pPr>
      <w:r>
        <w:rPr>
          <w:rFonts w:ascii="Arial" w:cs="Arial" w:eastAsia="Arial" w:hAnsi="Arial"/>
          <w:sz w:val="12"/>
          <w:szCs w:val="12"/>
          <w:color w:val="auto"/>
        </w:rPr>
        <w:t>o Written communications pursuant to Rule 425 under the Securities Act (17 CFR 230.425)</w:t>
      </w:r>
    </w:p>
    <w:p>
      <w:pPr>
        <w:spacing w:after="0" w:line="150" w:lineRule="exact"/>
        <w:rPr>
          <w:sz w:val="24"/>
          <w:szCs w:val="24"/>
          <w:color w:val="auto"/>
        </w:rPr>
      </w:pPr>
    </w:p>
    <w:p>
      <w:pPr>
        <w:spacing w:after="0"/>
        <w:rPr>
          <w:sz w:val="20"/>
          <w:szCs w:val="20"/>
          <w:color w:val="auto"/>
        </w:rPr>
      </w:pPr>
      <w:r>
        <w:rPr>
          <w:rFonts w:ascii="Arial" w:cs="Arial" w:eastAsia="Arial" w:hAnsi="Arial"/>
          <w:sz w:val="12"/>
          <w:szCs w:val="12"/>
          <w:color w:val="auto"/>
        </w:rPr>
        <w:t>o Soliciting material pursuant to Rule 14a-12 under the Exchange Act (17 CFR 240.14a-12)</w:t>
      </w:r>
    </w:p>
    <w:p>
      <w:pPr>
        <w:spacing w:after="0" w:line="150" w:lineRule="exact"/>
        <w:rPr>
          <w:sz w:val="24"/>
          <w:szCs w:val="24"/>
          <w:color w:val="auto"/>
        </w:rPr>
      </w:pPr>
    </w:p>
    <w:p>
      <w:pPr>
        <w:spacing w:after="0"/>
        <w:rPr>
          <w:sz w:val="20"/>
          <w:szCs w:val="20"/>
          <w:color w:val="auto"/>
        </w:rPr>
      </w:pPr>
      <w:r>
        <w:rPr>
          <w:rFonts w:ascii="Arial" w:cs="Arial" w:eastAsia="Arial" w:hAnsi="Arial"/>
          <w:sz w:val="12"/>
          <w:szCs w:val="12"/>
          <w:color w:val="auto"/>
        </w:rPr>
        <w:t>o Pre-commencement communications pursuant to Rule 14d-2(b) under the Exchange Act (17 CFR 240.14d-2(b))</w:t>
      </w:r>
    </w:p>
    <w:p>
      <w:pPr>
        <w:spacing w:after="0" w:line="150" w:lineRule="exact"/>
        <w:rPr>
          <w:sz w:val="24"/>
          <w:szCs w:val="24"/>
          <w:color w:val="auto"/>
        </w:rPr>
      </w:pPr>
    </w:p>
    <w:p>
      <w:pPr>
        <w:spacing w:after="0"/>
        <w:rPr>
          <w:sz w:val="20"/>
          <w:szCs w:val="20"/>
          <w:color w:val="auto"/>
        </w:rPr>
      </w:pPr>
      <w:r>
        <w:rPr>
          <w:rFonts w:ascii="Arial" w:cs="Arial" w:eastAsia="Arial" w:hAnsi="Arial"/>
          <w:sz w:val="12"/>
          <w:szCs w:val="12"/>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100965</wp:posOffset>
            </wp:positionV>
            <wp:extent cx="72923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129540</wp:posOffset>
            </wp:positionV>
            <wp:extent cx="7292340" cy="228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2340" cy="2286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286385</wp:posOffset>
            </wp:positionV>
            <wp:extent cx="7310755" cy="24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Item 2.02. Results of Operations and Financial Condition.</w:t>
      </w:r>
    </w:p>
    <w:p>
      <w:pPr>
        <w:spacing w:after="0" w:line="154" w:lineRule="exact"/>
        <w:rPr>
          <w:sz w:val="24"/>
          <w:szCs w:val="24"/>
          <w:color w:val="auto"/>
        </w:rPr>
      </w:pPr>
    </w:p>
    <w:p>
      <w:pPr>
        <w:ind w:right="320" w:firstLine="153"/>
        <w:spacing w:after="0" w:line="248" w:lineRule="auto"/>
        <w:rPr>
          <w:sz w:val="20"/>
          <w:szCs w:val="20"/>
          <w:color w:val="auto"/>
        </w:rPr>
      </w:pPr>
      <w:r>
        <w:rPr>
          <w:rFonts w:ascii="Arial" w:cs="Arial" w:eastAsia="Arial" w:hAnsi="Arial"/>
          <w:sz w:val="11"/>
          <w:szCs w:val="11"/>
          <w:color w:val="auto"/>
        </w:rPr>
        <w:t>On January 9, 2017, at the 35</w:t>
      </w:r>
      <w:r>
        <w:rPr>
          <w:rFonts w:ascii="Arial" w:cs="Arial" w:eastAsia="Arial" w:hAnsi="Arial"/>
          <w:sz w:val="14"/>
          <w:szCs w:val="14"/>
          <w:color w:val="auto"/>
          <w:vertAlign w:val="superscript"/>
        </w:rPr>
        <w:t>th</w:t>
      </w:r>
      <w:r>
        <w:rPr>
          <w:rFonts w:ascii="Arial" w:cs="Arial" w:eastAsia="Arial" w:hAnsi="Arial"/>
          <w:sz w:val="11"/>
          <w:szCs w:val="11"/>
          <w:color w:val="auto"/>
        </w:rPr>
        <w:t xml:space="preserve"> Annual J.P. Morgan Healthcare Conference in San Francisco, California (the “</w:t>
      </w:r>
      <w:r>
        <w:rPr>
          <w:rFonts w:ascii="Arial" w:cs="Arial" w:eastAsia="Arial" w:hAnsi="Arial"/>
          <w:sz w:val="11"/>
          <w:szCs w:val="11"/>
          <w:u w:val="single" w:color="auto"/>
          <w:color w:val="auto"/>
        </w:rPr>
        <w:t>2017 J.P. Morgan Healthcare Conference</w:t>
      </w:r>
      <w:r>
        <w:rPr>
          <w:rFonts w:ascii="Arial" w:cs="Arial" w:eastAsia="Arial" w:hAnsi="Arial"/>
          <w:sz w:val="11"/>
          <w:szCs w:val="11"/>
          <w:color w:val="auto"/>
        </w:rPr>
        <w:t>”), Leonard S. Schleifer, M.D., Ph.D., President and Chief Executive Officer of Regeneron Pharmaceuticals, Inc. (“</w:t>
      </w:r>
      <w:r>
        <w:rPr>
          <w:rFonts w:ascii="Arial" w:cs="Arial" w:eastAsia="Arial" w:hAnsi="Arial"/>
          <w:sz w:val="11"/>
          <w:szCs w:val="11"/>
          <w:u w:val="single" w:color="auto"/>
          <w:color w:val="auto"/>
        </w:rPr>
        <w:t>Regeneron</w:t>
      </w:r>
      <w:r>
        <w:rPr>
          <w:rFonts w:ascii="Arial" w:cs="Arial" w:eastAsia="Arial" w:hAnsi="Arial"/>
          <w:sz w:val="11"/>
          <w:szCs w:val="11"/>
          <w:color w:val="auto"/>
        </w:rPr>
        <w:t>” or the “</w:t>
      </w:r>
      <w:r>
        <w:rPr>
          <w:rFonts w:ascii="Arial" w:cs="Arial" w:eastAsia="Arial" w:hAnsi="Arial"/>
          <w:sz w:val="11"/>
          <w:szCs w:val="11"/>
          <w:u w:val="single" w:color="auto"/>
          <w:color w:val="auto"/>
        </w:rPr>
        <w:t>Company</w:t>
      </w:r>
      <w:r>
        <w:rPr>
          <w:rFonts w:ascii="Arial" w:cs="Arial" w:eastAsia="Arial" w:hAnsi="Arial"/>
          <w:sz w:val="11"/>
          <w:szCs w:val="11"/>
          <w:color w:val="auto"/>
        </w:rPr>
        <w:t>”), is providing a corporate update. Dr. Schleifer’s presentation includes information regarding the Company’s preliminary (unaudited) U.S. net sales of</w:t>
      </w:r>
    </w:p>
    <w:p>
      <w:pPr>
        <w:spacing w:after="0"/>
        <w:rPr>
          <w:sz w:val="20"/>
          <w:szCs w:val="20"/>
          <w:color w:val="auto"/>
        </w:rPr>
      </w:pPr>
      <w:r>
        <w:rPr>
          <w:rFonts w:ascii="Arial" w:cs="Arial" w:eastAsia="Arial" w:hAnsi="Arial"/>
          <w:sz w:val="11"/>
          <w:szCs w:val="11"/>
          <w:color w:val="auto"/>
        </w:rPr>
        <w:t>EYLEA</w:t>
      </w:r>
      <w:r>
        <w:rPr>
          <w:rFonts w:ascii="Arial" w:cs="Arial" w:eastAsia="Arial" w:hAnsi="Arial"/>
          <w:sz w:val="14"/>
          <w:szCs w:val="14"/>
          <w:color w:val="auto"/>
          <w:vertAlign w:val="superscript"/>
        </w:rPr>
        <w:t>®</w:t>
      </w:r>
      <w:r>
        <w:rPr>
          <w:rFonts w:ascii="Arial" w:cs="Arial" w:eastAsia="Arial" w:hAnsi="Arial"/>
          <w:sz w:val="11"/>
          <w:szCs w:val="11"/>
          <w:color w:val="auto"/>
        </w:rPr>
        <w:t xml:space="preserve"> (aflibercept) Injection of $858 million and $3.32 billion for the fourth quarter 2016 and the full year 2016, respectively, and the preliminary (unaudited) global sales of EYLEA of more than $5 billion for the full year 2016.</w:t>
      </w:r>
    </w:p>
    <w:p>
      <w:pPr>
        <w:spacing w:after="0" w:line="1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Item 7.01. Regulation FD Disclosure.</w:t>
      </w:r>
    </w:p>
    <w:p>
      <w:pPr>
        <w:spacing w:after="0" w:line="154" w:lineRule="exact"/>
        <w:rPr>
          <w:sz w:val="24"/>
          <w:szCs w:val="24"/>
          <w:color w:val="auto"/>
        </w:rPr>
      </w:pPr>
    </w:p>
    <w:p>
      <w:pPr>
        <w:ind w:left="160"/>
        <w:spacing w:after="0"/>
        <w:rPr>
          <w:sz w:val="20"/>
          <w:szCs w:val="20"/>
          <w:color w:val="auto"/>
        </w:rPr>
      </w:pPr>
      <w:r>
        <w:rPr>
          <w:rFonts w:ascii="Arial" w:cs="Arial" w:eastAsia="Arial" w:hAnsi="Arial"/>
          <w:sz w:val="12"/>
          <w:szCs w:val="12"/>
          <w:color w:val="auto"/>
        </w:rPr>
        <w:t>The information set forth under Item 2.02 of this Current Report on Form 8-K and Exhibit 99.1 to this Current Report on Form 8-K is incorporated by reference herein.</w:t>
      </w:r>
    </w:p>
    <w:p>
      <w:pPr>
        <w:spacing w:after="0" w:line="150" w:lineRule="exact"/>
        <w:rPr>
          <w:sz w:val="24"/>
          <w:szCs w:val="24"/>
          <w:color w:val="auto"/>
        </w:rPr>
      </w:pPr>
    </w:p>
    <w:p>
      <w:pPr>
        <w:ind w:right="220" w:firstLine="162"/>
        <w:spacing w:after="0" w:line="276" w:lineRule="auto"/>
        <w:rPr>
          <w:sz w:val="20"/>
          <w:szCs w:val="20"/>
          <w:color w:val="auto"/>
        </w:rPr>
      </w:pPr>
      <w:r>
        <w:rPr>
          <w:rFonts w:ascii="Arial" w:cs="Arial" w:eastAsia="Arial" w:hAnsi="Arial"/>
          <w:sz w:val="12"/>
          <w:szCs w:val="12"/>
          <w:color w:val="auto"/>
        </w:rPr>
        <w:t>On January 11, 2017, at a sell-side investor meeting at the 2017 J.P. Morgan Healthcare Conference, Robert E. Landry, Senior Vice President, Finance and Chief Financial Officer of Regeneron, is giving a presentation entitled “2017 Financial Overview.” A copy of the presentation is furnished as Exhibit 99.2 to this Current Report on Form 8-K and is incorporated by reference herein.</w:t>
      </w:r>
    </w:p>
    <w:p>
      <w:pPr>
        <w:spacing w:after="0" w:line="115" w:lineRule="exact"/>
        <w:rPr>
          <w:sz w:val="24"/>
          <w:szCs w:val="24"/>
          <w:color w:val="auto"/>
        </w:rPr>
      </w:pPr>
    </w:p>
    <w:p>
      <w:pPr>
        <w:ind w:right="60" w:firstLine="162"/>
        <w:spacing w:after="0" w:line="323" w:lineRule="auto"/>
        <w:rPr>
          <w:sz w:val="20"/>
          <w:szCs w:val="20"/>
          <w:color w:val="auto"/>
        </w:rPr>
      </w:pPr>
      <w:r>
        <w:rPr>
          <w:rFonts w:ascii="Arial" w:cs="Arial" w:eastAsia="Arial" w:hAnsi="Arial"/>
          <w:sz w:val="11"/>
          <w:szCs w:val="11"/>
          <w:color w:val="auto"/>
        </w:rPr>
        <w:t>The information included or incorporated in Item 2.02 and Item 7.01 of this Current Report on Form 8-K, including Exhibits 99.1 and 99.2, shall not be deemed “filed” for purposes of Section 18 of the Securities Exchange Act of 1934, as amended, nor shall such information and exhibit be deemed incorporated by reference in any filing under the Securities Act of 1933, as amended, except as shall be expressly set forth by specific reference in such a filing.</w:t>
      </w:r>
    </w:p>
    <w:p>
      <w:pPr>
        <w:spacing w:after="0" w:line="88"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Item 9.01. Financial Statements and Exhibits</w:t>
      </w:r>
    </w:p>
    <w:p>
      <w:pPr>
        <w:spacing w:after="0" w:line="154" w:lineRule="exact"/>
        <w:rPr>
          <w:sz w:val="24"/>
          <w:szCs w:val="24"/>
          <w:color w:val="auto"/>
        </w:rPr>
      </w:pPr>
    </w:p>
    <w:p>
      <w:pPr>
        <w:ind w:left="520" w:hanging="312"/>
        <w:spacing w:after="0"/>
        <w:tabs>
          <w:tab w:leader="none" w:pos="520" w:val="left"/>
        </w:tabs>
        <w:numPr>
          <w:ilvl w:val="0"/>
          <w:numId w:val="1"/>
        </w:numPr>
        <w:rPr>
          <w:rFonts w:ascii="Arial" w:cs="Arial" w:eastAsia="Arial" w:hAnsi="Arial"/>
          <w:sz w:val="12"/>
          <w:szCs w:val="12"/>
          <w:color w:val="auto"/>
        </w:rPr>
      </w:pPr>
      <w:r>
        <w:rPr>
          <w:rFonts w:ascii="Arial" w:cs="Arial" w:eastAsia="Arial" w:hAnsi="Arial"/>
          <w:sz w:val="12"/>
          <w:szCs w:val="12"/>
          <w:color w:val="auto"/>
        </w:rPr>
        <w:t>Exhibits.</w:t>
      </w:r>
    </w:p>
    <w:p>
      <w:pPr>
        <w:spacing w:after="0" w:line="150" w:lineRule="exact"/>
        <w:rPr>
          <w:sz w:val="24"/>
          <w:szCs w:val="24"/>
          <w:color w:val="auto"/>
        </w:rPr>
      </w:pPr>
    </w:p>
    <w:p>
      <w:pPr>
        <w:ind w:left="260"/>
        <w:spacing w:after="0"/>
        <w:tabs>
          <w:tab w:leader="none" w:pos="560" w:val="left"/>
        </w:tabs>
        <w:rPr>
          <w:sz w:val="20"/>
          <w:szCs w:val="20"/>
          <w:color w:val="auto"/>
        </w:rPr>
      </w:pPr>
      <w:r>
        <w:rPr>
          <w:rFonts w:ascii="Arial" w:cs="Arial" w:eastAsia="Arial" w:hAnsi="Arial"/>
          <w:sz w:val="12"/>
          <w:szCs w:val="12"/>
          <w:color w:val="auto"/>
        </w:rPr>
        <w:t>99.1</w:t>
      </w:r>
      <w:r>
        <w:rPr>
          <w:sz w:val="20"/>
          <w:szCs w:val="20"/>
          <w:color w:val="auto"/>
        </w:rPr>
        <w:tab/>
      </w:r>
      <w:r>
        <w:rPr>
          <w:rFonts w:ascii="Arial" w:cs="Arial" w:eastAsia="Arial" w:hAnsi="Arial"/>
          <w:sz w:val="10"/>
          <w:szCs w:val="10"/>
          <w:color w:val="auto"/>
        </w:rPr>
        <w:t>Presentation by Leonard S. Schleifer, M.D., Ph.D., President and Chief Executive Officer of Regeneron Pharmaceuticals, Inc., at the 35</w:t>
      </w:r>
      <w:r>
        <w:rPr>
          <w:rFonts w:ascii="Arial" w:cs="Arial" w:eastAsia="Arial" w:hAnsi="Arial"/>
          <w:sz w:val="13"/>
          <w:szCs w:val="13"/>
          <w:color w:val="auto"/>
          <w:vertAlign w:val="superscript"/>
        </w:rPr>
        <w:t>th</w:t>
      </w:r>
      <w:r>
        <w:rPr>
          <w:rFonts w:ascii="Arial" w:cs="Arial" w:eastAsia="Arial" w:hAnsi="Arial"/>
          <w:sz w:val="10"/>
          <w:szCs w:val="10"/>
          <w:color w:val="auto"/>
        </w:rPr>
        <w:t xml:space="preserve"> Annual J.P. Morgan Healthcare Conference.</w:t>
      </w:r>
    </w:p>
    <w:p>
      <w:pPr>
        <w:spacing w:after="0" w:line="5" w:lineRule="exact"/>
        <w:rPr>
          <w:sz w:val="24"/>
          <w:szCs w:val="24"/>
          <w:color w:val="auto"/>
        </w:rPr>
      </w:pPr>
    </w:p>
    <w:p>
      <w:pPr>
        <w:ind w:left="260"/>
        <w:spacing w:after="0"/>
        <w:tabs>
          <w:tab w:leader="none" w:pos="560" w:val="left"/>
        </w:tabs>
        <w:rPr>
          <w:sz w:val="20"/>
          <w:szCs w:val="20"/>
          <w:color w:val="auto"/>
        </w:rPr>
      </w:pPr>
      <w:r>
        <w:rPr>
          <w:rFonts w:ascii="Arial" w:cs="Arial" w:eastAsia="Arial" w:hAnsi="Arial"/>
          <w:sz w:val="12"/>
          <w:szCs w:val="12"/>
          <w:color w:val="auto"/>
        </w:rPr>
        <w:t>99.2</w:t>
      </w:r>
      <w:r>
        <w:rPr>
          <w:sz w:val="20"/>
          <w:szCs w:val="20"/>
          <w:color w:val="auto"/>
        </w:rPr>
        <w:tab/>
      </w:r>
      <w:r>
        <w:rPr>
          <w:rFonts w:ascii="Arial" w:cs="Arial" w:eastAsia="Arial" w:hAnsi="Arial"/>
          <w:sz w:val="10"/>
          <w:szCs w:val="10"/>
          <w:color w:val="auto"/>
        </w:rPr>
        <w:t>Presentation by Robert E. Landry, Senior Vice President, Finance and Chief Financial Officer of Regeneron Pharmaceuticals, Inc., entitled “2017 Financial Overview.”</w:t>
      </w:r>
    </w:p>
    <w:p>
      <w:pPr>
        <w:spacing w:after="0" w:line="140" w:lineRule="exact"/>
        <w:rPr>
          <w:sz w:val="24"/>
          <w:szCs w:val="24"/>
          <w:color w:val="auto"/>
        </w:rPr>
      </w:pPr>
    </w:p>
    <w:p>
      <w:pPr>
        <w:jc w:val="center"/>
        <w:ind w:right="20"/>
        <w:spacing w:after="0"/>
        <w:rPr>
          <w:sz w:val="20"/>
          <w:szCs w:val="20"/>
          <w:color w:val="auto"/>
        </w:rPr>
      </w:pPr>
      <w:r>
        <w:rPr>
          <w:rFonts w:ascii="Arial" w:cs="Arial" w:eastAsia="Arial" w:hAnsi="Arial"/>
          <w:sz w:val="12"/>
          <w:szCs w:val="12"/>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310755" cy="24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SIGNATURES</w:t>
      </w:r>
    </w:p>
    <w:p>
      <w:pPr>
        <w:spacing w:after="0" w:line="154" w:lineRule="exact"/>
        <w:rPr>
          <w:sz w:val="24"/>
          <w:szCs w:val="24"/>
          <w:color w:val="auto"/>
        </w:rPr>
      </w:pPr>
    </w:p>
    <w:p>
      <w:pPr>
        <w:ind w:left="160"/>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thereunto duly authorized.</w:t>
      </w:r>
    </w:p>
    <w:p>
      <w:pPr>
        <w:spacing w:after="0" w:line="146" w:lineRule="exact"/>
        <w:rPr>
          <w:sz w:val="24"/>
          <w:szCs w:val="24"/>
          <w:color w:val="auto"/>
        </w:rPr>
      </w:pPr>
    </w:p>
    <w:p>
      <w:pPr>
        <w:ind w:left="5740"/>
        <w:spacing w:after="0"/>
        <w:rPr>
          <w:sz w:val="20"/>
          <w:szCs w:val="20"/>
          <w:color w:val="auto"/>
        </w:rPr>
      </w:pPr>
      <w:r>
        <w:rPr>
          <w:rFonts w:ascii="Arial" w:cs="Arial" w:eastAsia="Arial" w:hAnsi="Arial"/>
          <w:sz w:val="12"/>
          <w:szCs w:val="12"/>
          <w:b w:val="1"/>
          <w:bCs w:val="1"/>
          <w:color w:val="auto"/>
        </w:rPr>
        <w:t>REGENERON PHARMACEUTICALS, INC.</w:t>
      </w:r>
    </w:p>
    <w:p>
      <w:pPr>
        <w:spacing w:after="0" w:line="298" w:lineRule="exact"/>
        <w:rPr>
          <w:sz w:val="24"/>
          <w:szCs w:val="24"/>
          <w:color w:val="auto"/>
        </w:rPr>
      </w:pPr>
    </w:p>
    <w:p>
      <w:pPr>
        <w:ind w:left="5740"/>
        <w:spacing w:after="0"/>
        <w:rPr>
          <w:sz w:val="20"/>
          <w:szCs w:val="20"/>
          <w:color w:val="auto"/>
        </w:rPr>
      </w:pPr>
      <w:r>
        <w:rPr>
          <w:rFonts w:ascii="Arial" w:cs="Arial" w:eastAsia="Arial" w:hAnsi="Arial"/>
          <w:sz w:val="12"/>
          <w:szCs w:val="12"/>
          <w:color w:val="auto"/>
        </w:rPr>
        <w:t>/s/ Joseph J. LaRosa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3644265</wp:posOffset>
            </wp:positionH>
            <wp:positionV relativeFrom="paragraph">
              <wp:posOffset>9525</wp:posOffset>
            </wp:positionV>
            <wp:extent cx="364299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42995" cy="5715"/>
                    </a:xfrm>
                    <a:prstGeom prst="rect">
                      <a:avLst/>
                    </a:prstGeom>
                    <a:noFill/>
                  </pic:spPr>
                </pic:pic>
              </a:graphicData>
            </a:graphic>
          </wp:anchor>
        </w:drawing>
      </w:r>
    </w:p>
    <w:p>
      <w:pPr>
        <w:ind w:left="5740"/>
        <w:spacing w:after="0"/>
        <w:rPr>
          <w:sz w:val="20"/>
          <w:szCs w:val="20"/>
          <w:color w:val="auto"/>
        </w:rPr>
      </w:pPr>
      <w:r>
        <w:rPr>
          <w:rFonts w:ascii="Arial" w:cs="Arial" w:eastAsia="Arial" w:hAnsi="Arial"/>
          <w:sz w:val="12"/>
          <w:szCs w:val="12"/>
          <w:color w:val="auto"/>
        </w:rPr>
        <w:t>Joseph J. LaRosa</w:t>
      </w:r>
    </w:p>
    <w:p>
      <w:pPr>
        <w:spacing w:after="0" w:line="15" w:lineRule="exact"/>
        <w:rPr>
          <w:sz w:val="24"/>
          <w:szCs w:val="24"/>
          <w:color w:val="auto"/>
        </w:rPr>
      </w:pPr>
    </w:p>
    <w:p>
      <w:pPr>
        <w:ind w:left="5740"/>
        <w:spacing w:after="0"/>
        <w:rPr>
          <w:sz w:val="20"/>
          <w:szCs w:val="20"/>
          <w:color w:val="auto"/>
        </w:rPr>
      </w:pPr>
      <w:r>
        <w:rPr>
          <w:rFonts w:ascii="Arial" w:cs="Arial" w:eastAsia="Arial" w:hAnsi="Arial"/>
          <w:sz w:val="12"/>
          <w:szCs w:val="12"/>
          <w:color w:val="auto"/>
        </w:rPr>
        <w:t>Senior Vice President, General Counsel and Secretary</w:t>
      </w:r>
    </w:p>
    <w:p>
      <w:pPr>
        <w:spacing w:after="0" w:line="141" w:lineRule="exact"/>
        <w:rPr>
          <w:sz w:val="24"/>
          <w:szCs w:val="24"/>
          <w:color w:val="auto"/>
        </w:rPr>
      </w:pPr>
    </w:p>
    <w:p>
      <w:pPr>
        <w:spacing w:after="0"/>
        <w:rPr>
          <w:sz w:val="20"/>
          <w:szCs w:val="20"/>
          <w:color w:val="auto"/>
        </w:rPr>
      </w:pPr>
      <w:r>
        <w:rPr>
          <w:rFonts w:ascii="Arial" w:cs="Arial" w:eastAsia="Arial" w:hAnsi="Arial"/>
          <w:sz w:val="12"/>
          <w:szCs w:val="12"/>
          <w:color w:val="auto"/>
        </w:rPr>
        <w:t>Date: January 9, 2017</w:t>
      </w:r>
    </w:p>
    <w:p>
      <w:pPr>
        <w:spacing w:after="0" w:line="150" w:lineRule="exact"/>
        <w:rPr>
          <w:sz w:val="24"/>
          <w:szCs w:val="24"/>
          <w:color w:val="auto"/>
        </w:rPr>
      </w:pPr>
    </w:p>
    <w:p>
      <w:pPr>
        <w:jc w:val="center"/>
        <w:ind w:right="20"/>
        <w:spacing w:after="0"/>
        <w:rPr>
          <w:sz w:val="20"/>
          <w:szCs w:val="20"/>
          <w:color w:val="auto"/>
        </w:rPr>
      </w:pPr>
      <w:r>
        <w:rPr>
          <w:rFonts w:ascii="Arial" w:cs="Arial" w:eastAsia="Arial" w:hAnsi="Arial"/>
          <w:sz w:val="12"/>
          <w:szCs w:val="12"/>
          <w:color w:val="auto"/>
        </w:rPr>
        <w:t>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310755" cy="241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tbl>
      <w:tblPr>
        <w:tblLayout w:type="fixed"/>
        <w:tblInd w:w="0" w:type="dxa"/>
        <w:tblCellMar>
          <w:top w:w="0" w:type="dxa"/>
          <w:left w:w="0" w:type="dxa"/>
          <w:bottom w:w="0" w:type="dxa"/>
          <w:right w:w="0" w:type="dxa"/>
        </w:tblCellMar>
      </w:tblPr>
      <w:tr>
        <w:trPr>
          <w:trHeight w:val="157"/>
        </w:trPr>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340" w:type="dxa"/>
            <w:vAlign w:val="bottom"/>
          </w:tcPr>
          <w:p>
            <w:pPr>
              <w:jc w:val="center"/>
              <w:ind w:right="1102"/>
              <w:spacing w:after="0"/>
              <w:rPr>
                <w:sz w:val="20"/>
                <w:szCs w:val="20"/>
                <w:color w:val="auto"/>
              </w:rPr>
            </w:pPr>
            <w:r>
              <w:rPr>
                <w:rFonts w:ascii="Arial" w:cs="Arial" w:eastAsia="Arial" w:hAnsi="Arial"/>
                <w:sz w:val="12"/>
                <w:szCs w:val="12"/>
                <w:b w:val="1"/>
                <w:bCs w:val="1"/>
                <w:color w:val="auto"/>
              </w:rPr>
              <w:t>EXHIBIT INDEX</w:t>
            </w:r>
          </w:p>
        </w:tc>
        <w:tc>
          <w:tcPr>
            <w:tcW w:w="20" w:type="dxa"/>
            <w:vAlign w:val="bottom"/>
          </w:tcPr>
          <w:p>
            <w:pPr>
              <w:spacing w:after="0"/>
              <w:rPr>
                <w:sz w:val="13"/>
                <w:szCs w:val="13"/>
                <w:color w:val="auto"/>
              </w:rPr>
            </w:pPr>
          </w:p>
        </w:tc>
      </w:tr>
      <w:tr>
        <w:trPr>
          <w:trHeight w:val="243"/>
        </w:trPr>
        <w:tc>
          <w:tcPr>
            <w:tcW w:w="1140" w:type="dxa"/>
            <w:vAlign w:val="bottom"/>
            <w:gridSpan w:val="2"/>
          </w:tcPr>
          <w:p>
            <w:pPr>
              <w:spacing w:after="0"/>
              <w:rPr>
                <w:sz w:val="20"/>
                <w:szCs w:val="20"/>
                <w:color w:val="auto"/>
              </w:rPr>
            </w:pPr>
            <w:r>
              <w:rPr>
                <w:rFonts w:ascii="Arial" w:cs="Arial" w:eastAsia="Arial" w:hAnsi="Arial"/>
                <w:sz w:val="10"/>
                <w:szCs w:val="10"/>
                <w:b w:val="1"/>
                <w:bCs w:val="1"/>
                <w:color w:val="auto"/>
              </w:rPr>
              <w:t>Number</w:t>
            </w:r>
          </w:p>
        </w:tc>
        <w:tc>
          <w:tcPr>
            <w:tcW w:w="10340" w:type="dxa"/>
            <w:vAlign w:val="bottom"/>
          </w:tcPr>
          <w:p>
            <w:pPr>
              <w:ind w:left="4940"/>
              <w:spacing w:after="0"/>
              <w:rPr>
                <w:sz w:val="20"/>
                <w:szCs w:val="20"/>
                <w:color w:val="auto"/>
              </w:rPr>
            </w:pPr>
            <w:r>
              <w:rPr>
                <w:rFonts w:ascii="Arial" w:cs="Arial" w:eastAsia="Arial" w:hAnsi="Arial"/>
                <w:sz w:val="10"/>
                <w:szCs w:val="10"/>
                <w:b w:val="1"/>
                <w:bCs w:val="1"/>
                <w:color w:val="auto"/>
              </w:rPr>
              <w:t>Description</w:t>
            </w:r>
          </w:p>
        </w:tc>
        <w:tc>
          <w:tcPr>
            <w:tcW w:w="20" w:type="dxa"/>
            <w:vAlign w:val="bottom"/>
          </w:tcPr>
          <w:p>
            <w:pPr>
              <w:spacing w:after="0"/>
              <w:rPr>
                <w:sz w:val="21"/>
                <w:szCs w:val="21"/>
                <w:color w:val="auto"/>
              </w:rPr>
            </w:pPr>
          </w:p>
        </w:tc>
      </w:tr>
      <w:tr>
        <w:trPr>
          <w:trHeight w:val="268"/>
        </w:trPr>
        <w:tc>
          <w:tcPr>
            <w:tcW w:w="920" w:type="dxa"/>
            <w:vAlign w:val="bottom"/>
            <w:tcBorders>
              <w:top w:val="single" w:sz="8" w:color="auto"/>
            </w:tcBorders>
          </w:tcPr>
          <w:p>
            <w:pPr>
              <w:jc w:val="right"/>
              <w:ind w:right="304"/>
              <w:spacing w:after="0"/>
              <w:rPr>
                <w:sz w:val="20"/>
                <w:szCs w:val="20"/>
                <w:color w:val="auto"/>
              </w:rPr>
            </w:pPr>
            <w:r>
              <w:rPr>
                <w:rFonts w:ascii="Arial" w:cs="Arial" w:eastAsia="Arial" w:hAnsi="Arial"/>
                <w:sz w:val="12"/>
                <w:szCs w:val="12"/>
                <w:color w:val="auto"/>
              </w:rPr>
              <w:t>99.1</w:t>
            </w:r>
          </w:p>
        </w:tc>
        <w:tc>
          <w:tcPr>
            <w:tcW w:w="220" w:type="dxa"/>
            <w:vAlign w:val="bottom"/>
          </w:tcPr>
          <w:p>
            <w:pPr>
              <w:spacing w:after="0"/>
              <w:rPr>
                <w:sz w:val="23"/>
                <w:szCs w:val="23"/>
                <w:color w:val="auto"/>
              </w:rPr>
            </w:pPr>
          </w:p>
        </w:tc>
        <w:tc>
          <w:tcPr>
            <w:tcW w:w="1034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Presentation by Leonard S. Schleifer, M.D., Ph.D., President and Chief Executive Officer of Regeneron Pharmaceuticals, Inc., at the 35</w:t>
            </w:r>
            <w:r>
              <w:rPr>
                <w:rFonts w:ascii="Arial" w:cs="Arial" w:eastAsia="Arial" w:hAnsi="Arial"/>
                <w:sz w:val="15"/>
                <w:szCs w:val="15"/>
                <w:color w:val="auto"/>
                <w:vertAlign w:val="superscript"/>
              </w:rPr>
              <w:t>th</w:t>
            </w:r>
            <w:r>
              <w:rPr>
                <w:rFonts w:ascii="Arial" w:cs="Arial" w:eastAsia="Arial" w:hAnsi="Arial"/>
                <w:sz w:val="12"/>
                <w:szCs w:val="12"/>
                <w:color w:val="auto"/>
              </w:rPr>
              <w:t xml:space="preserve"> Annual J.P. Morgan Healthcare Conference.</w:t>
            </w:r>
          </w:p>
        </w:tc>
        <w:tc>
          <w:tcPr>
            <w:tcW w:w="20" w:type="dxa"/>
            <w:vAlign w:val="bottom"/>
          </w:tcPr>
          <w:p>
            <w:pPr>
              <w:spacing w:after="0"/>
              <w:rPr>
                <w:sz w:val="23"/>
                <w:szCs w:val="23"/>
                <w:color w:val="auto"/>
              </w:rPr>
            </w:pPr>
          </w:p>
        </w:tc>
      </w:tr>
      <w:tr>
        <w:trPr>
          <w:trHeight w:val="153"/>
        </w:trPr>
        <w:tc>
          <w:tcPr>
            <w:tcW w:w="920" w:type="dxa"/>
            <w:vAlign w:val="bottom"/>
          </w:tcPr>
          <w:p>
            <w:pPr>
              <w:jc w:val="right"/>
              <w:ind w:right="304"/>
              <w:spacing w:after="0"/>
              <w:rPr>
                <w:sz w:val="20"/>
                <w:szCs w:val="20"/>
                <w:color w:val="auto"/>
              </w:rPr>
            </w:pPr>
            <w:r>
              <w:rPr>
                <w:rFonts w:ascii="Arial" w:cs="Arial" w:eastAsia="Arial" w:hAnsi="Arial"/>
                <w:sz w:val="12"/>
                <w:szCs w:val="12"/>
                <w:color w:val="auto"/>
              </w:rPr>
              <w:t>99.2</w:t>
            </w:r>
          </w:p>
        </w:tc>
        <w:tc>
          <w:tcPr>
            <w:tcW w:w="220" w:type="dxa"/>
            <w:vAlign w:val="bottom"/>
          </w:tcPr>
          <w:p>
            <w:pPr>
              <w:spacing w:after="0"/>
              <w:rPr>
                <w:sz w:val="13"/>
                <w:szCs w:val="13"/>
                <w:color w:val="auto"/>
              </w:rPr>
            </w:pPr>
          </w:p>
        </w:tc>
        <w:tc>
          <w:tcPr>
            <w:tcW w:w="10340" w:type="dxa"/>
            <w:vAlign w:val="bottom"/>
          </w:tcPr>
          <w:p>
            <w:pPr>
              <w:spacing w:after="0"/>
              <w:rPr>
                <w:sz w:val="20"/>
                <w:szCs w:val="20"/>
                <w:color w:val="auto"/>
              </w:rPr>
            </w:pPr>
            <w:r>
              <w:rPr>
                <w:rFonts w:ascii="Arial" w:cs="Arial" w:eastAsia="Arial" w:hAnsi="Arial"/>
                <w:sz w:val="12"/>
                <w:szCs w:val="12"/>
                <w:color w:val="auto"/>
              </w:rPr>
              <w:t>Presentation by Robert E. Landry, Senior Vice President, Finance and Chief Financial Officer of Regeneron Pharmaceuticals, Inc., entitled “2017 Financial Overview.”</w:t>
            </w:r>
          </w:p>
        </w:tc>
        <w:tc>
          <w:tcPr>
            <w:tcW w:w="20" w:type="dxa"/>
            <w:vAlign w:val="bottom"/>
          </w:tcPr>
          <w:p>
            <w:pPr>
              <w:spacing w:after="0"/>
              <w:rPr>
                <w:sz w:val="13"/>
                <w:szCs w:val="13"/>
                <w:color w:val="auto"/>
              </w:rPr>
            </w:pPr>
          </w:p>
        </w:tc>
      </w:tr>
      <w:tr>
        <w:trPr>
          <w:trHeight w:val="288"/>
        </w:trPr>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340" w:type="dxa"/>
            <w:vAlign w:val="bottom"/>
          </w:tcPr>
          <w:p>
            <w:pPr>
              <w:jc w:val="right"/>
              <w:ind w:right="5662"/>
              <w:spacing w:after="0"/>
              <w:rPr>
                <w:sz w:val="20"/>
                <w:szCs w:val="20"/>
                <w:color w:val="auto"/>
              </w:rPr>
            </w:pPr>
            <w:r>
              <w:rPr>
                <w:rFonts w:ascii="Arial" w:cs="Arial" w:eastAsia="Arial" w:hAnsi="Arial"/>
                <w:sz w:val="12"/>
                <w:szCs w:val="12"/>
                <w:color w:val="auto"/>
              </w:rPr>
              <w:t>4</w:t>
            </w:r>
          </w:p>
        </w:tc>
        <w:tc>
          <w:tcPr>
            <w:tcW w:w="20" w:type="dxa"/>
            <w:vAlign w:val="bottom"/>
          </w:tcPr>
          <w:p>
            <w:pPr>
              <w:spacing w:after="0"/>
              <w:rPr>
                <w:sz w:val="24"/>
                <w:szCs w:val="24"/>
                <w:color w:val="auto"/>
              </w:rPr>
            </w:pPr>
          </w:p>
        </w:tc>
      </w:tr>
      <w:tr>
        <w:trPr>
          <w:trHeight w:val="85"/>
        </w:trPr>
        <w:tc>
          <w:tcPr>
            <w:tcW w:w="92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103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7289165</wp:posOffset>
            </wp:positionH>
            <wp:positionV relativeFrom="paragraph">
              <wp:posOffset>-17145</wp:posOffset>
            </wp:positionV>
            <wp:extent cx="12700" cy="11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1143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-17145</wp:posOffset>
            </wp:positionV>
            <wp:extent cx="12700" cy="11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11430"/>
                    </a:xfrm>
                    <a:prstGeom prst="rect">
                      <a:avLst/>
                    </a:prstGeom>
                    <a:noFill/>
                  </pic:spPr>
                </pic:pic>
              </a:graphicData>
            </a:graphic>
          </wp:anchor>
        </w:drawing>
      </w:r>
    </w:p>
    <w:p>
      <w:pPr>
        <w:sectPr>
          <w:pgSz w:w="11900" w:h="16838" w:orient="portrait"/>
          <w:cols w:equalWidth="0" w:num="1">
            <w:col w:w="11500"/>
          </w:cols>
          <w:pgMar w:left="220" w:top="399" w:right="179" w:bottom="1440" w:gutter="0" w:footer="0" w:header="0"/>
        </w:sectPr>
      </w:pPr>
    </w:p>
    <w:bookmarkStart w:id="1" w:name="page2"/>
    <w:bookmarkEnd w:id="1"/>
    <w:p>
      <w:pPr>
        <w:ind w:left="9640"/>
        <w:spacing w:after="0"/>
        <w:rPr>
          <w:sz w:val="20"/>
          <w:szCs w:val="20"/>
          <w:color w:val="auto"/>
        </w:rPr>
      </w:pPr>
      <w:r>
        <w:rPr>
          <w:rFonts w:ascii="Arial" w:cs="Arial" w:eastAsia="Arial" w:hAnsi="Arial"/>
          <w:sz w:val="11"/>
          <w:szCs w:val="1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25400</wp:posOffset>
            </wp:positionV>
            <wp:extent cx="7332980" cy="91338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32980" cy="9133840"/>
                    </a:xfrm>
                    <a:prstGeom prst="rect">
                      <a:avLst/>
                    </a:prstGeom>
                    <a:noFill/>
                  </pic:spPr>
                </pic:pic>
              </a:graphicData>
            </a:graphic>
          </wp:anchor>
        </w:drawing>
      </w:r>
    </w:p>
    <w:p>
      <w:pPr>
        <w:sectPr>
          <w:pgSz w:w="11900" w:h="16838" w:orient="portrait"/>
          <w:cols w:equalWidth="0" w:num="1">
            <w:col w:w="10260"/>
          </w:cols>
          <w:pgMar w:left="1440" w:top="127" w:right="199" w:bottom="1440"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88900</wp:posOffset>
            </wp:positionV>
            <wp:extent cx="7332980" cy="91338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32980" cy="9133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88900</wp:posOffset>
            </wp:positionV>
            <wp:extent cx="7332980" cy="4466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332980" cy="4466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17145</wp:posOffset>
            </wp:positionV>
            <wp:extent cx="7332980" cy="4466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32980" cy="44665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88900</wp:posOffset>
            </wp:positionV>
            <wp:extent cx="7332980" cy="90938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32980" cy="9093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88900</wp:posOffset>
            </wp:positionV>
            <wp:extent cx="7332980" cy="91338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32980" cy="9133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88900</wp:posOffset>
            </wp:positionV>
            <wp:extent cx="7332980" cy="91338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32980" cy="9133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88900</wp:posOffset>
            </wp:positionV>
            <wp:extent cx="7332980" cy="91338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32980" cy="9133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88900</wp:posOffset>
            </wp:positionV>
            <wp:extent cx="7332980" cy="91338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32980" cy="9133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88900</wp:posOffset>
            </wp:positionV>
            <wp:extent cx="7332980" cy="91338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32980" cy="9133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88900</wp:posOffset>
            </wp:positionV>
            <wp:extent cx="7332980" cy="91338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32980" cy="9133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88900</wp:posOffset>
            </wp:positionV>
            <wp:extent cx="7332980" cy="91338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32980" cy="9133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88900</wp:posOffset>
            </wp:positionV>
            <wp:extent cx="7332980" cy="91338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32980" cy="9133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88900</wp:posOffset>
            </wp:positionV>
            <wp:extent cx="7332980" cy="91338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32980" cy="9133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88900</wp:posOffset>
            </wp:positionV>
            <wp:extent cx="7332980" cy="91338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32980" cy="9133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88900</wp:posOffset>
            </wp:positionV>
            <wp:extent cx="7332980" cy="91338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32980" cy="9133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ind w:left="9640"/>
        <w:spacing w:after="0"/>
        <w:rPr>
          <w:sz w:val="20"/>
          <w:szCs w:val="20"/>
          <w:color w:val="auto"/>
        </w:rPr>
      </w:pPr>
      <w:r>
        <w:rPr>
          <w:rFonts w:ascii="Arial" w:cs="Arial" w:eastAsia="Arial" w:hAnsi="Arial"/>
          <w:sz w:val="11"/>
          <w:szCs w:val="11"/>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82550</wp:posOffset>
            </wp:positionV>
            <wp:extent cx="7332980" cy="91452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32980" cy="9145270"/>
                    </a:xfrm>
                    <a:prstGeom prst="rect">
                      <a:avLst/>
                    </a:prstGeom>
                    <a:noFill/>
                  </pic:spPr>
                </pic:pic>
              </a:graphicData>
            </a:graphic>
          </wp:anchor>
        </w:drawing>
      </w:r>
    </w:p>
    <w:p>
      <w:pPr>
        <w:sectPr>
          <w:pgSz w:w="11900" w:h="16838" w:orient="portrait"/>
          <w:cols w:equalWidth="0" w:num="1">
            <w:col w:w="10260"/>
          </w:cols>
          <w:pgMar w:left="1440" w:top="127" w:right="199" w:bottom="1440"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88900</wp:posOffset>
            </wp:positionV>
            <wp:extent cx="7332980" cy="91452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32980" cy="9145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88900</wp:posOffset>
            </wp:positionV>
            <wp:extent cx="7332980" cy="91452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32980" cy="9145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88900</wp:posOffset>
            </wp:positionV>
            <wp:extent cx="7332980" cy="91452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32980" cy="9145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88900</wp:posOffset>
            </wp:positionV>
            <wp:extent cx="7332980" cy="91452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32980" cy="9145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88900</wp:posOffset>
            </wp:positionV>
            <wp:extent cx="7332980" cy="91452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32980" cy="9145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88900</wp:posOffset>
            </wp:positionV>
            <wp:extent cx="7332980" cy="91452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32980" cy="9145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88900</wp:posOffset>
            </wp:positionV>
            <wp:extent cx="7332980" cy="4472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7332980" cy="447230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4"/>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2019-12-05T18:57:17Z</dcterms:created>
  <dcterms:modified xsi:type="dcterms:W3CDTF">2019-12-05T18:57:17Z</dcterms:modified>
</cp:coreProperties>
</file>