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7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3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9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4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231F20"/>
        </w:rPr>
        <w:t>Pursuant to Section 13 or 15(d) of The Securities Exchange Act of 1934</w:t>
      </w:r>
    </w:p>
    <w:p>
      <w:pPr>
        <w:spacing w:after="0" w:line="24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October 31, 2024 (October 31, 2024)</w:t>
      </w:r>
    </w:p>
    <w:p>
      <w:pPr>
        <w:spacing w:after="0" w:line="29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6"/>
          <w:szCs w:val="36"/>
          <w:b w:val="1"/>
          <w:bCs w:val="1"/>
          <w:color w:val="auto"/>
        </w:rPr>
        <w:t>REGENERON PHARMACEUTICALS, INC.</w:t>
      </w:r>
    </w:p>
    <w:p>
      <w:pPr>
        <w:spacing w:after="0" w:line="9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92" w:lineRule="exact"/>
        <w:rPr>
          <w:sz w:val="24"/>
          <w:szCs w:val="24"/>
          <w:color w:val="auto"/>
        </w:rPr>
      </w:pPr>
    </w:p>
    <w:tbl>
      <w:tblPr>
        <w:tblLayout w:type="fixed"/>
        <w:tblInd w:w="1000" w:type="dxa"/>
        <w:tblCellMar>
          <w:top w:w="0" w:type="dxa"/>
          <w:left w:w="0" w:type="dxa"/>
          <w:bottom w:w="0" w:type="dxa"/>
          <w:right w:w="0" w:type="dxa"/>
        </w:tblCellMar>
      </w:tblPr>
      <w:tr>
        <w:trPr>
          <w:trHeight w:val="252"/>
        </w:trPr>
        <w:tc>
          <w:tcPr>
            <w:tcW w:w="3160" w:type="dxa"/>
            <w:vAlign w:val="bottom"/>
          </w:tcPr>
          <w:p>
            <w:pPr>
              <w:jc w:val="center"/>
              <w:ind w:right="559"/>
              <w:spacing w:after="0"/>
              <w:rPr>
                <w:sz w:val="20"/>
                <w:szCs w:val="20"/>
                <w:color w:val="auto"/>
              </w:rPr>
            </w:pPr>
            <w:r>
              <w:rPr>
                <w:rFonts w:ascii="Times New Roman" w:cs="Times New Roman" w:eastAsia="Times New Roman" w:hAnsi="Times New Roman"/>
                <w:sz w:val="18"/>
                <w:szCs w:val="18"/>
                <w:b w:val="1"/>
                <w:bCs w:val="1"/>
                <w:color w:val="auto"/>
                <w:w w:val="96"/>
              </w:rPr>
              <w:t>New York</w:t>
            </w:r>
          </w:p>
        </w:tc>
        <w:tc>
          <w:tcPr>
            <w:tcW w:w="3000" w:type="dxa"/>
            <w:vAlign w:val="bottom"/>
          </w:tcPr>
          <w:p>
            <w:pPr>
              <w:jc w:val="right"/>
              <w:ind w:right="1079"/>
              <w:spacing w:after="0"/>
              <w:rPr>
                <w:sz w:val="20"/>
                <w:szCs w:val="20"/>
                <w:color w:val="auto"/>
              </w:rPr>
            </w:pPr>
            <w:r>
              <w:rPr>
                <w:rFonts w:ascii="Times New Roman" w:cs="Times New Roman" w:eastAsia="Times New Roman" w:hAnsi="Times New Roman"/>
                <w:sz w:val="18"/>
                <w:szCs w:val="18"/>
                <w:b w:val="1"/>
                <w:bCs w:val="1"/>
                <w:color w:val="auto"/>
              </w:rPr>
              <w:t>000-19034</w:t>
            </w:r>
          </w:p>
        </w:tc>
        <w:tc>
          <w:tcPr>
            <w:tcW w:w="2860" w:type="dxa"/>
            <w:vAlign w:val="bottom"/>
          </w:tcPr>
          <w:p>
            <w:pPr>
              <w:jc w:val="right"/>
              <w:ind w:right="519"/>
              <w:spacing w:after="0"/>
              <w:rPr>
                <w:sz w:val="20"/>
                <w:szCs w:val="20"/>
                <w:color w:val="auto"/>
              </w:rPr>
            </w:pPr>
            <w:r>
              <w:rPr>
                <w:rFonts w:ascii="Times New Roman" w:cs="Times New Roman" w:eastAsia="Times New Roman" w:hAnsi="Times New Roman"/>
                <w:sz w:val="18"/>
                <w:szCs w:val="18"/>
                <w:b w:val="1"/>
                <w:bCs w:val="1"/>
                <w:color w:val="auto"/>
              </w:rPr>
              <w:t>13-3444607</w:t>
            </w:r>
          </w:p>
        </w:tc>
      </w:tr>
      <w:tr>
        <w:trPr>
          <w:trHeight w:val="206"/>
        </w:trPr>
        <w:tc>
          <w:tcPr>
            <w:tcW w:w="3160" w:type="dxa"/>
            <w:vAlign w:val="bottom"/>
          </w:tcPr>
          <w:p>
            <w:pPr>
              <w:jc w:val="center"/>
              <w:ind w:right="559"/>
              <w:spacing w:after="0"/>
              <w:rPr>
                <w:sz w:val="20"/>
                <w:szCs w:val="20"/>
                <w:color w:val="auto"/>
              </w:rPr>
            </w:pPr>
            <w:r>
              <w:rPr>
                <w:rFonts w:ascii="Times New Roman" w:cs="Times New Roman" w:eastAsia="Times New Roman" w:hAnsi="Times New Roman"/>
                <w:sz w:val="14"/>
                <w:szCs w:val="14"/>
                <w:color w:val="auto"/>
              </w:rPr>
              <w:t>(State or other jurisdiction of incorporation)</w:t>
            </w:r>
          </w:p>
        </w:tc>
        <w:tc>
          <w:tcPr>
            <w:tcW w:w="3000" w:type="dxa"/>
            <w:vAlign w:val="bottom"/>
          </w:tcPr>
          <w:p>
            <w:pPr>
              <w:jc w:val="center"/>
              <w:ind w:right="19"/>
              <w:spacing w:after="0"/>
              <w:rPr>
                <w:sz w:val="20"/>
                <w:szCs w:val="20"/>
                <w:color w:val="auto"/>
              </w:rPr>
            </w:pPr>
            <w:r>
              <w:rPr>
                <w:rFonts w:ascii="Times New Roman" w:cs="Times New Roman" w:eastAsia="Times New Roman" w:hAnsi="Times New Roman"/>
                <w:sz w:val="14"/>
                <w:szCs w:val="14"/>
                <w:color w:val="auto"/>
              </w:rPr>
              <w:t>(Commission File Number)</w:t>
            </w:r>
          </w:p>
        </w:tc>
        <w:tc>
          <w:tcPr>
            <w:tcW w:w="2860" w:type="dxa"/>
            <w:vAlign w:val="bottom"/>
          </w:tcPr>
          <w:p>
            <w:pPr>
              <w:jc w:val="center"/>
              <w:ind w:left="699"/>
              <w:spacing w:after="0"/>
              <w:rPr>
                <w:sz w:val="20"/>
                <w:szCs w:val="20"/>
                <w:color w:val="auto"/>
              </w:rPr>
            </w:pPr>
            <w:r>
              <w:rPr>
                <w:rFonts w:ascii="Times New Roman" w:cs="Times New Roman" w:eastAsia="Times New Roman" w:hAnsi="Times New Roman"/>
                <w:sz w:val="14"/>
                <w:szCs w:val="14"/>
                <w:color w:val="auto"/>
              </w:rPr>
              <w:t>(I.R.S. Employer Identification No.)</w:t>
            </w:r>
          </w:p>
        </w:tc>
      </w:tr>
    </w:tbl>
    <w:p>
      <w:pPr>
        <w:spacing w:after="0" w:line="15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777 Old Saw Mill River Road, Tarrytown, New York 10591-6707</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p>
      <w:pPr>
        <w:spacing w:after="0" w:line="39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(914) 847-7000</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200" w:lineRule="exact"/>
        <w:rPr>
          <w:sz w:val="24"/>
          <w:szCs w:val="24"/>
          <w:color w:val="auto"/>
        </w:rPr>
      </w:pPr>
    </w:p>
    <w:p>
      <w:pPr>
        <w:spacing w:after="0" w:line="26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13e-4(c) under the Exchange Act (17 CFR 240.13e-4(c))</w:t>
      </w:r>
    </w:p>
    <w:p>
      <w:pPr>
        <w:spacing w:after="0" w:line="26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31" w:lineRule="exact"/>
        <w:rPr>
          <w:sz w:val="24"/>
          <w:szCs w:val="24"/>
          <w:color w:val="auto"/>
        </w:rPr>
      </w:pPr>
    </w:p>
    <w:tbl>
      <w:tblPr>
        <w:tblLayout w:type="fixed"/>
        <w:tblInd w:w="520" w:type="dxa"/>
        <w:tblCellMar>
          <w:top w:w="0" w:type="dxa"/>
          <w:left w:w="0" w:type="dxa"/>
          <w:bottom w:w="0" w:type="dxa"/>
          <w:right w:w="0" w:type="dxa"/>
        </w:tblCellMar>
      </w:tblPr>
      <w:tr>
        <w:trPr>
          <w:trHeight w:val="207"/>
        </w:trPr>
        <w:tc>
          <w:tcPr>
            <w:tcW w:w="980" w:type="dxa"/>
            <w:vAlign w:val="bottom"/>
          </w:tcPr>
          <w:p>
            <w:pPr>
              <w:spacing w:after="0"/>
              <w:rPr>
                <w:sz w:val="18"/>
                <w:szCs w:val="18"/>
                <w:color w:val="auto"/>
              </w:rPr>
            </w:pPr>
          </w:p>
        </w:tc>
        <w:tc>
          <w:tcPr>
            <w:tcW w:w="2880" w:type="dxa"/>
            <w:vAlign w:val="bottom"/>
            <w:gridSpan w:val="2"/>
          </w:tcPr>
          <w:p>
            <w:pPr>
              <w:jc w:val="center"/>
              <w:ind w:right="1580"/>
              <w:spacing w:after="0"/>
              <w:rPr>
                <w:sz w:val="20"/>
                <w:szCs w:val="20"/>
                <w:color w:val="auto"/>
              </w:rPr>
            </w:pPr>
            <w:r>
              <w:rPr>
                <w:rFonts w:ascii="Times New Roman" w:cs="Times New Roman" w:eastAsia="Times New Roman" w:hAnsi="Times New Roman"/>
                <w:sz w:val="18"/>
                <w:szCs w:val="18"/>
                <w:i w:val="1"/>
                <w:iCs w:val="1"/>
                <w:color w:val="auto"/>
                <w:w w:val="99"/>
              </w:rPr>
              <w:t>Title of each class</w:t>
            </w:r>
          </w:p>
        </w:tc>
        <w:tc>
          <w:tcPr>
            <w:tcW w:w="312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i w:val="1"/>
                <w:iCs w:val="1"/>
                <w:color w:val="auto"/>
                <w:w w:val="99"/>
              </w:rPr>
              <w:t>Trading Symbol(s)</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Name of each exchange on which registered</w:t>
            </w:r>
          </w:p>
        </w:tc>
      </w:tr>
      <w:tr>
        <w:trPr>
          <w:trHeight w:val="20"/>
        </w:trPr>
        <w:tc>
          <w:tcPr>
            <w:tcW w:w="9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50"/>
        </w:trPr>
        <w:tc>
          <w:tcPr>
            <w:tcW w:w="386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Common Stock - par value $.001 per share</w:t>
            </w:r>
          </w:p>
        </w:tc>
        <w:tc>
          <w:tcPr>
            <w:tcW w:w="580" w:type="dxa"/>
            <w:vAlign w:val="bottom"/>
          </w:tcPr>
          <w:p>
            <w:pPr>
              <w:spacing w:after="0"/>
              <w:rPr>
                <w:sz w:val="21"/>
                <w:szCs w:val="21"/>
                <w:color w:val="auto"/>
              </w:rPr>
            </w:pPr>
          </w:p>
        </w:tc>
        <w:tc>
          <w:tcPr>
            <w:tcW w:w="2540" w:type="dxa"/>
            <w:vAlign w:val="bottom"/>
            <w:gridSpan w:val="2"/>
          </w:tcPr>
          <w:p>
            <w:pPr>
              <w:jc w:val="center"/>
              <w:ind w:right="1220"/>
              <w:spacing w:after="0"/>
              <w:rPr>
                <w:sz w:val="20"/>
                <w:szCs w:val="20"/>
                <w:color w:val="auto"/>
              </w:rPr>
            </w:pPr>
            <w:r>
              <w:rPr>
                <w:rFonts w:ascii="Times New Roman" w:cs="Times New Roman" w:eastAsia="Times New Roman" w:hAnsi="Times New Roman"/>
                <w:sz w:val="18"/>
                <w:szCs w:val="18"/>
                <w:b w:val="1"/>
                <w:bCs w:val="1"/>
                <w:color w:val="auto"/>
                <w:w w:val="99"/>
              </w:rPr>
              <w:t>REGN</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bl>
    <w:p>
      <w:pPr>
        <w:spacing w:after="0" w:line="306"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231F20"/>
        </w:rPr>
        <w:t xml:space="preserve">Emerging growth company </w:t>
      </w:r>
      <w:r>
        <w:rPr>
          <w:rFonts w:ascii="MS PGothic" w:cs="MS PGothic" w:eastAsia="MS PGothic" w:hAnsi="MS PGothic"/>
          <w:sz w:val="18"/>
          <w:szCs w:val="18"/>
          <w:color w:val="000000"/>
        </w:rPr>
        <w:t>☐</w:t>
      </w:r>
    </w:p>
    <w:p>
      <w:pPr>
        <w:spacing w:after="0" w:line="293"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1144270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53" w:right="49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u w:val="single" w:color="auto"/>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56" w:lineRule="exact"/>
        <w:rPr>
          <w:sz w:val="20"/>
          <w:szCs w:val="20"/>
          <w:color w:val="auto"/>
        </w:rPr>
      </w:pPr>
    </w:p>
    <w:p>
      <w:pPr>
        <w:ind w:firstLine="243"/>
        <w:spacing w:after="0" w:line="266" w:lineRule="auto"/>
        <w:rPr>
          <w:sz w:val="20"/>
          <w:szCs w:val="20"/>
          <w:color w:val="auto"/>
        </w:rPr>
      </w:pPr>
      <w:r>
        <w:rPr>
          <w:rFonts w:ascii="Times New Roman" w:cs="Times New Roman" w:eastAsia="Times New Roman" w:hAnsi="Times New Roman"/>
          <w:sz w:val="18"/>
          <w:szCs w:val="18"/>
          <w:color w:val="auto"/>
        </w:rPr>
        <w:t>On October 31, 2024, Regeneron Pharmaceuticals, Inc. issued a press release announcing its financial and operating results for the quarter ended September 30, 2024. A copy of the press release is being furnished to the Securities and Exchange Commission as Exhibit 99.1 to this Current Report on Form 8-K and is incorporated by reference to this Item 2.02.</w:t>
      </w:r>
    </w:p>
    <w:p>
      <w:pPr>
        <w:spacing w:after="0" w:line="203" w:lineRule="exact"/>
        <w:rPr>
          <w:sz w:val="20"/>
          <w:szCs w:val="20"/>
          <w:color w:val="auto"/>
        </w:rPr>
      </w:pPr>
    </w:p>
    <w:p>
      <w:pPr>
        <w:ind w:right="400" w:firstLine="243"/>
        <w:spacing w:after="0" w:line="266" w:lineRule="auto"/>
        <w:rPr>
          <w:sz w:val="20"/>
          <w:szCs w:val="20"/>
          <w:color w:val="auto"/>
        </w:rPr>
      </w:pPr>
      <w:r>
        <w:rPr>
          <w:rFonts w:ascii="Times New Roman" w:cs="Times New Roman" w:eastAsia="Times New Roman" w:hAnsi="Times New Roman"/>
          <w:sz w:val="18"/>
          <w:szCs w:val="18"/>
          <w:color w:val="auto"/>
        </w:rPr>
        <w:t>The information included or incorporated in this Item 2.02, including Exhibit 99.1, shall not be deemed "filed" for purposes of Section 18 of the Securities Exchange Act of 1934, as amended, nor shall such information and exhibit be deemed incorporated by reference in any filing under the Securities Act of 1933, as amended, except as shall be expressly set forth by specific reference in such a filing.</w:t>
      </w:r>
    </w:p>
    <w:p>
      <w:pPr>
        <w:spacing w:after="0" w:line="200" w:lineRule="exact"/>
        <w:rPr>
          <w:sz w:val="20"/>
          <w:szCs w:val="20"/>
          <w:color w:val="auto"/>
        </w:rPr>
      </w:pPr>
    </w:p>
    <w:p>
      <w:pPr>
        <w:spacing w:after="0" w:line="24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u w:val="single" w:color="auto"/>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99.1 </w:t>
      </w:r>
      <w:r>
        <w:rPr>
          <w:rFonts w:ascii="Times New Roman" w:cs="Times New Roman" w:eastAsia="Times New Roman" w:hAnsi="Times New Roman"/>
          <w:sz w:val="18"/>
          <w:szCs w:val="18"/>
          <w:u w:val="single" w:color="auto"/>
          <w:color w:val="0000FF"/>
        </w:rPr>
        <w:t>Press Release, dated October 31, 2024, Reporting Third Quarter 2024 Financial and Operating Results.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 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870585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130" w:right="559" w:bottom="1440" w:gutter="0" w:footer="0" w:header="0"/>
        </w:sectPr>
      </w:pPr>
    </w:p>
    <w:bookmarkStart w:id="2" w:name="page3"/>
    <w:bookmarkEnd w:id="2"/>
    <w:p>
      <w:pPr>
        <w:jc w:val="center"/>
        <w:ind w:right="-719"/>
        <w:spacing w:after="0"/>
        <w:rPr>
          <w:sz w:val="20"/>
          <w:szCs w:val="20"/>
          <w:color w:val="auto"/>
        </w:rPr>
      </w:pPr>
      <w:r>
        <w:rPr>
          <w:rFonts w:ascii="Times New Roman" w:cs="Times New Roman" w:eastAsia="Times New Roman" w:hAnsi="Times New Roman"/>
          <w:sz w:val="18"/>
          <w:szCs w:val="18"/>
          <w:color w:val="auto"/>
        </w:rPr>
        <w:t>SIGNATURES</w:t>
      </w:r>
    </w:p>
    <w:p>
      <w:pPr>
        <w:spacing w:after="0" w:line="252" w:lineRule="exact"/>
        <w:rPr>
          <w:sz w:val="20"/>
          <w:szCs w:val="20"/>
          <w:color w:val="auto"/>
        </w:rPr>
      </w:pPr>
    </w:p>
    <w:p>
      <w:pPr>
        <w:ind w:firstLine="24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26" w:lineRule="exact"/>
        <w:rPr>
          <w:sz w:val="20"/>
          <w:szCs w:val="20"/>
          <w:color w:val="auto"/>
        </w:rPr>
      </w:pPr>
    </w:p>
    <w:tbl>
      <w:tblPr>
        <w:tblLayout w:type="fixed"/>
        <w:tblInd w:w="2520" w:type="dxa"/>
        <w:tblCellMar>
          <w:top w:w="0" w:type="dxa"/>
          <w:left w:w="0" w:type="dxa"/>
          <w:bottom w:w="0" w:type="dxa"/>
          <w:right w:w="0" w:type="dxa"/>
        </w:tblCellMar>
      </w:tblPr>
      <w:tr>
        <w:trPr>
          <w:trHeight w:val="234"/>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31, 2024</w:t>
            </w:r>
          </w:p>
        </w:tc>
        <w:tc>
          <w:tcPr>
            <w:tcW w:w="59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REGENERON PHARMACEUTICALS, INC.</w:t>
            </w:r>
          </w:p>
        </w:tc>
      </w:tr>
      <w:tr>
        <w:trPr>
          <w:trHeight w:val="499"/>
        </w:trPr>
        <w:tc>
          <w:tcPr>
            <w:tcW w:w="2020" w:type="dxa"/>
            <w:vAlign w:val="bottom"/>
          </w:tcPr>
          <w:p>
            <w:pPr>
              <w:spacing w:after="0"/>
              <w:rPr>
                <w:sz w:val="24"/>
                <w:szCs w:val="24"/>
                <w:color w:val="auto"/>
              </w:rPr>
            </w:pPr>
          </w:p>
        </w:tc>
        <w:tc>
          <w:tcPr>
            <w:tcW w:w="1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By:</w:t>
            </w:r>
          </w:p>
        </w:tc>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Joseph J. LaRosa</w:t>
            </w:r>
          </w:p>
        </w:tc>
      </w:tr>
      <w:tr>
        <w:trPr>
          <w:trHeight w:val="218"/>
        </w:trPr>
        <w:tc>
          <w:tcPr>
            <w:tcW w:w="2020" w:type="dxa"/>
            <w:vAlign w:val="bottom"/>
          </w:tcPr>
          <w:p>
            <w:pPr>
              <w:spacing w:after="0"/>
              <w:rPr>
                <w:sz w:val="18"/>
                <w:szCs w:val="18"/>
                <w:color w:val="auto"/>
              </w:rPr>
            </w:pPr>
          </w:p>
        </w:tc>
        <w:tc>
          <w:tcPr>
            <w:tcW w:w="1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Name:</w:t>
            </w: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Joseph J. LaRosa</w:t>
            </w:r>
          </w:p>
        </w:tc>
      </w:tr>
      <w:tr>
        <w:trPr>
          <w:trHeight w:val="234"/>
        </w:trPr>
        <w:tc>
          <w:tcPr>
            <w:tcW w:w="2020" w:type="dxa"/>
            <w:vAlign w:val="bottom"/>
          </w:tcPr>
          <w:p>
            <w:pPr>
              <w:spacing w:after="0"/>
              <w:rPr>
                <w:sz w:val="20"/>
                <w:szCs w:val="20"/>
                <w:color w:val="auto"/>
              </w:rPr>
            </w:pPr>
          </w:p>
        </w:tc>
        <w:tc>
          <w:tcPr>
            <w:tcW w:w="1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Title:</w:t>
            </w: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r>
    </w:tbl>
    <w:p>
      <w:pPr>
        <w:sectPr>
          <w:pgSz w:w="11900" w:h="16838" w:orient="portrait"/>
          <w:cols w:equalWidth="0" w:num="1">
            <w:col w:w="10520"/>
          </w:cols>
          <w:pgMar w:left="320" w:top="891" w:right="10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303020" cy="2057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3020" cy="20574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22"/>
          <w:szCs w:val="22"/>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9"/>
          <w:szCs w:val="29"/>
          <w:b w:val="1"/>
          <w:bCs w:val="1"/>
          <w:color w:val="0F4DBC"/>
        </w:rPr>
        <w:t>Regeneron Reports Third Quarter 2024 Financial and Operating Results</w:t>
      </w:r>
    </w:p>
    <w:p>
      <w:pPr>
        <w:spacing w:after="0" w:line="174" w:lineRule="exact"/>
        <w:rPr>
          <w:sz w:val="20"/>
          <w:szCs w:val="20"/>
          <w:color w:val="auto"/>
        </w:rPr>
      </w:pPr>
    </w:p>
    <w:p>
      <w:pPr>
        <w:ind w:left="320" w:hanging="312"/>
        <w:spacing w:after="0"/>
        <w:tabs>
          <w:tab w:leader="none" w:pos="32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Third quarter 2024 revenues increased 11% to $3.72 billion versus third quarter 2023</w:t>
      </w:r>
    </w:p>
    <w:p>
      <w:pPr>
        <w:spacing w:after="0" w:line="23" w:lineRule="exact"/>
        <w:rPr>
          <w:rFonts w:ascii="Arial" w:cs="Arial" w:eastAsia="Arial" w:hAnsi="Arial"/>
          <w:sz w:val="22"/>
          <w:szCs w:val="22"/>
          <w:i w:val="1"/>
          <w:iCs w:val="1"/>
          <w:color w:val="auto"/>
        </w:rPr>
      </w:pPr>
    </w:p>
    <w:p>
      <w:pPr>
        <w:ind w:left="340" w:right="460" w:hanging="332"/>
        <w:spacing w:after="0" w:line="246" w:lineRule="auto"/>
        <w:tabs>
          <w:tab w:leader="none" w:pos="335"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Third quarter 2024 Dupixent</w:t>
      </w:r>
      <w:r>
        <w:rPr>
          <w:rFonts w:ascii="Arial" w:cs="Arial" w:eastAsia="Arial" w:hAnsi="Arial"/>
          <w:sz w:val="11"/>
          <w:szCs w:val="11"/>
          <w:i w:val="1"/>
          <w:iCs w:val="1"/>
          <w:color w:val="auto"/>
        </w:rPr>
        <w:t>®</w:t>
      </w:r>
      <w:r>
        <w:rPr>
          <w:rFonts w:ascii="Arial" w:cs="Arial" w:eastAsia="Arial" w:hAnsi="Arial"/>
          <w:sz w:val="22"/>
          <w:szCs w:val="22"/>
          <w:i w:val="1"/>
          <w:iCs w:val="1"/>
          <w:color w:val="auto"/>
        </w:rPr>
        <w:t xml:space="preserve"> global net sales (recorded by Sanofi) increased 23% to $3.82 billion versus third quarter 2023</w:t>
      </w:r>
    </w:p>
    <w:p>
      <w:pPr>
        <w:spacing w:after="0" w:line="1" w:lineRule="exact"/>
        <w:rPr>
          <w:rFonts w:ascii="Arial" w:cs="Arial" w:eastAsia="Arial" w:hAnsi="Arial"/>
          <w:sz w:val="22"/>
          <w:szCs w:val="22"/>
          <w:i w:val="1"/>
          <w:iCs w:val="1"/>
          <w:color w:val="auto"/>
        </w:rPr>
      </w:pPr>
    </w:p>
    <w:p>
      <w:pPr>
        <w:ind w:left="340" w:right="880" w:hanging="332"/>
        <w:spacing w:after="0" w:line="246" w:lineRule="auto"/>
        <w:tabs>
          <w:tab w:leader="none" w:pos="335"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Third quarter 2024 U.S. net sales for EYLEA HD</w:t>
      </w:r>
      <w:r>
        <w:rPr>
          <w:rFonts w:ascii="Arial" w:cs="Arial" w:eastAsia="Arial" w:hAnsi="Arial"/>
          <w:sz w:val="11"/>
          <w:szCs w:val="11"/>
          <w:i w:val="1"/>
          <w:iCs w:val="1"/>
          <w:color w:val="auto"/>
        </w:rPr>
        <w:t>®</w:t>
      </w:r>
      <w:r>
        <w:rPr>
          <w:rFonts w:ascii="Arial" w:cs="Arial" w:eastAsia="Arial" w:hAnsi="Arial"/>
          <w:sz w:val="22"/>
          <w:szCs w:val="22"/>
          <w:i w:val="1"/>
          <w:iCs w:val="1"/>
          <w:color w:val="auto"/>
        </w:rPr>
        <w:t xml:space="preserve"> and EYLEA</w:t>
      </w:r>
      <w:r>
        <w:rPr>
          <w:rFonts w:ascii="Arial" w:cs="Arial" w:eastAsia="Arial" w:hAnsi="Arial"/>
          <w:sz w:val="11"/>
          <w:szCs w:val="11"/>
          <w:i w:val="1"/>
          <w:iCs w:val="1"/>
          <w:color w:val="auto"/>
        </w:rPr>
        <w:t>®</w:t>
      </w:r>
      <w:r>
        <w:rPr>
          <w:rFonts w:ascii="Arial" w:cs="Arial" w:eastAsia="Arial" w:hAnsi="Arial"/>
          <w:sz w:val="22"/>
          <w:szCs w:val="22"/>
          <w:i w:val="1"/>
          <w:iCs w:val="1"/>
          <w:color w:val="auto"/>
        </w:rPr>
        <w:t xml:space="preserve"> increased 3% versus third quarter 2023 to $1.54 billion, including $392 million from EYLEA HD</w:t>
      </w:r>
    </w:p>
    <w:p>
      <w:pPr>
        <w:ind w:left="320" w:hanging="312"/>
        <w:spacing w:after="0"/>
        <w:tabs>
          <w:tab w:leader="none" w:pos="32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Third quarter 2024 Libtayo</w:t>
      </w:r>
      <w:r>
        <w:rPr>
          <w:rFonts w:ascii="Arial" w:cs="Arial" w:eastAsia="Arial" w:hAnsi="Arial"/>
          <w:sz w:val="11"/>
          <w:szCs w:val="11"/>
          <w:i w:val="1"/>
          <w:iCs w:val="1"/>
          <w:color w:val="auto"/>
        </w:rPr>
        <w:t>®</w:t>
      </w:r>
      <w:r>
        <w:rPr>
          <w:rFonts w:ascii="Arial" w:cs="Arial" w:eastAsia="Arial" w:hAnsi="Arial"/>
          <w:sz w:val="22"/>
          <w:szCs w:val="22"/>
          <w:i w:val="1"/>
          <w:iCs w:val="1"/>
          <w:color w:val="auto"/>
        </w:rPr>
        <w:t xml:space="preserve"> global net sales increased 24% to $289 million versus third quarter 2023</w:t>
      </w:r>
    </w:p>
    <w:p>
      <w:pPr>
        <w:spacing w:after="0" w:line="3" w:lineRule="exact"/>
        <w:rPr>
          <w:rFonts w:ascii="Arial" w:cs="Arial" w:eastAsia="Arial" w:hAnsi="Arial"/>
          <w:sz w:val="22"/>
          <w:szCs w:val="22"/>
          <w:i w:val="1"/>
          <w:iCs w:val="1"/>
          <w:color w:val="auto"/>
        </w:rPr>
      </w:pPr>
    </w:p>
    <w:p>
      <w:pPr>
        <w:ind w:left="340" w:right="400" w:hanging="332"/>
        <w:spacing w:after="0" w:line="247" w:lineRule="auto"/>
        <w:tabs>
          <w:tab w:leader="none" w:pos="335"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Third quarter 2024 GAAP diluted EPS increased 30% to $11.54 and non-GAAP diluted EPS</w:t>
      </w:r>
      <w:r>
        <w:rPr>
          <w:rFonts w:ascii="Arial" w:cs="Arial" w:eastAsia="Arial" w:hAnsi="Arial"/>
          <w:sz w:val="11"/>
          <w:szCs w:val="11"/>
          <w:i w:val="1"/>
          <w:iCs w:val="1"/>
          <w:color w:val="auto"/>
        </w:rPr>
        <w:t>(a)</w:t>
      </w:r>
      <w:r>
        <w:rPr>
          <w:rFonts w:ascii="Arial" w:cs="Arial" w:eastAsia="Arial" w:hAnsi="Arial"/>
          <w:sz w:val="22"/>
          <w:szCs w:val="22"/>
          <w:i w:val="1"/>
          <w:iCs w:val="1"/>
          <w:color w:val="auto"/>
        </w:rPr>
        <w:t xml:space="preserve"> increased 8% to $12.46 versus third quarter 2023; third quarter 2024 includes unfavorable $0.43 impact from acquired IPR&amp;D charge</w:t>
      </w:r>
    </w:p>
    <w:p>
      <w:pPr>
        <w:spacing w:after="0" w:line="1" w:lineRule="exact"/>
        <w:rPr>
          <w:rFonts w:ascii="Arial" w:cs="Arial" w:eastAsia="Arial" w:hAnsi="Arial"/>
          <w:sz w:val="22"/>
          <w:szCs w:val="22"/>
          <w:i w:val="1"/>
          <w:iCs w:val="1"/>
          <w:color w:val="auto"/>
        </w:rPr>
      </w:pPr>
    </w:p>
    <w:p>
      <w:pPr>
        <w:ind w:left="340" w:right="580" w:hanging="332"/>
        <w:spacing w:after="0" w:line="243" w:lineRule="auto"/>
        <w:tabs>
          <w:tab w:leader="none" w:pos="335"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FDA approved Dupixent as first-ever biologic therapy in U.S. for treatment of inadequately controlled chronic obstructive pulmonary disease (COPD) and an eosinophilic phenotype</w:t>
      </w:r>
    </w:p>
    <w:p>
      <w:pPr>
        <w:ind w:left="340" w:right="60" w:hanging="332"/>
        <w:spacing w:after="0" w:line="253" w:lineRule="auto"/>
        <w:tabs>
          <w:tab w:leader="none" w:pos="335"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Positive results reported for Dupixent pivotal trials in chronic spontaneous urticaria (CSU) and bullous pemphigoid (BP); CSU sBLA resubmitted and BP sBLA submission planned for fourth quarter 2024</w:t>
      </w:r>
    </w:p>
    <w:p>
      <w:pPr>
        <w:spacing w:after="0" w:line="174" w:lineRule="exact"/>
        <w:rPr>
          <w:sz w:val="20"/>
          <w:szCs w:val="20"/>
          <w:color w:val="auto"/>
        </w:rPr>
      </w:pPr>
    </w:p>
    <w:p>
      <w:pPr>
        <w:ind w:right="140"/>
        <w:spacing w:after="0" w:line="287" w:lineRule="auto"/>
        <w:rPr>
          <w:sz w:val="20"/>
          <w:szCs w:val="20"/>
          <w:color w:val="auto"/>
        </w:rPr>
      </w:pPr>
      <w:r>
        <w:rPr>
          <w:rFonts w:ascii="Arial" w:cs="Arial" w:eastAsia="Arial" w:hAnsi="Arial"/>
          <w:sz w:val="22"/>
          <w:szCs w:val="22"/>
          <w:b w:val="1"/>
          <w:bCs w:val="1"/>
          <w:color w:val="auto"/>
        </w:rPr>
        <w:t xml:space="preserve">Tarrytown, New York (October 31, 2024) -- </w:t>
      </w:r>
      <w:r>
        <w:rPr>
          <w:rFonts w:ascii="Arial" w:cs="Arial" w:eastAsia="Arial" w:hAnsi="Arial"/>
          <w:sz w:val="22"/>
          <w:szCs w:val="22"/>
          <w:color w:val="auto"/>
        </w:rPr>
        <w:t>Regeneron Pharmaceuticals, Inc. (NASDAQ:</w:t>
      </w:r>
      <w:r>
        <w:rPr>
          <w:rFonts w:ascii="Arial" w:cs="Arial" w:eastAsia="Arial" w:hAnsi="Arial"/>
          <w:sz w:val="22"/>
          <w:szCs w:val="22"/>
          <w:b w:val="1"/>
          <w:bCs w:val="1"/>
          <w:color w:val="auto"/>
        </w:rPr>
        <w:t xml:space="preserve"> REGN</w:t>
      </w:r>
      <w:r>
        <w:rPr>
          <w:rFonts w:ascii="Arial" w:cs="Arial" w:eastAsia="Arial" w:hAnsi="Arial"/>
          <w:sz w:val="22"/>
          <w:szCs w:val="22"/>
          <w:color w:val="auto"/>
        </w:rPr>
        <w:t>) today announced</w:t>
      </w:r>
      <w:r>
        <w:rPr>
          <w:rFonts w:ascii="Arial" w:cs="Arial" w:eastAsia="Arial" w:hAnsi="Arial"/>
          <w:sz w:val="22"/>
          <w:szCs w:val="22"/>
          <w:b w:val="1"/>
          <w:bCs w:val="1"/>
          <w:color w:val="auto"/>
        </w:rPr>
        <w:t xml:space="preserve"> </w:t>
      </w:r>
      <w:r>
        <w:rPr>
          <w:rFonts w:ascii="Arial" w:cs="Arial" w:eastAsia="Arial" w:hAnsi="Arial"/>
          <w:sz w:val="22"/>
          <w:szCs w:val="22"/>
          <w:color w:val="auto"/>
        </w:rPr>
        <w:t>financial results for the third quarter of 2024 and provided a business update.</w:t>
      </w:r>
    </w:p>
    <w:p>
      <w:pPr>
        <w:spacing w:after="0" w:line="45" w:lineRule="exact"/>
        <w:rPr>
          <w:sz w:val="20"/>
          <w:szCs w:val="20"/>
          <w:color w:val="auto"/>
        </w:rPr>
      </w:pPr>
    </w:p>
    <w:p>
      <w:pPr>
        <w:ind w:right="240"/>
        <w:spacing w:after="0" w:line="234" w:lineRule="auto"/>
        <w:rPr>
          <w:sz w:val="20"/>
          <w:szCs w:val="20"/>
          <w:color w:val="auto"/>
        </w:rPr>
      </w:pPr>
      <w:r>
        <w:rPr>
          <w:rFonts w:ascii="Arial" w:cs="Arial" w:eastAsia="Arial" w:hAnsi="Arial"/>
          <w:sz w:val="22"/>
          <w:szCs w:val="22"/>
          <w:color w:val="auto"/>
        </w:rPr>
        <w:t>"Regeneron had a strong third quarter marked by 11% revenue growth. We continued to deepen the impact of our commercialized medicines this quarter, with ongoing leadership for our retinal franchise, expanded global reach of Libtayo, and notable growth from Dupixent," said Leonard S. Schleifer, M.D., Ph.D., Board co-Chair, President and Chief Executive Officer of Regeneron. "Over one million patients around the globe are currently being treated with Dupixent, with more to come following the approvals for COPD in the U.S., Europe and China. Our remarkably diverse clinical portfolio now includes approximately 40 product candidates and many pivotal studies underway. We continue to invest in the world-class research and development engine that drives our scientific and clinical productivity, with data expected over the next twelve months in diseases as varied as non-small cell lung cancer, thrombosis, retinal vein occlusion, severe allergy, COPD, melanoma, and obesity."</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Financial Highlights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4980" w:type="dxa"/>
            <w:vAlign w:val="bottom"/>
          </w:tcPr>
          <w:p>
            <w:pPr>
              <w:ind w:left="20"/>
              <w:spacing w:after="0"/>
              <w:rPr>
                <w:sz w:val="20"/>
                <w:szCs w:val="20"/>
                <w:color w:val="auto"/>
              </w:rPr>
            </w:pPr>
            <w:r>
              <w:rPr>
                <w:rFonts w:ascii="Arial" w:cs="Arial" w:eastAsia="Arial" w:hAnsi="Arial"/>
                <w:sz w:val="14"/>
                <w:szCs w:val="14"/>
                <w:i w:val="1"/>
                <w:iCs w:val="1"/>
                <w:color w:val="auto"/>
              </w:rPr>
              <w:t>($ in millions, except per share data)</w:t>
            </w:r>
          </w:p>
        </w:tc>
        <w:tc>
          <w:tcPr>
            <w:tcW w:w="200" w:type="dxa"/>
            <w:vAlign w:val="bottom"/>
          </w:tcPr>
          <w:p>
            <w:pPr>
              <w:spacing w:after="0"/>
              <w:rPr>
                <w:sz w:val="23"/>
                <w:szCs w:val="23"/>
                <w:color w:val="auto"/>
              </w:rPr>
            </w:pPr>
          </w:p>
        </w:tc>
        <w:tc>
          <w:tcPr>
            <w:tcW w:w="1160" w:type="dxa"/>
            <w:vAlign w:val="bottom"/>
            <w:gridSpan w:val="2"/>
          </w:tcPr>
          <w:p>
            <w:pPr>
              <w:ind w:left="60"/>
              <w:spacing w:after="0"/>
              <w:rPr>
                <w:sz w:val="20"/>
                <w:szCs w:val="20"/>
                <w:color w:val="auto"/>
              </w:rPr>
            </w:pPr>
            <w:r>
              <w:rPr>
                <w:rFonts w:ascii="Arial" w:cs="Arial" w:eastAsia="Arial" w:hAnsi="Arial"/>
                <w:sz w:val="20"/>
                <w:szCs w:val="20"/>
                <w:b w:val="1"/>
                <w:bCs w:val="1"/>
                <w:color w:val="auto"/>
              </w:rPr>
              <w:t>Q3 2024</w:t>
            </w:r>
          </w:p>
        </w:tc>
        <w:tc>
          <w:tcPr>
            <w:tcW w:w="180" w:type="dxa"/>
            <w:vAlign w:val="bottom"/>
          </w:tcPr>
          <w:p>
            <w:pPr>
              <w:spacing w:after="0"/>
              <w:rPr>
                <w:sz w:val="23"/>
                <w:szCs w:val="23"/>
                <w:color w:val="auto"/>
              </w:rPr>
            </w:pPr>
          </w:p>
        </w:tc>
        <w:tc>
          <w:tcPr>
            <w:tcW w:w="1160" w:type="dxa"/>
            <w:vAlign w:val="bottom"/>
            <w:gridSpan w:val="2"/>
          </w:tcPr>
          <w:p>
            <w:pPr>
              <w:ind w:left="60"/>
              <w:spacing w:after="0"/>
              <w:rPr>
                <w:sz w:val="20"/>
                <w:szCs w:val="20"/>
                <w:color w:val="auto"/>
              </w:rPr>
            </w:pPr>
            <w:r>
              <w:rPr>
                <w:rFonts w:ascii="Arial" w:cs="Arial" w:eastAsia="Arial" w:hAnsi="Arial"/>
                <w:sz w:val="20"/>
                <w:szCs w:val="20"/>
                <w:b w:val="1"/>
                <w:bCs w:val="1"/>
                <w:color w:val="auto"/>
              </w:rPr>
              <w:t>Q3 2023</w:t>
            </w:r>
          </w:p>
        </w:tc>
        <w:tc>
          <w:tcPr>
            <w:tcW w:w="1460" w:type="dxa"/>
            <w:vAlign w:val="bottom"/>
          </w:tcPr>
          <w:p>
            <w:pPr>
              <w:jc w:val="right"/>
              <w:ind w:right="141"/>
              <w:spacing w:after="0"/>
              <w:rPr>
                <w:sz w:val="20"/>
                <w:szCs w:val="20"/>
                <w:color w:val="auto"/>
              </w:rPr>
            </w:pPr>
            <w:r>
              <w:rPr>
                <w:rFonts w:ascii="Arial" w:cs="Arial" w:eastAsia="Arial" w:hAnsi="Arial"/>
                <w:sz w:val="20"/>
                <w:szCs w:val="20"/>
                <w:b w:val="1"/>
                <w:bCs w:val="1"/>
                <w:color w:val="auto"/>
              </w:rPr>
              <w:t>% Change</w:t>
            </w:r>
          </w:p>
        </w:tc>
      </w:tr>
      <w:tr>
        <w:trPr>
          <w:trHeight w:val="250"/>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Total revenues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3,721</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3,363</w:t>
            </w:r>
          </w:p>
        </w:tc>
        <w:tc>
          <w:tcPr>
            <w:tcW w:w="80" w:type="dxa"/>
            <w:vAlign w:val="bottom"/>
            <w:tcBorders>
              <w:top w:val="single" w:sz="8" w:color="CCEEFF"/>
            </w:tcBorders>
            <w:shd w:val="clear" w:color="auto" w:fill="CCEEFF"/>
          </w:tcPr>
          <w:p>
            <w:pPr>
              <w:spacing w:after="0"/>
              <w:rPr>
                <w:sz w:val="21"/>
                <w:szCs w:val="21"/>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11 %</w:t>
            </w:r>
          </w:p>
        </w:tc>
      </w:tr>
      <w:tr>
        <w:trPr>
          <w:trHeight w:val="256"/>
        </w:trPr>
        <w:tc>
          <w:tcPr>
            <w:tcW w:w="4980" w:type="dxa"/>
            <w:vAlign w:val="bottom"/>
          </w:tcPr>
          <w:p>
            <w:pPr>
              <w:ind w:left="20"/>
              <w:spacing w:after="0"/>
              <w:rPr>
                <w:sz w:val="20"/>
                <w:szCs w:val="20"/>
                <w:color w:val="auto"/>
              </w:rPr>
            </w:pPr>
            <w:r>
              <w:rPr>
                <w:rFonts w:ascii="Arial" w:cs="Arial" w:eastAsia="Arial" w:hAnsi="Arial"/>
                <w:sz w:val="20"/>
                <w:szCs w:val="20"/>
                <w:color w:val="auto"/>
              </w:rPr>
              <w:t>GAAP net income</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1,341</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1,008</w:t>
            </w:r>
          </w:p>
        </w:tc>
        <w:tc>
          <w:tcPr>
            <w:tcW w:w="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33 %</w:t>
            </w:r>
          </w:p>
        </w:tc>
      </w:tr>
      <w:tr>
        <w:trPr>
          <w:trHeight w:val="257"/>
        </w:trPr>
        <w:tc>
          <w:tcPr>
            <w:tcW w:w="4980" w:type="dxa"/>
            <w:vAlign w:val="bottom"/>
            <w:shd w:val="clear" w:color="auto" w:fill="CCEEFF"/>
          </w:tcPr>
          <w:p>
            <w:pPr>
              <w:ind w:left="20"/>
              <w:spacing w:after="0"/>
              <w:rPr>
                <w:sz w:val="20"/>
                <w:szCs w:val="20"/>
                <w:color w:val="auto"/>
              </w:rPr>
            </w:pPr>
            <w:r>
              <w:rPr>
                <w:rFonts w:ascii="Arial" w:cs="Arial" w:eastAsia="Arial" w:hAnsi="Arial"/>
                <w:sz w:val="20"/>
                <w:szCs w:val="20"/>
                <w:color w:val="auto"/>
              </w:rPr>
              <w:t>GAAP net income per share - diluted</w:t>
            </w:r>
          </w:p>
        </w:tc>
        <w:tc>
          <w:tcPr>
            <w:tcW w:w="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11.54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8.89</w:t>
            </w:r>
          </w:p>
        </w:tc>
        <w:tc>
          <w:tcPr>
            <w:tcW w:w="8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30 %</w:t>
            </w:r>
          </w:p>
        </w:tc>
      </w:tr>
      <w:tr>
        <w:trPr>
          <w:trHeight w:val="257"/>
        </w:trPr>
        <w:tc>
          <w:tcPr>
            <w:tcW w:w="4980" w:type="dxa"/>
            <w:vAlign w:val="bottom"/>
          </w:tcPr>
          <w:p>
            <w:pPr>
              <w:ind w:left="20"/>
              <w:spacing w:after="0" w:line="257" w:lineRule="exact"/>
              <w:rPr>
                <w:sz w:val="20"/>
                <w:szCs w:val="20"/>
                <w:color w:val="auto"/>
              </w:rPr>
            </w:pPr>
            <w:r>
              <w:rPr>
                <w:rFonts w:ascii="Arial" w:cs="Arial" w:eastAsia="Arial" w:hAnsi="Arial"/>
                <w:sz w:val="20"/>
                <w:szCs w:val="20"/>
                <w:color w:val="auto"/>
              </w:rPr>
              <w:t>Non-GAAP net income</w:t>
            </w:r>
            <w:r>
              <w:rPr>
                <w:rFonts w:ascii="Arial" w:cs="Arial" w:eastAsia="Arial" w:hAnsi="Arial"/>
                <w:sz w:val="25"/>
                <w:szCs w:val="25"/>
                <w:color w:val="auto"/>
                <w:vertAlign w:val="superscript"/>
              </w:rPr>
              <w:t>(a)</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1,462</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1,329</w:t>
            </w:r>
          </w:p>
        </w:tc>
        <w:tc>
          <w:tcPr>
            <w:tcW w:w="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10 %</w:t>
            </w:r>
          </w:p>
        </w:tc>
      </w:tr>
      <w:tr>
        <w:trPr>
          <w:trHeight w:val="256"/>
        </w:trPr>
        <w:tc>
          <w:tcPr>
            <w:tcW w:w="4980" w:type="dxa"/>
            <w:vAlign w:val="bottom"/>
            <w:shd w:val="clear" w:color="auto" w:fill="CCEEFF"/>
          </w:tcPr>
          <w:p>
            <w:pPr>
              <w:ind w:left="20"/>
              <w:spacing w:after="0" w:line="257" w:lineRule="exact"/>
              <w:rPr>
                <w:sz w:val="20"/>
                <w:szCs w:val="20"/>
                <w:color w:val="auto"/>
              </w:rPr>
            </w:pPr>
            <w:r>
              <w:rPr>
                <w:rFonts w:ascii="Arial" w:cs="Arial" w:eastAsia="Arial" w:hAnsi="Arial"/>
                <w:sz w:val="20"/>
                <w:szCs w:val="20"/>
                <w:color w:val="auto"/>
              </w:rPr>
              <w:t>Non-GAAP net income per share - diluted</w:t>
            </w:r>
            <w:r>
              <w:rPr>
                <w:rFonts w:ascii="Arial" w:cs="Arial" w:eastAsia="Arial" w:hAnsi="Arial"/>
                <w:sz w:val="25"/>
                <w:szCs w:val="25"/>
                <w:color w:val="auto"/>
                <w:vertAlign w:val="superscript"/>
              </w:rPr>
              <w:t>(a)</w:t>
            </w:r>
          </w:p>
        </w:tc>
        <w:tc>
          <w:tcPr>
            <w:tcW w:w="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12.46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11.59</w:t>
            </w:r>
          </w:p>
        </w:tc>
        <w:tc>
          <w:tcPr>
            <w:tcW w:w="8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8 %</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890" w:right="339" w:bottom="1440" w:gutter="0" w:footer="0" w:header="0"/>
        </w:sectPr>
      </w:pPr>
    </w:p>
    <w:bookmarkStart w:id="4" w:name="page5"/>
    <w:bookmarkEnd w:id="4"/>
    <w:p>
      <w:pPr>
        <w:ind w:right="20"/>
        <w:spacing w:after="0" w:line="238" w:lineRule="auto"/>
        <w:rPr>
          <w:sz w:val="20"/>
          <w:szCs w:val="20"/>
          <w:color w:val="auto"/>
        </w:rPr>
      </w:pPr>
      <w:r>
        <w:rPr>
          <w:rFonts w:ascii="Arial" w:cs="Arial" w:eastAsia="Arial" w:hAnsi="Arial"/>
          <w:sz w:val="22"/>
          <w:szCs w:val="22"/>
          <w:color w:val="auto"/>
        </w:rPr>
        <w:t>"Our strong third quarter financial performance was highlighted by double-digit revenue growth and continued investment in our growing pipeline," said Christopher Fenimore, Senior Vice President, Finance and Chief Financial Officer of Regeneron. "We remain focused on translating cutting-edge science into differentiated medicines that have the greatest potential to serve patients, while deploying capital with the goal of maximizing shareholder returns, primarily through investing in innovation coupled with opportunistic share repurchases."</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Business Highlights</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Key Pipeline Progress</w:t>
      </w:r>
    </w:p>
    <w:p>
      <w:pPr>
        <w:spacing w:after="0" w:line="26" w:lineRule="exact"/>
        <w:rPr>
          <w:sz w:val="20"/>
          <w:szCs w:val="20"/>
          <w:color w:val="auto"/>
        </w:rPr>
      </w:pPr>
    </w:p>
    <w:p>
      <w:pPr>
        <w:ind w:right="720"/>
        <w:spacing w:after="0" w:line="276" w:lineRule="auto"/>
        <w:rPr>
          <w:sz w:val="20"/>
          <w:szCs w:val="20"/>
          <w:color w:val="auto"/>
        </w:rPr>
      </w:pPr>
      <w:r>
        <w:rPr>
          <w:rFonts w:ascii="Arial" w:cs="Arial" w:eastAsia="Arial" w:hAnsi="Arial"/>
          <w:sz w:val="21"/>
          <w:szCs w:val="21"/>
          <w:color w:val="auto"/>
        </w:rPr>
        <w:t>Regeneron has approximately 40 product candidates in clinical development, including a number of marketed products for which it is investigating additional indications. Updates from the clinical pipeline include:</w:t>
      </w:r>
    </w:p>
    <w:p>
      <w:pPr>
        <w:spacing w:after="0" w:line="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EYLEA HD</w:t>
      </w:r>
      <w:r>
        <w:rPr>
          <w:rFonts w:ascii="Arial" w:cs="Arial" w:eastAsia="Arial" w:hAnsi="Arial"/>
          <w:sz w:val="22"/>
          <w:szCs w:val="22"/>
          <w:color w:val="auto"/>
        </w:rPr>
        <w:t xml:space="preserve"> (aflibercept) 8 mg</w:t>
      </w:r>
    </w:p>
    <w:p>
      <w:pPr>
        <w:spacing w:after="0" w:line="24" w:lineRule="exact"/>
        <w:rPr>
          <w:sz w:val="20"/>
          <w:szCs w:val="20"/>
          <w:color w:val="auto"/>
        </w:rPr>
      </w:pPr>
    </w:p>
    <w:p>
      <w:pPr>
        <w:ind w:left="340" w:hanging="332"/>
        <w:spacing w:after="0" w:line="247" w:lineRule="auto"/>
        <w:tabs>
          <w:tab w:leader="none" w:pos="335"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Company announced positive three-year (156-week) data from an extension study of the Phase 3 PHOTON trial in patients with diabetic macular edema (DME). At three years, the longer-term data showed the vast majority of EYLEA HD patients who entered the extension study sustained the visual gains and anatomic improvements achieved by the end of the second year. Of the EYLEA HD patients who completed the full 156 weeks of treatment, 48% were assigned a dosing interval of ≥20 weeks at the end of the third year. The results were presented at the American Academy of Ophthalmology (AAO) Annual Meeting.</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Dupixent</w:t>
      </w:r>
      <w:r>
        <w:rPr>
          <w:rFonts w:ascii="Arial" w:cs="Arial" w:eastAsia="Arial" w:hAnsi="Arial"/>
          <w:sz w:val="22"/>
          <w:szCs w:val="22"/>
          <w:color w:val="auto"/>
        </w:rPr>
        <w:t xml:space="preserve"> (dupilumab)</w:t>
      </w:r>
    </w:p>
    <w:p>
      <w:pPr>
        <w:spacing w:after="0" w:line="24" w:lineRule="exact"/>
        <w:rPr>
          <w:sz w:val="20"/>
          <w:szCs w:val="20"/>
          <w:color w:val="auto"/>
        </w:rPr>
      </w:pPr>
    </w:p>
    <w:p>
      <w:pPr>
        <w:ind w:left="340" w:right="60" w:hanging="332"/>
        <w:spacing w:after="0" w:line="246" w:lineRule="auto"/>
        <w:tabs>
          <w:tab w:leader="none" w:pos="335" w:val="left"/>
        </w:tabs>
        <w:numPr>
          <w:ilvl w:val="0"/>
          <w:numId w:val="4"/>
        </w:numPr>
        <w:rPr>
          <w:rFonts w:ascii="Arial" w:cs="Arial" w:eastAsia="Arial" w:hAnsi="Arial"/>
          <w:sz w:val="22"/>
          <w:szCs w:val="22"/>
          <w:color w:val="auto"/>
        </w:rPr>
      </w:pPr>
      <w:r>
        <w:rPr>
          <w:rFonts w:ascii="Arial" w:cs="Arial" w:eastAsia="Arial" w:hAnsi="Arial"/>
          <w:sz w:val="22"/>
          <w:szCs w:val="22"/>
          <w:color w:val="auto"/>
        </w:rPr>
        <w:t>In September 2024, the U.S. Food and Drug Administration (FDA) approved Dupixent as an add-on maintenance treatment for adults with inadequately controlled COPD and an eosinophilic phenotype. With this approval, Dupixent is the first biologic medicine approved in the United States, European Union (EU), and China to treat these patients.</w:t>
      </w:r>
    </w:p>
    <w:p>
      <w:pPr>
        <w:spacing w:after="0" w:line="2" w:lineRule="exact"/>
        <w:rPr>
          <w:rFonts w:ascii="Arial" w:cs="Arial" w:eastAsia="Arial" w:hAnsi="Arial"/>
          <w:sz w:val="22"/>
          <w:szCs w:val="22"/>
          <w:color w:val="auto"/>
        </w:rPr>
      </w:pPr>
    </w:p>
    <w:p>
      <w:pPr>
        <w:ind w:left="340" w:right="40" w:hanging="332"/>
        <w:spacing w:after="0" w:line="246" w:lineRule="auto"/>
        <w:tabs>
          <w:tab w:leader="none" w:pos="335" w:val="left"/>
        </w:tabs>
        <w:numPr>
          <w:ilvl w:val="0"/>
          <w:numId w:val="4"/>
        </w:numPr>
        <w:rPr>
          <w:rFonts w:ascii="Arial" w:cs="Arial" w:eastAsia="Arial" w:hAnsi="Arial"/>
          <w:sz w:val="22"/>
          <w:szCs w:val="22"/>
          <w:color w:val="auto"/>
        </w:rPr>
      </w:pPr>
      <w:r>
        <w:rPr>
          <w:rFonts w:ascii="Arial" w:cs="Arial" w:eastAsia="Arial" w:hAnsi="Arial"/>
          <w:sz w:val="22"/>
          <w:szCs w:val="22"/>
          <w:color w:val="auto"/>
        </w:rPr>
        <w:t>In September 2024, the FDA approved Dupixent as an add-on maintenance treatment for adolescents aged 12 to 17 years with inadequately controlled chronic rhinosinusitis with nasal polyposis (CRSwNP).</w:t>
      </w:r>
    </w:p>
    <w:p>
      <w:pPr>
        <w:spacing w:after="0" w:line="1" w:lineRule="exact"/>
        <w:rPr>
          <w:rFonts w:ascii="Arial" w:cs="Arial" w:eastAsia="Arial" w:hAnsi="Arial"/>
          <w:sz w:val="22"/>
          <w:szCs w:val="22"/>
          <w:color w:val="auto"/>
        </w:rPr>
      </w:pPr>
    </w:p>
    <w:p>
      <w:pPr>
        <w:ind w:left="340" w:right="40" w:hanging="332"/>
        <w:spacing w:after="0" w:line="244" w:lineRule="auto"/>
        <w:tabs>
          <w:tab w:leader="none" w:pos="335"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European Medicines Agency’s (EMA) Committee for Medicinal Products for Human Use (CHMP) adopted a positive opinion recommending expanded approval of Dupixent in the EU to treat children aged 1 to 11 years with eosinophilic esophagitis (EoE). The European Commission (EC) is expected to announce a final decision in the coming months.</w:t>
      </w:r>
    </w:p>
    <w:p>
      <w:pPr>
        <w:spacing w:after="0" w:line="3" w:lineRule="exact"/>
        <w:rPr>
          <w:rFonts w:ascii="Arial" w:cs="Arial" w:eastAsia="Arial" w:hAnsi="Arial"/>
          <w:sz w:val="22"/>
          <w:szCs w:val="22"/>
          <w:color w:val="auto"/>
        </w:rPr>
      </w:pPr>
    </w:p>
    <w:p>
      <w:pPr>
        <w:ind w:left="340" w:right="20" w:hanging="332"/>
        <w:spacing w:after="0" w:line="245" w:lineRule="auto"/>
        <w:tabs>
          <w:tab w:leader="none" w:pos="335"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Company and Sanofi announced that a confirmatory Phase 3 trial met the primary and key secondary endpoints for the investigational treatment of patients with uncontrolled, biologic-naïve CSU receiving background therapy with antihistamines, showing treatment with Dupixent resulted in a nearly 50% reduction in itch and urticaria activity scores from baseline. This positive trial confirms results from the first Phase 3 trial of Dupixent in this setting and these data supported the recent resubmission of a supplemental Biologics License Application (sBLA) to the FDA.</w:t>
      </w:r>
    </w:p>
    <w:p>
      <w:pPr>
        <w:spacing w:after="0" w:line="3" w:lineRule="exact"/>
        <w:rPr>
          <w:rFonts w:ascii="Arial" w:cs="Arial" w:eastAsia="Arial" w:hAnsi="Arial"/>
          <w:sz w:val="22"/>
          <w:szCs w:val="22"/>
          <w:color w:val="auto"/>
        </w:rPr>
      </w:pPr>
    </w:p>
    <w:p>
      <w:pPr>
        <w:ind w:left="340" w:right="40" w:hanging="332"/>
        <w:spacing w:after="0" w:line="249" w:lineRule="auto"/>
        <w:tabs>
          <w:tab w:leader="none" w:pos="335"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Company and Sanofi announced that a Phase 3 trial in bullous pemphigoid met the primary and all key secondary endpoints evaluating the investigational use in adults with moderate-to-severe disease. In the trial, five times more Dupixent patients achieved sustained disease remission compared to those on placebo. This trial will support global regulatory submissions, including the anticipated fourth quarter 2024 submission in the United States.</w:t>
      </w:r>
    </w:p>
    <w:p>
      <w:pPr>
        <w:spacing w:after="0" w:line="200" w:lineRule="exact"/>
        <w:rPr>
          <w:sz w:val="20"/>
          <w:szCs w:val="20"/>
          <w:color w:val="auto"/>
        </w:rPr>
      </w:pPr>
    </w:p>
    <w:p>
      <w:pPr>
        <w:spacing w:after="0" w:line="3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80"/>
          </w:cols>
          <w:pgMar w:left="320" w:top="883" w:right="399" w:bottom="1440" w:gutter="0" w:footer="0" w:header="0"/>
        </w:sectPr>
      </w:pPr>
    </w:p>
    <w:bookmarkStart w:id="5" w:name="page6"/>
    <w:bookmarkEnd w:id="5"/>
    <w:p>
      <w:pPr>
        <w:spacing w:after="0"/>
        <w:rPr>
          <w:sz w:val="20"/>
          <w:szCs w:val="20"/>
          <w:color w:val="auto"/>
        </w:rPr>
      </w:pPr>
      <w:r>
        <w:rPr>
          <w:rFonts w:ascii="Arial" w:cs="Arial" w:eastAsia="Arial" w:hAnsi="Arial"/>
          <w:sz w:val="22"/>
          <w:szCs w:val="22"/>
          <w:u w:val="single" w:color="auto"/>
          <w:color w:val="auto"/>
        </w:rPr>
        <w:t>Oncology Programs</w:t>
      </w:r>
    </w:p>
    <w:p>
      <w:pPr>
        <w:spacing w:after="0" w:line="11" w:lineRule="exact"/>
        <w:rPr>
          <w:sz w:val="20"/>
          <w:szCs w:val="20"/>
          <w:color w:val="auto"/>
        </w:rPr>
      </w:pPr>
    </w:p>
    <w:p>
      <w:pPr>
        <w:ind w:left="340" w:right="140" w:hanging="332"/>
        <w:spacing w:after="0" w:line="226" w:lineRule="auto"/>
        <w:tabs>
          <w:tab w:leader="none" w:pos="335" w:val="left"/>
        </w:tabs>
        <w:numPr>
          <w:ilvl w:val="0"/>
          <w:numId w:val="5"/>
        </w:numPr>
        <w:rPr>
          <w:rFonts w:ascii="Arial" w:cs="Arial" w:eastAsia="Arial" w:hAnsi="Arial"/>
          <w:sz w:val="22"/>
          <w:szCs w:val="22"/>
          <w:color w:val="auto"/>
        </w:rPr>
      </w:pPr>
      <w:r>
        <w:rPr>
          <w:rFonts w:ascii="Arial" w:cs="Arial" w:eastAsia="Arial" w:hAnsi="Arial"/>
          <w:sz w:val="22"/>
          <w:szCs w:val="22"/>
          <w:color w:val="auto"/>
        </w:rPr>
        <w:t>In August 2024, the EC approved Ordspono</w:t>
      </w:r>
      <w:r>
        <w:rPr>
          <w:rFonts w:ascii="Arial" w:cs="Arial" w:eastAsia="Arial" w:hAnsi="Arial"/>
          <w:sz w:val="28"/>
          <w:szCs w:val="28"/>
          <w:color w:val="auto"/>
          <w:vertAlign w:val="superscript"/>
        </w:rPr>
        <w:t>™</w:t>
      </w:r>
      <w:r>
        <w:rPr>
          <w:rFonts w:ascii="Arial" w:cs="Arial" w:eastAsia="Arial" w:hAnsi="Arial"/>
          <w:sz w:val="22"/>
          <w:szCs w:val="22"/>
          <w:color w:val="auto"/>
        </w:rPr>
        <w:t xml:space="preserve"> (odronextamab) to treat adult patients with relapsed or refractory (R/R) follicular lymphoma (FL) or R/R diffuse large B-cell lymphoma (DLBCL), after two or more lines of systemic therapy.</w:t>
      </w:r>
    </w:p>
    <w:p>
      <w:pPr>
        <w:spacing w:after="0" w:line="2" w:lineRule="exact"/>
        <w:rPr>
          <w:rFonts w:ascii="Arial" w:cs="Arial" w:eastAsia="Arial" w:hAnsi="Arial"/>
          <w:sz w:val="22"/>
          <w:szCs w:val="22"/>
          <w:color w:val="auto"/>
        </w:rPr>
      </w:pPr>
    </w:p>
    <w:p>
      <w:pPr>
        <w:ind w:left="340" w:right="100" w:hanging="332"/>
        <w:spacing w:after="0" w:line="246" w:lineRule="auto"/>
        <w:tabs>
          <w:tab w:leader="none" w:pos="335"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Company announced five-year results from the final pre-specified overall survival (OS) analysis of a Phase 3 trial, which evaluated Libtayo (cemiplimab) monotherapy versus chemotherapy as a first-line treatment for certain adults with advanced non-small cell lung cancer (NSCLC) with ≥50% PD-L1 expression. The results were presented at the IASLC 2024 World Conference on Lung Cancer.</w:t>
      </w:r>
    </w:p>
    <w:p>
      <w:pPr>
        <w:spacing w:after="0" w:line="2" w:lineRule="exact"/>
        <w:rPr>
          <w:rFonts w:ascii="Arial" w:cs="Arial" w:eastAsia="Arial" w:hAnsi="Arial"/>
          <w:sz w:val="22"/>
          <w:szCs w:val="22"/>
          <w:color w:val="auto"/>
        </w:rPr>
      </w:pPr>
    </w:p>
    <w:p>
      <w:pPr>
        <w:ind w:left="340" w:hanging="332"/>
        <w:spacing w:after="0" w:line="246" w:lineRule="auto"/>
        <w:tabs>
          <w:tab w:leader="none" w:pos="335"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Company submitted a regulatory application in Japan for Libtayo for first-line advanced NSCLC (monotherapy and chemotherapy combination).</w:t>
      </w:r>
    </w:p>
    <w:p>
      <w:pPr>
        <w:spacing w:after="0" w:line="1" w:lineRule="exact"/>
        <w:rPr>
          <w:rFonts w:ascii="Arial" w:cs="Arial" w:eastAsia="Arial" w:hAnsi="Arial"/>
          <w:sz w:val="22"/>
          <w:szCs w:val="22"/>
          <w:color w:val="auto"/>
        </w:rPr>
      </w:pPr>
    </w:p>
    <w:p>
      <w:pPr>
        <w:ind w:left="320" w:hanging="312"/>
        <w:spacing w:after="0"/>
        <w:tabs>
          <w:tab w:leader="none" w:pos="320" w:val="left"/>
        </w:tabs>
        <w:numPr>
          <w:ilvl w:val="0"/>
          <w:numId w:val="5"/>
        </w:numPr>
        <w:rPr>
          <w:rFonts w:ascii="Arial" w:cs="Arial" w:eastAsia="Arial" w:hAnsi="Arial"/>
          <w:sz w:val="22"/>
          <w:szCs w:val="22"/>
          <w:color w:val="auto"/>
        </w:rPr>
      </w:pPr>
      <w:r>
        <w:rPr>
          <w:rFonts w:ascii="Arial" w:cs="Arial" w:eastAsia="Arial" w:hAnsi="Arial"/>
          <w:sz w:val="22"/>
          <w:szCs w:val="22"/>
          <w:color w:val="auto"/>
        </w:rPr>
        <w:t>A Phase 2 study for Libtayo in neoadjuvant NSCLC was initiated.</w:t>
      </w:r>
    </w:p>
    <w:p>
      <w:pPr>
        <w:spacing w:after="0" w:line="10" w:lineRule="exact"/>
        <w:rPr>
          <w:rFonts w:ascii="Arial" w:cs="Arial" w:eastAsia="Arial" w:hAnsi="Arial"/>
          <w:sz w:val="22"/>
          <w:szCs w:val="22"/>
          <w:color w:val="auto"/>
        </w:rPr>
      </w:pPr>
    </w:p>
    <w:p>
      <w:pPr>
        <w:ind w:left="340" w:right="140" w:hanging="332"/>
        <w:spacing w:after="0" w:line="244" w:lineRule="auto"/>
        <w:tabs>
          <w:tab w:leader="none" w:pos="335"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Company presented new, two-year results at the European Society for Medical Oncology (ESMO) Annual Meeting, evaluating the investigational combination of fianlimab, an antibody to LAG-3, and Libtayo in adults with advanced melanoma across three independent expansion cohorts of a first-in-human, multi-cohort trial. These longer-term results show high clinical activity, including deepening responses, per a blinded independent central review.</w:t>
      </w:r>
    </w:p>
    <w:p>
      <w:pPr>
        <w:spacing w:after="0" w:line="3" w:lineRule="exact"/>
        <w:rPr>
          <w:rFonts w:ascii="Arial" w:cs="Arial" w:eastAsia="Arial" w:hAnsi="Arial"/>
          <w:sz w:val="22"/>
          <w:szCs w:val="22"/>
          <w:color w:val="auto"/>
        </w:rPr>
      </w:pPr>
    </w:p>
    <w:p>
      <w:pPr>
        <w:ind w:left="340" w:right="260" w:hanging="332"/>
        <w:spacing w:after="0" w:line="264" w:lineRule="auto"/>
        <w:tabs>
          <w:tab w:leader="none" w:pos="335" w:val="left"/>
        </w:tabs>
        <w:numPr>
          <w:ilvl w:val="0"/>
          <w:numId w:val="5"/>
        </w:numPr>
        <w:rPr>
          <w:rFonts w:ascii="Arial" w:cs="Arial" w:eastAsia="Arial" w:hAnsi="Arial"/>
          <w:sz w:val="21"/>
          <w:szCs w:val="21"/>
          <w:color w:val="auto"/>
        </w:rPr>
      </w:pPr>
      <w:r>
        <w:rPr>
          <w:rFonts w:ascii="Arial" w:cs="Arial" w:eastAsia="Arial" w:hAnsi="Arial"/>
          <w:sz w:val="21"/>
          <w:szCs w:val="21"/>
          <w:color w:val="auto"/>
        </w:rPr>
        <w:t>In August 2024, the FDA issued a Complete Response Letter (CRL) for the BLA for linvoseltamab, a bispecific antibody targeting BCMA and CD3, in R/R multiple myeloma that has progressed after at least three prior therapies. The sole approvability issue identified is related to findings from a pre-approval inspection at a third-party fill/finish manufacturer. Resolution of this issue will be required for both FDA and EC regulatory approvals.</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Other Programs</w:t>
      </w:r>
    </w:p>
    <w:p>
      <w:pPr>
        <w:spacing w:after="0" w:line="24" w:lineRule="exact"/>
        <w:rPr>
          <w:sz w:val="20"/>
          <w:szCs w:val="20"/>
          <w:color w:val="auto"/>
        </w:rPr>
      </w:pPr>
    </w:p>
    <w:p>
      <w:pPr>
        <w:ind w:left="340" w:right="800" w:hanging="332"/>
        <w:spacing w:after="0" w:line="246" w:lineRule="auto"/>
        <w:tabs>
          <w:tab w:leader="none" w:pos="335" w:val="left"/>
        </w:tabs>
        <w:numPr>
          <w:ilvl w:val="0"/>
          <w:numId w:val="6"/>
        </w:numPr>
        <w:rPr>
          <w:rFonts w:ascii="Arial" w:cs="Arial" w:eastAsia="Arial" w:hAnsi="Arial"/>
          <w:sz w:val="22"/>
          <w:szCs w:val="22"/>
          <w:color w:val="auto"/>
        </w:rPr>
      </w:pPr>
      <w:r>
        <w:rPr>
          <w:rFonts w:ascii="Arial" w:cs="Arial" w:eastAsia="Arial" w:hAnsi="Arial"/>
          <w:sz w:val="22"/>
          <w:szCs w:val="22"/>
          <w:color w:val="auto"/>
        </w:rPr>
        <w:t>A Phase 3 study was initiated for pozelimab, an antibody to C5, in combination with cemdisiran, an siRNA therapy, in geographic atrophy.</w:t>
      </w:r>
    </w:p>
    <w:p>
      <w:pPr>
        <w:spacing w:after="0" w:line="1" w:lineRule="exact"/>
        <w:rPr>
          <w:rFonts w:ascii="Arial" w:cs="Arial" w:eastAsia="Arial" w:hAnsi="Arial"/>
          <w:sz w:val="22"/>
          <w:szCs w:val="22"/>
          <w:color w:val="auto"/>
        </w:rPr>
      </w:pPr>
    </w:p>
    <w:p>
      <w:pPr>
        <w:ind w:left="340" w:hanging="332"/>
        <w:spacing w:after="0" w:line="259" w:lineRule="auto"/>
        <w:tabs>
          <w:tab w:leader="none" w:pos="335" w:val="left"/>
        </w:tabs>
        <w:numPr>
          <w:ilvl w:val="0"/>
          <w:numId w:val="6"/>
        </w:numPr>
        <w:rPr>
          <w:rFonts w:ascii="Arial" w:cs="Arial" w:eastAsia="Arial" w:hAnsi="Arial"/>
          <w:sz w:val="22"/>
          <w:szCs w:val="22"/>
          <w:color w:val="auto"/>
        </w:rPr>
      </w:pPr>
      <w:r>
        <w:rPr>
          <w:rFonts w:ascii="Arial" w:cs="Arial" w:eastAsia="Arial" w:hAnsi="Arial"/>
          <w:sz w:val="22"/>
          <w:szCs w:val="22"/>
          <w:color w:val="auto"/>
        </w:rPr>
        <w:t>A Phase 2 study for REGN7999, an antibody to TMPRSS6, for the treatment of iron overload in patients with beta-thalassemia was initiated.</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320" w:top="1045" w:right="35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u w:val="single" w:color="auto"/>
          <w:color w:val="auto"/>
        </w:rPr>
        <w:t>Third Quarter 2024 Financial Results</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Revenues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4960" w:type="dxa"/>
            <w:vAlign w:val="bottom"/>
          </w:tcPr>
          <w:p>
            <w:pPr>
              <w:ind w:left="20"/>
              <w:spacing w:after="0"/>
              <w:rPr>
                <w:sz w:val="20"/>
                <w:szCs w:val="20"/>
                <w:color w:val="auto"/>
              </w:rPr>
            </w:pPr>
            <w:r>
              <w:rPr>
                <w:rFonts w:ascii="Arial" w:cs="Arial" w:eastAsia="Arial" w:hAnsi="Arial"/>
                <w:sz w:val="14"/>
                <w:szCs w:val="14"/>
                <w:i w:val="1"/>
                <w:iCs w:val="1"/>
                <w:color w:val="auto"/>
              </w:rPr>
              <w:t>($ in millions)</w:t>
            </w:r>
          </w:p>
        </w:tc>
        <w:tc>
          <w:tcPr>
            <w:tcW w:w="200" w:type="dxa"/>
            <w:vAlign w:val="bottom"/>
          </w:tcPr>
          <w:p>
            <w:pPr>
              <w:spacing w:after="0"/>
              <w:rPr>
                <w:sz w:val="23"/>
                <w:szCs w:val="23"/>
                <w:color w:val="auto"/>
              </w:rPr>
            </w:pPr>
          </w:p>
        </w:tc>
        <w:tc>
          <w:tcPr>
            <w:tcW w:w="1220" w:type="dxa"/>
            <w:vAlign w:val="bottom"/>
            <w:gridSpan w:val="2"/>
          </w:tcPr>
          <w:p>
            <w:pPr>
              <w:ind w:left="80"/>
              <w:spacing w:after="0"/>
              <w:rPr>
                <w:sz w:val="20"/>
                <w:szCs w:val="20"/>
                <w:color w:val="auto"/>
              </w:rPr>
            </w:pPr>
            <w:r>
              <w:rPr>
                <w:rFonts w:ascii="Arial" w:cs="Arial" w:eastAsia="Arial" w:hAnsi="Arial"/>
                <w:sz w:val="20"/>
                <w:szCs w:val="20"/>
                <w:b w:val="1"/>
                <w:bCs w:val="1"/>
                <w:color w:val="auto"/>
              </w:rPr>
              <w:t>Q3 2024</w:t>
            </w:r>
          </w:p>
        </w:tc>
        <w:tc>
          <w:tcPr>
            <w:tcW w:w="200" w:type="dxa"/>
            <w:vAlign w:val="bottom"/>
          </w:tcPr>
          <w:p>
            <w:pPr>
              <w:spacing w:after="0"/>
              <w:rPr>
                <w:sz w:val="23"/>
                <w:szCs w:val="23"/>
                <w:color w:val="auto"/>
              </w:rPr>
            </w:pPr>
          </w:p>
        </w:tc>
        <w:tc>
          <w:tcPr>
            <w:tcW w:w="1100" w:type="dxa"/>
            <w:vAlign w:val="bottom"/>
          </w:tcPr>
          <w:p>
            <w:pPr>
              <w:jc w:val="right"/>
              <w:ind w:right="161"/>
              <w:spacing w:after="0"/>
              <w:rPr>
                <w:sz w:val="20"/>
                <w:szCs w:val="20"/>
                <w:color w:val="auto"/>
              </w:rPr>
            </w:pPr>
            <w:r>
              <w:rPr>
                <w:rFonts w:ascii="Arial" w:cs="Arial" w:eastAsia="Arial" w:hAnsi="Arial"/>
                <w:sz w:val="20"/>
                <w:szCs w:val="20"/>
                <w:b w:val="1"/>
                <w:bCs w:val="1"/>
                <w:color w:val="auto"/>
              </w:rPr>
              <w:t>Q3 2023</w:t>
            </w:r>
          </w:p>
        </w:tc>
        <w:tc>
          <w:tcPr>
            <w:tcW w:w="120" w:type="dxa"/>
            <w:vAlign w:val="bottom"/>
          </w:tcPr>
          <w:p>
            <w:pPr>
              <w:spacing w:after="0"/>
              <w:rPr>
                <w:sz w:val="23"/>
                <w:szCs w:val="23"/>
                <w:color w:val="auto"/>
              </w:rPr>
            </w:pPr>
          </w:p>
        </w:tc>
        <w:tc>
          <w:tcPr>
            <w:tcW w:w="1500" w:type="dxa"/>
            <w:vAlign w:val="bottom"/>
          </w:tcPr>
          <w:p>
            <w:pPr>
              <w:jc w:val="right"/>
              <w:ind w:right="161"/>
              <w:spacing w:after="0"/>
              <w:rPr>
                <w:sz w:val="20"/>
                <w:szCs w:val="20"/>
                <w:color w:val="auto"/>
              </w:rPr>
            </w:pPr>
            <w:r>
              <w:rPr>
                <w:rFonts w:ascii="Arial" w:cs="Arial" w:eastAsia="Arial" w:hAnsi="Arial"/>
                <w:sz w:val="20"/>
                <w:szCs w:val="20"/>
                <w:b w:val="1"/>
                <w:bCs w:val="1"/>
                <w:color w:val="auto"/>
              </w:rPr>
              <w:t>% Change</w:t>
            </w:r>
          </w:p>
        </w:tc>
      </w:tr>
      <w:tr>
        <w:trPr>
          <w:trHeight w:val="237"/>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Net product sales:</w:t>
            </w:r>
          </w:p>
        </w:tc>
        <w:tc>
          <w:tcPr>
            <w:tcW w:w="20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500" w:type="dxa"/>
            <w:vAlign w:val="bottom"/>
            <w:tcBorders>
              <w:top w:val="single" w:sz="8" w:color="auto"/>
            </w:tcBorders>
            <w:shd w:val="clear" w:color="auto" w:fill="CCEEFF"/>
          </w:tcPr>
          <w:p>
            <w:pPr>
              <w:spacing w:after="0"/>
              <w:rPr>
                <w:sz w:val="20"/>
                <w:szCs w:val="20"/>
                <w:color w:val="auto"/>
              </w:rPr>
            </w:pPr>
          </w:p>
        </w:tc>
      </w:tr>
      <w:tr>
        <w:trPr>
          <w:trHeight w:val="256"/>
        </w:trPr>
        <w:tc>
          <w:tcPr>
            <w:tcW w:w="4960" w:type="dxa"/>
            <w:vAlign w:val="bottom"/>
          </w:tcPr>
          <w:p>
            <w:pPr>
              <w:ind w:left="260"/>
              <w:spacing w:after="0"/>
              <w:rPr>
                <w:sz w:val="20"/>
                <w:szCs w:val="20"/>
                <w:color w:val="auto"/>
              </w:rPr>
            </w:pPr>
            <w:r>
              <w:rPr>
                <w:rFonts w:ascii="Arial" w:cs="Arial" w:eastAsia="Arial" w:hAnsi="Arial"/>
                <w:sz w:val="20"/>
                <w:szCs w:val="20"/>
                <w:color w:val="auto"/>
              </w:rPr>
              <w:t>EYLEA HD - U.S.</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392</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43</w:t>
            </w:r>
          </w:p>
        </w:tc>
        <w:tc>
          <w:tcPr>
            <w:tcW w:w="1620" w:type="dxa"/>
            <w:vAlign w:val="bottom"/>
            <w:gridSpan w:val="2"/>
          </w:tcPr>
          <w:p>
            <w:pPr>
              <w:jc w:val="right"/>
              <w:ind w:right="21"/>
              <w:spacing w:after="0"/>
              <w:rPr>
                <w:sz w:val="20"/>
                <w:szCs w:val="20"/>
                <w:color w:val="auto"/>
              </w:rPr>
            </w:pPr>
            <w:r>
              <w:rPr>
                <w:rFonts w:ascii="Arial" w:cs="Arial" w:eastAsia="Arial" w:hAnsi="Arial"/>
                <w:sz w:val="20"/>
                <w:szCs w:val="20"/>
                <w:color w:val="auto"/>
              </w:rPr>
              <w:t>*</w:t>
            </w:r>
          </w:p>
        </w:tc>
      </w:tr>
      <w:tr>
        <w:trPr>
          <w:trHeight w:val="257"/>
        </w:trPr>
        <w:tc>
          <w:tcPr>
            <w:tcW w:w="4960" w:type="dxa"/>
            <w:vAlign w:val="bottom"/>
            <w:shd w:val="clear" w:color="auto" w:fill="CCEEFF"/>
          </w:tcPr>
          <w:p>
            <w:pPr>
              <w:ind w:left="260"/>
              <w:spacing w:after="0"/>
              <w:rPr>
                <w:sz w:val="20"/>
                <w:szCs w:val="20"/>
                <w:color w:val="auto"/>
              </w:rPr>
            </w:pPr>
            <w:r>
              <w:rPr>
                <w:rFonts w:ascii="Arial" w:cs="Arial" w:eastAsia="Arial" w:hAnsi="Arial"/>
                <w:sz w:val="20"/>
                <w:szCs w:val="20"/>
                <w:color w:val="auto"/>
              </w:rPr>
              <w:t>EYLEA - U.S.</w:t>
            </w:r>
          </w:p>
        </w:tc>
        <w:tc>
          <w:tcPr>
            <w:tcW w:w="20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1,145</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1,448</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(21 %)</w:t>
            </w:r>
          </w:p>
        </w:tc>
      </w:tr>
      <w:tr>
        <w:trPr>
          <w:trHeight w:val="250"/>
        </w:trPr>
        <w:tc>
          <w:tcPr>
            <w:tcW w:w="4960" w:type="dxa"/>
            <w:vAlign w:val="bottom"/>
          </w:tcPr>
          <w:p>
            <w:pPr>
              <w:ind w:left="520"/>
              <w:spacing w:after="0"/>
              <w:rPr>
                <w:sz w:val="20"/>
                <w:szCs w:val="20"/>
                <w:color w:val="auto"/>
              </w:rPr>
            </w:pPr>
            <w:r>
              <w:rPr>
                <w:rFonts w:ascii="Arial" w:cs="Arial" w:eastAsia="Arial" w:hAnsi="Arial"/>
                <w:sz w:val="20"/>
                <w:szCs w:val="20"/>
                <w:color w:val="auto"/>
              </w:rPr>
              <w:t>Total EYLEA HD and EYLEA - U.S.</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1,537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1,491</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3 %</w:t>
            </w:r>
          </w:p>
        </w:tc>
      </w:tr>
      <w:tr>
        <w:trPr>
          <w:trHeight w:val="257"/>
        </w:trPr>
        <w:tc>
          <w:tcPr>
            <w:tcW w:w="4960" w:type="dxa"/>
            <w:vAlign w:val="bottom"/>
            <w:shd w:val="clear" w:color="auto" w:fill="CCEEFF"/>
          </w:tcPr>
          <w:p>
            <w:pPr>
              <w:ind w:left="260"/>
              <w:spacing w:after="0"/>
              <w:rPr>
                <w:sz w:val="20"/>
                <w:szCs w:val="20"/>
                <w:color w:val="auto"/>
              </w:rPr>
            </w:pPr>
            <w:r>
              <w:rPr>
                <w:rFonts w:ascii="Arial" w:cs="Arial" w:eastAsia="Arial" w:hAnsi="Arial"/>
                <w:sz w:val="20"/>
                <w:szCs w:val="20"/>
                <w:color w:val="auto"/>
              </w:rPr>
              <w:t>Libtayo - Global</w:t>
            </w: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289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232</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25 %</w:t>
            </w:r>
          </w:p>
        </w:tc>
      </w:tr>
      <w:tr>
        <w:trPr>
          <w:trHeight w:val="257"/>
        </w:trPr>
        <w:tc>
          <w:tcPr>
            <w:tcW w:w="4960" w:type="dxa"/>
            <w:vAlign w:val="bottom"/>
          </w:tcPr>
          <w:p>
            <w:pPr>
              <w:ind w:left="260"/>
              <w:spacing w:after="0" w:line="257" w:lineRule="exact"/>
              <w:rPr>
                <w:sz w:val="20"/>
                <w:szCs w:val="20"/>
                <w:color w:val="auto"/>
              </w:rPr>
            </w:pPr>
            <w:r>
              <w:rPr>
                <w:rFonts w:ascii="Arial" w:cs="Arial" w:eastAsia="Arial" w:hAnsi="Arial"/>
                <w:sz w:val="20"/>
                <w:szCs w:val="20"/>
                <w:color w:val="auto"/>
              </w:rPr>
              <w:t>Praluent</w:t>
            </w:r>
            <w:r>
              <w:rPr>
                <w:rFonts w:ascii="Arial" w:cs="Arial" w:eastAsia="Arial" w:hAnsi="Arial"/>
                <w:sz w:val="25"/>
                <w:szCs w:val="25"/>
                <w:color w:val="auto"/>
                <w:vertAlign w:val="superscript"/>
              </w:rPr>
              <w:t>®</w:t>
            </w:r>
            <w:r>
              <w:rPr>
                <w:rFonts w:ascii="Arial" w:cs="Arial" w:eastAsia="Arial" w:hAnsi="Arial"/>
                <w:sz w:val="20"/>
                <w:szCs w:val="20"/>
                <w:color w:val="auto"/>
              </w:rPr>
              <w:t xml:space="preserve"> - U.S.</w:t>
            </w: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53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40</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33 %</w:t>
            </w:r>
          </w:p>
        </w:tc>
      </w:tr>
      <w:tr>
        <w:trPr>
          <w:trHeight w:val="257"/>
        </w:trPr>
        <w:tc>
          <w:tcPr>
            <w:tcW w:w="4960" w:type="dxa"/>
            <w:vAlign w:val="bottom"/>
            <w:shd w:val="clear" w:color="auto" w:fill="CCEEFF"/>
          </w:tcPr>
          <w:p>
            <w:pPr>
              <w:ind w:left="260"/>
              <w:spacing w:after="0" w:line="257" w:lineRule="exact"/>
              <w:rPr>
                <w:sz w:val="20"/>
                <w:szCs w:val="20"/>
                <w:color w:val="auto"/>
              </w:rPr>
            </w:pPr>
            <w:r>
              <w:rPr>
                <w:rFonts w:ascii="Arial" w:cs="Arial" w:eastAsia="Arial" w:hAnsi="Arial"/>
                <w:sz w:val="20"/>
                <w:szCs w:val="20"/>
                <w:color w:val="auto"/>
              </w:rPr>
              <w:t>Evkeeza</w:t>
            </w:r>
            <w:r>
              <w:rPr>
                <w:rFonts w:ascii="Arial" w:cs="Arial" w:eastAsia="Arial" w:hAnsi="Arial"/>
                <w:sz w:val="25"/>
                <w:szCs w:val="25"/>
                <w:color w:val="auto"/>
                <w:vertAlign w:val="superscript"/>
              </w:rPr>
              <w:t>®</w:t>
            </w:r>
            <w:r>
              <w:rPr>
                <w:rFonts w:ascii="Arial" w:cs="Arial" w:eastAsia="Arial" w:hAnsi="Arial"/>
                <w:sz w:val="20"/>
                <w:szCs w:val="20"/>
                <w:color w:val="auto"/>
              </w:rPr>
              <w:t xml:space="preserve"> - U.S.</w:t>
            </w: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68 %</w:t>
            </w:r>
          </w:p>
        </w:tc>
      </w:tr>
      <w:tr>
        <w:trPr>
          <w:trHeight w:val="256"/>
        </w:trPr>
        <w:tc>
          <w:tcPr>
            <w:tcW w:w="4960" w:type="dxa"/>
            <w:vAlign w:val="bottom"/>
            <w:tcBorders>
              <w:bottom w:val="single" w:sz="8" w:color="CCEEFF"/>
            </w:tcBorders>
          </w:tcPr>
          <w:p>
            <w:pPr>
              <w:ind w:left="260"/>
              <w:spacing w:after="0" w:line="257" w:lineRule="exact"/>
              <w:rPr>
                <w:sz w:val="20"/>
                <w:szCs w:val="20"/>
                <w:color w:val="auto"/>
              </w:rPr>
            </w:pPr>
            <w:r>
              <w:rPr>
                <w:rFonts w:ascii="Arial" w:cs="Arial" w:eastAsia="Arial" w:hAnsi="Arial"/>
                <w:sz w:val="20"/>
                <w:szCs w:val="20"/>
                <w:color w:val="auto"/>
              </w:rPr>
              <w:t>Inmazeb</w:t>
            </w:r>
            <w:r>
              <w:rPr>
                <w:rFonts w:ascii="Arial" w:cs="Arial" w:eastAsia="Arial" w:hAnsi="Arial"/>
                <w:sz w:val="25"/>
                <w:szCs w:val="25"/>
                <w:color w:val="auto"/>
                <w:vertAlign w:val="superscript"/>
              </w:rPr>
              <w:t>®</w:t>
            </w:r>
            <w:r>
              <w:rPr>
                <w:rFonts w:ascii="Arial" w:cs="Arial" w:eastAsia="Arial" w:hAnsi="Arial"/>
                <w:sz w:val="20"/>
                <w:szCs w:val="20"/>
                <w:color w:val="auto"/>
              </w:rPr>
              <w:t xml:space="preserve"> - Global</w:t>
            </w: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w:t>
            </w:r>
          </w:p>
        </w:tc>
        <w:tc>
          <w:tcPr>
            <w:tcW w:w="1620" w:type="dxa"/>
            <w:vAlign w:val="bottom"/>
            <w:tcBorders>
              <w:bottom w:val="single" w:sz="8" w:color="CCEEFF"/>
            </w:tcBorders>
            <w:gridSpan w:val="2"/>
          </w:tcPr>
          <w:p>
            <w:pPr>
              <w:jc w:val="right"/>
              <w:ind w:right="21"/>
              <w:spacing w:after="0"/>
              <w:rPr>
                <w:sz w:val="20"/>
                <w:szCs w:val="20"/>
                <w:color w:val="auto"/>
              </w:rPr>
            </w:pPr>
            <w:r>
              <w:rPr>
                <w:rFonts w:ascii="Arial" w:cs="Arial" w:eastAsia="Arial" w:hAnsi="Arial"/>
                <w:sz w:val="20"/>
                <w:szCs w:val="20"/>
                <w:color w:val="auto"/>
              </w:rPr>
              <w:t>*</w:t>
            </w:r>
          </w:p>
        </w:tc>
      </w:tr>
      <w:tr>
        <w:trPr>
          <w:trHeight w:val="250"/>
        </w:trPr>
        <w:tc>
          <w:tcPr>
            <w:tcW w:w="4960" w:type="dxa"/>
            <w:vAlign w:val="bottom"/>
            <w:shd w:val="clear" w:color="auto" w:fill="CCEEFF"/>
          </w:tcPr>
          <w:p>
            <w:pPr>
              <w:ind w:left="20"/>
              <w:spacing w:after="0"/>
              <w:rPr>
                <w:sz w:val="20"/>
                <w:szCs w:val="20"/>
                <w:color w:val="auto"/>
              </w:rPr>
            </w:pPr>
            <w:r>
              <w:rPr>
                <w:rFonts w:ascii="Arial" w:cs="Arial" w:eastAsia="Arial" w:hAnsi="Arial"/>
                <w:sz w:val="20"/>
                <w:szCs w:val="20"/>
                <w:color w:val="auto"/>
              </w:rPr>
              <w:t>Total net product sales</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1,946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1,786</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9 %</w:t>
            </w:r>
          </w:p>
        </w:tc>
      </w:tr>
      <w:tr>
        <w:trPr>
          <w:trHeight w:val="95"/>
        </w:trPr>
        <w:tc>
          <w:tcPr>
            <w:tcW w:w="4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00" w:type="dxa"/>
            <w:vAlign w:val="bottom"/>
          </w:tcPr>
          <w:p>
            <w:pPr>
              <w:spacing w:after="0"/>
              <w:rPr>
                <w:sz w:val="8"/>
                <w:szCs w:val="8"/>
                <w:color w:val="auto"/>
              </w:rPr>
            </w:pPr>
          </w:p>
        </w:tc>
      </w:tr>
      <w:tr>
        <w:trPr>
          <w:trHeight w:val="256"/>
        </w:trPr>
        <w:tc>
          <w:tcPr>
            <w:tcW w:w="4960" w:type="dxa"/>
            <w:vAlign w:val="bottom"/>
            <w:shd w:val="clear" w:color="auto" w:fill="CCEEFF"/>
          </w:tcPr>
          <w:p>
            <w:pPr>
              <w:ind w:left="20"/>
              <w:spacing w:after="0"/>
              <w:rPr>
                <w:sz w:val="20"/>
                <w:szCs w:val="20"/>
                <w:color w:val="auto"/>
              </w:rPr>
            </w:pPr>
            <w:r>
              <w:rPr>
                <w:rFonts w:ascii="Arial" w:cs="Arial" w:eastAsia="Arial" w:hAnsi="Arial"/>
                <w:sz w:val="20"/>
                <w:szCs w:val="20"/>
                <w:color w:val="auto"/>
              </w:rPr>
              <w:t>Collaboration revenue:</w:t>
            </w: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r>
      <w:tr>
        <w:trPr>
          <w:trHeight w:val="257"/>
        </w:trPr>
        <w:tc>
          <w:tcPr>
            <w:tcW w:w="4960" w:type="dxa"/>
            <w:vAlign w:val="bottom"/>
          </w:tcPr>
          <w:p>
            <w:pPr>
              <w:ind w:left="260"/>
              <w:spacing w:after="0"/>
              <w:rPr>
                <w:sz w:val="20"/>
                <w:szCs w:val="20"/>
                <w:color w:val="auto"/>
              </w:rPr>
            </w:pPr>
            <w:r>
              <w:rPr>
                <w:rFonts w:ascii="Arial" w:cs="Arial" w:eastAsia="Arial" w:hAnsi="Arial"/>
                <w:sz w:val="20"/>
                <w:szCs w:val="20"/>
                <w:color w:val="auto"/>
              </w:rPr>
              <w:t>Sanofi</w:t>
            </w: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1,263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1,065</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19 %</w:t>
            </w:r>
          </w:p>
        </w:tc>
      </w:tr>
      <w:tr>
        <w:trPr>
          <w:trHeight w:val="257"/>
        </w:trPr>
        <w:tc>
          <w:tcPr>
            <w:tcW w:w="4960" w:type="dxa"/>
            <w:vAlign w:val="bottom"/>
            <w:shd w:val="clear" w:color="auto" w:fill="CCEEFF"/>
          </w:tcPr>
          <w:p>
            <w:pPr>
              <w:ind w:left="260"/>
              <w:spacing w:after="0"/>
              <w:rPr>
                <w:sz w:val="20"/>
                <w:szCs w:val="20"/>
                <w:color w:val="auto"/>
              </w:rPr>
            </w:pPr>
            <w:r>
              <w:rPr>
                <w:rFonts w:ascii="Arial" w:cs="Arial" w:eastAsia="Arial" w:hAnsi="Arial"/>
                <w:sz w:val="20"/>
                <w:szCs w:val="20"/>
                <w:color w:val="auto"/>
              </w:rPr>
              <w:t>Bayer</w:t>
            </w: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391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377</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4 %</w:t>
            </w:r>
          </w:p>
        </w:tc>
      </w:tr>
      <w:tr>
        <w:trPr>
          <w:trHeight w:val="257"/>
        </w:trPr>
        <w:tc>
          <w:tcPr>
            <w:tcW w:w="4960" w:type="dxa"/>
            <w:vAlign w:val="bottom"/>
          </w:tcPr>
          <w:p>
            <w:pPr>
              <w:ind w:left="260"/>
              <w:spacing w:after="0"/>
              <w:rPr>
                <w:sz w:val="20"/>
                <w:szCs w:val="20"/>
                <w:color w:val="auto"/>
              </w:rPr>
            </w:pPr>
            <w:r>
              <w:rPr>
                <w:rFonts w:ascii="Arial" w:cs="Arial" w:eastAsia="Arial" w:hAnsi="Arial"/>
                <w:sz w:val="20"/>
                <w:szCs w:val="20"/>
                <w:color w:val="auto"/>
              </w:rPr>
              <w:t>Other</w:t>
            </w: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(3)</w:t>
            </w:r>
          </w:p>
        </w:tc>
        <w:tc>
          <w:tcPr>
            <w:tcW w:w="1620" w:type="dxa"/>
            <w:vAlign w:val="bottom"/>
            <w:gridSpan w:val="2"/>
          </w:tcPr>
          <w:p>
            <w:pPr>
              <w:jc w:val="right"/>
              <w:ind w:right="21"/>
              <w:spacing w:after="0"/>
              <w:rPr>
                <w:sz w:val="20"/>
                <w:szCs w:val="20"/>
                <w:color w:val="auto"/>
              </w:rPr>
            </w:pPr>
            <w:r>
              <w:rPr>
                <w:rFonts w:ascii="Arial" w:cs="Arial" w:eastAsia="Arial" w:hAnsi="Arial"/>
                <w:sz w:val="20"/>
                <w:szCs w:val="20"/>
                <w:color w:val="auto"/>
              </w:rPr>
              <w:t>*</w:t>
            </w:r>
          </w:p>
        </w:tc>
      </w:tr>
      <w:tr>
        <w:trPr>
          <w:trHeight w:val="257"/>
        </w:trPr>
        <w:tc>
          <w:tcPr>
            <w:tcW w:w="4960" w:type="dxa"/>
            <w:vAlign w:val="bottom"/>
            <w:shd w:val="clear" w:color="auto" w:fill="CCEEFF"/>
          </w:tcPr>
          <w:p>
            <w:pPr>
              <w:ind w:left="20"/>
              <w:spacing w:after="0"/>
              <w:rPr>
                <w:sz w:val="20"/>
                <w:szCs w:val="20"/>
                <w:color w:val="auto"/>
              </w:rPr>
            </w:pPr>
            <w:r>
              <w:rPr>
                <w:rFonts w:ascii="Arial" w:cs="Arial" w:eastAsia="Arial" w:hAnsi="Arial"/>
                <w:sz w:val="20"/>
                <w:szCs w:val="20"/>
                <w:color w:val="auto"/>
              </w:rPr>
              <w:t>Other revenue</w:t>
            </w:r>
          </w:p>
        </w:tc>
        <w:tc>
          <w:tcPr>
            <w:tcW w:w="20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114</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138</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(17 %)</w:t>
            </w:r>
          </w:p>
        </w:tc>
      </w:tr>
      <w:tr>
        <w:trPr>
          <w:trHeight w:val="250"/>
        </w:trPr>
        <w:tc>
          <w:tcPr>
            <w:tcW w:w="4960" w:type="dxa"/>
            <w:vAlign w:val="bottom"/>
          </w:tcPr>
          <w:p>
            <w:pPr>
              <w:ind w:left="20"/>
              <w:spacing w:after="0"/>
              <w:rPr>
                <w:sz w:val="20"/>
                <w:szCs w:val="20"/>
                <w:color w:val="auto"/>
              </w:rPr>
            </w:pPr>
            <w:r>
              <w:rPr>
                <w:rFonts w:ascii="Arial" w:cs="Arial" w:eastAsia="Arial" w:hAnsi="Arial"/>
                <w:sz w:val="20"/>
                <w:szCs w:val="20"/>
                <w:color w:val="auto"/>
              </w:rPr>
              <w:t>Total revenues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3,720</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3,363</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11 %</w:t>
            </w:r>
          </w:p>
        </w:tc>
      </w:tr>
      <w:tr>
        <w:trPr>
          <w:trHeight w:val="20"/>
        </w:trPr>
        <w:tc>
          <w:tcPr>
            <w:tcW w:w="4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80" w:lineRule="exact"/>
        <w:rPr>
          <w:sz w:val="20"/>
          <w:szCs w:val="20"/>
          <w:color w:val="auto"/>
        </w:rPr>
      </w:pPr>
    </w:p>
    <w:p>
      <w:pPr>
        <w:ind w:left="360" w:hanging="118"/>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6"/>
          <w:szCs w:val="16"/>
          <w:color w:val="auto"/>
        </w:rPr>
        <w:t>Percentage not meaningful</w:t>
      </w:r>
    </w:p>
    <w:p>
      <w:pPr>
        <w:spacing w:after="0" w:line="280" w:lineRule="exact"/>
        <w:rPr>
          <w:sz w:val="20"/>
          <w:szCs w:val="20"/>
          <w:color w:val="auto"/>
        </w:rPr>
      </w:pPr>
    </w:p>
    <w:p>
      <w:pPr>
        <w:spacing w:after="0" w:line="249" w:lineRule="auto"/>
        <w:rPr>
          <w:sz w:val="20"/>
          <w:szCs w:val="20"/>
          <w:color w:val="auto"/>
        </w:rPr>
      </w:pPr>
      <w:r>
        <w:rPr>
          <w:rFonts w:ascii="Arial" w:cs="Arial" w:eastAsia="Arial" w:hAnsi="Arial"/>
          <w:sz w:val="22"/>
          <w:szCs w:val="22"/>
          <w:color w:val="auto"/>
        </w:rPr>
        <w:t>Total EYLEA HD and EYLEA net product sales in the U.S. increased 3% in the third quarter of 2024 compared to the third quarter of 2023. EYLEA HD was approved by the FDA in August 2023 and net product sales in the third quarter of 2024 were driven by the transition of patients from other anti-VEGF products, including EYLEA, as well as new patients naïve to anti-VEGF therapy. Net product sales of EYLEA in the third quarter of 2024 were adversely impacted by a lower net selling price compared to the third quarter of 2023. In addition, third quarter 2024 total EYLEA HD and EYLEA net product sales were favorably impacted by approximately $40 million as a result of higher wholesaler inventory levels for EYLEA HD at the end of the third quarter of 2024 compared to the end of the second quarter of 2024, partially offset by lower wholesaler inventory levels for EYLEA.</w:t>
      </w:r>
    </w:p>
    <w:p>
      <w:pPr>
        <w:spacing w:after="0" w:line="114" w:lineRule="exact"/>
        <w:rPr>
          <w:sz w:val="20"/>
          <w:szCs w:val="20"/>
          <w:color w:val="auto"/>
        </w:rPr>
      </w:pPr>
    </w:p>
    <w:p>
      <w:pPr>
        <w:jc w:val="both"/>
        <w:ind w:right="40"/>
        <w:spacing w:after="0" w:line="261" w:lineRule="auto"/>
        <w:rPr>
          <w:sz w:val="20"/>
          <w:szCs w:val="20"/>
          <w:color w:val="auto"/>
        </w:rPr>
      </w:pPr>
      <w:r>
        <w:rPr>
          <w:rFonts w:ascii="Arial" w:cs="Arial" w:eastAsia="Arial" w:hAnsi="Arial"/>
          <w:sz w:val="21"/>
          <w:szCs w:val="21"/>
          <w:color w:val="auto"/>
        </w:rPr>
        <w:t>Sanofi collaboration revenue increased in the third quarter of 2024, compared to the third quarter of 2023, due to an increase in the Company's share of profits from commercialization of antibodies, which were $1.09 billion in the third quarter of 2024, compared to $863 million in the third quarter of 2023. The change in the Company's share of profits from commercialization of antibodies was driven by higher profits associated with an increase in Dupixent sales.</w:t>
      </w:r>
    </w:p>
    <w:p>
      <w:pPr>
        <w:spacing w:after="0" w:line="3" w:lineRule="exact"/>
        <w:rPr>
          <w:sz w:val="20"/>
          <w:szCs w:val="20"/>
          <w:color w:val="auto"/>
        </w:rPr>
      </w:pPr>
    </w:p>
    <w:p>
      <w:pPr>
        <w:ind w:right="640"/>
        <w:spacing w:after="0" w:line="259" w:lineRule="auto"/>
        <w:rPr>
          <w:sz w:val="20"/>
          <w:szCs w:val="20"/>
          <w:color w:val="auto"/>
        </w:rPr>
      </w:pPr>
      <w:r>
        <w:rPr>
          <w:rFonts w:ascii="Arial" w:cs="Arial" w:eastAsia="Arial" w:hAnsi="Arial"/>
          <w:sz w:val="22"/>
          <w:szCs w:val="22"/>
          <w:color w:val="auto"/>
        </w:rPr>
        <w:t>Sanofi collaboration revenue in the third quarter of 2023 was positively impacted by the recognition of the final $50 million sales-based milestone.</w:t>
      </w:r>
    </w:p>
    <w:p>
      <w:pPr>
        <w:spacing w:after="0" w:line="102" w:lineRule="exact"/>
        <w:rPr>
          <w:sz w:val="20"/>
          <w:szCs w:val="20"/>
          <w:color w:val="auto"/>
        </w:rPr>
      </w:pPr>
    </w:p>
    <w:p>
      <w:pPr>
        <w:spacing w:after="0"/>
        <w:rPr>
          <w:sz w:val="20"/>
          <w:szCs w:val="20"/>
          <w:color w:val="auto"/>
        </w:rPr>
      </w:pPr>
      <w:r>
        <w:rPr>
          <w:rFonts w:ascii="Arial" w:cs="Arial" w:eastAsia="Arial" w:hAnsi="Arial"/>
          <w:sz w:val="22"/>
          <w:szCs w:val="22"/>
          <w:color w:val="auto"/>
        </w:rPr>
        <w:t>Refer to Table 4 for a summary of collaboration revenue.</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1043" w:right="45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i w:val="1"/>
          <w:iCs w:val="1"/>
          <w:color w:val="auto"/>
        </w:rPr>
        <w:t>Operating Expenses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90"/>
        </w:trPr>
        <w:tc>
          <w:tcPr>
            <w:tcW w:w="39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4"/>
          </w:tcPr>
          <w:p>
            <w:pPr>
              <w:jc w:val="right"/>
              <w:ind w:right="761"/>
              <w:spacing w:after="0"/>
              <w:rPr>
                <w:sz w:val="20"/>
                <w:szCs w:val="20"/>
                <w:color w:val="auto"/>
              </w:rPr>
            </w:pPr>
            <w:r>
              <w:rPr>
                <w:rFonts w:ascii="Arial" w:cs="Arial" w:eastAsia="Arial" w:hAnsi="Arial"/>
                <w:sz w:val="20"/>
                <w:szCs w:val="20"/>
                <w:b w:val="1"/>
                <w:bCs w:val="1"/>
                <w:color w:val="auto"/>
              </w:rPr>
              <w:t>GAAP</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4"/>
          </w:tcPr>
          <w:p>
            <w:pPr>
              <w:jc w:val="right"/>
              <w:ind w:right="441"/>
              <w:spacing w:after="0"/>
              <w:rPr>
                <w:sz w:val="20"/>
                <w:szCs w:val="20"/>
                <w:color w:val="auto"/>
              </w:rPr>
            </w:pPr>
            <w:r>
              <w:rPr>
                <w:rFonts w:ascii="Arial" w:cs="Arial" w:eastAsia="Arial" w:hAnsi="Arial"/>
                <w:sz w:val="20"/>
                <w:szCs w:val="20"/>
                <w:b w:val="1"/>
                <w:bCs w:val="1"/>
                <w:color w:val="auto"/>
              </w:rPr>
              <w:t>Non-GAAP</w:t>
            </w:r>
            <w:r>
              <w:rPr>
                <w:rFonts w:ascii="Arial" w:cs="Arial" w:eastAsia="Arial" w:hAnsi="Arial"/>
                <w:sz w:val="25"/>
                <w:szCs w:val="25"/>
                <w:b w:val="1"/>
                <w:bCs w:val="1"/>
                <w:color w:val="auto"/>
                <w:vertAlign w:val="superscript"/>
              </w:rPr>
              <w:t>(a)</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920" w:type="dxa"/>
            <w:vAlign w:val="bottom"/>
          </w:tcPr>
          <w:p>
            <w:pPr>
              <w:ind w:left="20"/>
              <w:spacing w:after="0"/>
              <w:rPr>
                <w:sz w:val="20"/>
                <w:szCs w:val="20"/>
                <w:color w:val="auto"/>
              </w:rPr>
            </w:pPr>
            <w:r>
              <w:rPr>
                <w:rFonts w:ascii="Arial" w:cs="Arial" w:eastAsia="Arial" w:hAnsi="Arial"/>
                <w:sz w:val="14"/>
                <w:szCs w:val="14"/>
                <w:i w:val="1"/>
                <w:iCs w:val="1"/>
                <w:color w:val="auto"/>
              </w:rPr>
              <w:t>($ in millions)</w:t>
            </w:r>
          </w:p>
        </w:tc>
        <w:tc>
          <w:tcPr>
            <w:tcW w:w="140" w:type="dxa"/>
            <w:vAlign w:val="bottom"/>
          </w:tcPr>
          <w:p>
            <w:pPr>
              <w:spacing w:after="0"/>
              <w:rPr>
                <w:sz w:val="21"/>
                <w:szCs w:val="21"/>
                <w:color w:val="auto"/>
              </w:rPr>
            </w:pPr>
          </w:p>
        </w:tc>
        <w:tc>
          <w:tcPr>
            <w:tcW w:w="1060" w:type="dxa"/>
            <w:vAlign w:val="bottom"/>
            <w:gridSpan w:val="2"/>
          </w:tcPr>
          <w:p>
            <w:pPr>
              <w:ind w:left="20"/>
              <w:spacing w:after="0"/>
              <w:rPr>
                <w:sz w:val="20"/>
                <w:szCs w:val="20"/>
                <w:color w:val="auto"/>
              </w:rPr>
            </w:pPr>
            <w:r>
              <w:rPr>
                <w:rFonts w:ascii="Arial" w:cs="Arial" w:eastAsia="Arial" w:hAnsi="Arial"/>
                <w:sz w:val="20"/>
                <w:szCs w:val="20"/>
                <w:b w:val="1"/>
                <w:bCs w:val="1"/>
                <w:color w:val="auto"/>
              </w:rPr>
              <w:t>Q3 2024</w:t>
            </w:r>
          </w:p>
        </w:tc>
        <w:tc>
          <w:tcPr>
            <w:tcW w:w="140" w:type="dxa"/>
            <w:vAlign w:val="bottom"/>
          </w:tcPr>
          <w:p>
            <w:pPr>
              <w:spacing w:after="0"/>
              <w:rPr>
                <w:sz w:val="21"/>
                <w:szCs w:val="21"/>
                <w:color w:val="auto"/>
              </w:rPr>
            </w:pPr>
          </w:p>
        </w:tc>
        <w:tc>
          <w:tcPr>
            <w:tcW w:w="940" w:type="dxa"/>
            <w:vAlign w:val="bottom"/>
          </w:tcPr>
          <w:p>
            <w:pPr>
              <w:jc w:val="right"/>
              <w:ind w:right="61"/>
              <w:spacing w:after="0"/>
              <w:rPr>
                <w:sz w:val="20"/>
                <w:szCs w:val="20"/>
                <w:color w:val="auto"/>
              </w:rPr>
            </w:pPr>
            <w:r>
              <w:rPr>
                <w:rFonts w:ascii="Arial" w:cs="Arial" w:eastAsia="Arial" w:hAnsi="Arial"/>
                <w:sz w:val="20"/>
                <w:szCs w:val="20"/>
                <w:b w:val="1"/>
                <w:bCs w:val="1"/>
                <w:color w:val="auto"/>
                <w:w w:val="98"/>
              </w:rPr>
              <w:t>Q3 2023</w:t>
            </w:r>
          </w:p>
        </w:tc>
        <w:tc>
          <w:tcPr>
            <w:tcW w:w="100" w:type="dxa"/>
            <w:vAlign w:val="bottom"/>
          </w:tcPr>
          <w:p>
            <w:pPr>
              <w:spacing w:after="0"/>
              <w:rPr>
                <w:sz w:val="21"/>
                <w:szCs w:val="21"/>
                <w:color w:val="auto"/>
              </w:rPr>
            </w:pPr>
          </w:p>
        </w:tc>
        <w:tc>
          <w:tcPr>
            <w:tcW w:w="1380" w:type="dxa"/>
            <w:vAlign w:val="bottom"/>
            <w:gridSpan w:val="2"/>
          </w:tcPr>
          <w:p>
            <w:pPr>
              <w:ind w:left="160"/>
              <w:spacing w:after="0"/>
              <w:rPr>
                <w:sz w:val="20"/>
                <w:szCs w:val="20"/>
                <w:color w:val="auto"/>
              </w:rPr>
            </w:pPr>
            <w:r>
              <w:rPr>
                <w:rFonts w:ascii="Arial" w:cs="Arial" w:eastAsia="Arial" w:hAnsi="Arial"/>
                <w:sz w:val="20"/>
                <w:szCs w:val="20"/>
                <w:b w:val="1"/>
                <w:bCs w:val="1"/>
                <w:color w:val="auto"/>
              </w:rPr>
              <w:t>% Change</w:t>
            </w:r>
          </w:p>
        </w:tc>
        <w:tc>
          <w:tcPr>
            <w:tcW w:w="140" w:type="dxa"/>
            <w:vAlign w:val="bottom"/>
          </w:tcPr>
          <w:p>
            <w:pPr>
              <w:spacing w:after="0"/>
              <w:rPr>
                <w:sz w:val="21"/>
                <w:szCs w:val="21"/>
                <w:color w:val="auto"/>
              </w:rPr>
            </w:pPr>
          </w:p>
        </w:tc>
        <w:tc>
          <w:tcPr>
            <w:tcW w:w="1040" w:type="dxa"/>
            <w:vAlign w:val="bottom"/>
            <w:gridSpan w:val="2"/>
          </w:tcPr>
          <w:p>
            <w:pPr>
              <w:ind w:left="20"/>
              <w:spacing w:after="0"/>
              <w:rPr>
                <w:sz w:val="20"/>
                <w:szCs w:val="20"/>
                <w:color w:val="auto"/>
              </w:rPr>
            </w:pPr>
            <w:r>
              <w:rPr>
                <w:rFonts w:ascii="Arial" w:cs="Arial" w:eastAsia="Arial" w:hAnsi="Arial"/>
                <w:sz w:val="20"/>
                <w:szCs w:val="20"/>
                <w:b w:val="1"/>
                <w:bCs w:val="1"/>
                <w:color w:val="auto"/>
              </w:rPr>
              <w:t>Q3 2024</w:t>
            </w:r>
          </w:p>
        </w:tc>
        <w:tc>
          <w:tcPr>
            <w:tcW w:w="140" w:type="dxa"/>
            <w:vAlign w:val="bottom"/>
          </w:tcPr>
          <w:p>
            <w:pPr>
              <w:spacing w:after="0"/>
              <w:rPr>
                <w:sz w:val="21"/>
                <w:szCs w:val="21"/>
                <w:color w:val="auto"/>
              </w:rPr>
            </w:pPr>
          </w:p>
        </w:tc>
        <w:tc>
          <w:tcPr>
            <w:tcW w:w="920" w:type="dxa"/>
            <w:vAlign w:val="bottom"/>
          </w:tcPr>
          <w:p>
            <w:pPr>
              <w:jc w:val="right"/>
              <w:ind w:right="41"/>
              <w:spacing w:after="0"/>
              <w:rPr>
                <w:sz w:val="20"/>
                <w:szCs w:val="20"/>
                <w:color w:val="auto"/>
              </w:rPr>
            </w:pPr>
            <w:r>
              <w:rPr>
                <w:rFonts w:ascii="Arial" w:cs="Arial" w:eastAsia="Arial" w:hAnsi="Arial"/>
                <w:sz w:val="20"/>
                <w:szCs w:val="20"/>
                <w:b w:val="1"/>
                <w:bCs w:val="1"/>
                <w:color w:val="auto"/>
                <w:w w:val="98"/>
              </w:rPr>
              <w:t>Q3 2023</w:t>
            </w:r>
          </w:p>
        </w:tc>
        <w:tc>
          <w:tcPr>
            <w:tcW w:w="100" w:type="dxa"/>
            <w:vAlign w:val="bottom"/>
          </w:tcPr>
          <w:p>
            <w:pPr>
              <w:spacing w:after="0"/>
              <w:rPr>
                <w:sz w:val="21"/>
                <w:szCs w:val="21"/>
                <w:color w:val="auto"/>
              </w:rPr>
            </w:pPr>
          </w:p>
        </w:tc>
        <w:tc>
          <w:tcPr>
            <w:tcW w:w="1200" w:type="dxa"/>
            <w:vAlign w:val="bottom"/>
          </w:tcPr>
          <w:p>
            <w:pPr>
              <w:jc w:val="right"/>
              <w:ind w:right="21"/>
              <w:spacing w:after="0"/>
              <w:rPr>
                <w:sz w:val="20"/>
                <w:szCs w:val="20"/>
                <w:color w:val="auto"/>
              </w:rPr>
            </w:pPr>
            <w:r>
              <w:rPr>
                <w:rFonts w:ascii="Arial" w:cs="Arial" w:eastAsia="Arial" w:hAnsi="Arial"/>
                <w:sz w:val="20"/>
                <w:szCs w:val="20"/>
                <w:b w:val="1"/>
                <w:bCs w:val="1"/>
                <w:color w:val="auto"/>
              </w:rPr>
              <w:t>% Change</w:t>
            </w:r>
          </w:p>
        </w:tc>
        <w:tc>
          <w:tcPr>
            <w:tcW w:w="0" w:type="dxa"/>
            <w:vAlign w:val="bottom"/>
          </w:tcPr>
          <w:p>
            <w:pPr>
              <w:spacing w:after="0"/>
              <w:rPr>
                <w:sz w:val="1"/>
                <w:szCs w:val="1"/>
                <w:color w:val="auto"/>
              </w:rPr>
            </w:pPr>
          </w:p>
        </w:tc>
      </w:tr>
      <w:tr>
        <w:trPr>
          <w:trHeight w:val="250"/>
        </w:trPr>
        <w:tc>
          <w:tcPr>
            <w:tcW w:w="3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Research and development (R&amp;D)</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1,272</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1,075</w:t>
            </w:r>
          </w:p>
        </w:tc>
        <w:tc>
          <w:tcPr>
            <w:tcW w:w="100" w:type="dxa"/>
            <w:vAlign w:val="bottom"/>
            <w:tcBorders>
              <w:top w:val="single" w:sz="8" w:color="CCEEFF"/>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18 %</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1,146</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954</w:t>
            </w:r>
          </w:p>
        </w:tc>
        <w:tc>
          <w:tcPr>
            <w:tcW w:w="100" w:type="dxa"/>
            <w:vAlign w:val="bottom"/>
            <w:tcBorders>
              <w:top w:val="single" w:sz="8" w:color="CCEEFF"/>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jc w:val="center"/>
              <w:ind w:left="601"/>
              <w:spacing w:after="0"/>
              <w:rPr>
                <w:sz w:val="20"/>
                <w:szCs w:val="20"/>
                <w:color w:val="auto"/>
              </w:rPr>
            </w:pPr>
            <w:r>
              <w:rPr>
                <w:rFonts w:ascii="Arial" w:cs="Arial" w:eastAsia="Arial" w:hAnsi="Arial"/>
                <w:sz w:val="20"/>
                <w:szCs w:val="20"/>
                <w:color w:val="auto"/>
              </w:rPr>
              <w:t>20 %</w:t>
            </w:r>
          </w:p>
        </w:tc>
        <w:tc>
          <w:tcPr>
            <w:tcW w:w="0" w:type="dxa"/>
            <w:vAlign w:val="bottom"/>
          </w:tcPr>
          <w:p>
            <w:pPr>
              <w:spacing w:after="0"/>
              <w:rPr>
                <w:sz w:val="1"/>
                <w:szCs w:val="1"/>
                <w:color w:val="auto"/>
              </w:rPr>
            </w:pPr>
          </w:p>
        </w:tc>
      </w:tr>
      <w:tr>
        <w:trPr>
          <w:trHeight w:val="189"/>
        </w:trPr>
        <w:tc>
          <w:tcPr>
            <w:tcW w:w="3920" w:type="dxa"/>
            <w:vAlign w:val="bottom"/>
          </w:tcPr>
          <w:p>
            <w:pPr>
              <w:ind w:left="20"/>
              <w:spacing w:after="0" w:line="189" w:lineRule="exact"/>
              <w:rPr>
                <w:sz w:val="20"/>
                <w:szCs w:val="20"/>
                <w:color w:val="auto"/>
              </w:rPr>
            </w:pPr>
            <w:r>
              <w:rPr>
                <w:rFonts w:ascii="Arial" w:cs="Arial" w:eastAsia="Arial" w:hAnsi="Arial"/>
                <w:sz w:val="20"/>
                <w:szCs w:val="20"/>
                <w:color w:val="auto"/>
              </w:rPr>
              <w:t>Acquired in-process research and</w:t>
            </w:r>
          </w:p>
        </w:tc>
        <w:tc>
          <w:tcPr>
            <w:tcW w:w="1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940" w:type="dxa"/>
            <w:vAlign w:val="bottom"/>
            <w:vMerge w:val="restart"/>
          </w:tcPr>
          <w:p>
            <w:pPr>
              <w:jc w:val="right"/>
              <w:spacing w:after="0"/>
              <w:rPr>
                <w:sz w:val="20"/>
                <w:szCs w:val="20"/>
                <w:color w:val="auto"/>
              </w:rPr>
            </w:pPr>
            <w:r>
              <w:rPr>
                <w:rFonts w:ascii="Arial" w:cs="Arial" w:eastAsia="Arial" w:hAnsi="Arial"/>
                <w:sz w:val="20"/>
                <w:szCs w:val="20"/>
                <w:color w:val="auto"/>
              </w:rPr>
              <w:t>56</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vMerge w:val="restart"/>
          </w:tcPr>
          <w:p>
            <w:pPr>
              <w:jc w:val="right"/>
              <w:ind w:right="1"/>
              <w:spacing w:after="0"/>
              <w:rPr>
                <w:sz w:val="20"/>
                <w:szCs w:val="20"/>
                <w:color w:val="auto"/>
              </w:rPr>
            </w:pPr>
            <w:r>
              <w:rPr>
                <w:rFonts w:ascii="Arial" w:cs="Arial" w:eastAsia="Arial" w:hAnsi="Arial"/>
                <w:sz w:val="20"/>
                <w:szCs w:val="20"/>
                <w:color w:val="auto"/>
              </w:rPr>
              <w:t>100</w:t>
            </w:r>
          </w:p>
        </w:tc>
        <w:tc>
          <w:tcPr>
            <w:tcW w:w="1360" w:type="dxa"/>
            <w:vAlign w:val="bottom"/>
            <w:gridSpan w:val="2"/>
            <w:vMerge w:val="restart"/>
          </w:tcPr>
          <w:p>
            <w:pPr>
              <w:jc w:val="right"/>
              <w:spacing w:after="0"/>
              <w:rPr>
                <w:sz w:val="20"/>
                <w:szCs w:val="20"/>
                <w:color w:val="auto"/>
              </w:rPr>
            </w:pPr>
            <w:r>
              <w:rPr>
                <w:rFonts w:ascii="Arial" w:cs="Arial" w:eastAsia="Arial" w:hAnsi="Arial"/>
                <w:sz w:val="20"/>
                <w:szCs w:val="20"/>
                <w:color w:val="auto"/>
              </w:rPr>
              <w:t>(44 %)</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vMerge w:val="restart"/>
          </w:tcPr>
          <w:p>
            <w:pPr>
              <w:jc w:val="right"/>
              <w:ind w:right="21"/>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restart"/>
          </w:tcPr>
          <w:p>
            <w:pPr>
              <w:jc w:val="right"/>
              <w:ind w:right="21"/>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16"/>
                <w:szCs w:val="16"/>
                <w:color w:val="auto"/>
              </w:rPr>
            </w:pPr>
          </w:p>
        </w:tc>
        <w:tc>
          <w:tcPr>
            <w:tcW w:w="1200" w:type="dxa"/>
            <w:vAlign w:val="bottom"/>
            <w:vMerge w:val="restart"/>
          </w:tcPr>
          <w:p>
            <w:pPr>
              <w:jc w:val="center"/>
              <w:ind w:left="581"/>
              <w:spacing w:after="0"/>
              <w:rPr>
                <w:sz w:val="20"/>
                <w:szCs w:val="20"/>
                <w:color w:val="auto"/>
              </w:rPr>
            </w:pPr>
            <w:r>
              <w:rPr>
                <w:rFonts w:ascii="Arial" w:cs="Arial" w:eastAsia="Arial" w:hAnsi="Arial"/>
                <w:sz w:val="20"/>
                <w:szCs w:val="20"/>
                <w:color w:val="auto"/>
              </w:rPr>
              <w:t>n/a</w:t>
            </w:r>
          </w:p>
        </w:tc>
        <w:tc>
          <w:tcPr>
            <w:tcW w:w="0" w:type="dxa"/>
            <w:vAlign w:val="bottom"/>
          </w:tcPr>
          <w:p>
            <w:pPr>
              <w:spacing w:after="0"/>
              <w:rPr>
                <w:sz w:val="1"/>
                <w:szCs w:val="1"/>
                <w:color w:val="auto"/>
              </w:rPr>
            </w:pPr>
          </w:p>
        </w:tc>
      </w:tr>
      <w:tr>
        <w:trPr>
          <w:trHeight w:val="257"/>
        </w:trPr>
        <w:tc>
          <w:tcPr>
            <w:tcW w:w="3920" w:type="dxa"/>
            <w:vAlign w:val="bottom"/>
          </w:tcPr>
          <w:p>
            <w:pPr>
              <w:ind w:left="180"/>
              <w:spacing w:after="0"/>
              <w:rPr>
                <w:sz w:val="20"/>
                <w:szCs w:val="20"/>
                <w:color w:val="auto"/>
              </w:rPr>
            </w:pPr>
            <w:r>
              <w:rPr>
                <w:rFonts w:ascii="Arial" w:cs="Arial" w:eastAsia="Arial" w:hAnsi="Arial"/>
                <w:sz w:val="20"/>
                <w:szCs w:val="20"/>
                <w:color w:val="auto"/>
              </w:rPr>
              <w:t>development (IPR&amp;D)</w:t>
            </w:r>
          </w:p>
        </w:tc>
        <w:tc>
          <w:tcPr>
            <w:tcW w:w="140" w:type="dxa"/>
            <w:vAlign w:val="bottom"/>
            <w:vMerge w:val="continue"/>
          </w:tcPr>
          <w:p>
            <w:pPr>
              <w:spacing w:after="0"/>
              <w:rPr>
                <w:sz w:val="22"/>
                <w:szCs w:val="22"/>
                <w:color w:val="auto"/>
              </w:rPr>
            </w:pPr>
          </w:p>
        </w:tc>
        <w:tc>
          <w:tcPr>
            <w:tcW w:w="94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vMerge w:val="continue"/>
          </w:tcPr>
          <w:p>
            <w:pPr>
              <w:spacing w:after="0"/>
              <w:rPr>
                <w:sz w:val="22"/>
                <w:szCs w:val="22"/>
                <w:color w:val="auto"/>
              </w:rPr>
            </w:pPr>
          </w:p>
        </w:tc>
        <w:tc>
          <w:tcPr>
            <w:tcW w:w="940" w:type="dxa"/>
            <w:vAlign w:val="bottom"/>
            <w:vMerge w:val="continue"/>
          </w:tcPr>
          <w:p>
            <w:pPr>
              <w:spacing w:after="0"/>
              <w:rPr>
                <w:sz w:val="22"/>
                <w:szCs w:val="22"/>
                <w:color w:val="auto"/>
              </w:rPr>
            </w:pPr>
          </w:p>
        </w:tc>
        <w:tc>
          <w:tcPr>
            <w:tcW w:w="1360" w:type="dxa"/>
            <w:vAlign w:val="bottom"/>
            <w:gridSpan w:val="2"/>
            <w:vMerge w:val="continue"/>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3920" w:type="dxa"/>
            <w:vAlign w:val="bottom"/>
            <w:shd w:val="clear" w:color="auto" w:fill="CCEEFF"/>
          </w:tcPr>
          <w:p>
            <w:pPr>
              <w:ind w:left="20"/>
              <w:spacing w:after="0" w:line="189" w:lineRule="exact"/>
              <w:rPr>
                <w:sz w:val="20"/>
                <w:szCs w:val="20"/>
                <w:color w:val="auto"/>
              </w:rPr>
            </w:pPr>
            <w:r>
              <w:rPr>
                <w:rFonts w:ascii="Arial" w:cs="Arial" w:eastAsia="Arial" w:hAnsi="Arial"/>
                <w:sz w:val="20"/>
                <w:szCs w:val="20"/>
                <w:color w:val="auto"/>
              </w:rPr>
              <w:t>Selling, general, and administrative</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714</w:t>
            </w:r>
          </w:p>
        </w:tc>
        <w:tc>
          <w:tcPr>
            <w:tcW w:w="12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vMerge w:val="restart"/>
            <w:shd w:val="clear" w:color="auto" w:fill="CCEEFF"/>
          </w:tcPr>
          <w:p>
            <w:pPr>
              <w:jc w:val="right"/>
              <w:ind w:right="1"/>
              <w:spacing w:after="0"/>
              <w:rPr>
                <w:sz w:val="20"/>
                <w:szCs w:val="20"/>
                <w:color w:val="auto"/>
              </w:rPr>
            </w:pPr>
            <w:r>
              <w:rPr>
                <w:rFonts w:ascii="Arial" w:cs="Arial" w:eastAsia="Arial" w:hAnsi="Arial"/>
                <w:sz w:val="20"/>
                <w:szCs w:val="20"/>
                <w:color w:val="auto"/>
              </w:rPr>
              <w:t>641</w:t>
            </w:r>
          </w:p>
        </w:tc>
        <w:tc>
          <w:tcPr>
            <w:tcW w:w="136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11 %</w:t>
            </w:r>
          </w:p>
        </w:tc>
        <w:tc>
          <w:tcPr>
            <w:tcW w:w="12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613</w:t>
            </w:r>
          </w:p>
        </w:tc>
        <w:tc>
          <w:tcPr>
            <w:tcW w:w="1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534</w:t>
            </w:r>
          </w:p>
        </w:tc>
        <w:tc>
          <w:tcPr>
            <w:tcW w:w="1300" w:type="dxa"/>
            <w:vAlign w:val="bottom"/>
            <w:gridSpan w:val="2"/>
            <w:vMerge w:val="restart"/>
            <w:shd w:val="clear" w:color="auto" w:fill="CCEEFF"/>
          </w:tcPr>
          <w:p>
            <w:pPr>
              <w:jc w:val="center"/>
              <w:ind w:left="701"/>
              <w:spacing w:after="0"/>
              <w:rPr>
                <w:sz w:val="20"/>
                <w:szCs w:val="20"/>
                <w:color w:val="auto"/>
              </w:rPr>
            </w:pPr>
            <w:r>
              <w:rPr>
                <w:rFonts w:ascii="Arial" w:cs="Arial" w:eastAsia="Arial" w:hAnsi="Arial"/>
                <w:sz w:val="20"/>
                <w:szCs w:val="20"/>
                <w:color w:val="auto"/>
              </w:rPr>
              <w:t>15 %</w:t>
            </w:r>
          </w:p>
        </w:tc>
        <w:tc>
          <w:tcPr>
            <w:tcW w:w="0" w:type="dxa"/>
            <w:vAlign w:val="bottom"/>
          </w:tcPr>
          <w:p>
            <w:pPr>
              <w:spacing w:after="0"/>
              <w:rPr>
                <w:sz w:val="1"/>
                <w:szCs w:val="1"/>
                <w:color w:val="auto"/>
              </w:rPr>
            </w:pPr>
          </w:p>
        </w:tc>
      </w:tr>
      <w:tr>
        <w:trPr>
          <w:trHeight w:val="256"/>
        </w:trPr>
        <w:tc>
          <w:tcPr>
            <w:tcW w:w="3920" w:type="dxa"/>
            <w:vAlign w:val="bottom"/>
            <w:shd w:val="clear" w:color="auto" w:fill="CCEEFF"/>
          </w:tcPr>
          <w:p>
            <w:pPr>
              <w:ind w:left="180"/>
              <w:spacing w:after="0"/>
              <w:rPr>
                <w:sz w:val="20"/>
                <w:szCs w:val="20"/>
                <w:color w:val="auto"/>
              </w:rPr>
            </w:pPr>
            <w:r>
              <w:rPr>
                <w:rFonts w:ascii="Arial" w:cs="Arial" w:eastAsia="Arial" w:hAnsi="Arial"/>
                <w:sz w:val="20"/>
                <w:szCs w:val="20"/>
                <w:color w:val="auto"/>
              </w:rPr>
              <w:t>(SG&amp;A)</w:t>
            </w:r>
          </w:p>
        </w:tc>
        <w:tc>
          <w:tcPr>
            <w:tcW w:w="140" w:type="dxa"/>
            <w:vAlign w:val="bottom"/>
            <w:vMerge w:val="continue"/>
            <w:shd w:val="clear" w:color="auto" w:fill="CCEEFF"/>
          </w:tcPr>
          <w:p>
            <w:pPr>
              <w:spacing w:after="0"/>
              <w:rPr>
                <w:sz w:val="22"/>
                <w:szCs w:val="22"/>
                <w:color w:val="auto"/>
              </w:rPr>
            </w:pPr>
          </w:p>
        </w:tc>
        <w:tc>
          <w:tcPr>
            <w:tcW w:w="94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vMerge w:val="continue"/>
            <w:shd w:val="clear" w:color="auto" w:fill="CCEEFF"/>
          </w:tcPr>
          <w:p>
            <w:pPr>
              <w:spacing w:after="0"/>
              <w:rPr>
                <w:sz w:val="22"/>
                <w:szCs w:val="22"/>
                <w:color w:val="auto"/>
              </w:rPr>
            </w:pPr>
          </w:p>
        </w:tc>
        <w:tc>
          <w:tcPr>
            <w:tcW w:w="940" w:type="dxa"/>
            <w:vAlign w:val="bottom"/>
            <w:vMerge w:val="continue"/>
            <w:shd w:val="clear" w:color="auto" w:fill="CCEEFF"/>
          </w:tcPr>
          <w:p>
            <w:pPr>
              <w:spacing w:after="0"/>
              <w:rPr>
                <w:sz w:val="22"/>
                <w:szCs w:val="22"/>
                <w:color w:val="auto"/>
              </w:rPr>
            </w:pPr>
          </w:p>
        </w:tc>
        <w:tc>
          <w:tcPr>
            <w:tcW w:w="1360" w:type="dxa"/>
            <w:vAlign w:val="bottom"/>
            <w:gridSpan w:val="2"/>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vMerge w:val="continue"/>
            <w:shd w:val="clear" w:color="auto" w:fill="CCEEFF"/>
          </w:tcPr>
          <w:p>
            <w:pPr>
              <w:spacing w:after="0"/>
              <w:rPr>
                <w:sz w:val="22"/>
                <w:szCs w:val="22"/>
                <w:color w:val="auto"/>
              </w:rPr>
            </w:pPr>
          </w:p>
        </w:tc>
        <w:tc>
          <w:tcPr>
            <w:tcW w:w="94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vMerge w:val="continue"/>
            <w:shd w:val="clear" w:color="auto" w:fill="CCEEFF"/>
          </w:tcPr>
          <w:p>
            <w:pPr>
              <w:spacing w:after="0"/>
              <w:rPr>
                <w:sz w:val="22"/>
                <w:szCs w:val="22"/>
                <w:color w:val="auto"/>
              </w:rPr>
            </w:pPr>
          </w:p>
        </w:tc>
        <w:tc>
          <w:tcPr>
            <w:tcW w:w="920" w:type="dxa"/>
            <w:vAlign w:val="bottom"/>
            <w:vMerge w:val="continue"/>
            <w:shd w:val="clear" w:color="auto" w:fill="CCEEFF"/>
          </w:tcPr>
          <w:p>
            <w:pPr>
              <w:spacing w:after="0"/>
              <w:rPr>
                <w:sz w:val="22"/>
                <w:szCs w:val="22"/>
                <w:color w:val="auto"/>
              </w:rPr>
            </w:pPr>
          </w:p>
        </w:tc>
        <w:tc>
          <w:tcPr>
            <w:tcW w:w="1300" w:type="dxa"/>
            <w:vAlign w:val="bottom"/>
            <w:gridSpan w:val="2"/>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920" w:type="dxa"/>
            <w:vAlign w:val="bottom"/>
          </w:tcPr>
          <w:p>
            <w:pPr>
              <w:ind w:left="20"/>
              <w:spacing w:after="0"/>
              <w:rPr>
                <w:sz w:val="20"/>
                <w:szCs w:val="20"/>
                <w:color w:val="auto"/>
              </w:rPr>
            </w:pPr>
            <w:r>
              <w:rPr>
                <w:rFonts w:ascii="Arial" w:cs="Arial" w:eastAsia="Arial" w:hAnsi="Arial"/>
                <w:sz w:val="20"/>
                <w:szCs w:val="20"/>
                <w:color w:val="auto"/>
              </w:rPr>
              <w:t>Cost of goods sold (COGS)</w:t>
            </w:r>
          </w:p>
        </w:tc>
        <w:tc>
          <w:tcPr>
            <w:tcW w:w="140" w:type="dxa"/>
            <w:vAlign w:val="bottom"/>
          </w:tcPr>
          <w:p>
            <w:pPr>
              <w:jc w:val="right"/>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262</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tcPr>
          <w:p>
            <w:pPr>
              <w:jc w:val="right"/>
              <w:ind w:right="1"/>
              <w:spacing w:after="0"/>
              <w:rPr>
                <w:sz w:val="20"/>
                <w:szCs w:val="20"/>
                <w:color w:val="auto"/>
              </w:rPr>
            </w:pPr>
            <w:r>
              <w:rPr>
                <w:rFonts w:ascii="Arial" w:cs="Arial" w:eastAsia="Arial" w:hAnsi="Arial"/>
                <w:sz w:val="20"/>
                <w:szCs w:val="20"/>
                <w:color w:val="auto"/>
              </w:rPr>
              <w:t>225</w:t>
            </w:r>
          </w:p>
        </w:tc>
        <w:tc>
          <w:tcPr>
            <w:tcW w:w="1360" w:type="dxa"/>
            <w:vAlign w:val="bottom"/>
            <w:gridSpan w:val="2"/>
          </w:tcPr>
          <w:p>
            <w:pPr>
              <w:jc w:val="right"/>
              <w:spacing w:after="0"/>
              <w:rPr>
                <w:sz w:val="20"/>
                <w:szCs w:val="20"/>
                <w:color w:val="auto"/>
              </w:rPr>
            </w:pPr>
            <w:r>
              <w:rPr>
                <w:rFonts w:ascii="Arial" w:cs="Arial" w:eastAsia="Arial" w:hAnsi="Arial"/>
                <w:sz w:val="20"/>
                <w:szCs w:val="20"/>
                <w:color w:val="auto"/>
              </w:rPr>
              <w:t>16 %</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217</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181</w:t>
            </w:r>
          </w:p>
        </w:tc>
        <w:tc>
          <w:tcPr>
            <w:tcW w:w="1300" w:type="dxa"/>
            <w:vAlign w:val="bottom"/>
            <w:gridSpan w:val="2"/>
          </w:tcPr>
          <w:p>
            <w:pPr>
              <w:jc w:val="center"/>
              <w:ind w:left="701"/>
              <w:spacing w:after="0"/>
              <w:rPr>
                <w:sz w:val="20"/>
                <w:szCs w:val="20"/>
                <w:color w:val="auto"/>
              </w:rPr>
            </w:pPr>
            <w:r>
              <w:rPr>
                <w:rFonts w:ascii="Arial" w:cs="Arial" w:eastAsia="Arial" w:hAnsi="Arial"/>
                <w:sz w:val="20"/>
                <w:szCs w:val="20"/>
                <w:color w:val="auto"/>
              </w:rPr>
              <w:t>20 %</w:t>
            </w:r>
          </w:p>
        </w:tc>
        <w:tc>
          <w:tcPr>
            <w:tcW w:w="0" w:type="dxa"/>
            <w:vAlign w:val="bottom"/>
          </w:tcPr>
          <w:p>
            <w:pPr>
              <w:spacing w:after="0"/>
              <w:rPr>
                <w:sz w:val="1"/>
                <w:szCs w:val="1"/>
                <w:color w:val="auto"/>
              </w:rPr>
            </w:pPr>
          </w:p>
        </w:tc>
      </w:tr>
      <w:tr>
        <w:trPr>
          <w:trHeight w:val="189"/>
        </w:trPr>
        <w:tc>
          <w:tcPr>
            <w:tcW w:w="3920" w:type="dxa"/>
            <w:vAlign w:val="bottom"/>
            <w:shd w:val="clear" w:color="auto" w:fill="CCEEFF"/>
          </w:tcPr>
          <w:p>
            <w:pPr>
              <w:ind w:left="20"/>
              <w:spacing w:after="0" w:line="189" w:lineRule="exact"/>
              <w:rPr>
                <w:sz w:val="20"/>
                <w:szCs w:val="20"/>
                <w:color w:val="auto"/>
              </w:rPr>
            </w:pPr>
            <w:r>
              <w:rPr>
                <w:rFonts w:ascii="Arial" w:cs="Arial" w:eastAsia="Arial" w:hAnsi="Arial"/>
                <w:sz w:val="20"/>
                <w:szCs w:val="20"/>
                <w:color w:val="auto"/>
              </w:rPr>
              <w:t>Cost of collaboration and contract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229</w:t>
            </w:r>
          </w:p>
        </w:tc>
        <w:tc>
          <w:tcPr>
            <w:tcW w:w="12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vMerge w:val="restart"/>
            <w:shd w:val="clear" w:color="auto" w:fill="CCEEFF"/>
          </w:tcPr>
          <w:p>
            <w:pPr>
              <w:jc w:val="right"/>
              <w:ind w:right="1"/>
              <w:spacing w:after="0"/>
              <w:rPr>
                <w:sz w:val="20"/>
                <w:szCs w:val="20"/>
                <w:color w:val="auto"/>
              </w:rPr>
            </w:pPr>
            <w:r>
              <w:rPr>
                <w:rFonts w:ascii="Arial" w:cs="Arial" w:eastAsia="Arial" w:hAnsi="Arial"/>
                <w:sz w:val="20"/>
                <w:szCs w:val="20"/>
                <w:color w:val="auto"/>
              </w:rPr>
              <w:t>212</w:t>
            </w:r>
          </w:p>
        </w:tc>
        <w:tc>
          <w:tcPr>
            <w:tcW w:w="136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8 %</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100" w:type="dxa"/>
            <w:vAlign w:val="bottom"/>
            <w:shd w:val="clear" w:color="auto" w:fill="CCEEFF"/>
          </w:tcPr>
          <w:p>
            <w:pPr>
              <w:spacing w:after="0"/>
              <w:rPr>
                <w:sz w:val="16"/>
                <w:szCs w:val="16"/>
                <w:color w:val="auto"/>
              </w:rPr>
            </w:pPr>
          </w:p>
        </w:tc>
        <w:tc>
          <w:tcPr>
            <w:tcW w:w="1200" w:type="dxa"/>
            <w:vAlign w:val="bottom"/>
            <w:vMerge w:val="restart"/>
            <w:shd w:val="clear" w:color="auto" w:fill="CCEEFF"/>
          </w:tcPr>
          <w:p>
            <w:pPr>
              <w:jc w:val="center"/>
              <w:ind w:left="581"/>
              <w:spacing w:after="0"/>
              <w:rPr>
                <w:sz w:val="20"/>
                <w:szCs w:val="20"/>
                <w:color w:val="auto"/>
              </w:rPr>
            </w:pPr>
            <w:r>
              <w:rPr>
                <w:rFonts w:ascii="Arial" w:cs="Arial" w:eastAsia="Arial" w:hAnsi="Arial"/>
                <w:sz w:val="20"/>
                <w:szCs w:val="20"/>
                <w:color w:val="auto"/>
              </w:rPr>
              <w:t>n/a</w:t>
            </w:r>
          </w:p>
        </w:tc>
        <w:tc>
          <w:tcPr>
            <w:tcW w:w="0" w:type="dxa"/>
            <w:vAlign w:val="bottom"/>
          </w:tcPr>
          <w:p>
            <w:pPr>
              <w:spacing w:after="0"/>
              <w:rPr>
                <w:sz w:val="1"/>
                <w:szCs w:val="1"/>
                <w:color w:val="auto"/>
              </w:rPr>
            </w:pPr>
          </w:p>
        </w:tc>
      </w:tr>
      <w:tr>
        <w:trPr>
          <w:trHeight w:val="257"/>
        </w:trPr>
        <w:tc>
          <w:tcPr>
            <w:tcW w:w="3920" w:type="dxa"/>
            <w:vAlign w:val="bottom"/>
            <w:shd w:val="clear" w:color="auto" w:fill="CCEEFF"/>
          </w:tcPr>
          <w:p>
            <w:pPr>
              <w:ind w:left="180"/>
              <w:spacing w:after="0"/>
              <w:rPr>
                <w:sz w:val="20"/>
                <w:szCs w:val="20"/>
                <w:color w:val="auto"/>
              </w:rPr>
            </w:pPr>
            <w:r>
              <w:rPr>
                <w:rFonts w:ascii="Arial" w:cs="Arial" w:eastAsia="Arial" w:hAnsi="Arial"/>
                <w:sz w:val="20"/>
                <w:szCs w:val="20"/>
                <w:color w:val="auto"/>
              </w:rPr>
              <w:t>manufacturing (COCM)</w:t>
            </w:r>
          </w:p>
        </w:tc>
        <w:tc>
          <w:tcPr>
            <w:tcW w:w="140" w:type="dxa"/>
            <w:vAlign w:val="bottom"/>
            <w:vMerge w:val="continue"/>
            <w:shd w:val="clear" w:color="auto" w:fill="CCEEFF"/>
          </w:tcPr>
          <w:p>
            <w:pPr>
              <w:spacing w:after="0"/>
              <w:rPr>
                <w:sz w:val="22"/>
                <w:szCs w:val="22"/>
                <w:color w:val="auto"/>
              </w:rPr>
            </w:pPr>
          </w:p>
        </w:tc>
        <w:tc>
          <w:tcPr>
            <w:tcW w:w="94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vMerge w:val="continue"/>
            <w:shd w:val="clear" w:color="auto" w:fill="CCEEFF"/>
          </w:tcPr>
          <w:p>
            <w:pPr>
              <w:spacing w:after="0"/>
              <w:rPr>
                <w:sz w:val="22"/>
                <w:szCs w:val="22"/>
                <w:color w:val="auto"/>
              </w:rPr>
            </w:pPr>
          </w:p>
        </w:tc>
        <w:tc>
          <w:tcPr>
            <w:tcW w:w="940" w:type="dxa"/>
            <w:vAlign w:val="bottom"/>
            <w:vMerge w:val="continue"/>
            <w:shd w:val="clear" w:color="auto" w:fill="CCEEFF"/>
          </w:tcPr>
          <w:p>
            <w:pPr>
              <w:spacing w:after="0"/>
              <w:rPr>
                <w:sz w:val="22"/>
                <w:szCs w:val="22"/>
                <w:color w:val="auto"/>
              </w:rPr>
            </w:pPr>
          </w:p>
        </w:tc>
        <w:tc>
          <w:tcPr>
            <w:tcW w:w="1360" w:type="dxa"/>
            <w:vAlign w:val="bottom"/>
            <w:gridSpan w:val="2"/>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4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2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0" w:type="dxa"/>
            <w:vAlign w:val="bottom"/>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3920" w:type="dxa"/>
            <w:vAlign w:val="bottom"/>
          </w:tcPr>
          <w:p>
            <w:pPr>
              <w:ind w:left="20"/>
              <w:spacing w:after="0"/>
              <w:rPr>
                <w:sz w:val="20"/>
                <w:szCs w:val="20"/>
                <w:color w:val="auto"/>
              </w:rPr>
            </w:pPr>
            <w:r>
              <w:rPr>
                <w:rFonts w:ascii="Arial" w:cs="Arial" w:eastAsia="Arial" w:hAnsi="Arial"/>
                <w:sz w:val="20"/>
                <w:szCs w:val="20"/>
                <w:color w:val="auto"/>
              </w:rPr>
              <w:t>Other operating expense (income), net</w:t>
            </w:r>
          </w:p>
        </w:tc>
        <w:tc>
          <w:tcPr>
            <w:tcW w:w="140" w:type="dxa"/>
            <w:vAlign w:val="bottom"/>
          </w:tcPr>
          <w:p>
            <w:pPr>
              <w:jc w:val="right"/>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8</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(1)</w:t>
            </w:r>
          </w:p>
        </w:tc>
        <w:tc>
          <w:tcPr>
            <w:tcW w:w="1360" w:type="dxa"/>
            <w:vAlign w:val="bottom"/>
            <w:gridSpan w:val="2"/>
          </w:tcPr>
          <w:p>
            <w:pPr>
              <w:jc w:val="right"/>
              <w:ind w:right="21"/>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4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2"/>
                <w:szCs w:val="22"/>
                <w:color w:val="auto"/>
              </w:rPr>
            </w:pP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300" w:type="dxa"/>
            <w:vAlign w:val="bottom"/>
            <w:gridSpan w:val="2"/>
          </w:tcPr>
          <w:p>
            <w:pPr>
              <w:jc w:val="right"/>
              <w:ind w:right="2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180" w:right="3900" w:firstLine="8"/>
        <w:spacing w:after="0" w:line="298" w:lineRule="auto"/>
        <w:tabs>
          <w:tab w:leader="none" w:pos="295" w:val="left"/>
        </w:tabs>
        <w:numPr>
          <w:ilvl w:val="0"/>
          <w:numId w:val="8"/>
        </w:numPr>
        <w:rPr>
          <w:rFonts w:ascii="Arial" w:cs="Arial" w:eastAsia="Arial" w:hAnsi="Arial"/>
          <w:sz w:val="18"/>
          <w:szCs w:val="18"/>
          <w:color w:val="auto"/>
        </w:rPr>
      </w:pPr>
      <w:r>
        <w:rPr>
          <w:rFonts w:ascii="Arial" w:cs="Arial" w:eastAsia="Arial" w:hAnsi="Arial"/>
          <w:sz w:val="16"/>
          <w:szCs w:val="16"/>
          <w:color w:val="auto"/>
        </w:rPr>
        <w:t xml:space="preserve">GAAP and non-GAAP amounts are equivalent as no non-GAAP adjustments have been recorded. </w:t>
      </w:r>
      <w:r>
        <w:rPr>
          <w:rFonts w:ascii="Arial" w:cs="Arial" w:eastAsia="Arial" w:hAnsi="Arial"/>
          <w:sz w:val="17"/>
          <w:szCs w:val="17"/>
          <w:color w:val="auto"/>
        </w:rPr>
        <w:t xml:space="preserve">** </w:t>
      </w:r>
      <w:r>
        <w:rPr>
          <w:rFonts w:ascii="Arial" w:cs="Arial" w:eastAsia="Arial" w:hAnsi="Arial"/>
          <w:sz w:val="16"/>
          <w:szCs w:val="16"/>
          <w:color w:val="auto"/>
        </w:rPr>
        <w:t>Percentage not meaningful</w:t>
      </w:r>
    </w:p>
    <w:p>
      <w:pPr>
        <w:spacing w:after="0" w:line="162" w:lineRule="exact"/>
        <w:rPr>
          <w:rFonts w:ascii="Arial" w:cs="Arial" w:eastAsia="Arial" w:hAnsi="Arial"/>
          <w:sz w:val="18"/>
          <w:szCs w:val="18"/>
          <w:color w:val="auto"/>
        </w:rPr>
      </w:pPr>
    </w:p>
    <w:p>
      <w:pPr>
        <w:jc w:val="both"/>
        <w:ind w:left="660" w:right="180" w:hanging="328"/>
        <w:spacing w:after="0" w:line="257" w:lineRule="auto"/>
        <w:tabs>
          <w:tab w:leader="none" w:pos="655" w:val="left"/>
        </w:tabs>
        <w:numPr>
          <w:ilvl w:val="1"/>
          <w:numId w:val="8"/>
        </w:numPr>
        <w:rPr>
          <w:rFonts w:ascii="Arial" w:cs="Arial" w:eastAsia="Arial" w:hAnsi="Arial"/>
          <w:sz w:val="22"/>
          <w:szCs w:val="22"/>
          <w:color w:val="auto"/>
        </w:rPr>
      </w:pPr>
      <w:r>
        <w:rPr>
          <w:rFonts w:ascii="Arial" w:cs="Arial" w:eastAsia="Arial" w:hAnsi="Arial"/>
          <w:sz w:val="22"/>
          <w:szCs w:val="22"/>
          <w:color w:val="auto"/>
        </w:rPr>
        <w:t>GAAP and non-GAAP R&amp;D expenses increased in the third quarter of 2024, compared to the third quarter of 2023, driven by the advancement of the Company's clinical pipeline, including late-stage oncology programs, and higher headcount and headcount-related costs.</w:t>
      </w:r>
    </w:p>
    <w:p>
      <w:pPr>
        <w:spacing w:after="0" w:line="37" w:lineRule="exact"/>
        <w:rPr>
          <w:rFonts w:ascii="Arial" w:cs="Arial" w:eastAsia="Arial" w:hAnsi="Arial"/>
          <w:sz w:val="22"/>
          <w:szCs w:val="22"/>
          <w:color w:val="auto"/>
        </w:rPr>
      </w:pPr>
    </w:p>
    <w:p>
      <w:pPr>
        <w:ind w:left="660" w:right="120" w:hanging="328"/>
        <w:spacing w:after="0" w:line="253" w:lineRule="auto"/>
        <w:tabs>
          <w:tab w:leader="none" w:pos="655" w:val="left"/>
        </w:tabs>
        <w:numPr>
          <w:ilvl w:val="1"/>
          <w:numId w:val="8"/>
        </w:numPr>
        <w:rPr>
          <w:rFonts w:ascii="Arial" w:cs="Arial" w:eastAsia="Arial" w:hAnsi="Arial"/>
          <w:sz w:val="22"/>
          <w:szCs w:val="22"/>
          <w:color w:val="auto"/>
        </w:rPr>
      </w:pPr>
      <w:r>
        <w:rPr>
          <w:rFonts w:ascii="Arial" w:cs="Arial" w:eastAsia="Arial" w:hAnsi="Arial"/>
          <w:sz w:val="22"/>
          <w:szCs w:val="22"/>
          <w:color w:val="auto"/>
        </w:rPr>
        <w:t>Acquired IPR&amp;D for the third quarter of 2024 included a $45 million development milestone in connection with the Company's collaboration agreement with Sonoma Biotherapeutics, Inc. Acquired IPR&amp;D expense in the third quarter of 2023 related to a $100 million development milestone in connection with the Company's collaboration with Alnylam Pharmaceuticals, Inc.</w:t>
      </w:r>
    </w:p>
    <w:p>
      <w:pPr>
        <w:spacing w:after="0" w:line="40" w:lineRule="exact"/>
        <w:rPr>
          <w:rFonts w:ascii="Arial" w:cs="Arial" w:eastAsia="Arial" w:hAnsi="Arial"/>
          <w:sz w:val="22"/>
          <w:szCs w:val="22"/>
          <w:color w:val="auto"/>
        </w:rPr>
      </w:pPr>
    </w:p>
    <w:p>
      <w:pPr>
        <w:ind w:left="660" w:right="80" w:hanging="328"/>
        <w:spacing w:after="0" w:line="253" w:lineRule="auto"/>
        <w:tabs>
          <w:tab w:leader="none" w:pos="655" w:val="left"/>
        </w:tabs>
        <w:numPr>
          <w:ilvl w:val="1"/>
          <w:numId w:val="8"/>
        </w:numPr>
        <w:rPr>
          <w:rFonts w:ascii="Arial" w:cs="Arial" w:eastAsia="Arial" w:hAnsi="Arial"/>
          <w:sz w:val="22"/>
          <w:szCs w:val="22"/>
          <w:color w:val="auto"/>
        </w:rPr>
      </w:pPr>
      <w:r>
        <w:rPr>
          <w:rFonts w:ascii="Arial" w:cs="Arial" w:eastAsia="Arial" w:hAnsi="Arial"/>
          <w:sz w:val="22"/>
          <w:szCs w:val="22"/>
          <w:color w:val="auto"/>
        </w:rPr>
        <w:t>GAAP and non-GAAP SG&amp;A expenses increased in the third quarter of 2024, compared to the third quarter of 2023, due to higher commercialization-related expenses to support the Company's launch of EYLEA HD and higher headcount and headcount-related costs partly related to the Company's international commercial expansion.</w:t>
      </w:r>
    </w:p>
    <w:p>
      <w:pPr>
        <w:spacing w:after="0" w:line="40" w:lineRule="exact"/>
        <w:rPr>
          <w:rFonts w:ascii="Arial" w:cs="Arial" w:eastAsia="Arial" w:hAnsi="Arial"/>
          <w:sz w:val="22"/>
          <w:szCs w:val="22"/>
          <w:color w:val="auto"/>
        </w:rPr>
      </w:pPr>
    </w:p>
    <w:p>
      <w:pPr>
        <w:ind w:left="660" w:right="420" w:hanging="328"/>
        <w:spacing w:after="0" w:line="272" w:lineRule="auto"/>
        <w:tabs>
          <w:tab w:leader="none" w:pos="655" w:val="left"/>
        </w:tabs>
        <w:numPr>
          <w:ilvl w:val="1"/>
          <w:numId w:val="8"/>
        </w:numPr>
        <w:rPr>
          <w:rFonts w:ascii="Arial" w:cs="Arial" w:eastAsia="Arial" w:hAnsi="Arial"/>
          <w:sz w:val="22"/>
          <w:szCs w:val="22"/>
          <w:color w:val="auto"/>
        </w:rPr>
      </w:pPr>
      <w:r>
        <w:rPr>
          <w:rFonts w:ascii="Arial" w:cs="Arial" w:eastAsia="Arial" w:hAnsi="Arial"/>
          <w:sz w:val="22"/>
          <w:szCs w:val="22"/>
          <w:color w:val="auto"/>
        </w:rPr>
        <w:t>GAAP and non-GAAP COGS increased in the third quarter of 2024, compared to the third quarter of 2023, primarily due to higher start-up costs for the Company's Rensselaer, New York fill/finish facility.</w:t>
      </w:r>
    </w:p>
    <w:p>
      <w:pPr>
        <w:spacing w:after="0" w:line="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Other Financial Information</w:t>
      </w:r>
    </w:p>
    <w:p>
      <w:pPr>
        <w:spacing w:after="0" w:line="152" w:lineRule="exact"/>
        <w:rPr>
          <w:sz w:val="20"/>
          <w:szCs w:val="20"/>
          <w:color w:val="auto"/>
        </w:rPr>
      </w:pPr>
    </w:p>
    <w:p>
      <w:pPr>
        <w:ind w:right="120"/>
        <w:spacing w:after="0" w:line="253" w:lineRule="auto"/>
        <w:rPr>
          <w:sz w:val="20"/>
          <w:szCs w:val="20"/>
          <w:color w:val="auto"/>
        </w:rPr>
      </w:pPr>
      <w:r>
        <w:rPr>
          <w:rFonts w:ascii="Arial" w:cs="Arial" w:eastAsia="Arial" w:hAnsi="Arial"/>
          <w:sz w:val="22"/>
          <w:szCs w:val="22"/>
          <w:color w:val="auto"/>
        </w:rPr>
        <w:t>GAAP other income (expense) included the recognition of net unrealized gains on equity securities of $135 million in the third quarter of 2024, compared to $100 million of net unrealized losses in the third quarter of 2023. GAAP and Non-GAAP other income (expense) also included interest income of $187 million in the third quarter of 2024, compared to $134 million in the third quarter of 2023.</w:t>
      </w:r>
    </w:p>
    <w:p>
      <w:pPr>
        <w:spacing w:after="0" w:line="108" w:lineRule="exact"/>
        <w:rPr>
          <w:sz w:val="20"/>
          <w:szCs w:val="20"/>
          <w:color w:val="auto"/>
        </w:rPr>
      </w:pPr>
    </w:p>
    <w:p>
      <w:pPr>
        <w:jc w:val="both"/>
        <w:ind w:right="100"/>
        <w:spacing w:after="0" w:line="273" w:lineRule="auto"/>
        <w:rPr>
          <w:sz w:val="20"/>
          <w:szCs w:val="20"/>
          <w:color w:val="auto"/>
        </w:rPr>
      </w:pPr>
      <w:r>
        <w:rPr>
          <w:rFonts w:ascii="Arial" w:cs="Arial" w:eastAsia="Arial" w:hAnsi="Arial"/>
          <w:sz w:val="21"/>
          <w:szCs w:val="21"/>
          <w:color w:val="auto"/>
        </w:rPr>
        <w:t>In the third quarter of 2024, the Company's GAAP effective tax rate (ETR) was 10.2%, compared to 9.3% in the third quarter of 2023. The GAAP ETR increased in the third quarter of 2024, compared to the third quarter of 2023, due to a lower benefit from income earned in foreign jurisdictions with tax rates lower than the U.S. federal statutory rate. In the third quarter of 2024, the non-GAAP ETR was 10.7%, compared to 11.9% in the third quarter of 2023.</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20"/>
          </w:cols>
          <w:pgMar w:left="320" w:top="1045" w:right="359" w:bottom="1440" w:gutter="0" w:footer="0" w:header="0"/>
        </w:sectPr>
      </w:pPr>
    </w:p>
    <w:bookmarkStart w:id="8" w:name="page9"/>
    <w:bookmarkEnd w:id="8"/>
    <w:p>
      <w:pPr>
        <w:spacing w:after="0" w:line="253" w:lineRule="auto"/>
        <w:rPr>
          <w:sz w:val="20"/>
          <w:szCs w:val="20"/>
          <w:color w:val="auto"/>
        </w:rPr>
      </w:pPr>
      <w:r>
        <w:rPr>
          <w:rFonts w:ascii="Arial" w:cs="Arial" w:eastAsia="Arial" w:hAnsi="Arial"/>
          <w:sz w:val="22"/>
          <w:szCs w:val="22"/>
          <w:color w:val="auto"/>
        </w:rPr>
        <w:t>GAAP net income per diluted share was $11.54 in the third quarter of 2024, compared to $8.89 in the third quarter of 2023. Non-GAAP net income per diluted share was $12.46 in the third quarter of 2024, compared to $11.59 in the third quarter of 2023. A reconciliation of the Company's GAAP to non-GAAP results is included in Table 3 of this press release.</w:t>
      </w:r>
    </w:p>
    <w:p>
      <w:pPr>
        <w:spacing w:after="0" w:line="108" w:lineRule="exact"/>
        <w:rPr>
          <w:sz w:val="20"/>
          <w:szCs w:val="20"/>
          <w:color w:val="auto"/>
        </w:rPr>
      </w:pPr>
    </w:p>
    <w:p>
      <w:pPr>
        <w:ind w:right="20"/>
        <w:spacing w:after="0" w:line="257" w:lineRule="auto"/>
        <w:rPr>
          <w:sz w:val="20"/>
          <w:szCs w:val="20"/>
          <w:color w:val="auto"/>
        </w:rPr>
      </w:pPr>
      <w:r>
        <w:rPr>
          <w:rFonts w:ascii="Arial" w:cs="Arial" w:eastAsia="Arial" w:hAnsi="Arial"/>
          <w:sz w:val="22"/>
          <w:szCs w:val="22"/>
          <w:color w:val="auto"/>
        </w:rPr>
        <w:t>During the third quarter of 2024, the Company repurchased shares of its common stock and recorded the cost of the shares, or $738 million, as Treasury Stock. As of September 30, 2024, $2.9 billion remained available for share repurchases under the Company's share repurchase program.</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2024 Financial Guidance</w:t>
      </w:r>
      <w:r>
        <w:rPr>
          <w:rFonts w:ascii="Arial" w:cs="Arial" w:eastAsia="Arial" w:hAnsi="Arial"/>
          <w:sz w:val="12"/>
          <w:szCs w:val="12"/>
          <w:b w:val="1"/>
          <w:bCs w:val="1"/>
          <w:i w:val="1"/>
          <w:iCs w:val="1"/>
          <w:color w:val="auto"/>
        </w:rPr>
        <w:t>(c)</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The Company's full year 2024 financial guidance consists of the following components: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4580" w:type="dxa"/>
            <w:vAlign w:val="bottom"/>
          </w:tcPr>
          <w:p>
            <w:pPr>
              <w:spacing w:after="0"/>
              <w:rPr>
                <w:sz w:val="23"/>
                <w:szCs w:val="23"/>
                <w:color w:val="auto"/>
              </w:rPr>
            </w:pPr>
          </w:p>
        </w:tc>
        <w:tc>
          <w:tcPr>
            <w:tcW w:w="4660" w:type="dxa"/>
            <w:vAlign w:val="bottom"/>
            <w:gridSpan w:val="3"/>
          </w:tcPr>
          <w:p>
            <w:pPr>
              <w:ind w:left="1640"/>
              <w:spacing w:after="0"/>
              <w:rPr>
                <w:sz w:val="20"/>
                <w:szCs w:val="20"/>
                <w:color w:val="auto"/>
              </w:rPr>
            </w:pPr>
            <w:r>
              <w:rPr>
                <w:rFonts w:ascii="Arial" w:cs="Arial" w:eastAsia="Arial" w:hAnsi="Arial"/>
                <w:sz w:val="20"/>
                <w:szCs w:val="20"/>
                <w:b w:val="1"/>
                <w:bCs w:val="1"/>
                <w:color w:val="auto"/>
              </w:rPr>
              <w:t>2024 Guidance</w:t>
            </w:r>
          </w:p>
        </w:tc>
      </w:tr>
      <w:tr>
        <w:trPr>
          <w:trHeight w:val="34"/>
        </w:trPr>
        <w:tc>
          <w:tcPr>
            <w:tcW w:w="4580" w:type="dxa"/>
            <w:vAlign w:val="bottom"/>
          </w:tcPr>
          <w:p>
            <w:pPr>
              <w:spacing w:after="0"/>
              <w:rPr>
                <w:sz w:val="2"/>
                <w:szCs w:val="2"/>
                <w:color w:val="auto"/>
              </w:rPr>
            </w:pPr>
          </w:p>
        </w:tc>
        <w:tc>
          <w:tcPr>
            <w:tcW w:w="2400" w:type="dxa"/>
            <w:vAlign w:val="bottom"/>
            <w:tcBorders>
              <w:bottom w:val="single" w:sz="8" w:color="auto"/>
            </w:tcBorders>
            <w:gridSpan w:val="2"/>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50"/>
        </w:trPr>
        <w:tc>
          <w:tcPr>
            <w:tcW w:w="4580" w:type="dxa"/>
            <w:vAlign w:val="bottom"/>
          </w:tcPr>
          <w:p>
            <w:pPr>
              <w:spacing w:after="0"/>
              <w:rPr>
                <w:sz w:val="21"/>
                <w:szCs w:val="21"/>
                <w:color w:val="auto"/>
              </w:rPr>
            </w:pPr>
          </w:p>
        </w:tc>
        <w:tc>
          <w:tcPr>
            <w:tcW w:w="2400" w:type="dxa"/>
            <w:vAlign w:val="bottom"/>
            <w:gridSpan w:val="2"/>
          </w:tcPr>
          <w:p>
            <w:pPr>
              <w:jc w:val="center"/>
              <w:ind w:right="140"/>
              <w:spacing w:after="0"/>
              <w:rPr>
                <w:sz w:val="20"/>
                <w:szCs w:val="20"/>
                <w:color w:val="auto"/>
              </w:rPr>
            </w:pPr>
            <w:r>
              <w:rPr>
                <w:rFonts w:ascii="Arial" w:cs="Arial" w:eastAsia="Arial" w:hAnsi="Arial"/>
                <w:sz w:val="20"/>
                <w:szCs w:val="20"/>
                <w:b w:val="1"/>
                <w:bCs w:val="1"/>
                <w:color w:val="auto"/>
                <w:w w:val="98"/>
              </w:rPr>
              <w:t>Prior</w:t>
            </w:r>
          </w:p>
        </w:tc>
        <w:tc>
          <w:tcPr>
            <w:tcW w:w="2260" w:type="dxa"/>
            <w:vAlign w:val="bottom"/>
          </w:tcPr>
          <w:p>
            <w:pPr>
              <w:jc w:val="center"/>
              <w:spacing w:after="0"/>
              <w:rPr>
                <w:sz w:val="20"/>
                <w:szCs w:val="20"/>
                <w:color w:val="auto"/>
              </w:rPr>
            </w:pPr>
            <w:r>
              <w:rPr>
                <w:rFonts w:ascii="Arial" w:cs="Arial" w:eastAsia="Arial" w:hAnsi="Arial"/>
                <w:sz w:val="20"/>
                <w:szCs w:val="20"/>
                <w:b w:val="1"/>
                <w:bCs w:val="1"/>
                <w:color w:val="auto"/>
                <w:w w:val="99"/>
              </w:rPr>
              <w:t>Updated</w:t>
            </w:r>
          </w:p>
        </w:tc>
      </w:tr>
      <w:tr>
        <w:trPr>
          <w:trHeight w:val="250"/>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GAAP R&amp;D</w:t>
            </w:r>
          </w:p>
        </w:tc>
        <w:tc>
          <w:tcPr>
            <w:tcW w:w="2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20"/>
                <w:szCs w:val="20"/>
                <w:color w:val="auto"/>
                <w:w w:val="98"/>
              </w:rPr>
              <w:t>$5.020–$5.170 billion</w:t>
            </w:r>
          </w:p>
        </w:tc>
        <w:tc>
          <w:tcPr>
            <w:tcW w:w="120" w:type="dxa"/>
            <w:vAlign w:val="bottom"/>
            <w:tcBorders>
              <w:top w:val="single" w:sz="8" w:color="CCEEFF"/>
            </w:tcBorders>
            <w:shd w:val="clear" w:color="auto" w:fill="CCEEFF"/>
          </w:tcPr>
          <w:p>
            <w:pPr>
              <w:spacing w:after="0"/>
              <w:rPr>
                <w:sz w:val="21"/>
                <w:szCs w:val="21"/>
                <w:color w:val="auto"/>
              </w:rPr>
            </w:pPr>
          </w:p>
        </w:tc>
        <w:tc>
          <w:tcPr>
            <w:tcW w:w="2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20"/>
                <w:szCs w:val="20"/>
                <w:color w:val="auto"/>
                <w:w w:val="98"/>
              </w:rPr>
              <w:t>$5.055–$5.145 billion</w:t>
            </w:r>
          </w:p>
        </w:tc>
      </w:tr>
      <w:tr>
        <w:trPr>
          <w:trHeight w:val="270"/>
        </w:trPr>
        <w:tc>
          <w:tcPr>
            <w:tcW w:w="4580" w:type="dxa"/>
            <w:vAlign w:val="bottom"/>
          </w:tcPr>
          <w:p>
            <w:pPr>
              <w:ind w:left="20"/>
              <w:spacing w:after="0" w:line="270" w:lineRule="exact"/>
              <w:rPr>
                <w:sz w:val="20"/>
                <w:szCs w:val="20"/>
                <w:color w:val="auto"/>
              </w:rPr>
            </w:pPr>
            <w:r>
              <w:rPr>
                <w:rFonts w:ascii="Arial" w:cs="Arial" w:eastAsia="Arial" w:hAnsi="Arial"/>
                <w:sz w:val="20"/>
                <w:szCs w:val="20"/>
                <w:color w:val="auto"/>
              </w:rPr>
              <w:t>Non-GAAP R&amp;D</w:t>
            </w:r>
            <w:r>
              <w:rPr>
                <w:rFonts w:ascii="Arial" w:cs="Arial" w:eastAsia="Arial" w:hAnsi="Arial"/>
                <w:sz w:val="25"/>
                <w:szCs w:val="25"/>
                <w:color w:val="auto"/>
                <w:vertAlign w:val="superscript"/>
              </w:rPr>
              <w:t>(a)</w:t>
            </w:r>
          </w:p>
        </w:tc>
        <w:tc>
          <w:tcPr>
            <w:tcW w:w="2400" w:type="dxa"/>
            <w:vAlign w:val="bottom"/>
            <w:gridSpan w:val="2"/>
          </w:tcPr>
          <w:p>
            <w:pPr>
              <w:jc w:val="center"/>
              <w:ind w:right="120"/>
              <w:spacing w:after="0"/>
              <w:rPr>
                <w:sz w:val="20"/>
                <w:szCs w:val="20"/>
                <w:color w:val="auto"/>
              </w:rPr>
            </w:pPr>
            <w:r>
              <w:rPr>
                <w:rFonts w:ascii="Arial" w:cs="Arial" w:eastAsia="Arial" w:hAnsi="Arial"/>
                <w:sz w:val="20"/>
                <w:szCs w:val="20"/>
                <w:color w:val="auto"/>
                <w:w w:val="98"/>
              </w:rPr>
              <w:t>$4.500–$4.600 billion</w:t>
            </w:r>
          </w:p>
        </w:tc>
        <w:tc>
          <w:tcPr>
            <w:tcW w:w="2260" w:type="dxa"/>
            <w:vAlign w:val="bottom"/>
          </w:tcPr>
          <w:p>
            <w:pPr>
              <w:jc w:val="center"/>
              <w:spacing w:after="0"/>
              <w:rPr>
                <w:sz w:val="20"/>
                <w:szCs w:val="20"/>
                <w:color w:val="auto"/>
              </w:rPr>
            </w:pPr>
            <w:r>
              <w:rPr>
                <w:rFonts w:ascii="Arial" w:cs="Arial" w:eastAsia="Arial" w:hAnsi="Arial"/>
                <w:sz w:val="20"/>
                <w:szCs w:val="20"/>
                <w:color w:val="auto"/>
                <w:w w:val="98"/>
              </w:rPr>
              <w:t>$4.525–$4.575 billion</w:t>
            </w:r>
          </w:p>
        </w:tc>
      </w:tr>
      <w:tr>
        <w:trPr>
          <w:trHeight w:val="270"/>
        </w:trPr>
        <w:tc>
          <w:tcPr>
            <w:tcW w:w="4580" w:type="dxa"/>
            <w:vAlign w:val="bottom"/>
            <w:shd w:val="clear" w:color="auto" w:fill="CCEEFF"/>
          </w:tcPr>
          <w:p>
            <w:pPr>
              <w:ind w:left="20"/>
              <w:spacing w:after="0"/>
              <w:rPr>
                <w:sz w:val="20"/>
                <w:szCs w:val="20"/>
                <w:color w:val="auto"/>
              </w:rPr>
            </w:pPr>
            <w:r>
              <w:rPr>
                <w:rFonts w:ascii="Arial" w:cs="Arial" w:eastAsia="Arial" w:hAnsi="Arial"/>
                <w:sz w:val="20"/>
                <w:szCs w:val="20"/>
                <w:color w:val="auto"/>
              </w:rPr>
              <w:t>GAAP SG&amp;A</w:t>
            </w:r>
          </w:p>
        </w:tc>
        <w:tc>
          <w:tcPr>
            <w:tcW w:w="2400" w:type="dxa"/>
            <w:vAlign w:val="bottom"/>
            <w:gridSpan w:val="2"/>
            <w:shd w:val="clear" w:color="auto" w:fill="CCEEFF"/>
          </w:tcPr>
          <w:p>
            <w:pPr>
              <w:jc w:val="center"/>
              <w:ind w:right="120"/>
              <w:spacing w:after="0"/>
              <w:rPr>
                <w:sz w:val="20"/>
                <w:szCs w:val="20"/>
                <w:color w:val="auto"/>
              </w:rPr>
            </w:pPr>
            <w:r>
              <w:rPr>
                <w:rFonts w:ascii="Arial" w:cs="Arial" w:eastAsia="Arial" w:hAnsi="Arial"/>
                <w:sz w:val="20"/>
                <w:szCs w:val="20"/>
                <w:color w:val="auto"/>
                <w:w w:val="98"/>
              </w:rPr>
              <w:t>$2.920–$3.060 billion</w:t>
            </w:r>
          </w:p>
        </w:tc>
        <w:tc>
          <w:tcPr>
            <w:tcW w:w="226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8"/>
              </w:rPr>
              <w:t>$2.930–$3.020 billion</w:t>
            </w:r>
          </w:p>
        </w:tc>
      </w:tr>
      <w:tr>
        <w:trPr>
          <w:trHeight w:val="270"/>
        </w:trPr>
        <w:tc>
          <w:tcPr>
            <w:tcW w:w="4580" w:type="dxa"/>
            <w:vAlign w:val="bottom"/>
          </w:tcPr>
          <w:p>
            <w:pPr>
              <w:ind w:left="20"/>
              <w:spacing w:after="0" w:line="270" w:lineRule="exact"/>
              <w:rPr>
                <w:sz w:val="20"/>
                <w:szCs w:val="20"/>
                <w:color w:val="auto"/>
              </w:rPr>
            </w:pPr>
            <w:r>
              <w:rPr>
                <w:rFonts w:ascii="Arial" w:cs="Arial" w:eastAsia="Arial" w:hAnsi="Arial"/>
                <w:sz w:val="20"/>
                <w:szCs w:val="20"/>
                <w:color w:val="auto"/>
              </w:rPr>
              <w:t>Non-GAAP SG&amp;A</w:t>
            </w:r>
            <w:r>
              <w:rPr>
                <w:rFonts w:ascii="Arial" w:cs="Arial" w:eastAsia="Arial" w:hAnsi="Arial"/>
                <w:sz w:val="25"/>
                <w:szCs w:val="25"/>
                <w:color w:val="auto"/>
                <w:vertAlign w:val="superscript"/>
              </w:rPr>
              <w:t>(a)</w:t>
            </w:r>
          </w:p>
        </w:tc>
        <w:tc>
          <w:tcPr>
            <w:tcW w:w="2400" w:type="dxa"/>
            <w:vAlign w:val="bottom"/>
            <w:gridSpan w:val="2"/>
          </w:tcPr>
          <w:p>
            <w:pPr>
              <w:jc w:val="center"/>
              <w:ind w:right="120"/>
              <w:spacing w:after="0"/>
              <w:rPr>
                <w:sz w:val="20"/>
                <w:szCs w:val="20"/>
                <w:color w:val="auto"/>
              </w:rPr>
            </w:pPr>
            <w:r>
              <w:rPr>
                <w:rFonts w:ascii="Arial" w:cs="Arial" w:eastAsia="Arial" w:hAnsi="Arial"/>
                <w:sz w:val="20"/>
                <w:szCs w:val="20"/>
                <w:color w:val="auto"/>
                <w:w w:val="98"/>
              </w:rPr>
              <w:t>$2.550–$2.650 billion</w:t>
            </w:r>
          </w:p>
        </w:tc>
        <w:tc>
          <w:tcPr>
            <w:tcW w:w="2260" w:type="dxa"/>
            <w:vAlign w:val="bottom"/>
          </w:tcPr>
          <w:p>
            <w:pPr>
              <w:jc w:val="center"/>
              <w:spacing w:after="0"/>
              <w:rPr>
                <w:sz w:val="20"/>
                <w:szCs w:val="20"/>
                <w:color w:val="auto"/>
              </w:rPr>
            </w:pPr>
            <w:r>
              <w:rPr>
                <w:rFonts w:ascii="Arial" w:cs="Arial" w:eastAsia="Arial" w:hAnsi="Arial"/>
                <w:sz w:val="20"/>
                <w:szCs w:val="20"/>
                <w:color w:val="auto"/>
                <w:w w:val="98"/>
              </w:rPr>
              <w:t>$2.550–$2.600 billion</w:t>
            </w:r>
          </w:p>
        </w:tc>
      </w:tr>
      <w:tr>
        <w:trPr>
          <w:trHeight w:val="270"/>
        </w:trPr>
        <w:tc>
          <w:tcPr>
            <w:tcW w:w="4580" w:type="dxa"/>
            <w:vAlign w:val="bottom"/>
            <w:shd w:val="clear" w:color="auto" w:fill="CCEEFF"/>
          </w:tcPr>
          <w:p>
            <w:pPr>
              <w:ind w:left="20"/>
              <w:spacing w:after="0" w:line="270" w:lineRule="exact"/>
              <w:rPr>
                <w:sz w:val="20"/>
                <w:szCs w:val="20"/>
                <w:color w:val="auto"/>
              </w:rPr>
            </w:pPr>
            <w:r>
              <w:rPr>
                <w:rFonts w:ascii="Arial" w:cs="Arial" w:eastAsia="Arial" w:hAnsi="Arial"/>
                <w:sz w:val="20"/>
                <w:szCs w:val="20"/>
                <w:color w:val="auto"/>
              </w:rPr>
              <w:t>GAAP gross margin on net product sales</w:t>
            </w:r>
            <w:r>
              <w:rPr>
                <w:rFonts w:ascii="Arial" w:cs="Arial" w:eastAsia="Arial" w:hAnsi="Arial"/>
                <w:sz w:val="25"/>
                <w:szCs w:val="25"/>
                <w:color w:val="auto"/>
                <w:vertAlign w:val="superscript"/>
              </w:rPr>
              <w:t>(d)</w:t>
            </w:r>
          </w:p>
        </w:tc>
        <w:tc>
          <w:tcPr>
            <w:tcW w:w="2400" w:type="dxa"/>
            <w:vAlign w:val="bottom"/>
            <w:gridSpan w:val="2"/>
            <w:shd w:val="clear" w:color="auto" w:fill="CCEEFF"/>
          </w:tcPr>
          <w:p>
            <w:pPr>
              <w:jc w:val="center"/>
              <w:ind w:right="120"/>
              <w:spacing w:after="0"/>
              <w:rPr>
                <w:sz w:val="20"/>
                <w:szCs w:val="20"/>
                <w:color w:val="auto"/>
              </w:rPr>
            </w:pPr>
            <w:r>
              <w:rPr>
                <w:rFonts w:ascii="Arial" w:cs="Arial" w:eastAsia="Arial" w:hAnsi="Arial"/>
                <w:sz w:val="20"/>
                <w:szCs w:val="20"/>
                <w:color w:val="auto"/>
                <w:w w:val="99"/>
              </w:rPr>
              <w:t>Approximately 86%</w:t>
            </w:r>
          </w:p>
        </w:tc>
        <w:tc>
          <w:tcPr>
            <w:tcW w:w="226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9"/>
              </w:rPr>
              <w:t>Unchanged</w:t>
            </w:r>
          </w:p>
        </w:tc>
      </w:tr>
      <w:tr>
        <w:trPr>
          <w:trHeight w:val="270"/>
        </w:trPr>
        <w:tc>
          <w:tcPr>
            <w:tcW w:w="4580" w:type="dxa"/>
            <w:vAlign w:val="bottom"/>
          </w:tcPr>
          <w:p>
            <w:pPr>
              <w:ind w:left="20"/>
              <w:spacing w:after="0" w:line="270" w:lineRule="exact"/>
              <w:rPr>
                <w:sz w:val="20"/>
                <w:szCs w:val="20"/>
                <w:color w:val="auto"/>
              </w:rPr>
            </w:pPr>
            <w:r>
              <w:rPr>
                <w:rFonts w:ascii="Arial" w:cs="Arial" w:eastAsia="Arial" w:hAnsi="Arial"/>
                <w:sz w:val="20"/>
                <w:szCs w:val="20"/>
                <w:color w:val="auto"/>
              </w:rPr>
              <w:t>Non-GAAP gross margin on net product sales</w:t>
            </w:r>
            <w:r>
              <w:rPr>
                <w:rFonts w:ascii="Arial" w:cs="Arial" w:eastAsia="Arial" w:hAnsi="Arial"/>
                <w:sz w:val="25"/>
                <w:szCs w:val="25"/>
                <w:color w:val="auto"/>
                <w:vertAlign w:val="superscript"/>
              </w:rPr>
              <w:t>(a)(d)</w:t>
            </w:r>
          </w:p>
        </w:tc>
        <w:tc>
          <w:tcPr>
            <w:tcW w:w="2400" w:type="dxa"/>
            <w:vAlign w:val="bottom"/>
            <w:gridSpan w:val="2"/>
          </w:tcPr>
          <w:p>
            <w:pPr>
              <w:jc w:val="center"/>
              <w:ind w:right="120"/>
              <w:spacing w:after="0"/>
              <w:rPr>
                <w:sz w:val="20"/>
                <w:szCs w:val="20"/>
                <w:color w:val="auto"/>
              </w:rPr>
            </w:pPr>
            <w:r>
              <w:rPr>
                <w:rFonts w:ascii="Arial" w:cs="Arial" w:eastAsia="Arial" w:hAnsi="Arial"/>
                <w:sz w:val="20"/>
                <w:szCs w:val="20"/>
                <w:color w:val="auto"/>
                <w:w w:val="99"/>
              </w:rPr>
              <w:t>Approximately 89%</w:t>
            </w:r>
          </w:p>
        </w:tc>
        <w:tc>
          <w:tcPr>
            <w:tcW w:w="2260" w:type="dxa"/>
            <w:vAlign w:val="bottom"/>
          </w:tcPr>
          <w:p>
            <w:pPr>
              <w:jc w:val="center"/>
              <w:spacing w:after="0"/>
              <w:rPr>
                <w:sz w:val="20"/>
                <w:szCs w:val="20"/>
                <w:color w:val="auto"/>
              </w:rPr>
            </w:pPr>
            <w:r>
              <w:rPr>
                <w:rFonts w:ascii="Arial" w:cs="Arial" w:eastAsia="Arial" w:hAnsi="Arial"/>
                <w:sz w:val="20"/>
                <w:szCs w:val="20"/>
                <w:color w:val="auto"/>
                <w:w w:val="99"/>
              </w:rPr>
              <w:t>Unchanged</w:t>
            </w:r>
          </w:p>
        </w:tc>
      </w:tr>
      <w:tr>
        <w:trPr>
          <w:trHeight w:val="270"/>
        </w:trPr>
        <w:tc>
          <w:tcPr>
            <w:tcW w:w="4580" w:type="dxa"/>
            <w:vAlign w:val="bottom"/>
            <w:shd w:val="clear" w:color="auto" w:fill="CCEEFF"/>
          </w:tcPr>
          <w:p>
            <w:pPr>
              <w:ind w:left="20"/>
              <w:spacing w:after="0" w:line="270" w:lineRule="exact"/>
              <w:rPr>
                <w:sz w:val="20"/>
                <w:szCs w:val="20"/>
                <w:color w:val="auto"/>
              </w:rPr>
            </w:pPr>
            <w:r>
              <w:rPr>
                <w:rFonts w:ascii="Arial" w:cs="Arial" w:eastAsia="Arial" w:hAnsi="Arial"/>
                <w:sz w:val="20"/>
                <w:szCs w:val="20"/>
                <w:color w:val="auto"/>
              </w:rPr>
              <w:t>COCM</w:t>
            </w:r>
            <w:r>
              <w:rPr>
                <w:rFonts w:ascii="Arial" w:cs="Arial" w:eastAsia="Arial" w:hAnsi="Arial"/>
                <w:sz w:val="25"/>
                <w:szCs w:val="25"/>
                <w:color w:val="auto"/>
                <w:vertAlign w:val="superscript"/>
              </w:rPr>
              <w:t>(e)*</w:t>
            </w:r>
          </w:p>
        </w:tc>
        <w:tc>
          <w:tcPr>
            <w:tcW w:w="2400" w:type="dxa"/>
            <w:vAlign w:val="bottom"/>
            <w:gridSpan w:val="2"/>
            <w:shd w:val="clear" w:color="auto" w:fill="CCEEFF"/>
          </w:tcPr>
          <w:p>
            <w:pPr>
              <w:jc w:val="center"/>
              <w:ind w:right="120"/>
              <w:spacing w:after="0"/>
              <w:rPr>
                <w:sz w:val="20"/>
                <w:szCs w:val="20"/>
                <w:color w:val="auto"/>
              </w:rPr>
            </w:pPr>
            <w:r>
              <w:rPr>
                <w:rFonts w:ascii="Arial" w:cs="Arial" w:eastAsia="Arial" w:hAnsi="Arial"/>
                <w:sz w:val="20"/>
                <w:szCs w:val="20"/>
                <w:color w:val="auto"/>
                <w:w w:val="98"/>
              </w:rPr>
              <w:t>$850–$910 million</w:t>
            </w:r>
          </w:p>
        </w:tc>
        <w:tc>
          <w:tcPr>
            <w:tcW w:w="226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8"/>
              </w:rPr>
              <w:t>$860–$900 million</w:t>
            </w:r>
          </w:p>
        </w:tc>
      </w:tr>
      <w:tr>
        <w:trPr>
          <w:trHeight w:val="270"/>
        </w:trPr>
        <w:tc>
          <w:tcPr>
            <w:tcW w:w="4580" w:type="dxa"/>
            <w:vAlign w:val="bottom"/>
          </w:tcPr>
          <w:p>
            <w:pPr>
              <w:ind w:left="20"/>
              <w:spacing w:after="0" w:line="270" w:lineRule="exact"/>
              <w:rPr>
                <w:sz w:val="20"/>
                <w:szCs w:val="20"/>
                <w:color w:val="auto"/>
              </w:rPr>
            </w:pPr>
            <w:r>
              <w:rPr>
                <w:rFonts w:ascii="Arial" w:cs="Arial" w:eastAsia="Arial" w:hAnsi="Arial"/>
                <w:sz w:val="20"/>
                <w:szCs w:val="20"/>
                <w:color w:val="auto"/>
              </w:rPr>
              <w:t>Capital expenditures</w:t>
            </w:r>
            <w:r>
              <w:rPr>
                <w:rFonts w:ascii="Arial" w:cs="Arial" w:eastAsia="Arial" w:hAnsi="Arial"/>
                <w:sz w:val="25"/>
                <w:szCs w:val="25"/>
                <w:color w:val="auto"/>
                <w:vertAlign w:val="superscript"/>
              </w:rPr>
              <w:t>*</w:t>
            </w:r>
          </w:p>
        </w:tc>
        <w:tc>
          <w:tcPr>
            <w:tcW w:w="2400" w:type="dxa"/>
            <w:vAlign w:val="bottom"/>
            <w:gridSpan w:val="2"/>
          </w:tcPr>
          <w:p>
            <w:pPr>
              <w:jc w:val="center"/>
              <w:ind w:right="120"/>
              <w:spacing w:after="0"/>
              <w:rPr>
                <w:sz w:val="20"/>
                <w:szCs w:val="20"/>
                <w:color w:val="auto"/>
              </w:rPr>
            </w:pPr>
            <w:r>
              <w:rPr>
                <w:rFonts w:ascii="Arial" w:cs="Arial" w:eastAsia="Arial" w:hAnsi="Arial"/>
                <w:sz w:val="20"/>
                <w:szCs w:val="20"/>
                <w:color w:val="auto"/>
                <w:w w:val="98"/>
              </w:rPr>
              <w:t>$750–$820 million</w:t>
            </w:r>
          </w:p>
        </w:tc>
        <w:tc>
          <w:tcPr>
            <w:tcW w:w="2260" w:type="dxa"/>
            <w:vAlign w:val="bottom"/>
          </w:tcPr>
          <w:p>
            <w:pPr>
              <w:jc w:val="center"/>
              <w:spacing w:after="0"/>
              <w:rPr>
                <w:sz w:val="20"/>
                <w:szCs w:val="20"/>
                <w:color w:val="auto"/>
              </w:rPr>
            </w:pPr>
            <w:r>
              <w:rPr>
                <w:rFonts w:ascii="Arial" w:cs="Arial" w:eastAsia="Arial" w:hAnsi="Arial"/>
                <w:sz w:val="20"/>
                <w:szCs w:val="20"/>
                <w:color w:val="auto"/>
                <w:w w:val="98"/>
              </w:rPr>
              <w:t>$700–$740 million</w:t>
            </w:r>
          </w:p>
        </w:tc>
      </w:tr>
      <w:tr>
        <w:trPr>
          <w:trHeight w:val="270"/>
        </w:trPr>
        <w:tc>
          <w:tcPr>
            <w:tcW w:w="4580" w:type="dxa"/>
            <w:vAlign w:val="bottom"/>
            <w:shd w:val="clear" w:color="auto" w:fill="CCEEFF"/>
          </w:tcPr>
          <w:p>
            <w:pPr>
              <w:ind w:left="20"/>
              <w:spacing w:after="0"/>
              <w:rPr>
                <w:sz w:val="20"/>
                <w:szCs w:val="20"/>
                <w:color w:val="auto"/>
              </w:rPr>
            </w:pPr>
            <w:r>
              <w:rPr>
                <w:rFonts w:ascii="Arial" w:cs="Arial" w:eastAsia="Arial" w:hAnsi="Arial"/>
                <w:sz w:val="20"/>
                <w:szCs w:val="20"/>
                <w:color w:val="auto"/>
              </w:rPr>
              <w:t>GAAP effective tax rate</w:t>
            </w:r>
          </w:p>
        </w:tc>
        <w:tc>
          <w:tcPr>
            <w:tcW w:w="2400" w:type="dxa"/>
            <w:vAlign w:val="bottom"/>
            <w:gridSpan w:val="2"/>
            <w:shd w:val="clear" w:color="auto" w:fill="CCEEFF"/>
          </w:tcPr>
          <w:p>
            <w:pPr>
              <w:jc w:val="center"/>
              <w:ind w:right="120"/>
              <w:spacing w:after="0"/>
              <w:rPr>
                <w:sz w:val="20"/>
                <w:szCs w:val="20"/>
                <w:color w:val="auto"/>
              </w:rPr>
            </w:pPr>
            <w:r>
              <w:rPr>
                <w:rFonts w:ascii="Arial" w:cs="Arial" w:eastAsia="Arial" w:hAnsi="Arial"/>
                <w:sz w:val="20"/>
                <w:szCs w:val="20"/>
                <w:color w:val="auto"/>
                <w:w w:val="98"/>
              </w:rPr>
              <w:t>8%–9%</w:t>
            </w:r>
          </w:p>
        </w:tc>
        <w:tc>
          <w:tcPr>
            <w:tcW w:w="226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9"/>
              </w:rPr>
              <w:t>Unchanged</w:t>
            </w:r>
          </w:p>
        </w:tc>
      </w:tr>
      <w:tr>
        <w:trPr>
          <w:trHeight w:val="343"/>
        </w:trPr>
        <w:tc>
          <w:tcPr>
            <w:tcW w:w="4580" w:type="dxa"/>
            <w:vAlign w:val="bottom"/>
          </w:tcPr>
          <w:p>
            <w:pPr>
              <w:ind w:left="20"/>
              <w:spacing w:after="0"/>
              <w:rPr>
                <w:sz w:val="20"/>
                <w:szCs w:val="20"/>
                <w:color w:val="auto"/>
              </w:rPr>
            </w:pPr>
            <w:r>
              <w:rPr>
                <w:rFonts w:ascii="Arial" w:cs="Arial" w:eastAsia="Arial" w:hAnsi="Arial"/>
                <w:sz w:val="20"/>
                <w:szCs w:val="20"/>
                <w:color w:val="auto"/>
              </w:rPr>
              <w:t>Non-GAAP effective tax rate</w:t>
            </w:r>
            <w:r>
              <w:rPr>
                <w:rFonts w:ascii="Arial" w:cs="Arial" w:eastAsia="Arial" w:hAnsi="Arial"/>
                <w:sz w:val="25"/>
                <w:szCs w:val="25"/>
                <w:color w:val="auto"/>
                <w:vertAlign w:val="superscript"/>
              </w:rPr>
              <w:t>(a)</w:t>
            </w:r>
          </w:p>
        </w:tc>
        <w:tc>
          <w:tcPr>
            <w:tcW w:w="2400" w:type="dxa"/>
            <w:vAlign w:val="bottom"/>
            <w:gridSpan w:val="2"/>
          </w:tcPr>
          <w:p>
            <w:pPr>
              <w:jc w:val="center"/>
              <w:ind w:right="120"/>
              <w:spacing w:after="0"/>
              <w:rPr>
                <w:sz w:val="20"/>
                <w:szCs w:val="20"/>
                <w:color w:val="auto"/>
              </w:rPr>
            </w:pPr>
            <w:r>
              <w:rPr>
                <w:rFonts w:ascii="Arial" w:cs="Arial" w:eastAsia="Arial" w:hAnsi="Arial"/>
                <w:sz w:val="20"/>
                <w:szCs w:val="20"/>
                <w:color w:val="auto"/>
                <w:w w:val="96"/>
              </w:rPr>
              <w:t>10%–11%</w:t>
            </w:r>
          </w:p>
        </w:tc>
        <w:tc>
          <w:tcPr>
            <w:tcW w:w="2260" w:type="dxa"/>
            <w:vAlign w:val="bottom"/>
          </w:tcPr>
          <w:p>
            <w:pPr>
              <w:jc w:val="center"/>
              <w:spacing w:after="0"/>
              <w:rPr>
                <w:sz w:val="20"/>
                <w:szCs w:val="20"/>
                <w:color w:val="auto"/>
              </w:rPr>
            </w:pPr>
            <w:r>
              <w:rPr>
                <w:rFonts w:ascii="Arial" w:cs="Arial" w:eastAsia="Arial" w:hAnsi="Arial"/>
                <w:sz w:val="20"/>
                <w:szCs w:val="20"/>
                <w:color w:val="auto"/>
                <w:w w:val="99"/>
              </w:rPr>
              <w:t>Unchanged</w:t>
            </w:r>
          </w:p>
        </w:tc>
      </w:tr>
    </w:tbl>
    <w:p>
      <w:pPr>
        <w:spacing w:after="0" w:line="34" w:lineRule="exact"/>
        <w:rPr>
          <w:sz w:val="20"/>
          <w:szCs w:val="20"/>
          <w:color w:val="auto"/>
        </w:rPr>
      </w:pPr>
    </w:p>
    <w:p>
      <w:pPr>
        <w:ind w:left="300" w:hanging="112"/>
        <w:spacing w:after="0"/>
        <w:tabs>
          <w:tab w:leader="none" w:pos="300" w:val="left"/>
        </w:tabs>
        <w:numPr>
          <w:ilvl w:val="0"/>
          <w:numId w:val="9"/>
        </w:numPr>
        <w:rPr>
          <w:rFonts w:ascii="Arial" w:cs="Arial" w:eastAsia="Arial" w:hAnsi="Arial"/>
          <w:sz w:val="18"/>
          <w:szCs w:val="18"/>
          <w:color w:val="auto"/>
        </w:rPr>
      </w:pPr>
      <w:r>
        <w:rPr>
          <w:rFonts w:ascii="Arial" w:cs="Arial" w:eastAsia="Arial" w:hAnsi="Arial"/>
          <w:sz w:val="16"/>
          <w:szCs w:val="16"/>
          <w:color w:val="auto"/>
        </w:rPr>
        <w:t>GAAP and non-GAAP amounts are equivalent as no non-GAAP adjustments have been or are expected to be recorded.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1045" w:right="459" w:bottom="1440" w:gutter="0" w:footer="0" w:header="0"/>
        </w:sectPr>
      </w:pPr>
    </w:p>
    <w:bookmarkStart w:id="9" w:name="page10"/>
    <w:bookmarkEnd w:id="9"/>
    <w:p>
      <w:pPr>
        <w:spacing w:after="0"/>
        <w:rPr>
          <w:sz w:val="20"/>
          <w:szCs w:val="20"/>
          <w:color w:val="auto"/>
        </w:rPr>
      </w:pPr>
      <w:r>
        <w:rPr>
          <w:rFonts w:ascii="Arial" w:cs="Arial" w:eastAsia="Arial" w:hAnsi="Arial"/>
          <w:sz w:val="22"/>
          <w:szCs w:val="22"/>
          <w:color w:val="auto"/>
        </w:rPr>
        <w:t>A reconciliation of full year 2024 GAAP to non-GAAP financial guidance is included below:</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53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 in millions)</w:t>
            </w:r>
          </w:p>
        </w:tc>
        <w:tc>
          <w:tcPr>
            <w:tcW w:w="420" w:type="dxa"/>
            <w:vAlign w:val="bottom"/>
            <w:tcBorders>
              <w:bottom w:val="single" w:sz="8" w:color="auto"/>
            </w:tcBorders>
          </w:tcPr>
          <w:p>
            <w:pPr>
              <w:spacing w:after="0"/>
              <w:rPr>
                <w:sz w:val="23"/>
                <w:szCs w:val="23"/>
                <w:color w:val="auto"/>
              </w:rPr>
            </w:pPr>
          </w:p>
        </w:tc>
        <w:tc>
          <w:tcPr>
            <w:tcW w:w="4760" w:type="dxa"/>
            <w:vAlign w:val="bottom"/>
            <w:tcBorders>
              <w:bottom w:val="single" w:sz="8" w:color="auto"/>
            </w:tcBorders>
            <w:gridSpan w:val="4"/>
          </w:tcPr>
          <w:p>
            <w:pPr>
              <w:jc w:val="right"/>
              <w:ind w:right="1701"/>
              <w:spacing w:after="0"/>
              <w:rPr>
                <w:sz w:val="20"/>
                <w:szCs w:val="20"/>
                <w:color w:val="auto"/>
              </w:rPr>
            </w:pPr>
            <w:r>
              <w:rPr>
                <w:rFonts w:ascii="Arial" w:cs="Arial" w:eastAsia="Arial" w:hAnsi="Arial"/>
                <w:sz w:val="20"/>
                <w:szCs w:val="20"/>
                <w:b w:val="1"/>
                <w:bCs w:val="1"/>
                <w:color w:val="auto"/>
              </w:rPr>
              <w:t>Projected Range</w:t>
            </w:r>
          </w:p>
        </w:tc>
        <w:tc>
          <w:tcPr>
            <w:tcW w:w="0" w:type="dxa"/>
            <w:vAlign w:val="bottom"/>
          </w:tcPr>
          <w:p>
            <w:pPr>
              <w:spacing w:after="0"/>
              <w:rPr>
                <w:sz w:val="1"/>
                <w:szCs w:val="1"/>
                <w:color w:val="auto"/>
              </w:rPr>
            </w:pPr>
          </w:p>
        </w:tc>
      </w:tr>
      <w:tr>
        <w:trPr>
          <w:trHeight w:val="250"/>
        </w:trPr>
        <w:tc>
          <w:tcPr>
            <w:tcW w:w="5320" w:type="dxa"/>
            <w:vAlign w:val="bottom"/>
            <w:vMerge w:val="continue"/>
          </w:tcPr>
          <w:p>
            <w:pPr>
              <w:spacing w:after="0"/>
              <w:rPr>
                <w:sz w:val="21"/>
                <w:szCs w:val="21"/>
                <w:color w:val="auto"/>
              </w:rPr>
            </w:pPr>
          </w:p>
        </w:tc>
        <w:tc>
          <w:tcPr>
            <w:tcW w:w="420" w:type="dxa"/>
            <w:vAlign w:val="bottom"/>
          </w:tcPr>
          <w:p>
            <w:pPr>
              <w:spacing w:after="0"/>
              <w:rPr>
                <w:sz w:val="21"/>
                <w:szCs w:val="21"/>
                <w:color w:val="auto"/>
              </w:rPr>
            </w:pPr>
          </w:p>
        </w:tc>
        <w:tc>
          <w:tcPr>
            <w:tcW w:w="2220" w:type="dxa"/>
            <w:vAlign w:val="bottom"/>
            <w:gridSpan w:val="2"/>
          </w:tcPr>
          <w:p>
            <w:pPr>
              <w:ind w:left="660"/>
              <w:spacing w:after="0"/>
              <w:rPr>
                <w:sz w:val="20"/>
                <w:szCs w:val="20"/>
                <w:color w:val="auto"/>
              </w:rPr>
            </w:pPr>
            <w:r>
              <w:rPr>
                <w:rFonts w:ascii="Arial" w:cs="Arial" w:eastAsia="Arial" w:hAnsi="Arial"/>
                <w:sz w:val="20"/>
                <w:szCs w:val="20"/>
                <w:b w:val="1"/>
                <w:bCs w:val="1"/>
                <w:color w:val="auto"/>
              </w:rPr>
              <w:t>Low</w:t>
            </w:r>
          </w:p>
        </w:tc>
        <w:tc>
          <w:tcPr>
            <w:tcW w:w="420" w:type="dxa"/>
            <w:vAlign w:val="bottom"/>
          </w:tcPr>
          <w:p>
            <w:pPr>
              <w:spacing w:after="0"/>
              <w:rPr>
                <w:sz w:val="21"/>
                <w:szCs w:val="21"/>
                <w:color w:val="auto"/>
              </w:rPr>
            </w:pPr>
          </w:p>
        </w:tc>
        <w:tc>
          <w:tcPr>
            <w:tcW w:w="2120" w:type="dxa"/>
            <w:vAlign w:val="bottom"/>
          </w:tcPr>
          <w:p>
            <w:pPr>
              <w:jc w:val="right"/>
              <w:ind w:right="961"/>
              <w:spacing w:after="0"/>
              <w:rPr>
                <w:sz w:val="20"/>
                <w:szCs w:val="20"/>
                <w:color w:val="auto"/>
              </w:rPr>
            </w:pPr>
            <w:r>
              <w:rPr>
                <w:rFonts w:ascii="Arial" w:cs="Arial" w:eastAsia="Arial" w:hAnsi="Arial"/>
                <w:sz w:val="20"/>
                <w:szCs w:val="20"/>
                <w:b w:val="1"/>
                <w:bCs w:val="1"/>
                <w:color w:val="auto"/>
              </w:rPr>
              <w:t>High</w:t>
            </w:r>
          </w:p>
        </w:tc>
        <w:tc>
          <w:tcPr>
            <w:tcW w:w="0" w:type="dxa"/>
            <w:vAlign w:val="bottom"/>
          </w:tcPr>
          <w:p>
            <w:pPr>
              <w:spacing w:after="0"/>
              <w:rPr>
                <w:sz w:val="1"/>
                <w:szCs w:val="1"/>
                <w:color w:val="auto"/>
              </w:rPr>
            </w:pPr>
          </w:p>
        </w:tc>
      </w:tr>
      <w:tr>
        <w:trPr>
          <w:trHeight w:val="250"/>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GAAP R&amp;D</w:t>
            </w:r>
          </w:p>
        </w:tc>
        <w:tc>
          <w:tcPr>
            <w:tcW w:w="420" w:type="dxa"/>
            <w:vAlign w:val="bottom"/>
            <w:tcBorders>
              <w:top w:val="single" w:sz="8" w:color="auto"/>
            </w:tcBorders>
            <w:shd w:val="clear" w:color="auto" w:fill="CCEEFF"/>
          </w:tcPr>
          <w:p>
            <w:pPr>
              <w:jc w:val="right"/>
              <w:ind w:right="181"/>
              <w:spacing w:after="0"/>
              <w:rPr>
                <w:sz w:val="20"/>
                <w:szCs w:val="20"/>
                <w:color w:val="auto"/>
              </w:rPr>
            </w:pPr>
            <w:r>
              <w:rPr>
                <w:rFonts w:ascii="Arial" w:cs="Arial" w:eastAsia="Arial" w:hAnsi="Arial"/>
                <w:sz w:val="20"/>
                <w:szCs w:val="20"/>
                <w:color w:val="auto"/>
              </w:rPr>
              <w:t>$</w:t>
            </w:r>
          </w:p>
        </w:tc>
        <w:tc>
          <w:tcPr>
            <w:tcW w:w="21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5,055</w:t>
            </w:r>
          </w:p>
        </w:tc>
        <w:tc>
          <w:tcPr>
            <w:tcW w:w="10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jc w:val="right"/>
              <w:ind w:right="201"/>
              <w:spacing w:after="0"/>
              <w:rPr>
                <w:sz w:val="20"/>
                <w:szCs w:val="20"/>
                <w:color w:val="auto"/>
              </w:rPr>
            </w:pPr>
            <w:r>
              <w:rPr>
                <w:rFonts w:ascii="Arial" w:cs="Arial" w:eastAsia="Arial" w:hAnsi="Arial"/>
                <w:sz w:val="20"/>
                <w:szCs w:val="20"/>
                <w:color w:val="auto"/>
                <w:w w:val="89"/>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5,145</w:t>
            </w:r>
          </w:p>
        </w:tc>
        <w:tc>
          <w:tcPr>
            <w:tcW w:w="0" w:type="dxa"/>
            <w:vAlign w:val="bottom"/>
          </w:tcPr>
          <w:p>
            <w:pPr>
              <w:spacing w:after="0"/>
              <w:rPr>
                <w:sz w:val="1"/>
                <w:szCs w:val="1"/>
                <w:color w:val="auto"/>
              </w:rPr>
            </w:pPr>
          </w:p>
        </w:tc>
      </w:tr>
      <w:tr>
        <w:trPr>
          <w:trHeight w:val="257"/>
        </w:trPr>
        <w:tc>
          <w:tcPr>
            <w:tcW w:w="5320" w:type="dxa"/>
            <w:vAlign w:val="bottom"/>
          </w:tcPr>
          <w:p>
            <w:pPr>
              <w:ind w:left="220"/>
              <w:spacing w:after="0"/>
              <w:rPr>
                <w:sz w:val="20"/>
                <w:szCs w:val="20"/>
                <w:color w:val="auto"/>
              </w:rPr>
            </w:pPr>
            <w:r>
              <w:rPr>
                <w:rFonts w:ascii="Arial" w:cs="Arial" w:eastAsia="Arial" w:hAnsi="Arial"/>
                <w:sz w:val="20"/>
                <w:szCs w:val="20"/>
                <w:color w:val="auto"/>
              </w:rPr>
              <w:t>Stock-based compensation expense</w:t>
            </w:r>
          </w:p>
        </w:tc>
        <w:tc>
          <w:tcPr>
            <w:tcW w:w="420" w:type="dxa"/>
            <w:vAlign w:val="bottom"/>
          </w:tcPr>
          <w:p>
            <w:pPr>
              <w:spacing w:after="0"/>
              <w:rPr>
                <w:sz w:val="22"/>
                <w:szCs w:val="22"/>
                <w:color w:val="auto"/>
              </w:rPr>
            </w:pPr>
          </w:p>
        </w:tc>
        <w:tc>
          <w:tcPr>
            <w:tcW w:w="2120" w:type="dxa"/>
            <w:vAlign w:val="bottom"/>
          </w:tcPr>
          <w:p>
            <w:pPr>
              <w:jc w:val="right"/>
              <w:ind w:right="1"/>
              <w:spacing w:after="0"/>
              <w:rPr>
                <w:sz w:val="20"/>
                <w:szCs w:val="20"/>
                <w:color w:val="auto"/>
              </w:rPr>
            </w:pPr>
            <w:r>
              <w:rPr>
                <w:rFonts w:ascii="Arial" w:cs="Arial" w:eastAsia="Arial" w:hAnsi="Arial"/>
                <w:sz w:val="20"/>
                <w:szCs w:val="20"/>
                <w:color w:val="auto"/>
              </w:rPr>
              <w:t>520</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540</w:t>
            </w:r>
          </w:p>
        </w:tc>
        <w:tc>
          <w:tcPr>
            <w:tcW w:w="0" w:type="dxa"/>
            <w:vAlign w:val="bottom"/>
          </w:tcPr>
          <w:p>
            <w:pPr>
              <w:spacing w:after="0"/>
              <w:rPr>
                <w:sz w:val="1"/>
                <w:szCs w:val="1"/>
                <w:color w:val="auto"/>
              </w:rPr>
            </w:pPr>
          </w:p>
        </w:tc>
      </w:tr>
      <w:tr>
        <w:trPr>
          <w:trHeight w:val="257"/>
        </w:trPr>
        <w:tc>
          <w:tcPr>
            <w:tcW w:w="5320" w:type="dxa"/>
            <w:vAlign w:val="bottom"/>
            <w:shd w:val="clear" w:color="auto" w:fill="CCEEFF"/>
          </w:tcPr>
          <w:p>
            <w:pPr>
              <w:ind w:left="220"/>
              <w:spacing w:after="0"/>
              <w:rPr>
                <w:sz w:val="20"/>
                <w:szCs w:val="20"/>
                <w:color w:val="auto"/>
              </w:rPr>
            </w:pPr>
            <w:r>
              <w:rPr>
                <w:rFonts w:ascii="Arial" w:cs="Arial" w:eastAsia="Arial" w:hAnsi="Arial"/>
                <w:sz w:val="20"/>
                <w:szCs w:val="20"/>
                <w:color w:val="auto"/>
              </w:rPr>
              <w:t>Acquisition and integration costs</w:t>
            </w:r>
          </w:p>
        </w:tc>
        <w:tc>
          <w:tcPr>
            <w:tcW w:w="420" w:type="dxa"/>
            <w:vAlign w:val="bottom"/>
            <w:tcBorders>
              <w:bottom w:val="single" w:sz="8" w:color="auto"/>
            </w:tcBorders>
            <w:shd w:val="clear" w:color="auto" w:fill="CCEEFF"/>
          </w:tcPr>
          <w:p>
            <w:pPr>
              <w:spacing w:after="0"/>
              <w:rPr>
                <w:sz w:val="22"/>
                <w:szCs w:val="22"/>
                <w:color w:val="auto"/>
              </w:rPr>
            </w:pPr>
          </w:p>
        </w:tc>
        <w:tc>
          <w:tcPr>
            <w:tcW w:w="2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10</w:t>
            </w:r>
          </w:p>
        </w:tc>
        <w:tc>
          <w:tcPr>
            <w:tcW w:w="1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30</w:t>
            </w:r>
          </w:p>
        </w:tc>
        <w:tc>
          <w:tcPr>
            <w:tcW w:w="0" w:type="dxa"/>
            <w:vAlign w:val="bottom"/>
          </w:tcPr>
          <w:p>
            <w:pPr>
              <w:spacing w:after="0"/>
              <w:rPr>
                <w:sz w:val="1"/>
                <w:szCs w:val="1"/>
                <w:color w:val="auto"/>
              </w:rPr>
            </w:pPr>
          </w:p>
        </w:tc>
      </w:tr>
      <w:tr>
        <w:trPr>
          <w:trHeight w:val="250"/>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Non-GAAP R&amp;D</w:t>
            </w:r>
          </w:p>
        </w:tc>
        <w:tc>
          <w:tcPr>
            <w:tcW w:w="420" w:type="dxa"/>
            <w:vAlign w:val="bottom"/>
            <w:tcBorders>
              <w:bottom w:val="single" w:sz="8" w:color="auto"/>
            </w:tcBorders>
          </w:tcPr>
          <w:p>
            <w:pPr>
              <w:jc w:val="right"/>
              <w:ind w:right="181"/>
              <w:spacing w:after="0"/>
              <w:rPr>
                <w:sz w:val="20"/>
                <w:szCs w:val="20"/>
                <w:color w:val="auto"/>
              </w:rPr>
            </w:pPr>
            <w:r>
              <w:rPr>
                <w:rFonts w:ascii="Arial" w:cs="Arial" w:eastAsia="Arial" w:hAnsi="Arial"/>
                <w:sz w:val="20"/>
                <w:szCs w:val="20"/>
                <w:color w:val="auto"/>
              </w:rPr>
              <w:t>$</w:t>
            </w:r>
          </w:p>
        </w:tc>
        <w:tc>
          <w:tcPr>
            <w:tcW w:w="21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4,525</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jc w:val="right"/>
              <w:ind w:right="201"/>
              <w:spacing w:after="0"/>
              <w:rPr>
                <w:sz w:val="20"/>
                <w:szCs w:val="20"/>
                <w:color w:val="auto"/>
              </w:rPr>
            </w:pPr>
            <w:r>
              <w:rPr>
                <w:rFonts w:ascii="Arial" w:cs="Arial" w:eastAsia="Arial" w:hAnsi="Arial"/>
                <w:sz w:val="20"/>
                <w:szCs w:val="20"/>
                <w:color w:val="auto"/>
                <w:w w:val="89"/>
              </w:rPr>
              <w:t>$</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4,575</w:t>
            </w:r>
          </w:p>
        </w:tc>
        <w:tc>
          <w:tcPr>
            <w:tcW w:w="0" w:type="dxa"/>
            <w:vAlign w:val="bottom"/>
          </w:tcPr>
          <w:p>
            <w:pPr>
              <w:spacing w:after="0"/>
              <w:rPr>
                <w:sz w:val="1"/>
                <w:szCs w:val="1"/>
                <w:color w:val="auto"/>
              </w:rPr>
            </w:pPr>
          </w:p>
        </w:tc>
      </w:tr>
      <w:tr>
        <w:trPr>
          <w:trHeight w:val="250"/>
        </w:trPr>
        <w:tc>
          <w:tcPr>
            <w:tcW w:w="53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320" w:type="dxa"/>
            <w:vAlign w:val="bottom"/>
          </w:tcPr>
          <w:p>
            <w:pPr>
              <w:ind w:left="20"/>
              <w:spacing w:after="0"/>
              <w:rPr>
                <w:sz w:val="20"/>
                <w:szCs w:val="20"/>
                <w:color w:val="auto"/>
              </w:rPr>
            </w:pPr>
            <w:r>
              <w:rPr>
                <w:rFonts w:ascii="Arial" w:cs="Arial" w:eastAsia="Arial" w:hAnsi="Arial"/>
                <w:sz w:val="20"/>
                <w:szCs w:val="20"/>
                <w:color w:val="auto"/>
              </w:rPr>
              <w:t>GAAP SG&amp;A</w:t>
            </w:r>
          </w:p>
        </w:tc>
        <w:tc>
          <w:tcPr>
            <w:tcW w:w="420" w:type="dxa"/>
            <w:vAlign w:val="bottom"/>
          </w:tcPr>
          <w:p>
            <w:pPr>
              <w:jc w:val="right"/>
              <w:ind w:right="181"/>
              <w:spacing w:after="0"/>
              <w:rPr>
                <w:sz w:val="20"/>
                <w:szCs w:val="20"/>
                <w:color w:val="auto"/>
              </w:rPr>
            </w:pPr>
            <w:r>
              <w:rPr>
                <w:rFonts w:ascii="Arial" w:cs="Arial" w:eastAsia="Arial" w:hAnsi="Arial"/>
                <w:sz w:val="20"/>
                <w:szCs w:val="20"/>
                <w:color w:val="auto"/>
              </w:rPr>
              <w:t>$</w:t>
            </w:r>
          </w:p>
        </w:tc>
        <w:tc>
          <w:tcPr>
            <w:tcW w:w="2120" w:type="dxa"/>
            <w:vAlign w:val="bottom"/>
          </w:tcPr>
          <w:p>
            <w:pPr>
              <w:jc w:val="right"/>
              <w:ind w:right="1"/>
              <w:spacing w:after="0"/>
              <w:rPr>
                <w:sz w:val="20"/>
                <w:szCs w:val="20"/>
                <w:color w:val="auto"/>
              </w:rPr>
            </w:pPr>
            <w:r>
              <w:rPr>
                <w:rFonts w:ascii="Arial" w:cs="Arial" w:eastAsia="Arial" w:hAnsi="Arial"/>
                <w:sz w:val="20"/>
                <w:szCs w:val="20"/>
                <w:color w:val="auto"/>
              </w:rPr>
              <w:t>2,930</w:t>
            </w:r>
          </w:p>
        </w:tc>
        <w:tc>
          <w:tcPr>
            <w:tcW w:w="100" w:type="dxa"/>
            <w:vAlign w:val="bottom"/>
          </w:tcPr>
          <w:p>
            <w:pPr>
              <w:spacing w:after="0"/>
              <w:rPr>
                <w:sz w:val="22"/>
                <w:szCs w:val="22"/>
                <w:color w:val="auto"/>
              </w:rPr>
            </w:pPr>
          </w:p>
        </w:tc>
        <w:tc>
          <w:tcPr>
            <w:tcW w:w="420" w:type="dxa"/>
            <w:vAlign w:val="bottom"/>
          </w:tcPr>
          <w:p>
            <w:pPr>
              <w:jc w:val="right"/>
              <w:ind w:right="201"/>
              <w:spacing w:after="0"/>
              <w:rPr>
                <w:sz w:val="20"/>
                <w:szCs w:val="20"/>
                <w:color w:val="auto"/>
              </w:rPr>
            </w:pPr>
            <w:r>
              <w:rPr>
                <w:rFonts w:ascii="Arial" w:cs="Arial" w:eastAsia="Arial" w:hAnsi="Arial"/>
                <w:sz w:val="20"/>
                <w:szCs w:val="20"/>
                <w:color w:val="auto"/>
                <w:w w:val="89"/>
              </w:rPr>
              <w:t>$</w:t>
            </w:r>
          </w:p>
        </w:tc>
        <w:tc>
          <w:tcPr>
            <w:tcW w:w="2120" w:type="dxa"/>
            <w:vAlign w:val="bottom"/>
          </w:tcPr>
          <w:p>
            <w:pPr>
              <w:jc w:val="right"/>
              <w:spacing w:after="0"/>
              <w:rPr>
                <w:sz w:val="20"/>
                <w:szCs w:val="20"/>
                <w:color w:val="auto"/>
              </w:rPr>
            </w:pPr>
            <w:r>
              <w:rPr>
                <w:rFonts w:ascii="Arial" w:cs="Arial" w:eastAsia="Arial" w:hAnsi="Arial"/>
                <w:sz w:val="20"/>
                <w:szCs w:val="20"/>
                <w:color w:val="auto"/>
              </w:rPr>
              <w:t>3,020</w:t>
            </w:r>
          </w:p>
        </w:tc>
        <w:tc>
          <w:tcPr>
            <w:tcW w:w="0" w:type="dxa"/>
            <w:vAlign w:val="bottom"/>
          </w:tcPr>
          <w:p>
            <w:pPr>
              <w:spacing w:after="0"/>
              <w:rPr>
                <w:sz w:val="1"/>
                <w:szCs w:val="1"/>
                <w:color w:val="auto"/>
              </w:rPr>
            </w:pPr>
          </w:p>
        </w:tc>
      </w:tr>
      <w:tr>
        <w:trPr>
          <w:trHeight w:val="257"/>
        </w:trPr>
        <w:tc>
          <w:tcPr>
            <w:tcW w:w="5320" w:type="dxa"/>
            <w:vAlign w:val="bottom"/>
            <w:shd w:val="clear" w:color="auto" w:fill="CCEEFF"/>
          </w:tcPr>
          <w:p>
            <w:pPr>
              <w:ind w:left="220"/>
              <w:spacing w:after="0"/>
              <w:rPr>
                <w:sz w:val="20"/>
                <w:szCs w:val="20"/>
                <w:color w:val="auto"/>
              </w:rPr>
            </w:pPr>
            <w:r>
              <w:rPr>
                <w:rFonts w:ascii="Arial" w:cs="Arial" w:eastAsia="Arial" w:hAnsi="Arial"/>
                <w:sz w:val="20"/>
                <w:szCs w:val="20"/>
                <w:color w:val="auto"/>
              </w:rPr>
              <w:t>Stock-based compensation expense</w:t>
            </w:r>
          </w:p>
        </w:tc>
        <w:tc>
          <w:tcPr>
            <w:tcW w:w="420" w:type="dxa"/>
            <w:vAlign w:val="bottom"/>
            <w:shd w:val="clear" w:color="auto" w:fill="CCEEFF"/>
          </w:tcPr>
          <w:p>
            <w:pPr>
              <w:spacing w:after="0"/>
              <w:rPr>
                <w:sz w:val="22"/>
                <w:szCs w:val="22"/>
                <w:color w:val="auto"/>
              </w:rPr>
            </w:pPr>
          </w:p>
        </w:tc>
        <w:tc>
          <w:tcPr>
            <w:tcW w:w="21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340</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360</w:t>
            </w:r>
          </w:p>
        </w:tc>
        <w:tc>
          <w:tcPr>
            <w:tcW w:w="0" w:type="dxa"/>
            <w:vAlign w:val="bottom"/>
          </w:tcPr>
          <w:p>
            <w:pPr>
              <w:spacing w:after="0"/>
              <w:rPr>
                <w:sz w:val="1"/>
                <w:szCs w:val="1"/>
                <w:color w:val="auto"/>
              </w:rPr>
            </w:pPr>
          </w:p>
        </w:tc>
      </w:tr>
      <w:tr>
        <w:trPr>
          <w:trHeight w:val="257"/>
        </w:trPr>
        <w:tc>
          <w:tcPr>
            <w:tcW w:w="5320" w:type="dxa"/>
            <w:vAlign w:val="bottom"/>
            <w:tcBorders>
              <w:bottom w:val="single" w:sz="8" w:color="CCEEFF"/>
            </w:tcBorders>
          </w:tcPr>
          <w:p>
            <w:pPr>
              <w:ind w:left="220"/>
              <w:spacing w:after="0"/>
              <w:rPr>
                <w:sz w:val="20"/>
                <w:szCs w:val="20"/>
                <w:color w:val="auto"/>
              </w:rPr>
            </w:pPr>
            <w:r>
              <w:rPr>
                <w:rFonts w:ascii="Arial" w:cs="Arial" w:eastAsia="Arial" w:hAnsi="Arial"/>
                <w:sz w:val="20"/>
                <w:szCs w:val="20"/>
                <w:color w:val="auto"/>
              </w:rPr>
              <w:t>Acquisition, integration, and other costs</w:t>
            </w:r>
          </w:p>
        </w:tc>
        <w:tc>
          <w:tcPr>
            <w:tcW w:w="42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40</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60</w:t>
            </w:r>
          </w:p>
        </w:tc>
        <w:tc>
          <w:tcPr>
            <w:tcW w:w="0" w:type="dxa"/>
            <w:vAlign w:val="bottom"/>
          </w:tcPr>
          <w:p>
            <w:pPr>
              <w:spacing w:after="0"/>
              <w:rPr>
                <w:sz w:val="1"/>
                <w:szCs w:val="1"/>
                <w:color w:val="auto"/>
              </w:rPr>
            </w:pPr>
          </w:p>
        </w:tc>
      </w:tr>
      <w:tr>
        <w:trPr>
          <w:trHeight w:val="250"/>
        </w:trPr>
        <w:tc>
          <w:tcPr>
            <w:tcW w:w="5320" w:type="dxa"/>
            <w:vAlign w:val="bottom"/>
            <w:shd w:val="clear" w:color="auto" w:fill="CCEEFF"/>
          </w:tcPr>
          <w:p>
            <w:pPr>
              <w:ind w:left="20"/>
              <w:spacing w:after="0"/>
              <w:rPr>
                <w:sz w:val="20"/>
                <w:szCs w:val="20"/>
                <w:color w:val="auto"/>
              </w:rPr>
            </w:pPr>
            <w:r>
              <w:rPr>
                <w:rFonts w:ascii="Arial" w:cs="Arial" w:eastAsia="Arial" w:hAnsi="Arial"/>
                <w:sz w:val="20"/>
                <w:szCs w:val="20"/>
                <w:color w:val="auto"/>
              </w:rPr>
              <w:t>Non-GAAP SG&amp;A</w:t>
            </w:r>
          </w:p>
        </w:tc>
        <w:tc>
          <w:tcPr>
            <w:tcW w:w="42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20"/>
                <w:szCs w:val="20"/>
                <w:color w:val="auto"/>
              </w:rPr>
              <w:t>$</w:t>
            </w:r>
          </w:p>
        </w:tc>
        <w:tc>
          <w:tcPr>
            <w:tcW w:w="2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2,550</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20"/>
                <w:szCs w:val="20"/>
                <w:color w:val="auto"/>
                <w:w w:val="89"/>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2,600</w:t>
            </w:r>
          </w:p>
        </w:tc>
        <w:tc>
          <w:tcPr>
            <w:tcW w:w="0" w:type="dxa"/>
            <w:vAlign w:val="bottom"/>
          </w:tcPr>
          <w:p>
            <w:pPr>
              <w:spacing w:after="0"/>
              <w:rPr>
                <w:sz w:val="1"/>
                <w:szCs w:val="1"/>
                <w:color w:val="auto"/>
              </w:rPr>
            </w:pPr>
          </w:p>
        </w:tc>
      </w:tr>
      <w:tr>
        <w:trPr>
          <w:trHeight w:val="250"/>
        </w:trPr>
        <w:tc>
          <w:tcPr>
            <w:tcW w:w="5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320" w:type="dxa"/>
            <w:vAlign w:val="bottom"/>
            <w:shd w:val="clear" w:color="auto" w:fill="CCEEFF"/>
          </w:tcPr>
          <w:p>
            <w:pPr>
              <w:ind w:left="20"/>
              <w:spacing w:after="0"/>
              <w:rPr>
                <w:sz w:val="20"/>
                <w:szCs w:val="20"/>
                <w:color w:val="auto"/>
              </w:rPr>
            </w:pPr>
            <w:r>
              <w:rPr>
                <w:rFonts w:ascii="Arial" w:cs="Arial" w:eastAsia="Arial" w:hAnsi="Arial"/>
                <w:sz w:val="20"/>
                <w:szCs w:val="20"/>
                <w:color w:val="auto"/>
              </w:rPr>
              <w:t>GAAP gross margin on net product sales</w:t>
            </w:r>
          </w:p>
        </w:tc>
        <w:tc>
          <w:tcPr>
            <w:tcW w:w="420" w:type="dxa"/>
            <w:vAlign w:val="bottom"/>
            <w:shd w:val="clear" w:color="auto" w:fill="CCEEFF"/>
          </w:tcPr>
          <w:p>
            <w:pPr>
              <w:spacing w:after="0"/>
              <w:rPr>
                <w:sz w:val="22"/>
                <w:szCs w:val="22"/>
                <w:color w:val="auto"/>
              </w:rPr>
            </w:pPr>
          </w:p>
        </w:tc>
        <w:tc>
          <w:tcPr>
            <w:tcW w:w="2220" w:type="dxa"/>
            <w:vAlign w:val="bottom"/>
            <w:gridSpan w:val="2"/>
            <w:shd w:val="clear" w:color="auto" w:fill="CCEEFF"/>
          </w:tcPr>
          <w:p>
            <w:pPr>
              <w:ind w:left="280"/>
              <w:spacing w:after="0"/>
              <w:rPr>
                <w:sz w:val="20"/>
                <w:szCs w:val="20"/>
                <w:color w:val="auto"/>
              </w:rPr>
            </w:pPr>
            <w:r>
              <w:rPr>
                <w:rFonts w:ascii="Arial" w:cs="Arial" w:eastAsia="Arial" w:hAnsi="Arial"/>
                <w:sz w:val="20"/>
                <w:szCs w:val="20"/>
                <w:color w:val="auto"/>
              </w:rPr>
              <w:t>Approximately 86%</w:t>
            </w:r>
          </w:p>
        </w:tc>
        <w:tc>
          <w:tcPr>
            <w:tcW w:w="420" w:type="dxa"/>
            <w:vAlign w:val="bottom"/>
            <w:shd w:val="clear" w:color="auto" w:fill="CCEEFF"/>
          </w:tcPr>
          <w:p>
            <w:pPr>
              <w:spacing w:after="0"/>
              <w:rPr>
                <w:sz w:val="22"/>
                <w:szCs w:val="22"/>
                <w:color w:val="auto"/>
              </w:rPr>
            </w:pPr>
          </w:p>
        </w:tc>
        <w:tc>
          <w:tcPr>
            <w:tcW w:w="212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Approximately 86%</w:t>
            </w:r>
          </w:p>
        </w:tc>
        <w:tc>
          <w:tcPr>
            <w:tcW w:w="0" w:type="dxa"/>
            <w:vAlign w:val="bottom"/>
          </w:tcPr>
          <w:p>
            <w:pPr>
              <w:spacing w:after="0"/>
              <w:rPr>
                <w:sz w:val="1"/>
                <w:szCs w:val="1"/>
                <w:color w:val="auto"/>
              </w:rPr>
            </w:pPr>
          </w:p>
        </w:tc>
      </w:tr>
      <w:tr>
        <w:trPr>
          <w:trHeight w:val="257"/>
        </w:trPr>
        <w:tc>
          <w:tcPr>
            <w:tcW w:w="5320" w:type="dxa"/>
            <w:vAlign w:val="bottom"/>
          </w:tcPr>
          <w:p>
            <w:pPr>
              <w:ind w:left="220"/>
              <w:spacing w:after="0"/>
              <w:rPr>
                <w:sz w:val="20"/>
                <w:szCs w:val="20"/>
                <w:color w:val="auto"/>
              </w:rPr>
            </w:pPr>
            <w:r>
              <w:rPr>
                <w:rFonts w:ascii="Arial" w:cs="Arial" w:eastAsia="Arial" w:hAnsi="Arial"/>
                <w:sz w:val="20"/>
                <w:szCs w:val="20"/>
                <w:color w:val="auto"/>
              </w:rPr>
              <w:t>Stock-based compensation expense</w:t>
            </w:r>
          </w:p>
        </w:tc>
        <w:tc>
          <w:tcPr>
            <w:tcW w:w="420" w:type="dxa"/>
            <w:vAlign w:val="bottom"/>
          </w:tcPr>
          <w:p>
            <w:pPr>
              <w:spacing w:after="0"/>
              <w:rPr>
                <w:sz w:val="22"/>
                <w:szCs w:val="22"/>
                <w:color w:val="auto"/>
              </w:rPr>
            </w:pPr>
          </w:p>
        </w:tc>
        <w:tc>
          <w:tcPr>
            <w:tcW w:w="2120" w:type="dxa"/>
            <w:vAlign w:val="bottom"/>
          </w:tcPr>
          <w:p>
            <w:pPr>
              <w:jc w:val="right"/>
              <w:ind w:right="41"/>
              <w:spacing w:after="0"/>
              <w:rPr>
                <w:sz w:val="20"/>
                <w:szCs w:val="20"/>
                <w:color w:val="auto"/>
              </w:rPr>
            </w:pPr>
            <w:r>
              <w:rPr>
                <w:rFonts w:ascii="Arial" w:cs="Arial" w:eastAsia="Arial" w:hAnsi="Arial"/>
                <w:sz w:val="20"/>
                <w:szCs w:val="20"/>
                <w:color w:val="auto"/>
              </w:rPr>
              <w:t>1%</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120" w:type="dxa"/>
            <w:vAlign w:val="bottom"/>
          </w:tcPr>
          <w:p>
            <w:pPr>
              <w:jc w:val="right"/>
              <w:ind w:right="21"/>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56"/>
        </w:trPr>
        <w:tc>
          <w:tcPr>
            <w:tcW w:w="5320" w:type="dxa"/>
            <w:vAlign w:val="bottom"/>
            <w:shd w:val="clear" w:color="auto" w:fill="CCEEFF"/>
          </w:tcPr>
          <w:p>
            <w:pPr>
              <w:ind w:left="220"/>
              <w:spacing w:after="0"/>
              <w:rPr>
                <w:sz w:val="20"/>
                <w:szCs w:val="20"/>
                <w:color w:val="auto"/>
              </w:rPr>
            </w:pPr>
            <w:r>
              <w:rPr>
                <w:rFonts w:ascii="Arial" w:cs="Arial" w:eastAsia="Arial" w:hAnsi="Arial"/>
                <w:sz w:val="20"/>
                <w:szCs w:val="20"/>
                <w:color w:val="auto"/>
              </w:rPr>
              <w:t>Intangible asset amortization expense</w:t>
            </w:r>
          </w:p>
        </w:tc>
        <w:tc>
          <w:tcPr>
            <w:tcW w:w="420" w:type="dxa"/>
            <w:vAlign w:val="bottom"/>
            <w:shd w:val="clear" w:color="auto" w:fill="CCEEFF"/>
          </w:tcPr>
          <w:p>
            <w:pPr>
              <w:spacing w:after="0"/>
              <w:rPr>
                <w:sz w:val="22"/>
                <w:szCs w:val="22"/>
                <w:color w:val="auto"/>
              </w:rPr>
            </w:pPr>
          </w:p>
        </w:tc>
        <w:tc>
          <w:tcPr>
            <w:tcW w:w="212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1%</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212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57"/>
        </w:trPr>
        <w:tc>
          <w:tcPr>
            <w:tcW w:w="5320" w:type="dxa"/>
            <w:vAlign w:val="bottom"/>
            <w:tcBorders>
              <w:bottom w:val="single" w:sz="8" w:color="CCEEFF"/>
            </w:tcBorders>
          </w:tcPr>
          <w:p>
            <w:pPr>
              <w:ind w:left="220"/>
              <w:spacing w:after="0"/>
              <w:rPr>
                <w:sz w:val="20"/>
                <w:szCs w:val="20"/>
                <w:color w:val="auto"/>
              </w:rPr>
            </w:pPr>
            <w:r>
              <w:rPr>
                <w:rFonts w:ascii="Arial" w:cs="Arial" w:eastAsia="Arial" w:hAnsi="Arial"/>
                <w:sz w:val="20"/>
                <w:szCs w:val="20"/>
                <w:color w:val="auto"/>
              </w:rPr>
              <w:t>Acquisition and integration costs</w:t>
            </w:r>
          </w:p>
        </w:tc>
        <w:tc>
          <w:tcPr>
            <w:tcW w:w="42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&lt;1%</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&lt;1%</w:t>
            </w:r>
          </w:p>
        </w:tc>
        <w:tc>
          <w:tcPr>
            <w:tcW w:w="0" w:type="dxa"/>
            <w:vAlign w:val="bottom"/>
          </w:tcPr>
          <w:p>
            <w:pPr>
              <w:spacing w:after="0"/>
              <w:rPr>
                <w:sz w:val="1"/>
                <w:szCs w:val="1"/>
                <w:color w:val="auto"/>
              </w:rPr>
            </w:pPr>
          </w:p>
        </w:tc>
      </w:tr>
      <w:tr>
        <w:trPr>
          <w:trHeight w:val="250"/>
        </w:trPr>
        <w:tc>
          <w:tcPr>
            <w:tcW w:w="5320" w:type="dxa"/>
            <w:vAlign w:val="bottom"/>
            <w:shd w:val="clear" w:color="auto" w:fill="CCEEFF"/>
          </w:tcPr>
          <w:p>
            <w:pPr>
              <w:ind w:left="20"/>
              <w:spacing w:after="0"/>
              <w:rPr>
                <w:sz w:val="20"/>
                <w:szCs w:val="20"/>
                <w:color w:val="auto"/>
              </w:rPr>
            </w:pPr>
            <w:r>
              <w:rPr>
                <w:rFonts w:ascii="Arial" w:cs="Arial" w:eastAsia="Arial" w:hAnsi="Arial"/>
                <w:sz w:val="20"/>
                <w:szCs w:val="20"/>
                <w:color w:val="auto"/>
              </w:rPr>
              <w:t>Non-GAAP gross margin on net product sales</w:t>
            </w:r>
          </w:p>
        </w:tc>
        <w:tc>
          <w:tcPr>
            <w:tcW w:w="420" w:type="dxa"/>
            <w:vAlign w:val="bottom"/>
            <w:tcBorders>
              <w:bottom w:val="single" w:sz="8" w:color="auto"/>
            </w:tcBorders>
            <w:shd w:val="clear" w:color="auto" w:fill="CCEEFF"/>
          </w:tcPr>
          <w:p>
            <w:pPr>
              <w:spacing w:after="0"/>
              <w:rPr>
                <w:sz w:val="21"/>
                <w:szCs w:val="21"/>
                <w:color w:val="auto"/>
              </w:rPr>
            </w:pPr>
          </w:p>
        </w:tc>
        <w:tc>
          <w:tcPr>
            <w:tcW w:w="212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20"/>
                <w:szCs w:val="20"/>
                <w:color w:val="auto"/>
              </w:rPr>
              <w:t>Approximately 89%</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2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Approximately 89%</w:t>
            </w:r>
          </w:p>
        </w:tc>
        <w:tc>
          <w:tcPr>
            <w:tcW w:w="0" w:type="dxa"/>
            <w:vAlign w:val="bottom"/>
          </w:tcPr>
          <w:p>
            <w:pPr>
              <w:spacing w:after="0"/>
              <w:rPr>
                <w:sz w:val="1"/>
                <w:szCs w:val="1"/>
                <w:color w:val="auto"/>
              </w:rPr>
            </w:pPr>
          </w:p>
        </w:tc>
      </w:tr>
      <w:tr>
        <w:trPr>
          <w:trHeight w:val="250"/>
        </w:trPr>
        <w:tc>
          <w:tcPr>
            <w:tcW w:w="5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320" w:type="dxa"/>
            <w:vAlign w:val="bottom"/>
            <w:shd w:val="clear" w:color="auto" w:fill="CCEEFF"/>
          </w:tcPr>
          <w:p>
            <w:pPr>
              <w:ind w:left="20"/>
              <w:spacing w:after="0"/>
              <w:rPr>
                <w:sz w:val="20"/>
                <w:szCs w:val="20"/>
                <w:color w:val="auto"/>
              </w:rPr>
            </w:pPr>
            <w:r>
              <w:rPr>
                <w:rFonts w:ascii="Arial" w:cs="Arial" w:eastAsia="Arial" w:hAnsi="Arial"/>
                <w:sz w:val="20"/>
                <w:szCs w:val="20"/>
                <w:color w:val="auto"/>
              </w:rPr>
              <w:t>GAAP ETR</w:t>
            </w:r>
          </w:p>
        </w:tc>
        <w:tc>
          <w:tcPr>
            <w:tcW w:w="420" w:type="dxa"/>
            <w:vAlign w:val="bottom"/>
            <w:shd w:val="clear" w:color="auto" w:fill="CCEEFF"/>
          </w:tcPr>
          <w:p>
            <w:pPr>
              <w:spacing w:after="0"/>
              <w:rPr>
                <w:sz w:val="22"/>
                <w:szCs w:val="22"/>
                <w:color w:val="auto"/>
              </w:rPr>
            </w:pPr>
          </w:p>
        </w:tc>
        <w:tc>
          <w:tcPr>
            <w:tcW w:w="212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8%</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212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9%</w:t>
            </w:r>
          </w:p>
        </w:tc>
        <w:tc>
          <w:tcPr>
            <w:tcW w:w="0" w:type="dxa"/>
            <w:vAlign w:val="bottom"/>
          </w:tcPr>
          <w:p>
            <w:pPr>
              <w:spacing w:after="0"/>
              <w:rPr>
                <w:sz w:val="1"/>
                <w:szCs w:val="1"/>
                <w:color w:val="auto"/>
              </w:rPr>
            </w:pPr>
          </w:p>
        </w:tc>
      </w:tr>
      <w:tr>
        <w:trPr>
          <w:trHeight w:val="189"/>
        </w:trPr>
        <w:tc>
          <w:tcPr>
            <w:tcW w:w="5320" w:type="dxa"/>
            <w:vAlign w:val="bottom"/>
          </w:tcPr>
          <w:p>
            <w:pPr>
              <w:ind w:left="220"/>
              <w:spacing w:after="0" w:line="189" w:lineRule="exact"/>
              <w:rPr>
                <w:sz w:val="20"/>
                <w:szCs w:val="20"/>
                <w:color w:val="auto"/>
              </w:rPr>
            </w:pPr>
            <w:r>
              <w:rPr>
                <w:rFonts w:ascii="Arial" w:cs="Arial" w:eastAsia="Arial" w:hAnsi="Arial"/>
                <w:sz w:val="20"/>
                <w:szCs w:val="20"/>
                <w:color w:val="auto"/>
              </w:rPr>
              <w:t>Income tax effect of GAAP to non-GAAP reconciling</w:t>
            </w:r>
          </w:p>
        </w:tc>
        <w:tc>
          <w:tcPr>
            <w:tcW w:w="420" w:type="dxa"/>
            <w:vAlign w:val="bottom"/>
          </w:tcPr>
          <w:p>
            <w:pPr>
              <w:spacing w:after="0"/>
              <w:rPr>
                <w:sz w:val="16"/>
                <w:szCs w:val="16"/>
                <w:color w:val="auto"/>
              </w:rPr>
            </w:pPr>
          </w:p>
        </w:tc>
        <w:tc>
          <w:tcPr>
            <w:tcW w:w="2120" w:type="dxa"/>
            <w:vAlign w:val="bottom"/>
            <w:vMerge w:val="restart"/>
          </w:tcPr>
          <w:p>
            <w:pPr>
              <w:jc w:val="right"/>
              <w:ind w:right="41"/>
              <w:spacing w:after="0"/>
              <w:rPr>
                <w:sz w:val="20"/>
                <w:szCs w:val="20"/>
                <w:color w:val="auto"/>
              </w:rPr>
            </w:pPr>
            <w:r>
              <w:rPr>
                <w:rFonts w:ascii="Arial" w:cs="Arial" w:eastAsia="Arial" w:hAnsi="Arial"/>
                <w:sz w:val="20"/>
                <w:szCs w:val="20"/>
                <w:color w:val="auto"/>
              </w:rPr>
              <w:t>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20" w:type="dxa"/>
            <w:vAlign w:val="bottom"/>
            <w:vMerge w:val="restart"/>
          </w:tcPr>
          <w:p>
            <w:pPr>
              <w:jc w:val="right"/>
              <w:ind w:right="21"/>
              <w:spacing w:after="0"/>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257"/>
        </w:trPr>
        <w:tc>
          <w:tcPr>
            <w:tcW w:w="5320" w:type="dxa"/>
            <w:vAlign w:val="bottom"/>
            <w:tcBorders>
              <w:bottom w:val="single" w:sz="8" w:color="CCEEFF"/>
            </w:tcBorders>
          </w:tcPr>
          <w:p>
            <w:pPr>
              <w:ind w:left="400"/>
              <w:spacing w:after="0"/>
              <w:rPr>
                <w:sz w:val="20"/>
                <w:szCs w:val="20"/>
                <w:color w:val="auto"/>
              </w:rPr>
            </w:pPr>
            <w:r>
              <w:rPr>
                <w:rFonts w:ascii="Arial" w:cs="Arial" w:eastAsia="Arial" w:hAnsi="Arial"/>
                <w:sz w:val="20"/>
                <w:szCs w:val="20"/>
                <w:color w:val="auto"/>
              </w:rPr>
              <w:t>items</w:t>
            </w:r>
          </w:p>
        </w:tc>
        <w:tc>
          <w:tcPr>
            <w:tcW w:w="42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320" w:type="dxa"/>
            <w:vAlign w:val="bottom"/>
            <w:shd w:val="clear" w:color="auto" w:fill="CCEEFF"/>
          </w:tcPr>
          <w:p>
            <w:pPr>
              <w:ind w:left="20"/>
              <w:spacing w:after="0"/>
              <w:rPr>
                <w:sz w:val="20"/>
                <w:szCs w:val="20"/>
                <w:color w:val="auto"/>
              </w:rPr>
            </w:pPr>
            <w:r>
              <w:rPr>
                <w:rFonts w:ascii="Arial" w:cs="Arial" w:eastAsia="Arial" w:hAnsi="Arial"/>
                <w:sz w:val="20"/>
                <w:szCs w:val="20"/>
                <w:color w:val="auto"/>
              </w:rPr>
              <w:t>Non-GAAP ETR</w:t>
            </w:r>
          </w:p>
        </w:tc>
        <w:tc>
          <w:tcPr>
            <w:tcW w:w="420" w:type="dxa"/>
            <w:vAlign w:val="bottom"/>
            <w:tcBorders>
              <w:bottom w:val="single" w:sz="8" w:color="auto"/>
            </w:tcBorders>
            <w:shd w:val="clear" w:color="auto" w:fill="CCEEFF"/>
          </w:tcPr>
          <w:p>
            <w:pPr>
              <w:spacing w:after="0"/>
              <w:rPr>
                <w:sz w:val="21"/>
                <w:szCs w:val="21"/>
                <w:color w:val="auto"/>
              </w:rPr>
            </w:pPr>
          </w:p>
        </w:tc>
        <w:tc>
          <w:tcPr>
            <w:tcW w:w="21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rPr>
              <w:t>10%</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2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00"/>
          </w:cols>
          <w:pgMar w:left="320" w:top="1045" w:right="1079" w:bottom="1440" w:gutter="0" w:footer="0" w:header="0"/>
        </w:sectPr>
      </w:pPr>
    </w:p>
    <w:bookmarkStart w:id="10" w:name="page11"/>
    <w:bookmarkEnd w:id="10"/>
    <w:p>
      <w:pPr>
        <w:ind w:left="394" w:hanging="394"/>
        <w:spacing w:after="0" w:line="219" w:lineRule="auto"/>
        <w:tabs>
          <w:tab w:leader="none" w:pos="394" w:val="left"/>
        </w:tabs>
        <w:numPr>
          <w:ilvl w:val="0"/>
          <w:numId w:val="10"/>
        </w:numPr>
        <w:rPr>
          <w:rFonts w:ascii="Arial" w:cs="Arial" w:eastAsia="Arial" w:hAnsi="Arial"/>
          <w:sz w:val="16"/>
          <w:szCs w:val="16"/>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208280</wp:posOffset>
            </wp:positionH>
            <wp:positionV relativeFrom="page">
              <wp:posOffset>688975</wp:posOffset>
            </wp:positionV>
            <wp:extent cx="71234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3430" cy="8255"/>
                    </a:xfrm>
                    <a:prstGeom prst="rect">
                      <a:avLst/>
                    </a:prstGeom>
                    <a:noFill/>
                  </pic:spPr>
                </pic:pic>
              </a:graphicData>
            </a:graphic>
          </wp:anchor>
        </w:drawing>
        <w:t>This press release uses non-GAAP R&amp;D, non-GAAP SG&amp;A, non-GAAP COGS, non-GAAP gross margin on net product sales, non-GAAP other operating (income) expense, net, non-GAAP other income (expense), net, non-GAAP ETR, non-GAAP net income, non-GAAP net income per share, total revenues excluding Ronapreve</w:t>
      </w:r>
      <w:r>
        <w:rPr>
          <w:rFonts w:ascii="Arial" w:cs="Arial" w:eastAsia="Arial" w:hAnsi="Arial"/>
          <w:sz w:val="24"/>
          <w:szCs w:val="24"/>
          <w:color w:val="auto"/>
          <w:vertAlign w:val="superscript"/>
        </w:rPr>
        <w:t>™(b)</w:t>
      </w:r>
      <w:r>
        <w:rPr>
          <w:rFonts w:ascii="Arial" w:cs="Arial" w:eastAsia="Arial" w:hAnsi="Arial"/>
          <w:sz w:val="19"/>
          <w:szCs w:val="19"/>
          <w:color w:val="auto"/>
        </w:rPr>
        <w:t>, and free cash flow, which are financial measures that are not calculated in accordance with U.S. Generally Accepted Accounting Principles (GAAP). These non-GAAP financial measures are computed by excluding certain non-cash and/or other items from the related GAAP financial measure. The Company also includes a non-GAAP adjustment for the estimated income tax effect of reconciling items. A reconciliation of the Company's GAAP to non-GAAP results is included in Table 3 of this press release.</w:t>
      </w:r>
    </w:p>
    <w:p>
      <w:pPr>
        <w:spacing w:after="0" w:line="77" w:lineRule="exact"/>
        <w:rPr>
          <w:rFonts w:ascii="Arial" w:cs="Arial" w:eastAsia="Arial" w:hAnsi="Arial"/>
          <w:sz w:val="16"/>
          <w:szCs w:val="16"/>
          <w:color w:val="auto"/>
        </w:rPr>
      </w:pPr>
    </w:p>
    <w:p>
      <w:pPr>
        <w:ind w:left="394" w:right="80"/>
        <w:spacing w:after="0" w:line="224" w:lineRule="auto"/>
        <w:rPr>
          <w:rFonts w:ascii="Arial" w:cs="Arial" w:eastAsia="Arial" w:hAnsi="Arial"/>
          <w:sz w:val="16"/>
          <w:szCs w:val="16"/>
          <w:color w:val="auto"/>
        </w:rPr>
      </w:pPr>
      <w:r>
        <w:rPr>
          <w:rFonts w:ascii="Arial" w:cs="Arial" w:eastAsia="Arial" w:hAnsi="Arial"/>
          <w:sz w:val="20"/>
          <w:szCs w:val="20"/>
          <w:color w:val="auto"/>
        </w:rPr>
        <w:t>The Company makes such adjustments for items the Company does not view as useful in evaluating its operating performance. For example, adjustments may be made for items that fluctuate from period to period based on factors that are not within the Company's control (such as the Company's stock price on the dates share-based grants are issued or changes in the fair value of the Company's investments in equity securities) or items that are not associated with normal, recurring operations (such as acquisition and integration costs). Management uses these non-GAAP measures for planning, budgeting, forecasting, assessing historical performance, and making financial and operational decisions, and also provides forecasts to investors on this basis. With respect to free cash flows, the Company believes that this non-GAAP measure provides a further measure of the Company's ability to generate cash flows from its operations. Additionally, such non-GAAP measures provide investors with an enhanced understanding of the financial performance of the Company's core business operations. However, there are limitations in the use of these and other non-GAAP financial measures as they exclude certain expenses that are recurring in nature. Furthermore, the Company's non-GAAP financial measures may not be comparable with non-GAAP information provided by other companies. Any non-GAAP financial measure presented by the Company should be considered supplemental to, and not a substitute for, measures of financial performance prepared in accordance with GAAP.</w:t>
      </w:r>
    </w:p>
    <w:p>
      <w:pPr>
        <w:spacing w:after="0" w:line="113" w:lineRule="exact"/>
        <w:rPr>
          <w:rFonts w:ascii="Arial" w:cs="Arial" w:eastAsia="Arial" w:hAnsi="Arial"/>
          <w:sz w:val="16"/>
          <w:szCs w:val="16"/>
          <w:color w:val="auto"/>
        </w:rPr>
      </w:pPr>
    </w:p>
    <w:p>
      <w:pPr>
        <w:ind w:left="394" w:right="600" w:hanging="394"/>
        <w:spacing w:after="0" w:line="208" w:lineRule="auto"/>
        <w:tabs>
          <w:tab w:leader="none" w:pos="394" w:val="left"/>
        </w:tabs>
        <w:numPr>
          <w:ilvl w:val="0"/>
          <w:numId w:val="10"/>
        </w:numPr>
        <w:rPr>
          <w:rFonts w:ascii="Arial" w:cs="Arial" w:eastAsia="Arial" w:hAnsi="Arial"/>
          <w:sz w:val="16"/>
          <w:szCs w:val="16"/>
          <w:color w:val="auto"/>
        </w:rPr>
      </w:pPr>
      <w:r>
        <w:rPr>
          <w:rFonts w:ascii="Arial" w:cs="Arial" w:eastAsia="Arial" w:hAnsi="Arial"/>
          <w:sz w:val="20"/>
          <w:szCs w:val="20"/>
          <w:color w:val="auto"/>
        </w:rPr>
        <w:t>The casirivimab and imdevimab antibody cocktail for COVID-19 is known as REGEN-COV</w:t>
      </w:r>
      <w:r>
        <w:rPr>
          <w:rFonts w:ascii="Arial" w:cs="Arial" w:eastAsia="Arial" w:hAnsi="Arial"/>
          <w:sz w:val="25"/>
          <w:szCs w:val="25"/>
          <w:color w:val="auto"/>
          <w:vertAlign w:val="superscript"/>
        </w:rPr>
        <w:t>®</w:t>
      </w:r>
      <w:r>
        <w:rPr>
          <w:rFonts w:ascii="Arial" w:cs="Arial" w:eastAsia="Arial" w:hAnsi="Arial"/>
          <w:sz w:val="20"/>
          <w:szCs w:val="20"/>
          <w:color w:val="auto"/>
        </w:rPr>
        <w:t xml:space="preserve"> in the United States and Ronapreve in other countries. Roche records net product sales of Ronapreve outside the United States.</w:t>
      </w:r>
    </w:p>
    <w:p>
      <w:pPr>
        <w:spacing w:after="0" w:line="91" w:lineRule="exact"/>
        <w:rPr>
          <w:rFonts w:ascii="Arial" w:cs="Arial" w:eastAsia="Arial" w:hAnsi="Arial"/>
          <w:sz w:val="16"/>
          <w:szCs w:val="16"/>
          <w:color w:val="auto"/>
        </w:rPr>
      </w:pPr>
    </w:p>
    <w:p>
      <w:pPr>
        <w:ind w:left="394" w:right="280" w:hanging="394"/>
        <w:spacing w:after="0" w:line="234" w:lineRule="auto"/>
        <w:tabs>
          <w:tab w:leader="none" w:pos="394" w:val="left"/>
        </w:tabs>
        <w:numPr>
          <w:ilvl w:val="0"/>
          <w:numId w:val="10"/>
        </w:numPr>
        <w:rPr>
          <w:rFonts w:ascii="Arial" w:cs="Arial" w:eastAsia="Arial" w:hAnsi="Arial"/>
          <w:sz w:val="16"/>
          <w:szCs w:val="16"/>
          <w:color w:val="auto"/>
        </w:rPr>
      </w:pPr>
      <w:r>
        <w:rPr>
          <w:rFonts w:ascii="Arial" w:cs="Arial" w:eastAsia="Arial" w:hAnsi="Arial"/>
          <w:sz w:val="20"/>
          <w:szCs w:val="20"/>
          <w:color w:val="auto"/>
        </w:rPr>
        <w:t>The Company's 2024 financial guidance does not assume the completion of any business development transactions not completed as of the date of this press release.</w:t>
      </w:r>
    </w:p>
    <w:p>
      <w:pPr>
        <w:spacing w:after="0" w:line="91" w:lineRule="exact"/>
        <w:rPr>
          <w:rFonts w:ascii="Arial" w:cs="Arial" w:eastAsia="Arial" w:hAnsi="Arial"/>
          <w:sz w:val="16"/>
          <w:szCs w:val="16"/>
          <w:color w:val="auto"/>
        </w:rPr>
      </w:pPr>
    </w:p>
    <w:p>
      <w:pPr>
        <w:ind w:left="394" w:right="220" w:hanging="394"/>
        <w:spacing w:after="0" w:line="234" w:lineRule="auto"/>
        <w:tabs>
          <w:tab w:leader="none" w:pos="394" w:val="left"/>
        </w:tabs>
        <w:numPr>
          <w:ilvl w:val="0"/>
          <w:numId w:val="10"/>
        </w:numPr>
        <w:rPr>
          <w:rFonts w:ascii="Arial" w:cs="Arial" w:eastAsia="Arial" w:hAnsi="Arial"/>
          <w:sz w:val="16"/>
          <w:szCs w:val="16"/>
          <w:color w:val="auto"/>
        </w:rPr>
      </w:pPr>
      <w:r>
        <w:rPr>
          <w:rFonts w:ascii="Arial" w:cs="Arial" w:eastAsia="Arial" w:hAnsi="Arial"/>
          <w:sz w:val="20"/>
          <w:szCs w:val="20"/>
          <w:color w:val="auto"/>
        </w:rPr>
        <w:t>Gross margin on net product sales represents gross profit expressed as a percentage of total net product sales recorded by the Company. Gross profit is calculated as net product sales less cost of goods sold.</w:t>
      </w:r>
    </w:p>
    <w:p>
      <w:pPr>
        <w:spacing w:after="0" w:line="91" w:lineRule="exact"/>
        <w:rPr>
          <w:rFonts w:ascii="Arial" w:cs="Arial" w:eastAsia="Arial" w:hAnsi="Arial"/>
          <w:sz w:val="16"/>
          <w:szCs w:val="16"/>
          <w:color w:val="auto"/>
        </w:rPr>
      </w:pPr>
    </w:p>
    <w:p>
      <w:pPr>
        <w:ind w:left="394" w:right="100" w:hanging="394"/>
        <w:spacing w:after="0" w:line="234" w:lineRule="auto"/>
        <w:tabs>
          <w:tab w:leader="none" w:pos="394" w:val="left"/>
        </w:tabs>
        <w:numPr>
          <w:ilvl w:val="0"/>
          <w:numId w:val="10"/>
        </w:numPr>
        <w:rPr>
          <w:rFonts w:ascii="Arial" w:cs="Arial" w:eastAsia="Arial" w:hAnsi="Arial"/>
          <w:sz w:val="16"/>
          <w:szCs w:val="16"/>
          <w:color w:val="auto"/>
        </w:rPr>
      </w:pPr>
      <w:r>
        <w:rPr>
          <w:rFonts w:ascii="Arial" w:cs="Arial" w:eastAsia="Arial" w:hAnsi="Arial"/>
          <w:sz w:val="20"/>
          <w:szCs w:val="20"/>
          <w:color w:val="auto"/>
        </w:rPr>
        <w:t>Corresponding reimbursements from collaborators and others for manufacturing of commercial supplies is recorded within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3175</wp:posOffset>
            </wp:positionV>
            <wp:extent cx="71234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54"/>
          </w:cols>
          <w:pgMar w:left="346" w:top="1090" w:right="399" w:bottom="1440" w:gutter="0" w:footer="0" w:header="0"/>
        </w:sectPr>
      </w:pPr>
    </w:p>
    <w:bookmarkStart w:id="11" w:name="page12"/>
    <w:bookmarkEnd w:id="11"/>
    <w:p>
      <w:pPr>
        <w:spacing w:after="0"/>
        <w:rPr>
          <w:sz w:val="20"/>
          <w:szCs w:val="20"/>
          <w:color w:val="auto"/>
        </w:rPr>
      </w:pPr>
      <w:r>
        <w:rPr>
          <w:rFonts w:ascii="Arial" w:cs="Arial" w:eastAsia="Arial" w:hAnsi="Arial"/>
          <w:sz w:val="22"/>
          <w:szCs w:val="22"/>
          <w:b w:val="1"/>
          <w:bCs w:val="1"/>
          <w:color w:val="auto"/>
        </w:rPr>
        <w:t>Conference Call Information</w:t>
      </w:r>
    </w:p>
    <w:p>
      <w:pPr>
        <w:spacing w:after="0" w:line="154"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Regeneron will host a conference call and simultaneous webcast to discuss its third quarter 2024 financial and operating results on Thursday, October 31, 2024, at 8:30 AM Eastern Time. Participants may access the conference call live via webcast, or register in advance and participate via telephone, on the "Investors and Media" page of Regeneron's website at www.regeneron.com. Upon registration, all telephone participants will receive a confirmation email detailing how to join the conference call, including the dial-in number along with a unique passcode and registrant ID that can be used to access the call. A replay of the conference call and webcast will be archived on the Company's website for at least 30 days.</w:t>
      </w:r>
    </w:p>
    <w:p>
      <w:pPr>
        <w:spacing w:after="0" w:line="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Regeneron Pharmaceuticals, Inc.</w:t>
      </w:r>
    </w:p>
    <w:p>
      <w:pPr>
        <w:spacing w:after="0" w:line="154" w:lineRule="exact"/>
        <w:rPr>
          <w:sz w:val="20"/>
          <w:szCs w:val="20"/>
          <w:color w:val="auto"/>
        </w:rPr>
      </w:pPr>
    </w:p>
    <w:p>
      <w:pPr>
        <w:spacing w:after="0" w:line="265" w:lineRule="auto"/>
        <w:rPr>
          <w:sz w:val="20"/>
          <w:szCs w:val="20"/>
          <w:color w:val="auto"/>
        </w:rPr>
      </w:pPr>
      <w:r>
        <w:rPr>
          <w:rFonts w:ascii="Arial" w:cs="Arial" w:eastAsia="Arial" w:hAnsi="Arial"/>
          <w:sz w:val="21"/>
          <w:szCs w:val="21"/>
          <w:color w:val="auto"/>
        </w:rPr>
        <w:t>Regeneron is a leading biotechnology company that invents, develops, and commercializes life-transforming medicines for people with serious diseases. Founded and led by physician-scientists, Regeneron's unique ability to repeatedly and consistently translate science into medicine has led to numerous approved treatments and product candidates in development, most of which were homegrown in Regeneron's laboratories. Regeneron's medicines and pipeline are designed to help patients with eye diseases, allergic and inflammatory diseases, cancer, cardiovascular and metabolic diseases, neurological diseases, hematologic conditions, infectious diseases, and rare diseases.</w:t>
      </w:r>
    </w:p>
    <w:p>
      <w:pPr>
        <w:spacing w:after="0" w:line="101" w:lineRule="exact"/>
        <w:rPr>
          <w:sz w:val="20"/>
          <w:szCs w:val="20"/>
          <w:color w:val="auto"/>
        </w:rPr>
      </w:pPr>
    </w:p>
    <w:p>
      <w:pPr>
        <w:ind w:right="240"/>
        <w:spacing w:after="0" w:line="226" w:lineRule="auto"/>
        <w:rPr>
          <w:sz w:val="20"/>
          <w:szCs w:val="20"/>
          <w:color w:val="auto"/>
        </w:rPr>
      </w:pPr>
      <w:r>
        <w:rPr>
          <w:rFonts w:ascii="Arial" w:cs="Arial" w:eastAsia="Arial" w:hAnsi="Arial"/>
          <w:sz w:val="22"/>
          <w:szCs w:val="22"/>
          <w:color w:val="auto"/>
        </w:rPr>
        <w:t xml:space="preserve">Regeneron pushes the boundaries of scientific discovery and accelerates drug development using its proprietary technologies, such as </w:t>
      </w:r>
      <w:r>
        <w:rPr>
          <w:rFonts w:ascii="Arial" w:cs="Arial" w:eastAsia="Arial" w:hAnsi="Arial"/>
          <w:sz w:val="22"/>
          <w:szCs w:val="22"/>
          <w:i w:val="1"/>
          <w:iCs w:val="1"/>
          <w:color w:val="auto"/>
        </w:rPr>
        <w:t>VelociSuite</w:t>
      </w:r>
      <w:r>
        <w:rPr>
          <w:rFonts w:ascii="Arial" w:cs="Arial" w:eastAsia="Arial" w:hAnsi="Arial"/>
          <w:sz w:val="22"/>
          <w:szCs w:val="22"/>
          <w:color w:val="auto"/>
        </w:rPr>
        <w:t xml:space="preserve"> </w:t>
      </w:r>
      <w:r>
        <w:rPr>
          <w:rFonts w:ascii="Arial" w:cs="Arial" w:eastAsia="Arial" w:hAnsi="Arial"/>
          <w:sz w:val="28"/>
          <w:szCs w:val="28"/>
          <w:color w:val="auto"/>
          <w:vertAlign w:val="superscript"/>
        </w:rPr>
        <w:t>®</w:t>
      </w:r>
      <w:r>
        <w:rPr>
          <w:rFonts w:ascii="Arial" w:cs="Arial" w:eastAsia="Arial" w:hAnsi="Arial"/>
          <w:sz w:val="22"/>
          <w:szCs w:val="22"/>
          <w:color w:val="auto"/>
        </w:rPr>
        <w:t>, which produces optimized fully human antibodies and new classes of bispecific antibodies. Regeneron is shaping the next frontier of medicine with data-powered insights from the Regeneron Genetics Center</w:t>
      </w:r>
      <w:r>
        <w:rPr>
          <w:rFonts w:ascii="Arial" w:cs="Arial" w:eastAsia="Arial" w:hAnsi="Arial"/>
          <w:sz w:val="28"/>
          <w:szCs w:val="28"/>
          <w:color w:val="auto"/>
          <w:vertAlign w:val="superscript"/>
        </w:rPr>
        <w:t>®</w:t>
      </w:r>
      <w:r>
        <w:rPr>
          <w:rFonts w:ascii="Arial" w:cs="Arial" w:eastAsia="Arial" w:hAnsi="Arial"/>
          <w:sz w:val="22"/>
          <w:szCs w:val="22"/>
          <w:color w:val="auto"/>
        </w:rPr>
        <w:t> and pioneering genetic medicine platforms, enabling Regeneron to identify innovative targets and complementary approaches to potentially treat or cure diseases.</w:t>
      </w:r>
    </w:p>
    <w:p>
      <w:pPr>
        <w:spacing w:after="0" w:line="123" w:lineRule="exact"/>
        <w:rPr>
          <w:sz w:val="20"/>
          <w:szCs w:val="20"/>
          <w:color w:val="auto"/>
        </w:rPr>
      </w:pPr>
    </w:p>
    <w:p>
      <w:pPr>
        <w:ind w:right="100"/>
        <w:spacing w:after="0" w:line="377" w:lineRule="auto"/>
        <w:rPr>
          <w:sz w:val="20"/>
          <w:szCs w:val="20"/>
          <w:color w:val="auto"/>
        </w:rPr>
      </w:pPr>
      <w:r>
        <w:rPr>
          <w:rFonts w:ascii="Arial" w:cs="Arial" w:eastAsia="Arial" w:hAnsi="Arial"/>
          <w:sz w:val="22"/>
          <w:szCs w:val="22"/>
          <w:color w:val="auto"/>
        </w:rPr>
        <w:t xml:space="preserve">For more information, please visit www.regeneron.com or follow Regeneron on LinkedIn, Instagram, Facebook, or X. </w:t>
      </w:r>
      <w:r>
        <w:rPr>
          <w:rFonts w:ascii="Arial" w:cs="Arial" w:eastAsia="Arial" w:hAnsi="Arial"/>
          <w:sz w:val="22"/>
          <w:szCs w:val="22"/>
          <w:b w:val="1"/>
          <w:bCs w:val="1"/>
          <w:color w:val="auto"/>
        </w:rPr>
        <w:t>Forward-Looking Statements and Use of Digital Media</w:t>
      </w:r>
    </w:p>
    <w:p>
      <w:pPr>
        <w:spacing w:after="0" w:line="2" w:lineRule="exact"/>
        <w:rPr>
          <w:sz w:val="20"/>
          <w:szCs w:val="20"/>
          <w:color w:val="auto"/>
        </w:rPr>
      </w:pPr>
    </w:p>
    <w:p>
      <w:pPr>
        <w:spacing w:after="0" w:line="234" w:lineRule="auto"/>
        <w:rPr>
          <w:sz w:val="20"/>
          <w:szCs w:val="20"/>
          <w:color w:val="auto"/>
        </w:rPr>
      </w:pPr>
      <w:r>
        <w:rPr>
          <w:rFonts w:ascii="Arial" w:cs="Arial" w:eastAsia="Arial" w:hAnsi="Arial"/>
          <w:sz w:val="22"/>
          <w:szCs w:val="22"/>
          <w:color w:val="auto"/>
        </w:rPr>
        <w:t>This press release includes forward-looking statements that involve risks and uncertainties relating to future events and the future performance of Regeneron Pharmaceuticals, Inc. ("Regeneron" or the "Company"),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the nature, timing, and possible success and therapeutic applications of products marketed or otherwise commercialized by Regeneron and/or its collaborators or licensees (collectively, "Regeneron's Products") and product candidates being developed by Regeneron and/or its collaborators or licensees (collectively, "Regeneron's Product Candidates") and research and clinical programs now underway or planned, including without limitation EYLEA HD</w:t>
      </w:r>
      <w:r>
        <w:rPr>
          <w:rFonts w:ascii="Arial" w:cs="Arial" w:eastAsia="Arial" w:hAnsi="Arial"/>
          <w:sz w:val="28"/>
          <w:szCs w:val="28"/>
          <w:color w:val="auto"/>
          <w:vertAlign w:val="superscript"/>
        </w:rPr>
        <w:t>®</w:t>
      </w:r>
      <w:r>
        <w:rPr>
          <w:rFonts w:ascii="Arial" w:cs="Arial" w:eastAsia="Arial" w:hAnsi="Arial"/>
          <w:sz w:val="22"/>
          <w:szCs w:val="22"/>
          <w:color w:val="auto"/>
        </w:rPr>
        <w:t xml:space="preserve"> (aflibercept) Injection 8 mg, EYLEA</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(aflibercept) Injection, Dupixent</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(dupilumab), Libtayo</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(cemiplimab), Praluent</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(alirocumab), Kevzara</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(sarilumab), Evkeeza</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(evinacumab), Veopoz</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(pozelimab), Ordspono</w:t>
      </w:r>
      <w:r>
        <w:rPr>
          <w:rFonts w:ascii="Times New Roman" w:cs="Times New Roman" w:eastAsia="Times New Roman" w:hAnsi="Times New Roman"/>
          <w:sz w:val="11"/>
          <w:szCs w:val="11"/>
          <w:color w:val="auto"/>
        </w:rPr>
        <w:t>™</w:t>
      </w:r>
      <w:r>
        <w:rPr>
          <w:rFonts w:ascii="Arial" w:cs="Arial" w:eastAsia="Arial" w:hAnsi="Arial"/>
          <w:sz w:val="22"/>
          <w:szCs w:val="22"/>
          <w:color w:val="auto"/>
        </w:rPr>
        <w:t xml:space="preserve"> (odronextamab), itepekimab, fianlimab, garetosmab, linvoseltamab, REGN5713-5714-5715, nexiguran ziclumeran (NTLA-2001), Regeneron's other oncology programs (including its costimulatory bispecific portfolio), Regeneron's and its collaborators' earlier-stage programs, and the use of human genetics in Regeneron's research programs; the</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20"/>
          </w:cols>
          <w:pgMar w:left="320" w:top="1043" w:right="359" w:bottom="1440" w:gutter="0" w:footer="0" w:header="0"/>
        </w:sectPr>
      </w:pPr>
    </w:p>
    <w:bookmarkStart w:id="12" w:name="page13"/>
    <w:bookmarkEnd w:id="12"/>
    <w:p>
      <w:pPr>
        <w:spacing w:after="0" w:line="258" w:lineRule="auto"/>
        <w:rPr>
          <w:sz w:val="20"/>
          <w:szCs w:val="20"/>
          <w:color w:val="auto"/>
        </w:rPr>
      </w:pPr>
      <w:r>
        <w:rPr>
          <w:rFonts w:ascii="Arial" w:cs="Arial" w:eastAsia="Arial" w:hAnsi="Arial"/>
          <w:sz w:val="21"/>
          <w:szCs w:val="21"/>
          <w:color w:val="auto"/>
        </w:rPr>
        <w:t>likelihood and timing of achieving any of the anticipated milestones described in this press release; safety issues resulting from the administration of Regeneron's Products and Regeneron's Product Candidates in patients, including serious complications or side effects in connection with the use of Regeneron’s Products and Regeneron's Product Candidates in clinical trials; the likelihood, timing, and scope of possible regulatory approval and commercial launch of Regeneron's Product Candidates and new indications for Regeneron's Products, including those listed above and/or otherwise discussed in this press release; the extent to which the results from the research and development programs conducted by Regeneron and/or its collaborators may be replicated in other studies and/or lead to advancement of product candidates to clinical trials, therapeutic applications, or regulatory approval; ongoing regulatory obligations and oversight impacting Regeneron's Products, research and clinical programs, and business, including those relating to patient privacy; determinations by regulatory and administrative governmental authorities which may delay or restrict Regeneron's ability to continue to develop or commercialize Regeneron's Products and Regeneron's Product Candidates; competing drugs and product candidates that may be superior to, or more cost effective than, Regeneron's Products and Regeneron's Product Candidates (including biosimilar versions of Regeneron's Products); uncertainty of the utilization, market acceptance, and commercial success of Regeneron's Products and Regeneron's Product Candidates and the impact of studies (whether conducted by Regeneron or others and whether mandated or voluntary) or recommendations and guidelines from governmental authorities and other third parties on the commercial success of Regeneron's Products and Regeneron's Product Candidates; the ability of Regeneron to manufacture and manage supply chains for multiple products and product candidates; the ability of Regeneron’s collaborators, suppliers, or other third parties (as applicable) to perform manufacturing, filling, finishing, packaging, labeling, distribution, and other steps related to Regeneron’s Products and Regeneron's Product Candidates; the availability and extent of reimbursement of Regeneron’s Products from third-party payers, including private payer healthcare and insurance programs, health maintenance organizations, pharmacy benefit management companies, and government programs such as Medicare and Medicaid; coverage and reimbursement determinations by such payers and new policies and procedures adopted by such payers; unanticipated expenses; the costs of developing, producing, and selling products; the ability of Regeneron to meet any of its financial projections or guidance and changes to the assumptions underlying those projections or guidance, including GAAP and non-GAAP R&amp;D, GAAP and non-GAAP SG&amp;A, GAAP and non-GAAP gross margin on net product sales, COCM, capital expenditures, and GAAP and non-GAAP ETR; the potential for any license or collaboration agreement, including Regeneron's agreements with Sanofi and Bayer (or their respective affiliated companies, as applicable), to be cancelled or terminated; the impact of public health outbreaks, epidemics, or pandemics (such as the COVID-19 pandemic) on Regeneron's business; and risks associated with intellectual property of other parties and pending or future litigation relating thereto (including without limitation the patent litigation and other related proceedings relating to EYLEA), other litigation and other proceedings and government investigations relating to the Company and/or its operations (including the pending civil proceedings initiated or joined by the U.S. Department of Justice and the U.S. Attorney's Office for the District of Massachusetts), the ultimate outcome of any such proceedings and investigations, and the impact any of the foregoing may have on Regeneron’s business, prospects, operating results, and financial condition. A more complete description of these and other material risks can be found in Regeneron's filings with the U.S. Securities and Exchange Commission, including its Form 10-K for the fiscal year ended December 31, 2023 and its Form 10-Q for the quarterly period ended September 30, 2024. Any forward-looking statements are made based on management's current beliefs and judgment,</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00"/>
          </w:cols>
          <w:pgMar w:left="320" w:top="896" w:right="379" w:bottom="1440" w:gutter="0" w:footer="0" w:header="0"/>
        </w:sectPr>
      </w:pPr>
    </w:p>
    <w:bookmarkStart w:id="13" w:name="page14"/>
    <w:bookmarkEnd w:id="13"/>
    <w:p>
      <w:pPr>
        <w:jc w:val="both"/>
        <w:spacing w:after="0" w:line="257" w:lineRule="auto"/>
        <w:rPr>
          <w:sz w:val="20"/>
          <w:szCs w:val="20"/>
          <w:color w:val="auto"/>
        </w:rPr>
      </w:pPr>
      <w:r>
        <w:rPr>
          <w:rFonts w:ascii="Arial" w:cs="Arial" w:eastAsia="Arial" w:hAnsi="Arial"/>
          <w:sz w:val="22"/>
          <w:szCs w:val="22"/>
          <w:color w:val="auto"/>
        </w:rPr>
        <w:t>and the reader is cautioned not to rely on any forward-looking statements made by Regeneron. Regeneron does not undertake any obligation to update (publicly or otherwise) any forward-looking statement, including without limitation any financial projection or guidance, whether as a result of new information, future events, or otherwise.</w:t>
      </w:r>
    </w:p>
    <w:p>
      <w:pPr>
        <w:spacing w:after="0" w:line="105" w:lineRule="exact"/>
        <w:rPr>
          <w:sz w:val="20"/>
          <w:szCs w:val="20"/>
          <w:color w:val="auto"/>
        </w:rPr>
      </w:pPr>
    </w:p>
    <w:p>
      <w:pPr>
        <w:spacing w:after="0" w:line="253" w:lineRule="auto"/>
        <w:rPr>
          <w:sz w:val="20"/>
          <w:szCs w:val="20"/>
          <w:color w:val="auto"/>
        </w:rPr>
      </w:pPr>
      <w:r>
        <w:rPr>
          <w:rFonts w:ascii="Arial" w:cs="Arial" w:eastAsia="Arial" w:hAnsi="Arial"/>
          <w:sz w:val="22"/>
          <w:szCs w:val="22"/>
          <w:color w:val="auto"/>
        </w:rPr>
        <w:t>Regeneron uses its media and investor relations website and social media outlets to publish important information about the Company, including information that may be deemed material to investors. Financial and other information about Regeneron is routinely posted and is accessible on Regeneron's media and investor relations website (https://investor.regeneron.com) and its LinkedIn page (https://www.linkedin.com/company/regeneron-pharmaceuticals).</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Measures</w:t>
      </w:r>
    </w:p>
    <w:p>
      <w:pPr>
        <w:spacing w:after="0" w:line="154" w:lineRule="exact"/>
        <w:rPr>
          <w:sz w:val="20"/>
          <w:szCs w:val="20"/>
          <w:color w:val="auto"/>
        </w:rPr>
      </w:pPr>
    </w:p>
    <w:p>
      <w:pPr>
        <w:spacing w:after="0" w:line="257" w:lineRule="auto"/>
        <w:rPr>
          <w:sz w:val="20"/>
          <w:szCs w:val="20"/>
          <w:color w:val="auto"/>
        </w:rPr>
      </w:pPr>
      <w:r>
        <w:rPr>
          <w:rFonts w:ascii="Arial" w:cs="Arial" w:eastAsia="Arial" w:hAnsi="Arial"/>
          <w:sz w:val="22"/>
          <w:szCs w:val="22"/>
          <w:color w:val="auto"/>
        </w:rPr>
        <w:t>This press release and/or the financial results attached to this press release include amounts that are considered "non-GAAP financial measures" under SEC rules. As required, Regeneron has provided reconciliations of such non-GAAP financial measures.</w:t>
      </w:r>
    </w:p>
    <w:p>
      <w:pPr>
        <w:spacing w:after="0" w:line="200" w:lineRule="exact"/>
        <w:rPr>
          <w:sz w:val="20"/>
          <w:szCs w:val="20"/>
          <w:color w:val="auto"/>
        </w:rPr>
      </w:pPr>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w:t>
      </w:r>
    </w:p>
    <w:p>
      <w:pPr>
        <w:spacing w:after="0" w:line="27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Contact Information:</w:t>
      </w:r>
    </w:p>
    <w:p>
      <w:pPr>
        <w:sectPr>
          <w:pgSz w:w="11900" w:h="16838" w:orient="portrait"/>
          <w:cols w:equalWidth="0" w:num="1">
            <w:col w:w="11080"/>
          </w:cols>
          <w:pgMar w:left="320" w:top="896" w:right="499" w:bottom="1440" w:gutter="0" w:footer="0" w:header="0"/>
        </w:sectPr>
      </w:pPr>
    </w:p>
    <w:p>
      <w:pPr>
        <w:spacing w:after="0" w:line="1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Ryan Crowe</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Investor Relations</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914-847-8790</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ryan.crowe@regeneron.com</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Christina Chan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Corporate Affairs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914-847-8827</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christina.chan@regeneron.com</w:t>
      </w:r>
    </w:p>
    <w:p>
      <w:pPr>
        <w:spacing w:after="0" w:line="200" w:lineRule="exact"/>
        <w:rPr>
          <w:sz w:val="20"/>
          <w:szCs w:val="20"/>
          <w:color w:val="auto"/>
        </w:rPr>
      </w:pPr>
    </w:p>
    <w:p>
      <w:pPr>
        <w:sectPr>
          <w:pgSz w:w="11900" w:h="16838" w:orient="portrait"/>
          <w:cols w:equalWidth="0" w:num="2">
            <w:col w:w="6100" w:space="720"/>
            <w:col w:w="4260"/>
          </w:cols>
          <w:pgMar w:left="320" w:top="896"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80"/>
          </w:cols>
          <w:pgMar w:left="320" w:top="896" w:right="49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color w:val="auto"/>
        </w:rPr>
        <w:t>TABLE 1</w:t>
      </w:r>
    </w:p>
    <w:p>
      <w:pPr>
        <w:spacing w:after="0" w:line="252" w:lineRule="exact"/>
        <w:rPr>
          <w:sz w:val="20"/>
          <w:szCs w:val="20"/>
          <w:color w:val="auto"/>
        </w:rPr>
      </w:pPr>
    </w:p>
    <w:p>
      <w:pPr>
        <w:jc w:val="center"/>
        <w:ind w:left="900" w:right="2360"/>
        <w:spacing w:after="0" w:line="284" w:lineRule="auto"/>
        <w:rPr>
          <w:sz w:val="20"/>
          <w:szCs w:val="20"/>
          <w:color w:val="auto"/>
        </w:rPr>
      </w:pPr>
      <w:r>
        <w:rPr>
          <w:rFonts w:ascii="Arial" w:cs="Arial" w:eastAsia="Arial" w:hAnsi="Arial"/>
          <w:sz w:val="18"/>
          <w:szCs w:val="18"/>
          <w:b w:val="1"/>
          <w:bCs w:val="1"/>
          <w:color w:val="auto"/>
        </w:rPr>
        <w:t xml:space="preserve">REGENERON PHARMACEUTICALS, INC. CONDENSED CONSOLIDATED BALANCE SHEETS (Unaudited) </w:t>
      </w:r>
      <w:r>
        <w:rPr>
          <w:rFonts w:ascii="Arial" w:cs="Arial" w:eastAsia="Arial" w:hAnsi="Arial"/>
          <w:sz w:val="18"/>
          <w:szCs w:val="18"/>
          <w:b w:val="1"/>
          <w:bCs w:val="1"/>
          <w:i w:val="1"/>
          <w:iCs w:val="1"/>
          <w:color w:val="auto"/>
        </w:rPr>
        <w:t>(In millions)</w:t>
      </w:r>
    </w:p>
    <w:p>
      <w:pPr>
        <w:spacing w:after="0" w:line="347" w:lineRule="exact"/>
        <w:rPr>
          <w:sz w:val="20"/>
          <w:szCs w:val="20"/>
          <w:color w:val="auto"/>
        </w:rPr>
      </w:pPr>
    </w:p>
    <w:tbl>
      <w:tblPr>
        <w:tblLayout w:type="fixed"/>
        <w:tblInd w:w="560" w:type="dxa"/>
        <w:tblCellMar>
          <w:top w:w="0" w:type="dxa"/>
          <w:left w:w="0" w:type="dxa"/>
          <w:bottom w:w="0" w:type="dxa"/>
          <w:right w:w="0" w:type="dxa"/>
        </w:tblCellMar>
      </w:tblPr>
      <w:tr>
        <w:trPr>
          <w:trHeight w:val="229"/>
        </w:trPr>
        <w:tc>
          <w:tcPr>
            <w:tcW w:w="48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19"/>
                <w:szCs w:val="19"/>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5"/>
        </w:trPr>
        <w:tc>
          <w:tcPr>
            <w:tcW w:w="4880" w:type="dxa"/>
            <w:vAlign w:val="bottom"/>
            <w:tcBorders>
              <w:bottom w:val="single" w:sz="8" w:color="CCEEFF"/>
            </w:tcBorders>
          </w:tcPr>
          <w:p>
            <w:pPr>
              <w:spacing w:after="0"/>
              <w:rPr>
                <w:sz w:val="20"/>
                <w:szCs w:val="20"/>
                <w:color w:val="auto"/>
              </w:rPr>
            </w:pPr>
          </w:p>
        </w:tc>
        <w:tc>
          <w:tcPr>
            <w:tcW w:w="18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10"/>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80" w:type="dxa"/>
            <w:vAlign w:val="bottom"/>
          </w:tcPr>
          <w:p>
            <w:pPr>
              <w:ind w:left="220"/>
              <w:spacing w:after="0"/>
              <w:rPr>
                <w:sz w:val="20"/>
                <w:szCs w:val="20"/>
                <w:color w:val="auto"/>
              </w:rPr>
            </w:pPr>
            <w:r>
              <w:rPr>
                <w:rFonts w:ascii="Arial" w:cs="Arial" w:eastAsia="Arial" w:hAnsi="Arial"/>
                <w:sz w:val="18"/>
                <w:szCs w:val="18"/>
                <w:color w:val="auto"/>
              </w:rPr>
              <w:t>Cash and marketable securities</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18,287.4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16,241.3</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 net</w:t>
            </w:r>
          </w:p>
        </w:tc>
        <w:tc>
          <w:tcPr>
            <w:tcW w:w="1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6,107.1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5,667.3</w:t>
            </w:r>
          </w:p>
        </w:tc>
        <w:tc>
          <w:tcPr>
            <w:tcW w:w="0" w:type="dxa"/>
            <w:vAlign w:val="bottom"/>
          </w:tcPr>
          <w:p>
            <w:pPr>
              <w:spacing w:after="0"/>
              <w:rPr>
                <w:sz w:val="1"/>
                <w:szCs w:val="1"/>
                <w:color w:val="auto"/>
              </w:rPr>
            </w:pPr>
          </w:p>
        </w:tc>
      </w:tr>
      <w:tr>
        <w:trPr>
          <w:trHeight w:val="229"/>
        </w:trPr>
        <w:tc>
          <w:tcPr>
            <w:tcW w:w="488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1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3,018.0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2,580.5</w:t>
            </w: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plant, and equipment, net</w:t>
            </w:r>
          </w:p>
        </w:tc>
        <w:tc>
          <w:tcPr>
            <w:tcW w:w="1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4,439.2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4,146.4</w:t>
            </w:r>
          </w:p>
        </w:tc>
        <w:tc>
          <w:tcPr>
            <w:tcW w:w="0" w:type="dxa"/>
            <w:vAlign w:val="bottom"/>
          </w:tcPr>
          <w:p>
            <w:pPr>
              <w:spacing w:after="0"/>
              <w:rPr>
                <w:sz w:val="1"/>
                <w:szCs w:val="1"/>
                <w:color w:val="auto"/>
              </w:rPr>
            </w:pPr>
          </w:p>
        </w:tc>
      </w:tr>
      <w:tr>
        <w:trPr>
          <w:trHeight w:val="230"/>
        </w:trPr>
        <w:tc>
          <w:tcPr>
            <w:tcW w:w="4880" w:type="dxa"/>
            <w:vAlign w:val="bottom"/>
          </w:tcPr>
          <w:p>
            <w:pPr>
              <w:ind w:left="220"/>
              <w:spacing w:after="0"/>
              <w:rPr>
                <w:sz w:val="20"/>
                <w:szCs w:val="20"/>
                <w:color w:val="auto"/>
              </w:rPr>
            </w:pPr>
            <w:r>
              <w:rPr>
                <w:rFonts w:ascii="Arial" w:cs="Arial" w:eastAsia="Arial" w:hAnsi="Arial"/>
                <w:sz w:val="18"/>
                <w:szCs w:val="18"/>
                <w:color w:val="auto"/>
              </w:rPr>
              <w:t>Intangible assets, net</w:t>
            </w:r>
          </w:p>
        </w:tc>
        <w:tc>
          <w:tcPr>
            <w:tcW w:w="1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1,120.1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1,038.6</w:t>
            </w: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tax assets</w:t>
            </w:r>
          </w:p>
        </w:tc>
        <w:tc>
          <w:tcPr>
            <w:tcW w:w="1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3,015.1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2,575.4</w:t>
            </w:r>
          </w:p>
        </w:tc>
        <w:tc>
          <w:tcPr>
            <w:tcW w:w="0" w:type="dxa"/>
            <w:vAlign w:val="bottom"/>
          </w:tcPr>
          <w:p>
            <w:pPr>
              <w:spacing w:after="0"/>
              <w:rPr>
                <w:sz w:val="1"/>
                <w:szCs w:val="1"/>
                <w:color w:val="auto"/>
              </w:rPr>
            </w:pPr>
          </w:p>
        </w:tc>
      </w:tr>
      <w:tr>
        <w:trPr>
          <w:trHeight w:val="229"/>
        </w:trPr>
        <w:tc>
          <w:tcPr>
            <w:tcW w:w="48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assets</w:t>
            </w:r>
          </w:p>
        </w:tc>
        <w:tc>
          <w:tcPr>
            <w:tcW w:w="18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1,455.0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830.7</w:t>
            </w:r>
          </w:p>
        </w:tc>
        <w:tc>
          <w:tcPr>
            <w:tcW w:w="0" w:type="dxa"/>
            <w:vAlign w:val="bottom"/>
          </w:tcPr>
          <w:p>
            <w:pPr>
              <w:spacing w:after="0"/>
              <w:rPr>
                <w:sz w:val="1"/>
                <w:szCs w:val="1"/>
                <w:color w:val="auto"/>
              </w:rPr>
            </w:pPr>
          </w:p>
        </w:tc>
      </w:tr>
      <w:tr>
        <w:trPr>
          <w:trHeight w:val="248"/>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8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37,441.9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33,080.2</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8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 and stockholders' equity:</w:t>
            </w:r>
          </w:p>
        </w:tc>
        <w:tc>
          <w:tcPr>
            <w:tcW w:w="1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tcPr>
          <w:p>
            <w:pPr>
              <w:ind w:left="220"/>
              <w:spacing w:after="0"/>
              <w:rPr>
                <w:sz w:val="20"/>
                <w:szCs w:val="20"/>
                <w:color w:val="auto"/>
              </w:rPr>
            </w:pPr>
            <w:r>
              <w:rPr>
                <w:rFonts w:ascii="Arial" w:cs="Arial" w:eastAsia="Arial" w:hAnsi="Arial"/>
                <w:sz w:val="18"/>
                <w:szCs w:val="18"/>
                <w:color w:val="auto"/>
              </w:rPr>
              <w:t>Accounts payable, accrued expenses, and other liabilities</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4,577.4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3,818.6</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Finance lease liabilities</w:t>
            </w:r>
          </w:p>
        </w:tc>
        <w:tc>
          <w:tcPr>
            <w:tcW w:w="1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w:t>
            </w:r>
          </w:p>
        </w:tc>
        <w:tc>
          <w:tcPr>
            <w:tcW w:w="0" w:type="dxa"/>
            <w:vAlign w:val="bottom"/>
          </w:tcPr>
          <w:p>
            <w:pPr>
              <w:spacing w:after="0"/>
              <w:rPr>
                <w:sz w:val="1"/>
                <w:szCs w:val="1"/>
                <w:color w:val="auto"/>
              </w:rPr>
            </w:pPr>
          </w:p>
        </w:tc>
      </w:tr>
      <w:tr>
        <w:trPr>
          <w:trHeight w:val="229"/>
        </w:trPr>
        <w:tc>
          <w:tcPr>
            <w:tcW w:w="4880" w:type="dxa"/>
            <w:vAlign w:val="bottom"/>
          </w:tcPr>
          <w:p>
            <w:pPr>
              <w:ind w:left="220"/>
              <w:spacing w:after="0"/>
              <w:rPr>
                <w:sz w:val="20"/>
                <w:szCs w:val="20"/>
                <w:color w:val="auto"/>
              </w:rPr>
            </w:pPr>
            <w:r>
              <w:rPr>
                <w:rFonts w:ascii="Arial" w:cs="Arial" w:eastAsia="Arial" w:hAnsi="Arial"/>
                <w:sz w:val="18"/>
                <w:szCs w:val="18"/>
                <w:color w:val="auto"/>
              </w:rPr>
              <w:t>Deferred revenue</w:t>
            </w:r>
          </w:p>
        </w:tc>
        <w:tc>
          <w:tcPr>
            <w:tcW w:w="1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834.6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585.6</w:t>
            </w: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debt</w:t>
            </w:r>
          </w:p>
        </w:tc>
        <w:tc>
          <w:tcPr>
            <w:tcW w:w="1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1,982.9</w:t>
            </w:r>
          </w:p>
        </w:tc>
        <w:tc>
          <w:tcPr>
            <w:tcW w:w="0" w:type="dxa"/>
            <w:vAlign w:val="bottom"/>
          </w:tcPr>
          <w:p>
            <w:pPr>
              <w:spacing w:after="0"/>
              <w:rPr>
                <w:sz w:val="1"/>
                <w:szCs w:val="1"/>
                <w:color w:val="auto"/>
              </w:rPr>
            </w:pPr>
          </w:p>
        </w:tc>
      </w:tr>
      <w:tr>
        <w:trPr>
          <w:trHeight w:val="230"/>
        </w:trPr>
        <w:tc>
          <w:tcPr>
            <w:tcW w:w="48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Stockholders' equity</w:t>
            </w:r>
          </w:p>
        </w:tc>
        <w:tc>
          <w:tcPr>
            <w:tcW w:w="18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29,325.9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25,973.1</w:t>
            </w:r>
          </w:p>
        </w:tc>
        <w:tc>
          <w:tcPr>
            <w:tcW w:w="0" w:type="dxa"/>
            <w:vAlign w:val="bottom"/>
          </w:tcPr>
          <w:p>
            <w:pPr>
              <w:spacing w:after="0"/>
              <w:rPr>
                <w:sz w:val="1"/>
                <w:szCs w:val="1"/>
                <w:color w:val="auto"/>
              </w:rPr>
            </w:pPr>
          </w:p>
        </w:tc>
      </w:tr>
      <w:tr>
        <w:trPr>
          <w:trHeight w:val="248"/>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8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37,441.9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33,080.2</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CCEEFF"/>
            </w:tcBorders>
            <w:vMerge w:val="restart"/>
          </w:tcPr>
          <w:p>
            <w:pPr>
              <w:jc w:val="right"/>
              <w:ind w:right="151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488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80"/>
          </w:cols>
          <w:pgMar w:left="320" w:top="890" w:right="89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TABLE 2</w:t>
      </w:r>
    </w:p>
    <w:p>
      <w:pPr>
        <w:spacing w:after="0" w:line="252" w:lineRule="exact"/>
        <w:rPr>
          <w:sz w:val="20"/>
          <w:szCs w:val="20"/>
          <w:color w:val="auto"/>
        </w:rPr>
      </w:pPr>
    </w:p>
    <w:p>
      <w:pPr>
        <w:jc w:val="center"/>
        <w:ind w:left="940" w:right="1780"/>
        <w:spacing w:after="0" w:line="273" w:lineRule="auto"/>
        <w:rPr>
          <w:sz w:val="20"/>
          <w:szCs w:val="20"/>
          <w:color w:val="auto"/>
        </w:rPr>
      </w:pPr>
      <w:r>
        <w:rPr>
          <w:rFonts w:ascii="Arial" w:cs="Arial" w:eastAsia="Arial" w:hAnsi="Arial"/>
          <w:sz w:val="18"/>
          <w:szCs w:val="18"/>
          <w:b w:val="1"/>
          <w:bCs w:val="1"/>
          <w:color w:val="auto"/>
        </w:rPr>
        <w:t xml:space="preserve">REGENERON PHARMACEUTICALS, INC. CONDENSED CONSOLIDATED STATEMENTS OF OPERATIONS (Unaudited) </w:t>
      </w:r>
      <w:r>
        <w:rPr>
          <w:rFonts w:ascii="Arial" w:cs="Arial" w:eastAsia="Arial" w:hAnsi="Arial"/>
          <w:sz w:val="18"/>
          <w:szCs w:val="18"/>
          <w:b w:val="1"/>
          <w:bCs w:val="1"/>
          <w:i w:val="1"/>
          <w:iCs w:val="1"/>
          <w:color w:val="auto"/>
        </w:rPr>
        <w:t>(In millions, except per share data)</w:t>
      </w:r>
    </w:p>
    <w:p>
      <w:pPr>
        <w:spacing w:after="0" w:line="105" w:lineRule="exact"/>
        <w:rPr>
          <w:sz w:val="20"/>
          <w:szCs w:val="20"/>
          <w:color w:val="auto"/>
        </w:rPr>
      </w:pPr>
    </w:p>
    <w:tbl>
      <w:tblPr>
        <w:tblLayout w:type="fixed"/>
        <w:tblInd w:w="620" w:type="dxa"/>
        <w:tblCellMar>
          <w:top w:w="0" w:type="dxa"/>
          <w:left w:w="0" w:type="dxa"/>
          <w:bottom w:w="0" w:type="dxa"/>
          <w:right w:w="0" w:type="dxa"/>
        </w:tblCellMar>
      </w:tblPr>
      <w:tr>
        <w:trPr>
          <w:trHeight w:val="207"/>
        </w:trPr>
        <w:tc>
          <w:tcPr>
            <w:tcW w:w="5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0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9"/>
              </w:rPr>
              <w:t>Three Months Ended</w:t>
            </w:r>
          </w:p>
        </w:tc>
        <w:tc>
          <w:tcPr>
            <w:tcW w:w="240" w:type="dxa"/>
            <w:vAlign w:val="bottom"/>
          </w:tcPr>
          <w:p>
            <w:pPr>
              <w:spacing w:after="0"/>
              <w:rPr>
                <w:sz w:val="17"/>
                <w:szCs w:val="17"/>
                <w:color w:val="auto"/>
              </w:rPr>
            </w:pPr>
          </w:p>
        </w:tc>
        <w:tc>
          <w:tcPr>
            <w:tcW w:w="216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rPr>
              <w:t>Nine Months Ended</w:t>
            </w:r>
          </w:p>
        </w:tc>
      </w:tr>
      <w:tr>
        <w:trPr>
          <w:trHeight w:val="243"/>
        </w:trPr>
        <w:tc>
          <w:tcPr>
            <w:tcW w:w="5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0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9"/>
              </w:rPr>
              <w:t>September 30,</w:t>
            </w:r>
          </w:p>
        </w:tc>
        <w:tc>
          <w:tcPr>
            <w:tcW w:w="240" w:type="dxa"/>
            <w:vAlign w:val="bottom"/>
          </w:tcPr>
          <w:p>
            <w:pPr>
              <w:spacing w:after="0"/>
              <w:rPr>
                <w:sz w:val="21"/>
                <w:szCs w:val="21"/>
                <w:color w:val="auto"/>
              </w:rPr>
            </w:pPr>
          </w:p>
        </w:tc>
        <w:tc>
          <w:tcPr>
            <w:tcW w:w="216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50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r>
      <w:tr>
        <w:trPr>
          <w:trHeight w:val="21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5080" w:type="dxa"/>
            <w:vAlign w:val="bottom"/>
          </w:tcPr>
          <w:p>
            <w:pPr>
              <w:ind w:left="220"/>
              <w:spacing w:after="0"/>
              <w:rPr>
                <w:sz w:val="20"/>
                <w:szCs w:val="20"/>
                <w:color w:val="auto"/>
              </w:rPr>
            </w:pPr>
            <w:r>
              <w:rPr>
                <w:rFonts w:ascii="Arial" w:cs="Arial" w:eastAsia="Arial" w:hAnsi="Arial"/>
                <w:sz w:val="18"/>
                <w:szCs w:val="18"/>
                <w:color w:val="auto"/>
              </w:rPr>
              <w:t>Net product sales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1,946.4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1,786.1</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5,626.3</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5,226.2</w:t>
            </w:r>
          </w:p>
        </w:tc>
      </w:tr>
      <w:tr>
        <w:trPr>
          <w:trHeight w:val="230"/>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Collaboration revenue</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4,450.9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4,133.1</w:t>
            </w:r>
          </w:p>
        </w:tc>
      </w:tr>
      <w:tr>
        <w:trPr>
          <w:trHeight w:val="229"/>
        </w:trPr>
        <w:tc>
          <w:tcPr>
            <w:tcW w:w="50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revenue</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323.6</w:t>
            </w:r>
          </w:p>
        </w:tc>
      </w:tr>
      <w:tr>
        <w:trPr>
          <w:trHeight w:val="223"/>
        </w:trPr>
        <w:tc>
          <w:tcPr>
            <w:tcW w:w="50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3,720.7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3,362.7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10,412.8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9,682.9</w:t>
            </w:r>
          </w:p>
        </w:tc>
      </w:tr>
      <w:tr>
        <w:trPr>
          <w:trHeight w:val="209"/>
        </w:trPr>
        <w:tc>
          <w:tcPr>
            <w:tcW w:w="5080" w:type="dxa"/>
            <w:vAlign w:val="bottom"/>
          </w:tcPr>
          <w:p>
            <w:pPr>
              <w:ind w:left="20"/>
              <w:spacing w:after="0"/>
              <w:rPr>
                <w:sz w:val="20"/>
                <w:szCs w:val="20"/>
                <w:color w:val="auto"/>
              </w:rPr>
            </w:pPr>
            <w:r>
              <w:rPr>
                <w:rFonts w:ascii="Arial" w:cs="Arial" w:eastAsia="Arial" w:hAnsi="Arial"/>
                <w:sz w:val="18"/>
                <w:szCs w:val="18"/>
                <w:color w:val="auto"/>
              </w:rPr>
              <w:t>Expenses: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9"/>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3,719.9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3,261.8</w:t>
            </w:r>
          </w:p>
        </w:tc>
      </w:tr>
      <w:tr>
        <w:trPr>
          <w:trHeight w:val="230"/>
        </w:trPr>
        <w:tc>
          <w:tcPr>
            <w:tcW w:w="5080" w:type="dxa"/>
            <w:vAlign w:val="bottom"/>
          </w:tcPr>
          <w:p>
            <w:pPr>
              <w:ind w:left="220"/>
              <w:spacing w:after="0"/>
              <w:rPr>
                <w:sz w:val="20"/>
                <w:szCs w:val="20"/>
                <w:color w:val="auto"/>
              </w:rPr>
            </w:pPr>
            <w:r>
              <w:rPr>
                <w:rFonts w:ascii="Arial" w:cs="Arial" w:eastAsia="Arial" w:hAnsi="Arial"/>
                <w:sz w:val="18"/>
                <w:szCs w:val="18"/>
                <w:color w:val="auto"/>
              </w:rPr>
              <w:t>Acquired in-process research and development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156.1</w:t>
            </w:r>
          </w:p>
        </w:tc>
      </w:tr>
      <w:tr>
        <w:trPr>
          <w:trHeight w:val="229"/>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2,162.2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1,893.6</w:t>
            </w:r>
          </w:p>
        </w:tc>
      </w:tr>
      <w:tr>
        <w:trPr>
          <w:trHeight w:val="229"/>
        </w:trPr>
        <w:tc>
          <w:tcPr>
            <w:tcW w:w="5080" w:type="dxa"/>
            <w:vAlign w:val="bottom"/>
          </w:tcPr>
          <w:p>
            <w:pPr>
              <w:ind w:left="220"/>
              <w:spacing w:after="0"/>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224.5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760.5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625.3</w:t>
            </w:r>
          </w:p>
        </w:tc>
      </w:tr>
      <w:tr>
        <w:trPr>
          <w:trHeight w:val="230"/>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collaboration and contract manufacturing</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673.5</w:t>
            </w:r>
          </w:p>
        </w:tc>
      </w:tr>
      <w:tr>
        <w:trPr>
          <w:trHeight w:val="229"/>
        </w:trPr>
        <w:tc>
          <w:tcPr>
            <w:tcW w:w="50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operating expense (income), net</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23"/>
        </w:trPr>
        <w:tc>
          <w:tcPr>
            <w:tcW w:w="50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2,541.2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2,251.7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7,412.3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6,608.7</w:t>
            </w:r>
          </w:p>
        </w:tc>
      </w:tr>
      <w:tr>
        <w:trPr>
          <w:trHeight w:val="250"/>
        </w:trPr>
        <w:tc>
          <w:tcPr>
            <w:tcW w:w="5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3,074.2</w:t>
            </w:r>
          </w:p>
        </w:tc>
      </w:tr>
      <w:tr>
        <w:trPr>
          <w:trHeight w:val="270"/>
        </w:trPr>
        <w:tc>
          <w:tcPr>
            <w:tcW w:w="5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5080" w:type="dxa"/>
            <w:vAlign w:val="bottom"/>
          </w:tcPr>
          <w:p>
            <w:pPr>
              <w:ind w:left="220"/>
              <w:spacing w:after="0"/>
              <w:rPr>
                <w:sz w:val="20"/>
                <w:szCs w:val="20"/>
                <w:color w:val="auto"/>
              </w:rPr>
            </w:pPr>
            <w:r>
              <w:rPr>
                <w:rFonts w:ascii="Arial" w:cs="Arial" w:eastAsia="Arial" w:hAnsi="Arial"/>
                <w:sz w:val="18"/>
                <w:szCs w:val="18"/>
                <w:color w:val="auto"/>
              </w:rPr>
              <w:t>Other income (expense), net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866.0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32.2</w:t>
            </w:r>
          </w:p>
        </w:tc>
      </w:tr>
      <w:tr>
        <w:trPr>
          <w:trHeight w:val="230"/>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w:t>
            </w:r>
          </w:p>
        </w:tc>
      </w:tr>
      <w:tr>
        <w:trPr>
          <w:trHeight w:val="223"/>
        </w:trPr>
        <w:tc>
          <w:tcPr>
            <w:tcW w:w="50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r>
      <w:tr>
        <w:trPr>
          <w:trHeight w:val="250"/>
        </w:trPr>
        <w:tc>
          <w:tcPr>
            <w:tcW w:w="50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1,493.0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1,110.8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3,821.8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3,051.7</w:t>
            </w:r>
          </w:p>
        </w:tc>
      </w:tr>
      <w:tr>
        <w:trPr>
          <w:trHeight w:val="270"/>
        </w:trPr>
        <w:tc>
          <w:tcPr>
            <w:tcW w:w="50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30"/>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257.7</w:t>
            </w:r>
          </w:p>
        </w:tc>
      </w:tr>
      <w:tr>
        <w:trPr>
          <w:trHeight w:val="250"/>
        </w:trPr>
        <w:tc>
          <w:tcPr>
            <w:tcW w:w="50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1,340.6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1,007.8</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3,494.9</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2,794.0</w:t>
            </w: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37"/>
        </w:trPr>
        <w:tc>
          <w:tcPr>
            <w:tcW w:w="50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color w:val="auto"/>
              </w:rPr>
              <w:t>Net income per share - basic</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12.40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9.48</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32.36</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26.16</w:t>
            </w: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 - diluted</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24.57</w:t>
            </w:r>
          </w:p>
        </w:tc>
      </w:tr>
      <w:tr>
        <w:trPr>
          <w:trHeight w:val="270"/>
        </w:trPr>
        <w:tc>
          <w:tcPr>
            <w:tcW w:w="5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 basic</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w:t>
            </w:r>
          </w:p>
        </w:tc>
      </w:tr>
      <w:tr>
        <w:trPr>
          <w:trHeight w:val="239"/>
        </w:trPr>
        <w:tc>
          <w:tcPr>
            <w:tcW w:w="5080" w:type="dxa"/>
            <w:vAlign w:val="bottom"/>
          </w:tcPr>
          <w:p>
            <w:pPr>
              <w:ind w:left="20"/>
              <w:spacing w:after="0"/>
              <w:rPr>
                <w:sz w:val="20"/>
                <w:szCs w:val="20"/>
                <w:color w:val="auto"/>
              </w:rPr>
            </w:pPr>
            <w:r>
              <w:rPr>
                <w:rFonts w:ascii="Arial" w:cs="Arial" w:eastAsia="Arial" w:hAnsi="Arial"/>
                <w:sz w:val="18"/>
                <w:szCs w:val="18"/>
                <w:color w:val="auto"/>
              </w:rPr>
              <w:t>Weighted average shares outstanding - diluted</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116.2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113.4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113.7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620"/>
          </w:cols>
          <w:pgMar w:left="320" w:top="890" w:right="95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9"/>
        </w:trPr>
        <w:tc>
          <w:tcPr>
            <w:tcW w:w="5220" w:type="dxa"/>
            <w:vAlign w:val="bottom"/>
            <w:gridSpan w:val="2"/>
          </w:tcPr>
          <w:p>
            <w:pPr>
              <w:spacing w:after="0"/>
              <w:rPr>
                <w:sz w:val="20"/>
                <w:szCs w:val="20"/>
                <w:color w:val="auto"/>
              </w:rPr>
            </w:pPr>
            <w:r>
              <w:rPr>
                <w:rFonts w:ascii="Arial" w:cs="Arial" w:eastAsia="Arial" w:hAnsi="Arial"/>
                <w:sz w:val="18"/>
                <w:szCs w:val="18"/>
                <w:color w:val="auto"/>
              </w:rPr>
              <w:t>TABLE 3</w:t>
            </w: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36"/>
        </w:trPr>
        <w:tc>
          <w:tcPr>
            <w:tcW w:w="80" w:type="dxa"/>
            <w:vAlign w:val="bottom"/>
          </w:tcPr>
          <w:p>
            <w:pPr>
              <w:spacing w:after="0"/>
              <w:rPr>
                <w:sz w:val="24"/>
                <w:szCs w:val="24"/>
                <w:color w:val="auto"/>
              </w:rPr>
            </w:pPr>
          </w:p>
        </w:tc>
        <w:tc>
          <w:tcPr>
            <w:tcW w:w="7440" w:type="dxa"/>
            <w:vAlign w:val="bottom"/>
            <w:gridSpan w:val="5"/>
          </w:tcPr>
          <w:p>
            <w:pPr>
              <w:jc w:val="center"/>
              <w:ind w:left="3550"/>
              <w:spacing w:after="0"/>
              <w:rPr>
                <w:sz w:val="20"/>
                <w:szCs w:val="20"/>
                <w:color w:val="auto"/>
              </w:rPr>
            </w:pPr>
            <w:r>
              <w:rPr>
                <w:rFonts w:ascii="Arial" w:cs="Arial" w:eastAsia="Arial" w:hAnsi="Arial"/>
                <w:sz w:val="18"/>
                <w:szCs w:val="18"/>
                <w:b w:val="1"/>
                <w:bCs w:val="1"/>
                <w:color w:val="auto"/>
                <w:w w:val="99"/>
              </w:rPr>
              <w:t>REGENERON PHARMACEUTICALS, INC.</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8"/>
        </w:trPr>
        <w:tc>
          <w:tcPr>
            <w:tcW w:w="80" w:type="dxa"/>
            <w:vAlign w:val="bottom"/>
          </w:tcPr>
          <w:p>
            <w:pPr>
              <w:spacing w:after="0"/>
              <w:rPr>
                <w:sz w:val="18"/>
                <w:szCs w:val="18"/>
                <w:color w:val="auto"/>
              </w:rPr>
            </w:pPr>
          </w:p>
        </w:tc>
        <w:tc>
          <w:tcPr>
            <w:tcW w:w="9940" w:type="dxa"/>
            <w:vAlign w:val="bottom"/>
            <w:gridSpan w:val="11"/>
          </w:tcPr>
          <w:p>
            <w:pPr>
              <w:jc w:val="center"/>
              <w:ind w:left="1070"/>
              <w:spacing w:after="0"/>
              <w:rPr>
                <w:sz w:val="20"/>
                <w:szCs w:val="20"/>
                <w:color w:val="auto"/>
              </w:rPr>
            </w:pPr>
            <w:r>
              <w:rPr>
                <w:rFonts w:ascii="Arial" w:cs="Arial" w:eastAsia="Arial" w:hAnsi="Arial"/>
                <w:sz w:val="18"/>
                <w:szCs w:val="18"/>
                <w:b w:val="1"/>
                <w:bCs w:val="1"/>
                <w:color w:val="auto"/>
                <w:w w:val="99"/>
              </w:rPr>
              <w:t>RECONCILIATION OF GAAP TO NON-GAAP FINANCIAL INFORMATION (Unaudited)</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45"/>
        </w:trPr>
        <w:tc>
          <w:tcPr>
            <w:tcW w:w="80" w:type="dxa"/>
            <w:vAlign w:val="bottom"/>
          </w:tcPr>
          <w:p>
            <w:pPr>
              <w:spacing w:after="0"/>
              <w:rPr>
                <w:sz w:val="21"/>
                <w:szCs w:val="21"/>
                <w:color w:val="auto"/>
              </w:rPr>
            </w:pPr>
          </w:p>
        </w:tc>
        <w:tc>
          <w:tcPr>
            <w:tcW w:w="7440" w:type="dxa"/>
            <w:vAlign w:val="bottom"/>
            <w:gridSpan w:val="5"/>
          </w:tcPr>
          <w:p>
            <w:pPr>
              <w:jc w:val="center"/>
              <w:ind w:left="3550"/>
              <w:spacing w:after="0"/>
              <w:rPr>
                <w:sz w:val="20"/>
                <w:szCs w:val="20"/>
                <w:color w:val="auto"/>
              </w:rPr>
            </w:pPr>
            <w:r>
              <w:rPr>
                <w:rFonts w:ascii="Arial" w:cs="Arial" w:eastAsia="Arial" w:hAnsi="Arial"/>
                <w:sz w:val="18"/>
                <w:szCs w:val="18"/>
                <w:b w:val="1"/>
                <w:bCs w:val="1"/>
                <w:i w:val="1"/>
                <w:iCs w:val="1"/>
                <w:color w:val="auto"/>
                <w:w w:val="99"/>
              </w:rPr>
              <w:t>(In millions, except per share data)</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339"/>
        </w:trPr>
        <w:tc>
          <w:tcPr>
            <w:tcW w:w="8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8"/>
              </w:rPr>
              <w:t>Three Months Ended</w:t>
            </w:r>
          </w:p>
        </w:tc>
        <w:tc>
          <w:tcPr>
            <w:tcW w:w="240" w:type="dxa"/>
            <w:vAlign w:val="bottom"/>
          </w:tcPr>
          <w:p>
            <w:pPr>
              <w:spacing w:after="0"/>
              <w:rPr>
                <w:sz w:val="24"/>
                <w:szCs w:val="24"/>
                <w:color w:val="auto"/>
              </w:rPr>
            </w:pPr>
          </w:p>
        </w:tc>
        <w:tc>
          <w:tcPr>
            <w:tcW w:w="218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rPr>
              <w:t>Nine Months Ended</w:t>
            </w:r>
          </w:p>
        </w:tc>
      </w:tr>
      <w:tr>
        <w:trPr>
          <w:trHeight w:val="243"/>
        </w:trPr>
        <w:tc>
          <w:tcPr>
            <w:tcW w:w="80" w:type="dxa"/>
            <w:vAlign w:val="bottom"/>
          </w:tcPr>
          <w:p>
            <w:pPr>
              <w:spacing w:after="0"/>
              <w:rPr>
                <w:sz w:val="21"/>
                <w:szCs w:val="21"/>
                <w:color w:val="auto"/>
              </w:rPr>
            </w:pPr>
          </w:p>
        </w:tc>
        <w:tc>
          <w:tcPr>
            <w:tcW w:w="5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8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1"/>
                <w:szCs w:val="21"/>
                <w:color w:val="auto"/>
              </w:rPr>
            </w:pPr>
          </w:p>
        </w:tc>
        <w:tc>
          <w:tcPr>
            <w:tcW w:w="218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80" w:type="dxa"/>
            <w:vAlign w:val="bottom"/>
          </w:tcPr>
          <w:p>
            <w:pPr>
              <w:spacing w:after="0"/>
              <w:rPr>
                <w:sz w:val="19"/>
                <w:szCs w:val="19"/>
                <w:color w:val="auto"/>
              </w:rPr>
            </w:pPr>
          </w:p>
        </w:tc>
        <w:tc>
          <w:tcPr>
            <w:tcW w:w="514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r>
      <w:tr>
        <w:trPr>
          <w:trHeight w:val="223"/>
        </w:trPr>
        <w:tc>
          <w:tcPr>
            <w:tcW w:w="80" w:type="dxa"/>
            <w:vAlign w:val="bottom"/>
          </w:tcPr>
          <w:p>
            <w:pPr>
              <w:spacing w:after="0"/>
              <w:rPr>
                <w:sz w:val="19"/>
                <w:szCs w:val="19"/>
                <w:color w:val="auto"/>
              </w:rPr>
            </w:pPr>
          </w:p>
        </w:tc>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R&amp;D</w:t>
            </w: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3,261.8</w:t>
            </w:r>
          </w:p>
        </w:tc>
      </w:tr>
      <w:tr>
        <w:trPr>
          <w:trHeight w:val="229"/>
        </w:trPr>
        <w:tc>
          <w:tcPr>
            <w:tcW w:w="80" w:type="dxa"/>
            <w:vAlign w:val="bottom"/>
          </w:tcPr>
          <w:p>
            <w:pPr>
              <w:spacing w:after="0"/>
              <w:rPr>
                <w:sz w:val="19"/>
                <w:szCs w:val="19"/>
                <w:color w:val="auto"/>
              </w:rPr>
            </w:pPr>
          </w:p>
        </w:tc>
        <w:tc>
          <w:tcPr>
            <w:tcW w:w="514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123.7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369.1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356.0</w:t>
            </w:r>
          </w:p>
        </w:tc>
      </w:tr>
      <w:tr>
        <w:trPr>
          <w:trHeight w:val="230"/>
        </w:trPr>
        <w:tc>
          <w:tcPr>
            <w:tcW w:w="80" w:type="dxa"/>
            <w:vAlign w:val="bottom"/>
          </w:tcPr>
          <w:p>
            <w:pPr>
              <w:spacing w:after="0"/>
              <w:rPr>
                <w:sz w:val="19"/>
                <w:szCs w:val="19"/>
                <w:color w:val="auto"/>
              </w:rPr>
            </w:pPr>
          </w:p>
        </w:tc>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 and integration costs</w:t>
            </w:r>
          </w:p>
        </w:tc>
        <w:tc>
          <w:tcPr>
            <w:tcW w:w="10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223"/>
        </w:trPr>
        <w:tc>
          <w:tcPr>
            <w:tcW w:w="8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Non-GAAP R&amp;D</w:t>
            </w:r>
          </w:p>
        </w:tc>
        <w:tc>
          <w:tcPr>
            <w:tcW w:w="10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1,145.8</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3,339.7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2,888.1</w:t>
            </w:r>
          </w:p>
        </w:tc>
      </w:tr>
      <w:tr>
        <w:trPr>
          <w:trHeight w:val="20"/>
        </w:trPr>
        <w:tc>
          <w:tcPr>
            <w:tcW w:w="80" w:type="dxa"/>
            <w:vAlign w:val="bottom"/>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29"/>
        </w:trPr>
        <w:tc>
          <w:tcPr>
            <w:tcW w:w="80" w:type="dxa"/>
            <w:vAlign w:val="bottom"/>
          </w:tcPr>
          <w:p>
            <w:pPr>
              <w:spacing w:after="0"/>
              <w:rPr>
                <w:sz w:val="11"/>
                <w:szCs w:val="11"/>
                <w:color w:val="auto"/>
              </w:rPr>
            </w:pPr>
          </w:p>
        </w:tc>
        <w:tc>
          <w:tcPr>
            <w:tcW w:w="5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230"/>
        </w:trPr>
        <w:tc>
          <w:tcPr>
            <w:tcW w:w="8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GAAP SG&amp;A</w:t>
            </w:r>
          </w:p>
        </w:tc>
        <w:tc>
          <w:tcPr>
            <w:tcW w:w="1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714.4</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640.5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2,162.2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1,893.6</w:t>
            </w:r>
          </w:p>
        </w:tc>
      </w:tr>
      <w:tr>
        <w:trPr>
          <w:trHeight w:val="229"/>
        </w:trPr>
        <w:tc>
          <w:tcPr>
            <w:tcW w:w="80" w:type="dxa"/>
            <w:vAlign w:val="bottom"/>
          </w:tcPr>
          <w:p>
            <w:pPr>
              <w:spacing w:after="0"/>
              <w:rPr>
                <w:sz w:val="19"/>
                <w:szCs w:val="19"/>
                <w:color w:val="auto"/>
              </w:rPr>
            </w:pPr>
          </w:p>
        </w:tc>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 expense</w:t>
            </w: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w:t>
            </w:r>
          </w:p>
        </w:tc>
      </w:tr>
      <w:tr>
        <w:trPr>
          <w:trHeight w:val="229"/>
        </w:trPr>
        <w:tc>
          <w:tcPr>
            <w:tcW w:w="80" w:type="dxa"/>
            <w:vAlign w:val="bottom"/>
          </w:tcPr>
          <w:p>
            <w:pPr>
              <w:spacing w:after="0"/>
              <w:rPr>
                <w:sz w:val="19"/>
                <w:szCs w:val="19"/>
                <w:color w:val="auto"/>
              </w:rPr>
            </w:pPr>
          </w:p>
        </w:tc>
        <w:tc>
          <w:tcPr>
            <w:tcW w:w="51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Acquisition, integration, and other costs</w:t>
            </w:r>
          </w:p>
        </w:tc>
        <w:tc>
          <w:tcPr>
            <w:tcW w:w="10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w:t>
            </w:r>
          </w:p>
        </w:tc>
      </w:tr>
      <w:tr>
        <w:trPr>
          <w:trHeight w:val="248"/>
        </w:trPr>
        <w:tc>
          <w:tcPr>
            <w:tcW w:w="8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SG&amp;A</w:t>
            </w: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1,610.6</w:t>
            </w:r>
          </w:p>
        </w:tc>
      </w:tr>
      <w:tr>
        <w:trPr>
          <w:trHeight w:val="20"/>
        </w:trPr>
        <w:tc>
          <w:tcPr>
            <w:tcW w:w="80" w:type="dxa"/>
            <w:vAlign w:val="bottom"/>
          </w:tcPr>
          <w:p>
            <w:pPr>
              <w:spacing w:after="0" w:line="20" w:lineRule="exact"/>
              <w:rPr>
                <w:sz w:val="1"/>
                <w:szCs w:val="1"/>
                <w:color w:val="auto"/>
              </w:rPr>
            </w:pPr>
          </w:p>
        </w:tc>
        <w:tc>
          <w:tcPr>
            <w:tcW w:w="5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80" w:type="dxa"/>
            <w:vAlign w:val="bottom"/>
          </w:tcPr>
          <w:p>
            <w:pPr>
              <w:spacing w:after="0"/>
              <w:rPr>
                <w:sz w:val="9"/>
                <w:szCs w:val="9"/>
                <w:color w:val="auto"/>
              </w:rPr>
            </w:pPr>
          </w:p>
        </w:tc>
        <w:tc>
          <w:tcPr>
            <w:tcW w:w="5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229"/>
        </w:trPr>
        <w:tc>
          <w:tcPr>
            <w:tcW w:w="80" w:type="dxa"/>
            <w:vAlign w:val="bottom"/>
          </w:tcPr>
          <w:p>
            <w:pPr>
              <w:spacing w:after="0"/>
              <w:rPr>
                <w:sz w:val="19"/>
                <w:szCs w:val="19"/>
                <w:color w:val="auto"/>
              </w:rPr>
            </w:pPr>
          </w:p>
        </w:tc>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COGS</w:t>
            </w:r>
          </w:p>
        </w:tc>
        <w:tc>
          <w:tcPr>
            <w:tcW w:w="1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625.3</w:t>
            </w:r>
          </w:p>
        </w:tc>
      </w:tr>
      <w:tr>
        <w:trPr>
          <w:trHeight w:val="229"/>
        </w:trPr>
        <w:tc>
          <w:tcPr>
            <w:tcW w:w="80" w:type="dxa"/>
            <w:vAlign w:val="bottom"/>
          </w:tcPr>
          <w:p>
            <w:pPr>
              <w:spacing w:after="0"/>
              <w:rPr>
                <w:sz w:val="19"/>
                <w:szCs w:val="19"/>
                <w:color w:val="auto"/>
              </w:rPr>
            </w:pPr>
          </w:p>
        </w:tc>
        <w:tc>
          <w:tcPr>
            <w:tcW w:w="514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64.1</w:t>
            </w:r>
          </w:p>
        </w:tc>
      </w:tr>
      <w:tr>
        <w:trPr>
          <w:trHeight w:val="230"/>
        </w:trPr>
        <w:tc>
          <w:tcPr>
            <w:tcW w:w="80" w:type="dxa"/>
            <w:vAlign w:val="bottom"/>
          </w:tcPr>
          <w:p>
            <w:pPr>
              <w:spacing w:after="0"/>
              <w:rPr>
                <w:sz w:val="19"/>
                <w:szCs w:val="19"/>
                <w:color w:val="auto"/>
              </w:rPr>
            </w:pPr>
          </w:p>
        </w:tc>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 and integration costs</w:t>
            </w: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80" w:type="dxa"/>
            <w:vAlign w:val="bottom"/>
          </w:tcPr>
          <w:p>
            <w:pPr>
              <w:spacing w:after="0"/>
              <w:rPr>
                <w:sz w:val="19"/>
                <w:szCs w:val="19"/>
                <w:color w:val="auto"/>
              </w:rPr>
            </w:pPr>
          </w:p>
        </w:tc>
        <w:tc>
          <w:tcPr>
            <w:tcW w:w="5140" w:type="dxa"/>
            <w:vAlign w:val="bottom"/>
          </w:tcPr>
          <w:p>
            <w:pPr>
              <w:ind w:left="220"/>
              <w:spacing w:after="0"/>
              <w:rPr>
                <w:sz w:val="20"/>
                <w:szCs w:val="20"/>
                <w:color w:val="auto"/>
              </w:rPr>
            </w:pPr>
            <w:r>
              <w:rPr>
                <w:rFonts w:ascii="Arial" w:cs="Arial" w:eastAsia="Arial" w:hAnsi="Arial"/>
                <w:sz w:val="18"/>
                <w:szCs w:val="18"/>
                <w:color w:val="auto"/>
              </w:rPr>
              <w:t>Intangible asset amortization expense</w:t>
            </w: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59.0</w:t>
            </w:r>
          </w:p>
        </w:tc>
      </w:tr>
      <w:tr>
        <w:trPr>
          <w:trHeight w:val="230"/>
        </w:trPr>
        <w:tc>
          <w:tcPr>
            <w:tcW w:w="80" w:type="dxa"/>
            <w:vAlign w:val="bottom"/>
          </w:tcPr>
          <w:p>
            <w:pPr>
              <w:spacing w:after="0"/>
              <w:rPr>
                <w:sz w:val="19"/>
                <w:szCs w:val="19"/>
                <w:color w:val="auto"/>
              </w:rPr>
            </w:pPr>
          </w:p>
        </w:tc>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Charges related to REGEN-COV</w:t>
            </w: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3"/>
        </w:trPr>
        <w:tc>
          <w:tcPr>
            <w:tcW w:w="8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Non-GAAP COGS</w:t>
            </w:r>
          </w:p>
        </w:tc>
        <w:tc>
          <w:tcPr>
            <w:tcW w:w="10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217.4</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180.8</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627.0</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510.8</w:t>
            </w:r>
          </w:p>
        </w:tc>
      </w:tr>
      <w:tr>
        <w:trPr>
          <w:trHeight w:val="20"/>
        </w:trPr>
        <w:tc>
          <w:tcPr>
            <w:tcW w:w="80" w:type="dxa"/>
            <w:vAlign w:val="bottom"/>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29"/>
        </w:trPr>
        <w:tc>
          <w:tcPr>
            <w:tcW w:w="80" w:type="dxa"/>
            <w:vAlign w:val="bottom"/>
          </w:tcPr>
          <w:p>
            <w:pPr>
              <w:spacing w:after="0"/>
              <w:rPr>
                <w:sz w:val="11"/>
                <w:szCs w:val="11"/>
                <w:color w:val="auto"/>
              </w:rPr>
            </w:pPr>
          </w:p>
        </w:tc>
        <w:tc>
          <w:tcPr>
            <w:tcW w:w="5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230"/>
        </w:trPr>
        <w:tc>
          <w:tcPr>
            <w:tcW w:w="8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GAAP other operating expense (income), net</w:t>
            </w:r>
          </w:p>
        </w:tc>
        <w:tc>
          <w:tcPr>
            <w:tcW w:w="1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80" w:type="dxa"/>
            <w:vAlign w:val="bottom"/>
          </w:tcPr>
          <w:p>
            <w:pPr>
              <w:spacing w:after="0"/>
              <w:rPr>
                <w:sz w:val="19"/>
                <w:szCs w:val="19"/>
                <w:color w:val="auto"/>
              </w:rPr>
            </w:pPr>
          </w:p>
        </w:tc>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fair value of contingent consideration</w:t>
            </w: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Non-GAAP other operating expense (income), net</w:t>
            </w:r>
          </w:p>
        </w:tc>
        <w:tc>
          <w:tcPr>
            <w:tcW w:w="10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80" w:type="dxa"/>
            <w:vAlign w:val="bottom"/>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29"/>
        </w:trPr>
        <w:tc>
          <w:tcPr>
            <w:tcW w:w="80" w:type="dxa"/>
            <w:vAlign w:val="bottom"/>
          </w:tcPr>
          <w:p>
            <w:pPr>
              <w:spacing w:after="0"/>
              <w:rPr>
                <w:sz w:val="11"/>
                <w:szCs w:val="11"/>
                <w:color w:val="auto"/>
              </w:rPr>
            </w:pPr>
          </w:p>
        </w:tc>
        <w:tc>
          <w:tcPr>
            <w:tcW w:w="5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230"/>
        </w:trPr>
        <w:tc>
          <w:tcPr>
            <w:tcW w:w="8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GAAP other income (expense), net</w:t>
            </w:r>
          </w:p>
        </w:tc>
        <w:tc>
          <w:tcPr>
            <w:tcW w:w="1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313.5</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821.3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(22.5)</w:t>
            </w:r>
          </w:p>
        </w:tc>
      </w:tr>
      <w:tr>
        <w:trPr>
          <w:trHeight w:val="230"/>
        </w:trPr>
        <w:tc>
          <w:tcPr>
            <w:tcW w:w="80" w:type="dxa"/>
            <w:vAlign w:val="bottom"/>
          </w:tcPr>
          <w:p>
            <w:pPr>
              <w:spacing w:after="0"/>
              <w:rPr>
                <w:sz w:val="19"/>
                <w:szCs w:val="19"/>
                <w:color w:val="auto"/>
              </w:rPr>
            </w:pPr>
          </w:p>
        </w:tc>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(Gains) losses on investments, net</w:t>
            </w:r>
          </w:p>
        </w:tc>
        <w:tc>
          <w:tcPr>
            <w:tcW w:w="10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324.5</w:t>
            </w:r>
          </w:p>
        </w:tc>
      </w:tr>
      <w:tr>
        <w:trPr>
          <w:trHeight w:val="223"/>
        </w:trPr>
        <w:tc>
          <w:tcPr>
            <w:tcW w:w="8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Non-GAAP other income (expense), net</w:t>
            </w:r>
          </w:p>
        </w:tc>
        <w:tc>
          <w:tcPr>
            <w:tcW w:w="10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178.8</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302.0</w:t>
            </w:r>
          </w:p>
        </w:tc>
      </w:tr>
      <w:tr>
        <w:trPr>
          <w:trHeight w:val="20"/>
        </w:trPr>
        <w:tc>
          <w:tcPr>
            <w:tcW w:w="80" w:type="dxa"/>
            <w:vAlign w:val="bottom"/>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29"/>
        </w:trPr>
        <w:tc>
          <w:tcPr>
            <w:tcW w:w="80" w:type="dxa"/>
            <w:vAlign w:val="bottom"/>
          </w:tcPr>
          <w:p>
            <w:pPr>
              <w:spacing w:after="0"/>
              <w:rPr>
                <w:sz w:val="11"/>
                <w:szCs w:val="11"/>
                <w:color w:val="auto"/>
              </w:rPr>
            </w:pPr>
          </w:p>
        </w:tc>
        <w:tc>
          <w:tcPr>
            <w:tcW w:w="5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230"/>
        </w:trPr>
        <w:tc>
          <w:tcPr>
            <w:tcW w:w="8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GAAP net income</w:t>
            </w:r>
          </w:p>
        </w:tc>
        <w:tc>
          <w:tcPr>
            <w:tcW w:w="1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1,340.6</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1,007.8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3,494.9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2,794.0</w:t>
            </w:r>
          </w:p>
        </w:tc>
      </w:tr>
      <w:tr>
        <w:trPr>
          <w:trHeight w:val="230"/>
        </w:trPr>
        <w:tc>
          <w:tcPr>
            <w:tcW w:w="80" w:type="dxa"/>
            <w:vAlign w:val="bottom"/>
          </w:tcPr>
          <w:p>
            <w:pPr>
              <w:spacing w:after="0"/>
              <w:rPr>
                <w:sz w:val="19"/>
                <w:szCs w:val="19"/>
                <w:color w:val="auto"/>
              </w:rPr>
            </w:pPr>
          </w:p>
        </w:tc>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of GAAP to non-GAAP reconciling items above</w:t>
            </w: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1,095.7</w:t>
            </w:r>
          </w:p>
        </w:tc>
      </w:tr>
      <w:tr>
        <w:trPr>
          <w:trHeight w:val="230"/>
        </w:trPr>
        <w:tc>
          <w:tcPr>
            <w:tcW w:w="80" w:type="dxa"/>
            <w:vAlign w:val="bottom"/>
          </w:tcPr>
          <w:p>
            <w:pPr>
              <w:spacing w:after="0"/>
              <w:rPr>
                <w:sz w:val="19"/>
                <w:szCs w:val="19"/>
                <w:color w:val="auto"/>
              </w:rPr>
            </w:pPr>
          </w:p>
        </w:tc>
        <w:tc>
          <w:tcPr>
            <w:tcW w:w="51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Income tax effect of GAAP to non-GAAP reconciling items</w:t>
            </w:r>
          </w:p>
        </w:tc>
        <w:tc>
          <w:tcPr>
            <w:tcW w:w="10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(211.5)</w:t>
            </w:r>
          </w:p>
        </w:tc>
      </w:tr>
      <w:tr>
        <w:trPr>
          <w:trHeight w:val="248"/>
        </w:trPr>
        <w:tc>
          <w:tcPr>
            <w:tcW w:w="8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net income</w:t>
            </w: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3,678.2</w:t>
            </w:r>
          </w:p>
        </w:tc>
      </w:tr>
      <w:tr>
        <w:trPr>
          <w:trHeight w:val="20"/>
        </w:trPr>
        <w:tc>
          <w:tcPr>
            <w:tcW w:w="80" w:type="dxa"/>
            <w:vAlign w:val="bottom"/>
          </w:tcPr>
          <w:p>
            <w:pPr>
              <w:spacing w:after="0" w:line="20" w:lineRule="exact"/>
              <w:rPr>
                <w:sz w:val="1"/>
                <w:szCs w:val="1"/>
                <w:color w:val="auto"/>
              </w:rPr>
            </w:pPr>
          </w:p>
        </w:tc>
        <w:tc>
          <w:tcPr>
            <w:tcW w:w="5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80" w:type="dxa"/>
            <w:vAlign w:val="bottom"/>
          </w:tcPr>
          <w:p>
            <w:pPr>
              <w:spacing w:after="0"/>
              <w:rPr>
                <w:sz w:val="9"/>
                <w:szCs w:val="9"/>
                <w:color w:val="auto"/>
              </w:rPr>
            </w:pPr>
          </w:p>
        </w:tc>
        <w:tc>
          <w:tcPr>
            <w:tcW w:w="5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230"/>
        </w:trPr>
        <w:tc>
          <w:tcPr>
            <w:tcW w:w="80" w:type="dxa"/>
            <w:vAlign w:val="bottom"/>
          </w:tcPr>
          <w:p>
            <w:pPr>
              <w:spacing w:after="0"/>
              <w:rPr>
                <w:sz w:val="19"/>
                <w:szCs w:val="19"/>
                <w:color w:val="auto"/>
              </w:rPr>
            </w:pPr>
          </w:p>
        </w:tc>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net income per share - basic</w:t>
            </w:r>
          </w:p>
        </w:tc>
        <w:tc>
          <w:tcPr>
            <w:tcW w:w="1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34.44</w:t>
            </w:r>
          </w:p>
        </w:tc>
      </w:tr>
      <w:tr>
        <w:trPr>
          <w:trHeight w:val="230"/>
        </w:trPr>
        <w:tc>
          <w:tcPr>
            <w:tcW w:w="8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Non-GAAP net income per share - diluted</w:t>
            </w:r>
          </w:p>
        </w:tc>
        <w:tc>
          <w:tcPr>
            <w:tcW w:w="1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12.46</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11.59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33.53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31.90</w:t>
            </w:r>
          </w:p>
        </w:tc>
      </w:tr>
      <w:tr>
        <w:trPr>
          <w:trHeight w:val="162"/>
        </w:trPr>
        <w:tc>
          <w:tcPr>
            <w:tcW w:w="80" w:type="dxa"/>
            <w:vAlign w:val="bottom"/>
          </w:tcPr>
          <w:p>
            <w:pPr>
              <w:spacing w:after="0"/>
              <w:rPr>
                <w:sz w:val="14"/>
                <w:szCs w:val="14"/>
                <w:color w:val="auto"/>
              </w:rPr>
            </w:pPr>
          </w:p>
        </w:tc>
        <w:tc>
          <w:tcPr>
            <w:tcW w:w="5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229"/>
        </w:trPr>
        <w:tc>
          <w:tcPr>
            <w:tcW w:w="8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8"/>
                <w:szCs w:val="18"/>
                <w:i w:val="1"/>
                <w:iCs w:val="1"/>
                <w:color w:val="auto"/>
              </w:rPr>
              <w:t>Shares used in calculating:</w:t>
            </w: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net income per share - basic</w:t>
            </w: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w:t>
            </w:r>
          </w:p>
        </w:tc>
      </w:tr>
      <w:tr>
        <w:trPr>
          <w:trHeight w:val="239"/>
        </w:trPr>
        <w:tc>
          <w:tcPr>
            <w:tcW w:w="8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Non-GAAP net income per share - diluted</w:t>
            </w: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117.4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117.2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115.3</w:t>
            </w:r>
          </w:p>
        </w:tc>
      </w:tr>
      <w:tr>
        <w:trPr>
          <w:trHeight w:val="841"/>
        </w:trPr>
        <w:tc>
          <w:tcPr>
            <w:tcW w:w="8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0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14</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180"/>
          </w:cols>
          <w:pgMar w:left="320" w:top="890" w:right="39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9720" w:type="dxa"/>
            <w:vAlign w:val="bottom"/>
            <w:gridSpan w:val="9"/>
          </w:tcPr>
          <w:p>
            <w:pPr>
              <w:ind w:left="1420"/>
              <w:spacing w:after="0"/>
              <w:rPr>
                <w:sz w:val="20"/>
                <w:szCs w:val="20"/>
                <w:color w:val="auto"/>
              </w:rPr>
            </w:pPr>
            <w:r>
              <w:rPr>
                <w:rFonts w:ascii="Arial" w:cs="Arial" w:eastAsia="Arial" w:hAnsi="Arial"/>
                <w:sz w:val="18"/>
                <w:szCs w:val="18"/>
                <w:b w:val="1"/>
                <w:bCs w:val="1"/>
                <w:color w:val="auto"/>
              </w:rPr>
              <w:t xml:space="preserve">RECONCILIATION OF GAAP TO NON-GAAP FINANCIAL INFORMATION (Unaudited) </w:t>
            </w:r>
            <w:r>
              <w:rPr>
                <w:rFonts w:ascii="Arial" w:cs="Arial" w:eastAsia="Arial" w:hAnsi="Arial"/>
                <w:sz w:val="18"/>
                <w:szCs w:val="18"/>
                <w:b w:val="1"/>
                <w:bCs w:val="1"/>
                <w:i w:val="1"/>
                <w:iCs w:val="1"/>
                <w:color w:val="auto"/>
              </w:rPr>
              <w:t>(continued)</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2"/>
        </w:trPr>
        <w:tc>
          <w:tcPr>
            <w:tcW w:w="5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8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9"/>
              </w:rPr>
              <w:t>Three Months Ended</w:t>
            </w:r>
          </w:p>
        </w:tc>
        <w:tc>
          <w:tcPr>
            <w:tcW w:w="220" w:type="dxa"/>
            <w:vAlign w:val="bottom"/>
          </w:tcPr>
          <w:p>
            <w:pPr>
              <w:spacing w:after="0"/>
              <w:rPr>
                <w:sz w:val="24"/>
                <w:szCs w:val="24"/>
                <w:color w:val="auto"/>
              </w:rPr>
            </w:pPr>
          </w:p>
        </w:tc>
        <w:tc>
          <w:tcPr>
            <w:tcW w:w="218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3"/>
        </w:trPr>
        <w:tc>
          <w:tcPr>
            <w:tcW w:w="5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8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9"/>
              </w:rPr>
              <w:t>September 30,</w:t>
            </w:r>
          </w:p>
        </w:tc>
        <w:tc>
          <w:tcPr>
            <w:tcW w:w="220" w:type="dxa"/>
            <w:vAlign w:val="bottom"/>
          </w:tcPr>
          <w:p>
            <w:pPr>
              <w:spacing w:after="0"/>
              <w:rPr>
                <w:sz w:val="21"/>
                <w:szCs w:val="21"/>
                <w:color w:val="auto"/>
              </w:rPr>
            </w:pPr>
          </w:p>
        </w:tc>
        <w:tc>
          <w:tcPr>
            <w:tcW w:w="2180" w:type="dxa"/>
            <w:vAlign w:val="bottom"/>
            <w:gridSpan w:val="4"/>
          </w:tcPr>
          <w:p>
            <w:pPr>
              <w:ind w:left="36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596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09"/>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Revenue reconciliation:</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6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3,720.7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3,362.7</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10,412.8</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9,682.9</w:t>
            </w:r>
          </w:p>
        </w:tc>
        <w:tc>
          <w:tcPr>
            <w:tcW w:w="0" w:type="dxa"/>
            <w:vAlign w:val="bottom"/>
          </w:tcPr>
          <w:p>
            <w:pPr>
              <w:spacing w:after="0"/>
              <w:rPr>
                <w:sz w:val="1"/>
                <w:szCs w:val="1"/>
                <w:color w:val="auto"/>
              </w:rPr>
            </w:pPr>
          </w:p>
        </w:tc>
      </w:tr>
      <w:tr>
        <w:trPr>
          <w:trHeight w:val="230"/>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Global gross profits earned in connection with sales of Ronapreve</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w:t>
            </w:r>
          </w:p>
        </w:tc>
        <w:tc>
          <w:tcPr>
            <w:tcW w:w="0" w:type="dxa"/>
            <w:vAlign w:val="bottom"/>
          </w:tcPr>
          <w:p>
            <w:pPr>
              <w:spacing w:after="0"/>
              <w:rPr>
                <w:sz w:val="1"/>
                <w:szCs w:val="1"/>
                <w:color w:val="auto"/>
              </w:rPr>
            </w:pPr>
          </w:p>
        </w:tc>
      </w:tr>
      <w:tr>
        <w:trPr>
          <w:trHeight w:val="229"/>
        </w:trPr>
        <w:tc>
          <w:tcPr>
            <w:tcW w:w="5960" w:type="dxa"/>
            <w:vAlign w:val="bottom"/>
          </w:tcPr>
          <w:p>
            <w:pPr>
              <w:ind w:left="22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48"/>
        </w:trPr>
        <w:tc>
          <w:tcPr>
            <w:tcW w:w="5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 excluding Ronapreve</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3,720.2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3,368.4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10,411.</w:t>
            </w:r>
            <w:r>
              <w:rPr>
                <w:rFonts w:ascii="Arial" w:cs="Arial" w:eastAsia="Arial" w:hAnsi="Arial"/>
                <w:sz w:val="18"/>
                <w:szCs w:val="18"/>
                <w:u w:val="single" w:color="auto"/>
                <w:color w:val="auto"/>
              </w:rPr>
              <w:t>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9,470.2</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59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Effective tax rate reconciliation:</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tcPr>
          <w:p>
            <w:pPr>
              <w:ind w:left="20"/>
              <w:spacing w:after="0"/>
              <w:rPr>
                <w:sz w:val="20"/>
                <w:szCs w:val="20"/>
                <w:color w:val="auto"/>
              </w:rPr>
            </w:pPr>
            <w:r>
              <w:rPr>
                <w:rFonts w:ascii="Arial" w:cs="Arial" w:eastAsia="Arial" w:hAnsi="Arial"/>
                <w:sz w:val="18"/>
                <w:szCs w:val="18"/>
                <w:color w:val="auto"/>
              </w:rPr>
              <w:t>GAAP ETR</w:t>
            </w:r>
          </w:p>
        </w:tc>
        <w:tc>
          <w:tcPr>
            <w:tcW w:w="24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ind w:left="380"/>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9"/>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effect of GAAP to non-GAAP reconciling items</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5960" w:type="dxa"/>
            <w:vAlign w:val="bottom"/>
          </w:tcPr>
          <w:p>
            <w:pPr>
              <w:ind w:left="20"/>
              <w:spacing w:after="0"/>
              <w:rPr>
                <w:sz w:val="20"/>
                <w:szCs w:val="20"/>
                <w:color w:val="auto"/>
              </w:rPr>
            </w:pPr>
            <w:r>
              <w:rPr>
                <w:rFonts w:ascii="Arial" w:cs="Arial" w:eastAsia="Arial" w:hAnsi="Arial"/>
                <w:sz w:val="18"/>
                <w:szCs w:val="18"/>
                <w:color w:val="auto"/>
              </w:rPr>
              <w:t>Non-GAAP ETR</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5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6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rPr>
              <w:t>Nine Months Ended</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Free cash flow reconciliation:</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3,157.7</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3,504.3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expenditures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Pr>
          <w:p>
            <w:pPr>
              <w:ind w:left="20"/>
              <w:spacing w:after="0"/>
              <w:rPr>
                <w:sz w:val="20"/>
                <w:szCs w:val="20"/>
                <w:color w:val="auto"/>
              </w:rPr>
            </w:pPr>
            <w:r>
              <w:rPr>
                <w:rFonts w:ascii="Arial" w:cs="Arial" w:eastAsia="Arial" w:hAnsi="Arial"/>
                <w:sz w:val="18"/>
                <w:szCs w:val="18"/>
                <w:color w:val="auto"/>
              </w:rPr>
              <w:t>Free cash flow</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2,601.4</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3,037.1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ind w:left="5400"/>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59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460" w:top="1133" w:right="45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260" w:type="dxa"/>
            <w:vAlign w:val="bottom"/>
            <w:gridSpan w:val="2"/>
          </w:tcPr>
          <w:p>
            <w:pPr>
              <w:spacing w:after="0"/>
              <w:rPr>
                <w:sz w:val="20"/>
                <w:szCs w:val="20"/>
                <w:color w:val="auto"/>
              </w:rPr>
            </w:pPr>
            <w:r>
              <w:rPr>
                <w:rFonts w:ascii="Arial" w:cs="Arial" w:eastAsia="Arial" w:hAnsi="Arial"/>
                <w:sz w:val="18"/>
                <w:szCs w:val="18"/>
                <w:color w:val="auto"/>
              </w:rPr>
              <w:t>TABLE 4</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6"/>
        </w:trPr>
        <w:tc>
          <w:tcPr>
            <w:tcW w:w="80" w:type="dxa"/>
            <w:vAlign w:val="bottom"/>
          </w:tcPr>
          <w:p>
            <w:pPr>
              <w:spacing w:after="0"/>
              <w:rPr>
                <w:sz w:val="24"/>
                <w:szCs w:val="24"/>
                <w:color w:val="auto"/>
              </w:rPr>
            </w:pPr>
          </w:p>
        </w:tc>
        <w:tc>
          <w:tcPr>
            <w:tcW w:w="7440" w:type="dxa"/>
            <w:vAlign w:val="bottom"/>
            <w:gridSpan w:val="4"/>
          </w:tcPr>
          <w:p>
            <w:pPr>
              <w:jc w:val="center"/>
              <w:ind w:left="3550"/>
              <w:spacing w:after="0"/>
              <w:rPr>
                <w:sz w:val="20"/>
                <w:szCs w:val="20"/>
                <w:color w:val="auto"/>
              </w:rPr>
            </w:pPr>
            <w:r>
              <w:rPr>
                <w:rFonts w:ascii="Arial" w:cs="Arial" w:eastAsia="Arial" w:hAnsi="Arial"/>
                <w:sz w:val="18"/>
                <w:szCs w:val="18"/>
                <w:b w:val="1"/>
                <w:bCs w:val="1"/>
                <w:color w:val="auto"/>
                <w:w w:val="99"/>
              </w:rPr>
              <w:t>REGENERON PHARMACEUTICALS, INC.</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7440" w:type="dxa"/>
            <w:vAlign w:val="bottom"/>
            <w:gridSpan w:val="4"/>
          </w:tcPr>
          <w:p>
            <w:pPr>
              <w:jc w:val="center"/>
              <w:ind w:left="3570"/>
              <w:spacing w:after="0"/>
              <w:rPr>
                <w:sz w:val="20"/>
                <w:szCs w:val="20"/>
                <w:color w:val="auto"/>
              </w:rPr>
            </w:pPr>
            <w:r>
              <w:rPr>
                <w:rFonts w:ascii="Arial" w:cs="Arial" w:eastAsia="Arial" w:hAnsi="Arial"/>
                <w:sz w:val="18"/>
                <w:szCs w:val="18"/>
                <w:b w:val="1"/>
                <w:bCs w:val="1"/>
                <w:color w:val="auto"/>
                <w:w w:val="99"/>
              </w:rPr>
              <w:t>COLLABORATION REVENUE (Unaudited)</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0" w:type="dxa"/>
            <w:vAlign w:val="bottom"/>
          </w:tcPr>
          <w:p>
            <w:pPr>
              <w:spacing w:after="0"/>
              <w:rPr>
                <w:sz w:val="21"/>
                <w:szCs w:val="21"/>
                <w:color w:val="auto"/>
              </w:rPr>
            </w:pPr>
          </w:p>
        </w:tc>
        <w:tc>
          <w:tcPr>
            <w:tcW w:w="6180" w:type="dxa"/>
            <w:vAlign w:val="bottom"/>
          </w:tcPr>
          <w:p>
            <w:pPr>
              <w:jc w:val="center"/>
              <w:ind w:left="4810"/>
              <w:spacing w:after="0"/>
              <w:rPr>
                <w:sz w:val="20"/>
                <w:szCs w:val="20"/>
                <w:color w:val="auto"/>
              </w:rPr>
            </w:pPr>
            <w:r>
              <w:rPr>
                <w:rFonts w:ascii="Arial" w:cs="Arial" w:eastAsia="Arial" w:hAnsi="Arial"/>
                <w:sz w:val="18"/>
                <w:szCs w:val="18"/>
                <w:b w:val="1"/>
                <w:bCs w:val="1"/>
                <w:i w:val="1"/>
                <w:iCs w:val="1"/>
                <w:color w:val="auto"/>
                <w:w w:val="98"/>
              </w:rPr>
              <w:t>(In millions)</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9"/>
        </w:trPr>
        <w:tc>
          <w:tcPr>
            <w:tcW w:w="8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8"/>
              </w:rPr>
              <w:t>Three Months Ended</w:t>
            </w:r>
          </w:p>
        </w:tc>
        <w:tc>
          <w:tcPr>
            <w:tcW w:w="240" w:type="dxa"/>
            <w:vAlign w:val="bottom"/>
          </w:tcPr>
          <w:p>
            <w:pPr>
              <w:spacing w:after="0"/>
              <w:rPr>
                <w:sz w:val="24"/>
                <w:szCs w:val="24"/>
                <w:color w:val="auto"/>
              </w:rPr>
            </w:pPr>
          </w:p>
        </w:tc>
        <w:tc>
          <w:tcPr>
            <w:tcW w:w="218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6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8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1"/>
                <w:szCs w:val="21"/>
                <w:color w:val="auto"/>
              </w:rPr>
            </w:pPr>
          </w:p>
        </w:tc>
        <w:tc>
          <w:tcPr>
            <w:tcW w:w="218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61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61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Sanofi collaboration revenue:</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6180" w:type="dxa"/>
            <w:vAlign w:val="bottom"/>
          </w:tcPr>
          <w:p>
            <w:pPr>
              <w:ind w:left="180"/>
              <w:spacing w:after="0" w:line="176" w:lineRule="exact"/>
              <w:rPr>
                <w:sz w:val="20"/>
                <w:szCs w:val="20"/>
                <w:color w:val="auto"/>
              </w:rPr>
            </w:pPr>
            <w:r>
              <w:rPr>
                <w:rFonts w:ascii="Arial" w:cs="Arial" w:eastAsia="Arial" w:hAnsi="Arial"/>
                <w:sz w:val="18"/>
                <w:szCs w:val="18"/>
                <w:color w:val="auto"/>
              </w:rPr>
              <w:t>Regeneron's share of profits in connection with commercialization of</w:t>
            </w: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1,088.3</w:t>
            </w:r>
          </w:p>
        </w:tc>
        <w:tc>
          <w:tcPr>
            <w:tcW w:w="120" w:type="dxa"/>
            <w:vAlign w:val="bottom"/>
          </w:tcPr>
          <w:p>
            <w:pPr>
              <w:spacing w:after="0"/>
              <w:rPr>
                <w:sz w:val="15"/>
                <w:szCs w:val="15"/>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863.0</w:t>
            </w:r>
          </w:p>
        </w:tc>
        <w:tc>
          <w:tcPr>
            <w:tcW w:w="100" w:type="dxa"/>
            <w:vAlign w:val="bottom"/>
          </w:tcPr>
          <w:p>
            <w:pPr>
              <w:spacing w:after="0"/>
              <w:rPr>
                <w:sz w:val="15"/>
                <w:szCs w:val="15"/>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2,880.6</w:t>
            </w:r>
          </w:p>
        </w:tc>
        <w:tc>
          <w:tcPr>
            <w:tcW w:w="100" w:type="dxa"/>
            <w:vAlign w:val="bottom"/>
          </w:tcPr>
          <w:p>
            <w:pPr>
              <w:spacing w:after="0"/>
              <w:rPr>
                <w:sz w:val="15"/>
                <w:szCs w:val="15"/>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2,250.6</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6180" w:type="dxa"/>
            <w:vAlign w:val="bottom"/>
          </w:tcPr>
          <w:p>
            <w:pPr>
              <w:ind w:left="340"/>
              <w:spacing w:after="0"/>
              <w:rPr>
                <w:sz w:val="20"/>
                <w:szCs w:val="20"/>
                <w:color w:val="auto"/>
              </w:rPr>
            </w:pPr>
            <w:r>
              <w:rPr>
                <w:rFonts w:ascii="Arial" w:cs="Arial" w:eastAsia="Arial" w:hAnsi="Arial"/>
                <w:sz w:val="18"/>
                <w:szCs w:val="18"/>
                <w:color w:val="auto"/>
              </w:rPr>
              <w:t>antibodies</w:t>
            </w:r>
          </w:p>
        </w:tc>
        <w:tc>
          <w:tcPr>
            <w:tcW w:w="220" w:type="dxa"/>
            <w:vAlign w:val="bottom"/>
            <w:vMerge w:val="continue"/>
          </w:tcPr>
          <w:p>
            <w:pPr>
              <w:spacing w:after="0"/>
              <w:rPr>
                <w:sz w:val="21"/>
                <w:szCs w:val="21"/>
                <w:color w:val="auto"/>
              </w:rPr>
            </w:pPr>
          </w:p>
        </w:tc>
        <w:tc>
          <w:tcPr>
            <w:tcW w:w="9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vMerge w:val="continue"/>
          </w:tcPr>
          <w:p>
            <w:pPr>
              <w:spacing w:after="0"/>
              <w:rPr>
                <w:sz w:val="21"/>
                <w:szCs w:val="21"/>
                <w:color w:val="auto"/>
              </w:rPr>
            </w:pPr>
          </w:p>
        </w:tc>
        <w:tc>
          <w:tcPr>
            <w:tcW w:w="9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vMerge w:val="continue"/>
          </w:tcPr>
          <w:p>
            <w:pPr>
              <w:spacing w:after="0"/>
              <w:rPr>
                <w:sz w:val="21"/>
                <w:szCs w:val="21"/>
                <w:color w:val="auto"/>
              </w:rPr>
            </w:pPr>
          </w:p>
        </w:tc>
        <w:tc>
          <w:tcPr>
            <w:tcW w:w="9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vMerge w:val="continue"/>
          </w:tcPr>
          <w:p>
            <w:pPr>
              <w:spacing w:after="0"/>
              <w:rPr>
                <w:sz w:val="21"/>
                <w:szCs w:val="21"/>
                <w:color w:val="auto"/>
              </w:rPr>
            </w:pPr>
          </w:p>
        </w:tc>
        <w:tc>
          <w:tcPr>
            <w:tcW w:w="9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Sales-based milestones earned</w:t>
            </w: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61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Reimbursement for manufacturing of commercial supplies</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506.0</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Sanofi collaboration revenue</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1,263.4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3,318.8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2,806.6</w:t>
            </w: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6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61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Bayer collaboration revenue:</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6180" w:type="dxa"/>
            <w:vAlign w:val="bottom"/>
          </w:tcPr>
          <w:p>
            <w:pPr>
              <w:ind w:left="180"/>
              <w:spacing w:after="0" w:line="176" w:lineRule="exact"/>
              <w:rPr>
                <w:sz w:val="20"/>
                <w:szCs w:val="20"/>
                <w:color w:val="auto"/>
              </w:rPr>
            </w:pPr>
            <w:r>
              <w:rPr>
                <w:rFonts w:ascii="Arial" w:cs="Arial" w:eastAsia="Arial" w:hAnsi="Arial"/>
                <w:sz w:val="18"/>
                <w:szCs w:val="18"/>
                <w:color w:val="auto"/>
              </w:rPr>
              <w:t>Regeneron's share of profits in connection with commercialization of</w:t>
            </w:r>
          </w:p>
        </w:tc>
        <w:tc>
          <w:tcPr>
            <w:tcW w:w="2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367.6</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349.9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1,054.5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1,031.0</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6180" w:type="dxa"/>
            <w:vAlign w:val="bottom"/>
          </w:tcPr>
          <w:p>
            <w:pPr>
              <w:ind w:left="340"/>
              <w:spacing w:after="0"/>
              <w:rPr>
                <w:sz w:val="20"/>
                <w:szCs w:val="20"/>
                <w:color w:val="auto"/>
              </w:rPr>
            </w:pPr>
            <w:r>
              <w:rPr>
                <w:rFonts w:ascii="Arial" w:cs="Arial" w:eastAsia="Arial" w:hAnsi="Arial"/>
                <w:sz w:val="18"/>
                <w:szCs w:val="18"/>
                <w:color w:val="auto"/>
              </w:rPr>
              <w:t>EYLEA 8 mg and EYLEA outside the United States</w:t>
            </w:r>
          </w:p>
        </w:tc>
        <w:tc>
          <w:tcPr>
            <w:tcW w:w="22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Reimbursement for manufacturing of ex-U.S. commercial supplies</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6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Bayer collaboration revenue</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1,110.7</w:t>
            </w: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6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6180" w:type="dxa"/>
            <w:vAlign w:val="bottom"/>
          </w:tcPr>
          <w:p>
            <w:pPr>
              <w:ind w:left="20"/>
              <w:spacing w:after="0"/>
              <w:rPr>
                <w:sz w:val="20"/>
                <w:szCs w:val="20"/>
                <w:color w:val="auto"/>
              </w:rPr>
            </w:pPr>
            <w:r>
              <w:rPr>
                <w:rFonts w:ascii="Arial" w:cs="Arial" w:eastAsia="Arial" w:hAnsi="Arial"/>
                <w:sz w:val="18"/>
                <w:szCs w:val="18"/>
                <w:i w:val="1"/>
                <w:iCs w:val="1"/>
                <w:color w:val="auto"/>
              </w:rPr>
              <w:t>Other collaboration revenue:</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61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Global gross profits earned from Roche in connection with sales of</w:t>
            </w:r>
          </w:p>
        </w:tc>
        <w:tc>
          <w:tcPr>
            <w:tcW w:w="2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222.2</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6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Ronapreve</w:t>
            </w:r>
          </w:p>
        </w:tc>
        <w:tc>
          <w:tcPr>
            <w:tcW w:w="220" w:type="dxa"/>
            <w:vAlign w:val="bottom"/>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6180" w:type="dxa"/>
            <w:vAlign w:val="bottom"/>
          </w:tcPr>
          <w:p>
            <w:pPr>
              <w:ind w:left="18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618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6180" w:type="dxa"/>
            <w:vAlign w:val="bottom"/>
          </w:tcPr>
          <w:p>
            <w:pPr>
              <w:ind w:left="20"/>
              <w:spacing w:after="0"/>
              <w:rPr>
                <w:sz w:val="20"/>
                <w:szCs w:val="20"/>
                <w:color w:val="auto"/>
              </w:rPr>
            </w:pPr>
            <w:r>
              <w:rPr>
                <w:rFonts w:ascii="Arial" w:cs="Arial" w:eastAsia="Arial" w:hAnsi="Arial"/>
                <w:sz w:val="18"/>
                <w:szCs w:val="18"/>
                <w:color w:val="auto"/>
              </w:rPr>
              <w:t>Total collaboration revenue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1,660.1</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1,438.3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4,450.9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4,133.1</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80"/>
          </w:cols>
          <w:pgMar w:left="320" w:top="890" w:right="39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TABLE 5</w:t>
      </w:r>
    </w:p>
    <w:p>
      <w:pPr>
        <w:spacing w:after="0" w:line="77" w:lineRule="exact"/>
        <w:rPr>
          <w:sz w:val="20"/>
          <w:szCs w:val="20"/>
          <w:color w:val="auto"/>
        </w:rPr>
      </w:pPr>
    </w:p>
    <w:p>
      <w:pPr>
        <w:jc w:val="center"/>
        <w:ind w:left="340" w:right="2200"/>
        <w:spacing w:after="0" w:line="284" w:lineRule="auto"/>
        <w:rPr>
          <w:sz w:val="20"/>
          <w:szCs w:val="20"/>
          <w:color w:val="auto"/>
        </w:rPr>
      </w:pPr>
      <w:r>
        <w:rPr>
          <w:rFonts w:ascii="Arial" w:cs="Arial" w:eastAsia="Arial" w:hAnsi="Arial"/>
          <w:sz w:val="18"/>
          <w:szCs w:val="18"/>
          <w:b w:val="1"/>
          <w:bCs w:val="1"/>
          <w:color w:val="auto"/>
        </w:rPr>
        <w:t xml:space="preserve">REGENERON PHARMACEUTICALS, INC. NET PRODUCT SALES OF REGENERON-DISCOVERED PRODUCTS (Unaudited) </w:t>
      </w:r>
      <w:r>
        <w:rPr>
          <w:rFonts w:ascii="Arial" w:cs="Arial" w:eastAsia="Arial" w:hAnsi="Arial"/>
          <w:sz w:val="18"/>
          <w:szCs w:val="18"/>
          <w:b w:val="1"/>
          <w:bCs w:val="1"/>
          <w:i w:val="1"/>
          <w:iCs w:val="1"/>
          <w:color w:val="auto"/>
        </w:rPr>
        <w:t>(In millions)</w:t>
      </w:r>
    </w:p>
    <w:p>
      <w:pPr>
        <w:spacing w:after="0" w:line="307" w:lineRule="exact"/>
        <w:rPr>
          <w:sz w:val="20"/>
          <w:szCs w:val="20"/>
          <w:color w:val="auto"/>
        </w:rPr>
      </w:pPr>
    </w:p>
    <w:p>
      <w:pPr>
        <w:jc w:val="center"/>
        <w:ind w:left="1240"/>
        <w:spacing w:after="0"/>
        <w:rPr>
          <w:sz w:val="20"/>
          <w:szCs w:val="20"/>
          <w:color w:val="auto"/>
        </w:rPr>
      </w:pPr>
      <w:r>
        <w:rPr>
          <w:rFonts w:ascii="Arial" w:cs="Arial" w:eastAsia="Arial" w:hAnsi="Arial"/>
          <w:sz w:val="18"/>
          <w:szCs w:val="18"/>
          <w:b w:val="1"/>
          <w:bCs w:val="1"/>
          <w:color w:val="auto"/>
        </w:rPr>
        <w:t>Three Months Ended</w:t>
      </w:r>
    </w:p>
    <w:p>
      <w:pPr>
        <w:jc w:val="center"/>
        <w:ind w:left="1240"/>
        <w:spacing w:after="0"/>
        <w:rPr>
          <w:sz w:val="20"/>
          <w:szCs w:val="20"/>
          <w:color w:val="auto"/>
        </w:rPr>
      </w:pPr>
      <w:r>
        <w:rPr>
          <w:rFonts w:ascii="Arial" w:cs="Arial" w:eastAsia="Arial" w:hAnsi="Arial"/>
          <w:sz w:val="18"/>
          <w:szCs w:val="18"/>
          <w:b w:val="1"/>
          <w:bCs w:val="1"/>
          <w:color w:val="auto"/>
        </w:rPr>
        <w:t>September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9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2024</w:t>
            </w:r>
          </w:p>
        </w:tc>
        <w:tc>
          <w:tcPr>
            <w:tcW w:w="10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2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ind w:left="120"/>
              <w:spacing w:after="0"/>
              <w:rPr>
                <w:sz w:val="20"/>
                <w:szCs w:val="20"/>
                <w:color w:val="auto"/>
              </w:rPr>
            </w:pPr>
            <w:r>
              <w:rPr>
                <w:rFonts w:ascii="Arial" w:cs="Arial" w:eastAsia="Arial" w:hAnsi="Arial"/>
                <w:sz w:val="18"/>
                <w:szCs w:val="18"/>
                <w:b w:val="1"/>
                <w:bCs w:val="1"/>
                <w:color w:val="auto"/>
              </w:rPr>
              <w:t>U.S.</w:t>
            </w:r>
          </w:p>
        </w:tc>
        <w:tc>
          <w:tcPr>
            <w:tcW w:w="160" w:type="dxa"/>
            <w:vAlign w:val="bottom"/>
          </w:tcPr>
          <w:p>
            <w:pPr>
              <w:spacing w:after="0"/>
              <w:rPr>
                <w:sz w:val="19"/>
                <w:szCs w:val="19"/>
                <w:color w:val="auto"/>
              </w:rPr>
            </w:pPr>
          </w:p>
        </w:tc>
        <w:tc>
          <w:tcPr>
            <w:tcW w:w="960" w:type="dxa"/>
            <w:vAlign w:val="bottom"/>
            <w:gridSpan w:val="2"/>
          </w:tcPr>
          <w:p>
            <w:pPr>
              <w:jc w:val="center"/>
              <w:ind w:right="260"/>
              <w:spacing w:after="0" w:line="223" w:lineRule="exact"/>
              <w:rPr>
                <w:sz w:val="20"/>
                <w:szCs w:val="20"/>
                <w:color w:val="auto"/>
              </w:rPr>
            </w:pPr>
            <w:r>
              <w:rPr>
                <w:rFonts w:ascii="Arial" w:cs="Arial" w:eastAsia="Arial" w:hAnsi="Arial"/>
                <w:sz w:val="18"/>
                <w:szCs w:val="18"/>
                <w:b w:val="1"/>
                <w:bCs w:val="1"/>
                <w:color w:val="auto"/>
                <w:w w:val="92"/>
              </w:rPr>
              <w:t>ROW</w:t>
            </w:r>
            <w:r>
              <w:rPr>
                <w:rFonts w:ascii="Arial" w:cs="Arial" w:eastAsia="Arial" w:hAnsi="Arial"/>
                <w:sz w:val="23"/>
                <w:szCs w:val="23"/>
                <w:color w:val="auto"/>
                <w:w w:val="92"/>
                <w:vertAlign w:val="superscript"/>
              </w:rPr>
              <w:t>(g)</w:t>
            </w:r>
          </w:p>
        </w:tc>
        <w:tc>
          <w:tcPr>
            <w:tcW w:w="180" w:type="dxa"/>
            <w:vAlign w:val="bottom"/>
          </w:tcPr>
          <w:p>
            <w:pPr>
              <w:spacing w:after="0"/>
              <w:rPr>
                <w:sz w:val="19"/>
                <w:szCs w:val="19"/>
                <w:color w:val="auto"/>
              </w:rPr>
            </w:pPr>
          </w:p>
        </w:tc>
        <w:tc>
          <w:tcPr>
            <w:tcW w:w="86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ind w:left="120"/>
              <w:spacing w:after="0"/>
              <w:rPr>
                <w:sz w:val="20"/>
                <w:szCs w:val="20"/>
                <w:color w:val="auto"/>
              </w:rPr>
            </w:pPr>
            <w:r>
              <w:rPr>
                <w:rFonts w:ascii="Arial" w:cs="Arial" w:eastAsia="Arial" w:hAnsi="Arial"/>
                <w:sz w:val="18"/>
                <w:szCs w:val="18"/>
                <w:b w:val="1"/>
                <w:bCs w:val="1"/>
                <w:color w:val="auto"/>
              </w:rPr>
              <w:t>U.S.</w:t>
            </w:r>
          </w:p>
        </w:tc>
        <w:tc>
          <w:tcPr>
            <w:tcW w:w="220" w:type="dxa"/>
            <w:vAlign w:val="bottom"/>
          </w:tcPr>
          <w:p>
            <w:pPr>
              <w:spacing w:after="0"/>
              <w:rPr>
                <w:sz w:val="19"/>
                <w:szCs w:val="19"/>
                <w:color w:val="auto"/>
              </w:rPr>
            </w:pPr>
          </w:p>
        </w:tc>
        <w:tc>
          <w:tcPr>
            <w:tcW w:w="920" w:type="dxa"/>
            <w:vAlign w:val="bottom"/>
            <w:gridSpan w:val="2"/>
          </w:tcPr>
          <w:p>
            <w:pPr>
              <w:ind w:left="80"/>
              <w:spacing w:after="0"/>
              <w:rPr>
                <w:sz w:val="20"/>
                <w:szCs w:val="20"/>
                <w:color w:val="auto"/>
              </w:rPr>
            </w:pPr>
            <w:r>
              <w:rPr>
                <w:rFonts w:ascii="Arial" w:cs="Arial" w:eastAsia="Arial" w:hAnsi="Arial"/>
                <w:sz w:val="18"/>
                <w:szCs w:val="18"/>
                <w:b w:val="1"/>
                <w:bCs w:val="1"/>
                <w:color w:val="auto"/>
              </w:rPr>
              <w:t>ROW</w:t>
            </w:r>
          </w:p>
        </w:tc>
        <w:tc>
          <w:tcPr>
            <w:tcW w:w="220" w:type="dxa"/>
            <w:vAlign w:val="bottom"/>
          </w:tcPr>
          <w:p>
            <w:pPr>
              <w:spacing w:after="0"/>
              <w:rPr>
                <w:sz w:val="19"/>
                <w:szCs w:val="19"/>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8"/>
              </w:rPr>
              <w:t>(Total Sales)</w:t>
            </w:r>
          </w:p>
        </w:tc>
        <w:tc>
          <w:tcPr>
            <w:tcW w:w="0" w:type="dxa"/>
            <w:vAlign w:val="bottom"/>
          </w:tcPr>
          <w:p>
            <w:pPr>
              <w:spacing w:after="0"/>
              <w:rPr>
                <w:sz w:val="1"/>
                <w:szCs w:val="1"/>
                <w:color w:val="auto"/>
              </w:rPr>
            </w:pPr>
          </w:p>
        </w:tc>
      </w:tr>
      <w:tr>
        <w:trPr>
          <w:trHeight w:val="223"/>
        </w:trPr>
        <w:tc>
          <w:tcPr>
            <w:tcW w:w="290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EYLEA HD and EYLEA</w:t>
            </w:r>
            <w:r>
              <w:rPr>
                <w:rFonts w:ascii="Arial" w:cs="Arial" w:eastAsia="Arial" w:hAnsi="Arial"/>
                <w:sz w:val="23"/>
                <w:szCs w:val="23"/>
                <w:color w:val="auto"/>
                <w:vertAlign w:val="superscript"/>
              </w:rPr>
              <w:t>(a)</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2,468.6</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2,363.1</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29"/>
        </w:trPr>
        <w:tc>
          <w:tcPr>
            <w:tcW w:w="2900" w:type="dxa"/>
            <w:vAlign w:val="bottom"/>
          </w:tcPr>
          <w:p>
            <w:pPr>
              <w:ind w:left="20"/>
              <w:spacing w:after="0" w:line="230" w:lineRule="exact"/>
              <w:rPr>
                <w:sz w:val="20"/>
                <w:szCs w:val="20"/>
                <w:color w:val="auto"/>
              </w:rPr>
            </w:pPr>
            <w:r>
              <w:rPr>
                <w:rFonts w:ascii="Arial" w:cs="Arial" w:eastAsia="Arial" w:hAnsi="Arial"/>
                <w:sz w:val="18"/>
                <w:szCs w:val="18"/>
                <w:color w:val="auto"/>
              </w:rPr>
              <w:t>Dupixent</w:t>
            </w:r>
            <w:r>
              <w:rPr>
                <w:rFonts w:ascii="Arial" w:cs="Arial" w:eastAsia="Arial" w:hAnsi="Arial"/>
                <w:sz w:val="23"/>
                <w:szCs w:val="23"/>
                <w:color w:val="auto"/>
                <w:vertAlign w:val="superscript"/>
              </w:rPr>
              <w:t>(b)</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2,824.7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992.5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3,817.2</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2,366.3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731.3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3,097.6</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29"/>
        </w:trPr>
        <w:tc>
          <w:tcPr>
            <w:tcW w:w="29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Libtayo</w:t>
            </w:r>
            <w:r>
              <w:rPr>
                <w:rFonts w:ascii="Arial" w:cs="Arial" w:eastAsia="Arial" w:hAnsi="Arial"/>
                <w:sz w:val="23"/>
                <w:szCs w:val="23"/>
                <w:color w:val="auto"/>
                <w:vertAlign w:val="superscript"/>
              </w:rPr>
              <w:t>(c)</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232.4</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30"/>
        </w:trPr>
        <w:tc>
          <w:tcPr>
            <w:tcW w:w="2900" w:type="dxa"/>
            <w:vAlign w:val="bottom"/>
          </w:tcPr>
          <w:p>
            <w:pPr>
              <w:ind w:left="20"/>
              <w:spacing w:after="0" w:line="230" w:lineRule="exact"/>
              <w:rPr>
                <w:sz w:val="20"/>
                <w:szCs w:val="20"/>
                <w:color w:val="auto"/>
              </w:rPr>
            </w:pPr>
            <w:r>
              <w:rPr>
                <w:rFonts w:ascii="Arial" w:cs="Arial" w:eastAsia="Arial" w:hAnsi="Arial"/>
                <w:sz w:val="18"/>
                <w:szCs w:val="18"/>
                <w:color w:val="auto"/>
              </w:rPr>
              <w:t>Praluent</w:t>
            </w:r>
            <w:r>
              <w:rPr>
                <w:rFonts w:ascii="Arial" w:cs="Arial" w:eastAsia="Arial" w:hAnsi="Arial"/>
                <w:sz w:val="23"/>
                <w:szCs w:val="23"/>
                <w:color w:val="auto"/>
                <w:vertAlign w:val="superscript"/>
              </w:rPr>
              <w:t>(d)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52.9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138.5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191.4</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125.1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165.5</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29"/>
        </w:trPr>
        <w:tc>
          <w:tcPr>
            <w:tcW w:w="29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Kevzara</w:t>
            </w:r>
            <w:r>
              <w:rPr>
                <w:rFonts w:ascii="Arial" w:cs="Arial" w:eastAsia="Arial" w:hAnsi="Arial"/>
                <w:sz w:val="23"/>
                <w:szCs w:val="23"/>
                <w:color w:val="auto"/>
                <w:vertAlign w:val="superscript"/>
              </w:rPr>
              <w:t>(b)</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57"/>
        </w:trPr>
        <w:tc>
          <w:tcPr>
            <w:tcW w:w="2900" w:type="dxa"/>
            <w:vAlign w:val="bottom"/>
          </w:tcPr>
          <w:p>
            <w:pPr>
              <w:ind w:left="20"/>
              <w:spacing w:after="0" w:line="256" w:lineRule="exact"/>
              <w:rPr>
                <w:sz w:val="20"/>
                <w:szCs w:val="20"/>
                <w:color w:val="auto"/>
              </w:rPr>
            </w:pPr>
            <w:r>
              <w:rPr>
                <w:rFonts w:ascii="Arial" w:cs="Arial" w:eastAsia="Arial" w:hAnsi="Arial"/>
                <w:sz w:val="18"/>
                <w:szCs w:val="18"/>
                <w:color w:val="auto"/>
              </w:rPr>
              <w:t>REGEN-COV</w:t>
            </w:r>
            <w:r>
              <w:rPr>
                <w:rFonts w:ascii="Arial" w:cs="Arial" w:eastAsia="Arial" w:hAnsi="Arial"/>
                <w:sz w:val="23"/>
                <w:szCs w:val="23"/>
                <w:color w:val="auto"/>
                <w:vertAlign w:val="superscript"/>
              </w:rPr>
              <w:t>(e)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9"/>
        </w:trPr>
        <w:tc>
          <w:tcPr>
            <w:tcW w:w="29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Other products</w:t>
            </w:r>
            <w:r>
              <w:rPr>
                <w:rFonts w:ascii="Arial" w:cs="Arial" w:eastAsia="Arial" w:hAnsi="Arial"/>
                <w:sz w:val="23"/>
                <w:szCs w:val="23"/>
                <w:color w:val="auto"/>
                <w:vertAlign w:val="superscript"/>
              </w:rPr>
              <w:t>(f)</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135 %</w:t>
            </w:r>
          </w:p>
        </w:tc>
        <w:tc>
          <w:tcPr>
            <w:tcW w:w="0" w:type="dxa"/>
            <w:vAlign w:val="bottom"/>
          </w:tcPr>
          <w:p>
            <w:pPr>
              <w:spacing w:after="0"/>
              <w:rPr>
                <w:sz w:val="1"/>
                <w:szCs w:val="1"/>
                <w:color w:val="auto"/>
              </w:rPr>
            </w:pPr>
          </w:p>
        </w:tc>
      </w:tr>
      <w:tr>
        <w:trPr>
          <w:trHeight w:val="346"/>
        </w:trPr>
        <w:tc>
          <w:tcPr>
            <w:tcW w:w="2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9"/>
              </w:rPr>
              <w:t>Nine Months Ended</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9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8"/>
                <w:szCs w:val="18"/>
                <w:b w:val="1"/>
                <w:bCs w:val="1"/>
                <w:color w:val="auto"/>
                <w:w w:val="99"/>
              </w:rPr>
              <w:t>September 30,</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29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2024</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ind w:left="120"/>
              <w:spacing w:after="0"/>
              <w:rPr>
                <w:sz w:val="20"/>
                <w:szCs w:val="20"/>
                <w:color w:val="auto"/>
              </w:rPr>
            </w:pPr>
            <w:r>
              <w:rPr>
                <w:rFonts w:ascii="Arial" w:cs="Arial" w:eastAsia="Arial" w:hAnsi="Arial"/>
                <w:sz w:val="18"/>
                <w:szCs w:val="18"/>
                <w:b w:val="1"/>
                <w:bCs w:val="1"/>
                <w:color w:val="auto"/>
              </w:rPr>
              <w:t>U.S.</w:t>
            </w:r>
          </w:p>
        </w:tc>
        <w:tc>
          <w:tcPr>
            <w:tcW w:w="160" w:type="dxa"/>
            <w:vAlign w:val="bottom"/>
          </w:tcPr>
          <w:p>
            <w:pPr>
              <w:spacing w:after="0"/>
              <w:rPr>
                <w:sz w:val="19"/>
                <w:szCs w:val="19"/>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ROW</w:t>
            </w:r>
          </w:p>
        </w:tc>
        <w:tc>
          <w:tcPr>
            <w:tcW w:w="180" w:type="dxa"/>
            <w:vAlign w:val="bottom"/>
          </w:tcPr>
          <w:p>
            <w:pPr>
              <w:spacing w:after="0"/>
              <w:rPr>
                <w:sz w:val="19"/>
                <w:szCs w:val="19"/>
                <w:color w:val="auto"/>
              </w:rPr>
            </w:pPr>
          </w:p>
        </w:tc>
        <w:tc>
          <w:tcPr>
            <w:tcW w:w="86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ind w:left="120"/>
              <w:spacing w:after="0"/>
              <w:rPr>
                <w:sz w:val="20"/>
                <w:szCs w:val="20"/>
                <w:color w:val="auto"/>
              </w:rPr>
            </w:pPr>
            <w:r>
              <w:rPr>
                <w:rFonts w:ascii="Arial" w:cs="Arial" w:eastAsia="Arial" w:hAnsi="Arial"/>
                <w:sz w:val="18"/>
                <w:szCs w:val="18"/>
                <w:b w:val="1"/>
                <w:bCs w:val="1"/>
                <w:color w:val="auto"/>
              </w:rPr>
              <w:t>U.S.</w:t>
            </w:r>
          </w:p>
        </w:tc>
        <w:tc>
          <w:tcPr>
            <w:tcW w:w="220" w:type="dxa"/>
            <w:vAlign w:val="bottom"/>
          </w:tcPr>
          <w:p>
            <w:pPr>
              <w:spacing w:after="0"/>
              <w:rPr>
                <w:sz w:val="19"/>
                <w:szCs w:val="19"/>
                <w:color w:val="auto"/>
              </w:rPr>
            </w:pPr>
          </w:p>
        </w:tc>
        <w:tc>
          <w:tcPr>
            <w:tcW w:w="920" w:type="dxa"/>
            <w:vAlign w:val="bottom"/>
            <w:gridSpan w:val="2"/>
          </w:tcPr>
          <w:p>
            <w:pPr>
              <w:ind w:left="80"/>
              <w:spacing w:after="0"/>
              <w:rPr>
                <w:sz w:val="20"/>
                <w:szCs w:val="20"/>
                <w:color w:val="auto"/>
              </w:rPr>
            </w:pPr>
            <w:r>
              <w:rPr>
                <w:rFonts w:ascii="Arial" w:cs="Arial" w:eastAsia="Arial" w:hAnsi="Arial"/>
                <w:sz w:val="18"/>
                <w:szCs w:val="18"/>
                <w:b w:val="1"/>
                <w:bCs w:val="1"/>
                <w:color w:val="auto"/>
              </w:rPr>
              <w:t>ROW</w:t>
            </w:r>
          </w:p>
        </w:tc>
        <w:tc>
          <w:tcPr>
            <w:tcW w:w="220" w:type="dxa"/>
            <w:vAlign w:val="bottom"/>
          </w:tcPr>
          <w:p>
            <w:pPr>
              <w:spacing w:after="0"/>
              <w:rPr>
                <w:sz w:val="19"/>
                <w:szCs w:val="19"/>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8"/>
              </w:rPr>
              <w:t>(Total Sales)</w:t>
            </w:r>
          </w:p>
        </w:tc>
        <w:tc>
          <w:tcPr>
            <w:tcW w:w="0" w:type="dxa"/>
            <w:vAlign w:val="bottom"/>
          </w:tcPr>
          <w:p>
            <w:pPr>
              <w:spacing w:after="0"/>
              <w:rPr>
                <w:sz w:val="1"/>
                <w:szCs w:val="1"/>
                <w:color w:val="auto"/>
              </w:rPr>
            </w:pPr>
          </w:p>
        </w:tc>
      </w:tr>
      <w:tr>
        <w:trPr>
          <w:trHeight w:val="223"/>
        </w:trPr>
        <w:tc>
          <w:tcPr>
            <w:tcW w:w="290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EYLEA HD and EYLEA</w:t>
            </w:r>
            <w:r>
              <w:rPr>
                <w:rFonts w:ascii="Arial" w:cs="Arial" w:eastAsia="Arial" w:hAnsi="Arial"/>
                <w:sz w:val="23"/>
                <w:szCs w:val="23"/>
                <w:color w:val="auto"/>
                <w:vertAlign w:val="superscript"/>
              </w:rPr>
              <w:t>(a)</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4,473.2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2,688.9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7,162.1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4,424.8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2,605.6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7,030.4</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29"/>
        </w:trPr>
        <w:tc>
          <w:tcPr>
            <w:tcW w:w="2900" w:type="dxa"/>
            <w:vAlign w:val="bottom"/>
          </w:tcPr>
          <w:p>
            <w:pPr>
              <w:ind w:left="20"/>
              <w:spacing w:after="0" w:line="230" w:lineRule="exact"/>
              <w:rPr>
                <w:sz w:val="20"/>
                <w:szCs w:val="20"/>
                <w:color w:val="auto"/>
              </w:rPr>
            </w:pPr>
            <w:r>
              <w:rPr>
                <w:rFonts w:ascii="Arial" w:cs="Arial" w:eastAsia="Arial" w:hAnsi="Arial"/>
                <w:sz w:val="18"/>
                <w:szCs w:val="18"/>
                <w:color w:val="auto"/>
              </w:rPr>
              <w:t>Dupixent</w:t>
            </w:r>
            <w:r>
              <w:rPr>
                <w:rFonts w:ascii="Arial" w:cs="Arial" w:eastAsia="Arial" w:hAnsi="Arial"/>
                <w:sz w:val="23"/>
                <w:szCs w:val="23"/>
                <w:color w:val="auto"/>
                <w:vertAlign w:val="superscript"/>
              </w:rPr>
              <w:t>(b)</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7,652.9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2,797.5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10,450.4</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6,369.6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2,002.4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8,372.0</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29"/>
        </w:trPr>
        <w:tc>
          <w:tcPr>
            <w:tcW w:w="29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Libtayo</w:t>
            </w:r>
            <w:r>
              <w:rPr>
                <w:rFonts w:ascii="Arial" w:cs="Arial" w:eastAsia="Arial" w:hAnsi="Arial"/>
                <w:sz w:val="23"/>
                <w:szCs w:val="23"/>
                <w:color w:val="auto"/>
                <w:vertAlign w:val="superscript"/>
              </w:rPr>
              <w:t>(c)</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30"/>
        </w:trPr>
        <w:tc>
          <w:tcPr>
            <w:tcW w:w="2900" w:type="dxa"/>
            <w:vAlign w:val="bottom"/>
          </w:tcPr>
          <w:p>
            <w:pPr>
              <w:ind w:left="20"/>
              <w:spacing w:after="0" w:line="230" w:lineRule="exact"/>
              <w:rPr>
                <w:sz w:val="20"/>
                <w:szCs w:val="20"/>
                <w:color w:val="auto"/>
              </w:rPr>
            </w:pPr>
            <w:r>
              <w:rPr>
                <w:rFonts w:ascii="Arial" w:cs="Arial" w:eastAsia="Arial" w:hAnsi="Arial"/>
                <w:sz w:val="18"/>
                <w:szCs w:val="18"/>
                <w:color w:val="auto"/>
              </w:rPr>
              <w:t>Praluent</w:t>
            </w:r>
            <w:r>
              <w:rPr>
                <w:rFonts w:ascii="Arial" w:cs="Arial" w:eastAsia="Arial" w:hAnsi="Arial"/>
                <w:sz w:val="23"/>
                <w:szCs w:val="23"/>
                <w:color w:val="auto"/>
                <w:vertAlign w:val="superscript"/>
              </w:rPr>
              <w:t>(d)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179.0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405.6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584.6</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121.1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330.6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451.7</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29"/>
        </w:trPr>
        <w:tc>
          <w:tcPr>
            <w:tcW w:w="29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Kevzara</w:t>
            </w:r>
            <w:r>
              <w:rPr>
                <w:rFonts w:ascii="Arial" w:cs="Arial" w:eastAsia="Arial" w:hAnsi="Arial"/>
                <w:sz w:val="23"/>
                <w:szCs w:val="23"/>
                <w:color w:val="auto"/>
                <w:vertAlign w:val="superscript"/>
              </w:rPr>
              <w:t>(b)</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273.7</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30"/>
        </w:trPr>
        <w:tc>
          <w:tcPr>
            <w:tcW w:w="2900" w:type="dxa"/>
            <w:vAlign w:val="bottom"/>
          </w:tcPr>
          <w:p>
            <w:pPr>
              <w:ind w:left="20"/>
              <w:spacing w:after="0" w:line="230" w:lineRule="exact"/>
              <w:rPr>
                <w:sz w:val="20"/>
                <w:szCs w:val="20"/>
                <w:color w:val="auto"/>
              </w:rPr>
            </w:pPr>
            <w:r>
              <w:rPr>
                <w:rFonts w:ascii="Arial" w:cs="Arial" w:eastAsia="Arial" w:hAnsi="Arial"/>
                <w:sz w:val="18"/>
                <w:szCs w:val="18"/>
                <w:color w:val="auto"/>
              </w:rPr>
              <w:t>REGEN-COV</w:t>
            </w:r>
            <w:r>
              <w:rPr>
                <w:rFonts w:ascii="Arial" w:cs="Arial" w:eastAsia="Arial" w:hAnsi="Arial"/>
                <w:sz w:val="23"/>
                <w:szCs w:val="23"/>
                <w:color w:val="auto"/>
                <w:vertAlign w:val="superscript"/>
              </w:rPr>
              <w:t>(e)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613.2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613.2</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(99 %)</w:t>
            </w: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Other products</w:t>
            </w:r>
            <w:r>
              <w:rPr>
                <w:rFonts w:ascii="Arial" w:cs="Arial" w:eastAsia="Arial" w:hAnsi="Arial"/>
                <w:sz w:val="23"/>
                <w:szCs w:val="23"/>
                <w:color w:val="auto"/>
                <w:vertAlign w:val="superscript"/>
              </w:rPr>
              <w:t>(f)</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40" w:right="80"/>
        <w:spacing w:after="0" w:line="246" w:lineRule="auto"/>
        <w:rPr>
          <w:sz w:val="20"/>
          <w:szCs w:val="20"/>
          <w:color w:val="auto"/>
        </w:rPr>
      </w:pPr>
      <w:r>
        <w:rPr>
          <w:rFonts w:ascii="Arial" w:cs="Arial" w:eastAsia="Arial" w:hAnsi="Arial"/>
          <w:sz w:val="16"/>
          <w:szCs w:val="16"/>
          <w:color w:val="auto"/>
        </w:rPr>
        <w:t>Note: The table above includes net product sales of Regeneron-discovered products. Such net product sales are recorded by the Company or others, as further described in the footnotes below.</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 Percentage not meaningful</w:t>
      </w:r>
    </w:p>
    <w:p>
      <w:pPr>
        <w:spacing w:after="0" w:line="32" w:lineRule="exact"/>
        <w:rPr>
          <w:sz w:val="20"/>
          <w:szCs w:val="20"/>
          <w:color w:val="auto"/>
        </w:rPr>
      </w:pPr>
    </w:p>
    <w:p>
      <w:pPr>
        <w:ind w:left="240" w:right="520" w:firstLine="2"/>
        <w:spacing w:after="0" w:line="206" w:lineRule="auto"/>
        <w:tabs>
          <w:tab w:leader="none" w:pos="428" w:val="left"/>
        </w:tabs>
        <w:numPr>
          <w:ilvl w:val="0"/>
          <w:numId w:val="11"/>
        </w:numPr>
        <w:rPr>
          <w:rFonts w:ascii="Arial" w:cs="Arial" w:eastAsia="Arial" w:hAnsi="Arial"/>
          <w:sz w:val="22"/>
          <w:szCs w:val="22"/>
          <w:color w:val="auto"/>
          <w:vertAlign w:val="superscript"/>
        </w:rPr>
      </w:pPr>
      <w:r>
        <w:rPr>
          <w:rFonts w:ascii="Arial" w:cs="Arial" w:eastAsia="Arial" w:hAnsi="Arial"/>
          <w:sz w:val="16"/>
          <w:szCs w:val="16"/>
          <w:color w:val="auto"/>
        </w:rPr>
        <w:t>The Company records net product sales of EYLEA HD and EYLEA in the United States, and Bayer records net product sales outside the United States. The Company records its share of profits in connection with sales outside the United States within Collaboration revenue.</w:t>
      </w:r>
    </w:p>
    <w:p>
      <w:pPr>
        <w:spacing w:after="0" w:line="2" w:lineRule="exact"/>
        <w:rPr>
          <w:rFonts w:ascii="Arial" w:cs="Arial" w:eastAsia="Arial" w:hAnsi="Arial"/>
          <w:sz w:val="22"/>
          <w:szCs w:val="22"/>
          <w:color w:val="auto"/>
          <w:vertAlign w:val="superscript"/>
        </w:rPr>
      </w:pPr>
    </w:p>
    <w:p>
      <w:pPr>
        <w:ind w:left="240" w:right="120" w:firstLine="2"/>
        <w:spacing w:after="0" w:line="206" w:lineRule="auto"/>
        <w:tabs>
          <w:tab w:leader="none" w:pos="428" w:val="left"/>
        </w:tabs>
        <w:numPr>
          <w:ilvl w:val="0"/>
          <w:numId w:val="11"/>
        </w:numPr>
        <w:rPr>
          <w:rFonts w:ascii="Arial" w:cs="Arial" w:eastAsia="Arial" w:hAnsi="Arial"/>
          <w:sz w:val="22"/>
          <w:szCs w:val="22"/>
          <w:color w:val="auto"/>
          <w:vertAlign w:val="superscript"/>
        </w:rPr>
      </w:pPr>
      <w:r>
        <w:rPr>
          <w:rFonts w:ascii="Arial" w:cs="Arial" w:eastAsia="Arial" w:hAnsi="Arial"/>
          <w:sz w:val="16"/>
          <w:szCs w:val="16"/>
          <w:color w:val="auto"/>
        </w:rPr>
        <w:t>Sanofi records global net product sales of Dupixent and Kevzara, and the Company records its share of profits in connection with global sales of such products within Collaboration revenue.</w:t>
      </w:r>
    </w:p>
    <w:p>
      <w:pPr>
        <w:spacing w:after="0" w:line="2" w:lineRule="exact"/>
        <w:rPr>
          <w:rFonts w:ascii="Arial" w:cs="Arial" w:eastAsia="Arial" w:hAnsi="Arial"/>
          <w:sz w:val="22"/>
          <w:szCs w:val="22"/>
          <w:color w:val="auto"/>
          <w:vertAlign w:val="superscript"/>
        </w:rPr>
      </w:pPr>
    </w:p>
    <w:p>
      <w:pPr>
        <w:ind w:left="240" w:right="200" w:firstLine="2"/>
        <w:spacing w:after="0" w:line="205" w:lineRule="auto"/>
        <w:tabs>
          <w:tab w:leader="none" w:pos="421" w:val="left"/>
        </w:tabs>
        <w:numPr>
          <w:ilvl w:val="0"/>
          <w:numId w:val="11"/>
        </w:numPr>
        <w:rPr>
          <w:rFonts w:ascii="Arial" w:cs="Arial" w:eastAsia="Arial" w:hAnsi="Arial"/>
          <w:sz w:val="23"/>
          <w:szCs w:val="23"/>
          <w:color w:val="auto"/>
          <w:vertAlign w:val="superscript"/>
        </w:rPr>
      </w:pPr>
      <w:r>
        <w:rPr>
          <w:rFonts w:ascii="Arial" w:cs="Arial" w:eastAsia="Arial" w:hAnsi="Arial"/>
          <w:sz w:val="16"/>
          <w:szCs w:val="16"/>
          <w:color w:val="auto"/>
        </w:rPr>
        <w:t>The Company records global net product sales of Libtayo and pays Sanofi a royalty on such sales. Prior to July 1, 2022, Sanofi recorded net product sales of Libtayo outside the United States. Included in this line item for the nine months ended September 30, 2023 is approximately $6 million of first quarter 2023 net product sales recorded by Sanofi in connection with sales in certain markets outside the United States (Sanofi recorded net product sales in such markets during a transition period).</w:t>
      </w:r>
    </w:p>
    <w:p>
      <w:pPr>
        <w:spacing w:after="0" w:line="4" w:lineRule="exact"/>
        <w:rPr>
          <w:rFonts w:ascii="Arial" w:cs="Arial" w:eastAsia="Arial" w:hAnsi="Arial"/>
          <w:sz w:val="23"/>
          <w:szCs w:val="23"/>
          <w:color w:val="auto"/>
          <w:vertAlign w:val="superscript"/>
        </w:rPr>
      </w:pPr>
    </w:p>
    <w:p>
      <w:pPr>
        <w:ind w:left="240" w:right="220" w:firstLine="2"/>
        <w:spacing w:after="0" w:line="206" w:lineRule="auto"/>
        <w:tabs>
          <w:tab w:leader="none" w:pos="428" w:val="left"/>
        </w:tabs>
        <w:numPr>
          <w:ilvl w:val="0"/>
          <w:numId w:val="11"/>
        </w:numPr>
        <w:rPr>
          <w:rFonts w:ascii="Arial" w:cs="Arial" w:eastAsia="Arial" w:hAnsi="Arial"/>
          <w:sz w:val="22"/>
          <w:szCs w:val="22"/>
          <w:color w:val="auto"/>
          <w:vertAlign w:val="superscript"/>
        </w:rPr>
      </w:pPr>
      <w:r>
        <w:rPr>
          <w:rFonts w:ascii="Arial" w:cs="Arial" w:eastAsia="Arial" w:hAnsi="Arial"/>
          <w:sz w:val="16"/>
          <w:szCs w:val="16"/>
          <w:color w:val="auto"/>
        </w:rPr>
        <w:t>The Company records net product sales of Praluent in the United States. Sanofi records net product sales of Praluent outside the United States and pays the Company a royalty on such sales, which is recorded within Other revenue.</w:t>
      </w:r>
    </w:p>
    <w:p>
      <w:pPr>
        <w:spacing w:after="0" w:line="2" w:lineRule="exact"/>
        <w:rPr>
          <w:rFonts w:ascii="Arial" w:cs="Arial" w:eastAsia="Arial" w:hAnsi="Arial"/>
          <w:sz w:val="22"/>
          <w:szCs w:val="22"/>
          <w:color w:val="auto"/>
          <w:vertAlign w:val="superscript"/>
        </w:rPr>
      </w:pPr>
    </w:p>
    <w:p>
      <w:pPr>
        <w:ind w:left="240" w:right="340" w:firstLine="2"/>
        <w:spacing w:after="0" w:line="206" w:lineRule="auto"/>
        <w:tabs>
          <w:tab w:leader="none" w:pos="428" w:val="left"/>
        </w:tabs>
        <w:numPr>
          <w:ilvl w:val="0"/>
          <w:numId w:val="11"/>
        </w:numPr>
        <w:rPr>
          <w:rFonts w:ascii="Arial" w:cs="Arial" w:eastAsia="Arial" w:hAnsi="Arial"/>
          <w:sz w:val="22"/>
          <w:szCs w:val="22"/>
          <w:color w:val="auto"/>
          <w:vertAlign w:val="superscript"/>
        </w:rPr>
      </w:pPr>
      <w:r>
        <w:rPr>
          <w:rFonts w:ascii="Arial" w:cs="Arial" w:eastAsia="Arial" w:hAnsi="Arial"/>
          <w:sz w:val="16"/>
          <w:szCs w:val="16"/>
          <w:color w:val="auto"/>
        </w:rPr>
        <w:t>Roche records net product sales outside the United States and the Company records its share of gross profits from sales, which is recorded within Collaboration revenue.</w:t>
      </w:r>
    </w:p>
    <w:p>
      <w:pPr>
        <w:spacing w:after="0" w:line="2" w:lineRule="exact"/>
        <w:rPr>
          <w:rFonts w:ascii="Arial" w:cs="Arial" w:eastAsia="Arial" w:hAnsi="Arial"/>
          <w:sz w:val="22"/>
          <w:szCs w:val="22"/>
          <w:color w:val="auto"/>
          <w:vertAlign w:val="superscript"/>
        </w:rPr>
      </w:pPr>
    </w:p>
    <w:p>
      <w:pPr>
        <w:ind w:left="240" w:right="40" w:firstLine="2"/>
        <w:spacing w:after="0" w:line="187" w:lineRule="auto"/>
        <w:tabs>
          <w:tab w:leader="none" w:pos="395" w:val="left"/>
        </w:tabs>
        <w:numPr>
          <w:ilvl w:val="0"/>
          <w:numId w:val="11"/>
        </w:numPr>
        <w:rPr>
          <w:rFonts w:ascii="Arial" w:cs="Arial" w:eastAsia="Arial" w:hAnsi="Arial"/>
          <w:sz w:val="23"/>
          <w:szCs w:val="23"/>
          <w:color w:val="auto"/>
          <w:vertAlign w:val="superscript"/>
        </w:rPr>
      </w:pPr>
      <w:r>
        <w:rPr>
          <w:rFonts w:ascii="Arial" w:cs="Arial" w:eastAsia="Arial" w:hAnsi="Arial"/>
          <w:sz w:val="16"/>
          <w:szCs w:val="16"/>
          <w:color w:val="auto"/>
        </w:rPr>
        <w:t>Included in this line item are products which are sold by the Company and others. Refer to "Third Quarter 2024 Financial Results" section above for a complete listing of net product sales recorded by the Company. Not included in this line item are net product sales of ARCALYST</w:t>
      </w:r>
      <w:r>
        <w:rPr>
          <w:rFonts w:ascii="Arial" w:cs="Arial" w:eastAsia="Arial" w:hAnsi="Arial"/>
          <w:sz w:val="21"/>
          <w:szCs w:val="21"/>
          <w:color w:val="auto"/>
          <w:vertAlign w:val="superscript"/>
        </w:rPr>
        <w:t>®</w:t>
      </w:r>
      <w:r>
        <w:rPr>
          <w:rFonts w:ascii="Arial" w:cs="Arial" w:eastAsia="Arial" w:hAnsi="Arial"/>
          <w:sz w:val="16"/>
          <w:szCs w:val="16"/>
          <w:color w:val="auto"/>
        </w:rPr>
        <w:t>, which are recorded by Kiniksa; net product sales of ARCALYST were $103 million for the second quarter of 2024.</w:t>
      </w:r>
    </w:p>
    <w:p>
      <w:pPr>
        <w:spacing w:after="0" w:line="1" w:lineRule="exact"/>
        <w:rPr>
          <w:rFonts w:ascii="Arial" w:cs="Arial" w:eastAsia="Arial" w:hAnsi="Arial"/>
          <w:sz w:val="23"/>
          <w:szCs w:val="23"/>
          <w:color w:val="auto"/>
          <w:vertAlign w:val="superscript"/>
        </w:rPr>
      </w:pPr>
    </w:p>
    <w:p>
      <w:pPr>
        <w:ind w:left="420" w:hanging="178"/>
        <w:spacing w:after="0" w:line="214" w:lineRule="auto"/>
        <w:tabs>
          <w:tab w:leader="none" w:pos="420" w:val="left"/>
        </w:tabs>
        <w:numPr>
          <w:ilvl w:val="0"/>
          <w:numId w:val="11"/>
        </w:numPr>
        <w:rPr>
          <w:rFonts w:ascii="Arial" w:cs="Arial" w:eastAsia="Arial" w:hAnsi="Arial"/>
          <w:sz w:val="21"/>
          <w:szCs w:val="21"/>
          <w:color w:val="auto"/>
          <w:vertAlign w:val="superscript"/>
        </w:rPr>
      </w:pPr>
      <w:r>
        <w:rPr>
          <w:rFonts w:ascii="Arial" w:cs="Arial" w:eastAsia="Arial" w:hAnsi="Arial"/>
          <w:sz w:val="15"/>
          <w:szCs w:val="15"/>
          <w:color w:val="auto"/>
        </w:rPr>
        <w:t>Rest of world (ROW)</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lvl w:ilvl="1">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2024-10-31T06:12:51Z</dcterms:created>
  <dcterms:modified xsi:type="dcterms:W3CDTF">2024-10-31T06:12:51Z</dcterms:modified>
</cp:coreProperties>
</file>